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40C5D5">
      <w:pPr>
        <w:spacing w:line="240" w:lineRule="auto"/>
        <w:rPr>
          <w:rFonts w:ascii="仿宋_GB2312" w:hAnsi="仿宋_GB2312" w:eastAsia="仿宋_GB2312" w:cs="仿宋_GB2312"/>
          <w:color w:val="000000" w:themeColor="text1"/>
          <w:sz w:val="36"/>
          <w:szCs w:val="36"/>
          <w:highlight w:val="none"/>
          <w14:textFill>
            <w14:solidFill>
              <w14:schemeClr w14:val="tx1"/>
            </w14:solidFill>
          </w14:textFill>
        </w:rPr>
      </w:pPr>
      <w:r>
        <w:rPr>
          <w:rFonts w:hint="eastAsia" w:ascii="仿宋_GB2312" w:eastAsia="仿宋_GB2312"/>
          <w:color w:val="000000" w:themeColor="text1"/>
          <w:sz w:val="36"/>
          <w:szCs w:val="36"/>
          <w:highlight w:val="none"/>
          <w:lang w:eastAsia="zh-CN"/>
          <w14:textFill>
            <w14:solidFill>
              <w14:schemeClr w14:val="tx1"/>
            </w14:solidFill>
          </w14:textFill>
        </w:rPr>
        <w:drawing>
          <wp:anchor distT="0" distB="0" distL="114300" distR="114300" simplePos="0" relativeHeight="251665408" behindDoc="0" locked="0" layoutInCell="1" allowOverlap="1">
            <wp:simplePos x="0" y="0"/>
            <wp:positionH relativeFrom="column">
              <wp:posOffset>-968375</wp:posOffset>
            </wp:positionH>
            <wp:positionV relativeFrom="paragraph">
              <wp:posOffset>-1066800</wp:posOffset>
            </wp:positionV>
            <wp:extent cx="7536815" cy="10671175"/>
            <wp:effectExtent l="0" t="0" r="6985" b="15875"/>
            <wp:wrapNone/>
            <wp:docPr id="274" name="图片 274" descr="10月-盖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图片 274" descr="10月-盖章"/>
                    <pic:cNvPicPr>
                      <a:picLocks noChangeAspect="1"/>
                    </pic:cNvPicPr>
                  </pic:nvPicPr>
                  <pic:blipFill>
                    <a:blip r:embed="rId14"/>
                    <a:stretch>
                      <a:fillRect/>
                    </a:stretch>
                  </pic:blipFill>
                  <pic:spPr>
                    <a:xfrm>
                      <a:off x="0" y="0"/>
                      <a:ext cx="7536815" cy="10671175"/>
                    </a:xfrm>
                    <a:prstGeom prst="rect">
                      <a:avLst/>
                    </a:prstGeom>
                  </pic:spPr>
                </pic:pic>
              </a:graphicData>
            </a:graphic>
          </wp:anchor>
        </w:drawing>
      </w:r>
    </w:p>
    <w:p w14:paraId="06F56F3B">
      <w:pPr>
        <w:spacing w:line="240" w:lineRule="auto"/>
        <w:rPr>
          <w:rFonts w:ascii="仿宋_GB2312" w:hAnsi="仿宋_GB2312" w:eastAsia="仿宋_GB2312" w:cs="仿宋_GB2312"/>
          <w:color w:val="000000" w:themeColor="text1"/>
          <w:sz w:val="36"/>
          <w:szCs w:val="36"/>
          <w:highlight w:val="none"/>
          <w14:textFill>
            <w14:solidFill>
              <w14:schemeClr w14:val="tx1"/>
            </w14:solidFill>
          </w14:textFill>
        </w:rPr>
      </w:pPr>
    </w:p>
    <w:p w14:paraId="746C3F1E">
      <w:pPr>
        <w:spacing w:line="240" w:lineRule="auto"/>
        <w:rPr>
          <w:rFonts w:ascii="仿宋_GB2312" w:hAnsi="仿宋_GB2312" w:eastAsia="仿宋_GB2312" w:cs="仿宋_GB2312"/>
          <w:color w:val="000000" w:themeColor="text1"/>
          <w:sz w:val="36"/>
          <w:szCs w:val="36"/>
          <w:highlight w:val="none"/>
          <w14:textFill>
            <w14:solidFill>
              <w14:schemeClr w14:val="tx1"/>
            </w14:solidFill>
          </w14:textFill>
        </w:rPr>
      </w:pPr>
    </w:p>
    <w:p w14:paraId="54D81AC5">
      <w:pPr>
        <w:spacing w:line="240" w:lineRule="auto"/>
        <w:rPr>
          <w:rFonts w:ascii="仿宋_GB2312" w:hAnsi="仿宋_GB2312" w:eastAsia="仿宋_GB2312" w:cs="仿宋_GB2312"/>
          <w:color w:val="000000" w:themeColor="text1"/>
          <w:sz w:val="36"/>
          <w:szCs w:val="36"/>
          <w:highlight w:val="none"/>
          <w14:textFill>
            <w14:solidFill>
              <w14:schemeClr w14:val="tx1"/>
            </w14:solidFill>
          </w14:textFill>
        </w:rPr>
      </w:pPr>
    </w:p>
    <w:p w14:paraId="6E516247">
      <w:pPr>
        <w:spacing w:line="240" w:lineRule="auto"/>
        <w:rPr>
          <w:rFonts w:hint="eastAsia" w:ascii="仿宋_GB2312" w:hAnsi="仿宋_GB2312" w:eastAsia="仿宋_GB2312" w:cs="仿宋_GB2312"/>
          <w:color w:val="000000" w:themeColor="text1"/>
          <w:sz w:val="36"/>
          <w:szCs w:val="36"/>
          <w:highlight w:val="none"/>
          <w14:textFill>
            <w14:solidFill>
              <w14:schemeClr w14:val="tx1"/>
            </w14:solidFill>
          </w14:textFill>
        </w:rPr>
      </w:pPr>
    </w:p>
    <w:p w14:paraId="4A6A6F08">
      <w:pPr>
        <w:adjustRightInd w:val="0"/>
        <w:snapToGrid w:val="0"/>
        <w:spacing w:line="240" w:lineRule="auto"/>
        <w:jc w:val="center"/>
        <w:outlineLvl w:val="0"/>
        <w:rPr>
          <w:rFonts w:hint="eastAsia" w:ascii="方正小标宋_GBK" w:eastAsia="方正小标宋_GBK" w:cs="Times New Roman"/>
          <w:b w:val="0"/>
          <w:bCs/>
          <w:color w:val="000000" w:themeColor="text1"/>
          <w:sz w:val="52"/>
          <w:szCs w:val="52"/>
          <w:highlight w:val="none"/>
          <w14:textFill>
            <w14:solidFill>
              <w14:schemeClr w14:val="tx1"/>
            </w14:solidFill>
          </w14:textFill>
        </w:rPr>
      </w:pPr>
      <w:r>
        <w:rPr>
          <w:rFonts w:hint="eastAsia" w:ascii="方正小标宋_GBK" w:eastAsia="方正小标宋_GBK" w:cs="Times New Roman"/>
          <w:b w:val="0"/>
          <w:bCs/>
          <w:color w:val="000000" w:themeColor="text1"/>
          <w:sz w:val="52"/>
          <w:szCs w:val="52"/>
          <w:highlight w:val="none"/>
          <w14:textFill>
            <w14:solidFill>
              <w14:schemeClr w14:val="tx1"/>
            </w14:solidFill>
          </w14:textFill>
        </w:rPr>
        <w:t>建设项目生态环境影响报告表</w:t>
      </w:r>
    </w:p>
    <w:p w14:paraId="03B1814D">
      <w:pPr>
        <w:adjustRightInd w:val="0"/>
        <w:snapToGrid w:val="0"/>
        <w:spacing w:before="192" w:beforeLines="80"/>
        <w:jc w:val="center"/>
        <w:rPr>
          <w:rFonts w:hint="eastAsia" w:ascii="楷体_GB2312" w:eastAsia="楷体_GB2312"/>
          <w:bCs/>
          <w:color w:val="000000" w:themeColor="text1"/>
          <w:sz w:val="48"/>
          <w:szCs w:val="48"/>
          <w:highlight w:val="none"/>
          <w14:textFill>
            <w14:solidFill>
              <w14:schemeClr w14:val="tx1"/>
            </w14:solidFill>
          </w14:textFill>
        </w:rPr>
      </w:pPr>
      <w:r>
        <w:rPr>
          <w:rFonts w:hint="eastAsia" w:ascii="楷体_GB2312" w:eastAsia="楷体_GB2312"/>
          <w:bCs/>
          <w:color w:val="000000" w:themeColor="text1"/>
          <w:sz w:val="48"/>
          <w:szCs w:val="48"/>
          <w:highlight w:val="none"/>
          <w14:textFill>
            <w14:solidFill>
              <w14:schemeClr w14:val="tx1"/>
            </w14:solidFill>
          </w14:textFill>
        </w:rPr>
        <w:t>（污染影响类）</w:t>
      </w:r>
    </w:p>
    <w:p w14:paraId="043922E6">
      <w:pPr>
        <w:adjustRightInd w:val="0"/>
        <w:snapToGrid w:val="0"/>
        <w:spacing w:line="240" w:lineRule="auto"/>
        <w:jc w:val="center"/>
        <w:outlineLvl w:val="0"/>
        <w:rPr>
          <w:rFonts w:ascii="华文仿宋" w:hAnsi="华文仿宋" w:eastAsia="华文仿宋" w:cs="华文仿宋"/>
          <w:color w:val="000000" w:themeColor="text1"/>
          <w:kern w:val="44"/>
          <w:sz w:val="44"/>
          <w:szCs w:val="44"/>
          <w:highlight w:val="none"/>
          <w14:textFill>
            <w14:solidFill>
              <w14:schemeClr w14:val="tx1"/>
            </w14:solidFill>
          </w14:textFill>
        </w:rPr>
      </w:pPr>
    </w:p>
    <w:p w14:paraId="2676C7DE">
      <w:pPr>
        <w:spacing w:line="240" w:lineRule="auto"/>
        <w:jc w:val="center"/>
        <w:rPr>
          <w:rFonts w:eastAsia="仿宋"/>
          <w:color w:val="000000" w:themeColor="text1"/>
          <w:sz w:val="52"/>
          <w:szCs w:val="52"/>
          <w:highlight w:val="none"/>
          <w14:textFill>
            <w14:solidFill>
              <w14:schemeClr w14:val="tx1"/>
            </w14:solidFill>
          </w14:textFill>
        </w:rPr>
      </w:pPr>
    </w:p>
    <w:p w14:paraId="33AC359F">
      <w:pPr>
        <w:spacing w:line="240" w:lineRule="auto"/>
        <w:ind w:firstLine="1040"/>
        <w:rPr>
          <w:rFonts w:eastAsia="仿宋"/>
          <w:color w:val="000000" w:themeColor="text1"/>
          <w:sz w:val="44"/>
          <w:szCs w:val="44"/>
          <w:highlight w:val="none"/>
          <w14:textFill>
            <w14:solidFill>
              <w14:schemeClr w14:val="tx1"/>
            </w14:solidFill>
          </w14:textFill>
        </w:rPr>
      </w:pPr>
    </w:p>
    <w:p w14:paraId="1D96B426">
      <w:pPr>
        <w:spacing w:line="240" w:lineRule="auto"/>
        <w:ind w:firstLine="1040"/>
        <w:rPr>
          <w:rFonts w:eastAsia="仿宋"/>
          <w:color w:val="000000" w:themeColor="text1"/>
          <w:sz w:val="44"/>
          <w:szCs w:val="44"/>
          <w:highlight w:val="none"/>
          <w14:textFill>
            <w14:solidFill>
              <w14:schemeClr w14:val="tx1"/>
            </w14:solidFill>
          </w14:textFill>
        </w:rPr>
      </w:pPr>
    </w:p>
    <w:p w14:paraId="1D4A5E13">
      <w:pPr>
        <w:spacing w:line="240" w:lineRule="auto"/>
        <w:ind w:firstLine="1040"/>
        <w:rPr>
          <w:rFonts w:eastAsia="仿宋"/>
          <w:color w:val="000000" w:themeColor="text1"/>
          <w:sz w:val="44"/>
          <w:szCs w:val="44"/>
          <w:highlight w:val="none"/>
          <w14:textFill>
            <w14:solidFill>
              <w14:schemeClr w14:val="tx1"/>
            </w14:solidFill>
          </w14:textFill>
        </w:rPr>
      </w:pPr>
    </w:p>
    <w:p w14:paraId="2C550C5F">
      <w:pPr>
        <w:spacing w:line="240" w:lineRule="auto"/>
        <w:ind w:firstLine="1040"/>
        <w:rPr>
          <w:rFonts w:eastAsia="仿宋"/>
          <w:color w:val="000000" w:themeColor="text1"/>
          <w:sz w:val="44"/>
          <w:szCs w:val="44"/>
          <w:highlight w:val="none"/>
          <w14:textFill>
            <w14:solidFill>
              <w14:schemeClr w14:val="tx1"/>
            </w14:solidFill>
          </w14:textFill>
        </w:rPr>
      </w:pPr>
    </w:p>
    <w:p w14:paraId="40F10DB4">
      <w:pPr>
        <w:spacing w:line="240" w:lineRule="auto"/>
        <w:ind w:firstLine="1040"/>
        <w:rPr>
          <w:rFonts w:eastAsia="仿宋"/>
          <w:color w:val="000000" w:themeColor="text1"/>
          <w:sz w:val="44"/>
          <w:szCs w:val="44"/>
          <w:highlight w:val="none"/>
          <w14:textFill>
            <w14:solidFill>
              <w14:schemeClr w14:val="tx1"/>
            </w14:solidFill>
          </w14:textFill>
        </w:rPr>
      </w:pPr>
    </w:p>
    <w:p w14:paraId="6C888436">
      <w:pPr>
        <w:keepNext w:val="0"/>
        <w:keepLines w:val="0"/>
        <w:pageBreakBefore w:val="0"/>
        <w:widowControl w:val="0"/>
        <w:kinsoku/>
        <w:wordWrap/>
        <w:overflowPunct/>
        <w:topLinePunct w:val="0"/>
        <w:autoSpaceDE/>
        <w:autoSpaceDN/>
        <w:bidi w:val="0"/>
        <w:adjustRightInd w:val="0"/>
        <w:snapToGrid w:val="0"/>
        <w:spacing w:line="288" w:lineRule="auto"/>
        <w:ind w:left="735" w:leftChars="350"/>
        <w:textAlignment w:val="auto"/>
        <w:rPr>
          <w:rFonts w:hint="default" w:ascii="Times New Roman" w:hAnsi="Times New Roman" w:eastAsia="宋体" w:cs="Times New Roman"/>
          <w:color w:val="000000" w:themeColor="text1"/>
          <w:spacing w:val="-11"/>
          <w:w w:val="95"/>
          <w:sz w:val="36"/>
          <w:szCs w:val="36"/>
          <w:highlight w:val="none"/>
          <w:u w:val="single"/>
          <w:lang w:val="en-US"/>
          <w14:textFill>
            <w14:solidFill>
              <w14:schemeClr w14:val="tx1"/>
            </w14:solidFill>
          </w14:textFill>
        </w:rPr>
      </w:pPr>
      <w:r>
        <w:rPr>
          <w:rFonts w:hint="default" w:ascii="Times New Roman" w:hAnsi="Times New Roman" w:eastAsia="宋体" w:cs="Times New Roman"/>
          <w:color w:val="000000" w:themeColor="text1"/>
          <w:sz w:val="36"/>
          <w:szCs w:val="36"/>
          <w:highlight w:val="none"/>
          <w14:textFill>
            <w14:solidFill>
              <w14:schemeClr w14:val="tx1"/>
            </w14:solidFill>
          </w14:textFill>
        </w:rPr>
        <w:t>项目名称：</w:t>
      </w:r>
      <w:r>
        <w:rPr>
          <w:rFonts w:hint="eastAsia" w:cs="Times New Roman"/>
          <w:color w:val="000000" w:themeColor="text1"/>
          <w:spacing w:val="-11"/>
          <w:w w:val="96"/>
          <w:sz w:val="36"/>
          <w:szCs w:val="36"/>
          <w:highlight w:val="none"/>
          <w:u w:val="single"/>
          <w:lang w:val="en-US" w:eastAsia="zh-CN"/>
          <w14:textFill>
            <w14:solidFill>
              <w14:schemeClr w14:val="tx1"/>
            </w14:solidFill>
          </w14:textFill>
        </w:rPr>
        <w:t xml:space="preserve"> </w:t>
      </w:r>
      <w:r>
        <w:rPr>
          <w:rFonts w:hint="eastAsia" w:cs="Times New Roman"/>
          <w:color w:val="000000" w:themeColor="text1"/>
          <w:spacing w:val="-11"/>
          <w:w w:val="96"/>
          <w:sz w:val="36"/>
          <w:szCs w:val="36"/>
          <w:highlight w:val="none"/>
          <w:u w:val="single"/>
          <w:lang w:eastAsia="zh-CN"/>
          <w14:textFill>
            <w14:solidFill>
              <w14:schemeClr w14:val="tx1"/>
            </w14:solidFill>
          </w14:textFill>
        </w:rPr>
        <w:t>辽宁华润本溪三药有限公司改扩建项目</w:t>
      </w:r>
      <w:r>
        <w:rPr>
          <w:rFonts w:hint="eastAsia" w:cs="Times New Roman"/>
          <w:color w:val="000000" w:themeColor="text1"/>
          <w:spacing w:val="-11"/>
          <w:w w:val="96"/>
          <w:sz w:val="36"/>
          <w:szCs w:val="36"/>
          <w:highlight w:val="none"/>
          <w:u w:val="single"/>
          <w:lang w:val="en-US" w:eastAsia="zh-CN"/>
          <w14:textFill>
            <w14:solidFill>
              <w14:schemeClr w14:val="tx1"/>
            </w14:solidFill>
          </w14:textFill>
        </w:rPr>
        <w:t xml:space="preserve"> </w:t>
      </w:r>
    </w:p>
    <w:p w14:paraId="78D2271C">
      <w:pPr>
        <w:keepNext w:val="0"/>
        <w:keepLines w:val="0"/>
        <w:pageBreakBefore w:val="0"/>
        <w:widowControl w:val="0"/>
        <w:kinsoku/>
        <w:wordWrap/>
        <w:overflowPunct/>
        <w:topLinePunct w:val="0"/>
        <w:autoSpaceDE/>
        <w:autoSpaceDN/>
        <w:bidi w:val="0"/>
        <w:adjustRightInd w:val="0"/>
        <w:snapToGrid w:val="0"/>
        <w:spacing w:line="288" w:lineRule="auto"/>
        <w:ind w:left="735" w:leftChars="350"/>
        <w:jc w:val="both"/>
        <w:textAlignment w:val="auto"/>
        <w:rPr>
          <w:rFonts w:hint="default" w:ascii="Times New Roman" w:hAnsi="Times New Roman" w:eastAsia="宋体" w:cs="Times New Roman"/>
          <w:color w:val="000000" w:themeColor="text1"/>
          <w:sz w:val="36"/>
          <w:szCs w:val="36"/>
          <w:highlight w:val="none"/>
          <w:u w:val="single"/>
          <w:lang w:eastAsia="zh-CN"/>
          <w14:textFill>
            <w14:solidFill>
              <w14:schemeClr w14:val="tx1"/>
            </w14:solidFill>
          </w14:textFill>
        </w:rPr>
      </w:pPr>
      <w:r>
        <w:rPr>
          <w:rFonts w:hint="default" w:ascii="Times New Roman" w:hAnsi="Times New Roman" w:eastAsia="宋体" w:cs="Times New Roman"/>
          <w:color w:val="000000" w:themeColor="text1"/>
          <w:sz w:val="36"/>
          <w:szCs w:val="36"/>
          <w:highlight w:val="none"/>
          <w14:textFill>
            <w14:solidFill>
              <w14:schemeClr w14:val="tx1"/>
            </w14:solidFill>
          </w14:textFill>
        </w:rPr>
        <w:t>建设单位（盖章）：</w:t>
      </w:r>
      <w:r>
        <w:rPr>
          <w:rFonts w:hint="default" w:ascii="Times New Roman" w:hAnsi="Times New Roman" w:eastAsia="宋体" w:cs="Times New Roman"/>
          <w:color w:val="000000" w:themeColor="text1"/>
          <w:spacing w:val="-11"/>
          <w:sz w:val="36"/>
          <w:szCs w:val="36"/>
          <w:highlight w:val="none"/>
          <w:u w:val="single"/>
          <w:lang w:val="en-US" w:eastAsia="zh-CN"/>
          <w14:textFill>
            <w14:solidFill>
              <w14:schemeClr w14:val="tx1"/>
            </w14:solidFill>
          </w14:textFill>
        </w:rPr>
        <w:t xml:space="preserve"> </w:t>
      </w:r>
      <w:r>
        <w:rPr>
          <w:rFonts w:hint="eastAsia" w:cs="Times New Roman"/>
          <w:color w:val="000000" w:themeColor="text1"/>
          <w:spacing w:val="-11"/>
          <w:sz w:val="36"/>
          <w:szCs w:val="36"/>
          <w:highlight w:val="none"/>
          <w:u w:val="single"/>
          <w:lang w:eastAsia="zh-CN"/>
          <w14:textFill>
            <w14:solidFill>
              <w14:schemeClr w14:val="tx1"/>
            </w14:solidFill>
          </w14:textFill>
        </w:rPr>
        <w:t>辽宁华润本溪三药有限公司</w:t>
      </w:r>
      <w:r>
        <w:rPr>
          <w:rFonts w:hint="eastAsia" w:cs="Times New Roman"/>
          <w:color w:val="000000" w:themeColor="text1"/>
          <w:spacing w:val="-11"/>
          <w:sz w:val="36"/>
          <w:szCs w:val="36"/>
          <w:highlight w:val="none"/>
          <w:u w:val="single"/>
          <w:lang w:val="en-US" w:eastAsia="zh-CN"/>
          <w14:textFill>
            <w14:solidFill>
              <w14:schemeClr w14:val="tx1"/>
            </w14:solidFill>
          </w14:textFill>
        </w:rPr>
        <w:t xml:space="preserve"> </w:t>
      </w:r>
    </w:p>
    <w:p w14:paraId="7EE0007C">
      <w:pPr>
        <w:keepNext w:val="0"/>
        <w:keepLines w:val="0"/>
        <w:pageBreakBefore w:val="0"/>
        <w:widowControl w:val="0"/>
        <w:kinsoku/>
        <w:wordWrap/>
        <w:overflowPunct/>
        <w:topLinePunct w:val="0"/>
        <w:autoSpaceDE/>
        <w:autoSpaceDN/>
        <w:bidi w:val="0"/>
        <w:adjustRightInd w:val="0"/>
        <w:snapToGrid w:val="0"/>
        <w:spacing w:line="288" w:lineRule="auto"/>
        <w:ind w:left="735" w:leftChars="350"/>
        <w:textAlignment w:val="auto"/>
        <w:rPr>
          <w:rFonts w:hint="default" w:ascii="Times New Roman" w:hAnsi="Times New Roman" w:eastAsia="宋体" w:cs="Times New Roman"/>
          <w:color w:val="000000" w:themeColor="text1"/>
          <w:sz w:val="36"/>
          <w:szCs w:val="36"/>
          <w:highlight w:val="none"/>
          <w:u w:val="single"/>
          <w14:textFill>
            <w14:solidFill>
              <w14:schemeClr w14:val="tx1"/>
            </w14:solidFill>
          </w14:textFill>
        </w:rPr>
      </w:pPr>
      <w:r>
        <w:rPr>
          <w:rFonts w:hint="default" w:ascii="Times New Roman" w:hAnsi="Times New Roman" w:eastAsia="宋体" w:cs="Times New Roman"/>
          <w:color w:val="000000" w:themeColor="text1"/>
          <w:sz w:val="36"/>
          <w:szCs w:val="36"/>
          <w:highlight w:val="none"/>
          <w14:textFill>
            <w14:solidFill>
              <w14:schemeClr w14:val="tx1"/>
            </w14:solidFill>
          </w14:textFill>
        </w:rPr>
        <w:t>编制日期：</w:t>
      </w:r>
      <w:r>
        <w:rPr>
          <w:rFonts w:hint="default" w:ascii="Times New Roman" w:hAnsi="Times New Roman" w:eastAsia="宋体" w:cs="Times New Roman"/>
          <w:color w:val="000000" w:themeColor="text1"/>
          <w:sz w:val="36"/>
          <w:szCs w:val="36"/>
          <w:highlight w:val="none"/>
          <w:u w:val="single"/>
          <w14:textFill>
            <w14:solidFill>
              <w14:schemeClr w14:val="tx1"/>
            </w14:solidFill>
          </w14:textFill>
        </w:rPr>
        <w:t xml:space="preserve">         </w:t>
      </w:r>
      <w:r>
        <w:rPr>
          <w:rFonts w:hint="eastAsia" w:cs="Times New Roman"/>
          <w:color w:val="000000" w:themeColor="text1"/>
          <w:sz w:val="36"/>
          <w:szCs w:val="36"/>
          <w:highlight w:val="none"/>
          <w:u w:val="singl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36"/>
          <w:szCs w:val="36"/>
          <w:highlight w:val="none"/>
          <w:u w:val="single"/>
          <w14:textFill>
            <w14:solidFill>
              <w14:schemeClr w14:val="tx1"/>
            </w14:solidFill>
          </w14:textFill>
        </w:rPr>
        <w:t>202</w:t>
      </w:r>
      <w:r>
        <w:rPr>
          <w:rFonts w:hint="eastAsia" w:cs="Times New Roman"/>
          <w:color w:val="000000" w:themeColor="text1"/>
          <w:sz w:val="36"/>
          <w:szCs w:val="36"/>
          <w:highlight w:val="none"/>
          <w:u w:val="single"/>
          <w:lang w:val="en-US" w:eastAsia="zh-CN"/>
          <w14:textFill>
            <w14:solidFill>
              <w14:schemeClr w14:val="tx1"/>
            </w14:solidFill>
          </w14:textFill>
        </w:rPr>
        <w:t>6</w:t>
      </w:r>
      <w:r>
        <w:rPr>
          <w:rFonts w:hint="default" w:ascii="Times New Roman" w:hAnsi="Times New Roman" w:eastAsia="宋体" w:cs="Times New Roman"/>
          <w:color w:val="000000" w:themeColor="text1"/>
          <w:sz w:val="36"/>
          <w:szCs w:val="36"/>
          <w:highlight w:val="none"/>
          <w:u w:val="single"/>
          <w14:textFill>
            <w14:solidFill>
              <w14:schemeClr w14:val="tx1"/>
            </w14:solidFill>
          </w14:textFill>
        </w:rPr>
        <w:t>年</w:t>
      </w:r>
      <w:r>
        <w:rPr>
          <w:rFonts w:hint="eastAsia" w:cs="Times New Roman"/>
          <w:color w:val="000000" w:themeColor="text1"/>
          <w:sz w:val="36"/>
          <w:szCs w:val="36"/>
          <w:highlight w:val="none"/>
          <w:u w:val="single"/>
          <w:lang w:val="en-US" w:eastAsia="zh-CN"/>
          <w14:textFill>
            <w14:solidFill>
              <w14:schemeClr w14:val="tx1"/>
            </w14:solidFill>
          </w14:textFill>
        </w:rPr>
        <w:t>10</w:t>
      </w:r>
      <w:r>
        <w:rPr>
          <w:rFonts w:hint="default" w:ascii="Times New Roman" w:hAnsi="Times New Roman" w:eastAsia="宋体" w:cs="Times New Roman"/>
          <w:color w:val="000000" w:themeColor="text1"/>
          <w:sz w:val="36"/>
          <w:szCs w:val="36"/>
          <w:highlight w:val="none"/>
          <w:u w:val="single"/>
          <w14:textFill>
            <w14:solidFill>
              <w14:schemeClr w14:val="tx1"/>
            </w14:solidFill>
          </w14:textFill>
        </w:rPr>
        <w:t xml:space="preserve">月   </w:t>
      </w:r>
      <w:r>
        <w:rPr>
          <w:rFonts w:hint="eastAsia" w:cs="Times New Roman"/>
          <w:color w:val="000000" w:themeColor="text1"/>
          <w:sz w:val="36"/>
          <w:szCs w:val="36"/>
          <w:highlight w:val="none"/>
          <w:u w:val="single"/>
          <w:lang w:val="en-US" w:eastAsia="zh-CN"/>
          <w14:textFill>
            <w14:solidFill>
              <w14:schemeClr w14:val="tx1"/>
            </w14:solidFill>
          </w14:textFill>
        </w:rPr>
        <w:t xml:space="preserve">        </w:t>
      </w:r>
    </w:p>
    <w:p w14:paraId="205992A8">
      <w:pPr>
        <w:adjustRightInd w:val="0"/>
        <w:snapToGrid w:val="0"/>
        <w:spacing w:line="288" w:lineRule="auto"/>
        <w:ind w:firstLine="1040"/>
        <w:rPr>
          <w:rFonts w:ascii="仿宋_GB2312" w:eastAsia="仿宋_GB2312"/>
          <w:color w:val="000000" w:themeColor="text1"/>
          <w:sz w:val="36"/>
          <w:szCs w:val="36"/>
          <w:highlight w:val="none"/>
          <w:u w:val="single"/>
          <w14:textFill>
            <w14:solidFill>
              <w14:schemeClr w14:val="tx1"/>
            </w14:solidFill>
          </w14:textFill>
        </w:rPr>
      </w:pPr>
      <w:bookmarkStart w:id="0" w:name="_Hlk57884087"/>
    </w:p>
    <w:p w14:paraId="41683CA1">
      <w:pPr>
        <w:adjustRightInd w:val="0"/>
        <w:snapToGrid w:val="0"/>
        <w:spacing w:line="288" w:lineRule="auto"/>
        <w:ind w:firstLine="1040"/>
        <w:rPr>
          <w:rFonts w:hint="eastAsia" w:ascii="仿宋_GB2312" w:eastAsia="仿宋_GB2312"/>
          <w:color w:val="000000" w:themeColor="text1"/>
          <w:sz w:val="36"/>
          <w:szCs w:val="36"/>
          <w:highlight w:val="none"/>
          <w:lang w:eastAsia="zh-CN"/>
          <w14:textFill>
            <w14:solidFill>
              <w14:schemeClr w14:val="tx1"/>
            </w14:solidFill>
          </w14:textFill>
        </w:rPr>
      </w:pPr>
    </w:p>
    <w:p w14:paraId="49427436">
      <w:pPr>
        <w:adjustRightInd w:val="0"/>
        <w:snapToGrid w:val="0"/>
        <w:spacing w:line="288" w:lineRule="auto"/>
        <w:ind w:firstLine="1040"/>
        <w:rPr>
          <w:rFonts w:hint="eastAsia" w:ascii="仿宋_GB2312" w:eastAsia="仿宋_GB2312"/>
          <w:color w:val="000000" w:themeColor="text1"/>
          <w:sz w:val="36"/>
          <w:szCs w:val="36"/>
          <w:highlight w:val="none"/>
          <w14:textFill>
            <w14:solidFill>
              <w14:schemeClr w14:val="tx1"/>
            </w14:solidFill>
          </w14:textFill>
        </w:rPr>
      </w:pPr>
    </w:p>
    <w:bookmarkEnd w:id="0"/>
    <w:p w14:paraId="594C1913">
      <w:pPr>
        <w:adjustRightInd w:val="0"/>
        <w:snapToGrid w:val="0"/>
        <w:spacing w:line="288" w:lineRule="auto"/>
        <w:jc w:val="center"/>
        <w:rPr>
          <w:rFonts w:hint="eastAsia" w:ascii="楷体_GB2312" w:eastAsia="楷体_GB2312"/>
          <w:color w:val="000000" w:themeColor="text1"/>
          <w:sz w:val="36"/>
          <w:szCs w:val="36"/>
          <w:highlight w:val="none"/>
          <w:lang w:eastAsia="zh-CN"/>
          <w14:textFill>
            <w14:solidFill>
              <w14:schemeClr w14:val="tx1"/>
            </w14:solidFill>
          </w14:textFill>
        </w:rPr>
      </w:pPr>
      <w:r>
        <w:rPr>
          <w:rFonts w:hint="eastAsia" w:ascii="楷体_GB2312" w:eastAsia="楷体_GB2312"/>
          <w:color w:val="000000" w:themeColor="text1"/>
          <w:sz w:val="36"/>
          <w:szCs w:val="36"/>
          <w:highlight w:val="none"/>
          <w14:textFill>
            <w14:solidFill>
              <w14:schemeClr w14:val="tx1"/>
            </w14:solidFill>
          </w14:textFill>
        </w:rPr>
        <w:t>中华人民共和国生态环境部制</w:t>
      </w:r>
    </w:p>
    <w:p w14:paraId="306B52A7">
      <w:pPr>
        <w:adjustRightInd w:val="0"/>
        <w:snapToGrid w:val="0"/>
        <w:spacing w:line="288" w:lineRule="auto"/>
        <w:ind w:firstLine="1040"/>
        <w:rPr>
          <w:rFonts w:hint="eastAsia" w:ascii="仿宋_GB2312" w:eastAsia="仿宋_GB2312"/>
          <w:color w:val="000000" w:themeColor="text1"/>
          <w:sz w:val="36"/>
          <w:szCs w:val="36"/>
          <w:highlight w:val="none"/>
          <w:lang w:eastAsia="zh-CN"/>
          <w14:textFill>
            <w14:solidFill>
              <w14:schemeClr w14:val="tx1"/>
            </w14:solidFill>
          </w14:textFill>
        </w:rPr>
        <w:sectPr>
          <w:headerReference r:id="rId5" w:type="first"/>
          <w:footerReference r:id="rId8" w:type="first"/>
          <w:headerReference r:id="rId3" w:type="default"/>
          <w:footerReference r:id="rId6" w:type="default"/>
          <w:headerReference r:id="rId4" w:type="even"/>
          <w:footerReference r:id="rId7" w:type="even"/>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bookmarkStart w:id="9" w:name="_GoBack"/>
      <w:bookmarkEnd w:id="9"/>
    </w:p>
    <w:p w14:paraId="269EA25C">
      <w:pPr>
        <w:bidi w:val="0"/>
        <w:jc w:val="center"/>
        <w:rPr>
          <w:rFonts w:hint="eastAsia"/>
          <w:lang w:eastAsia="zh-CN"/>
        </w:rPr>
      </w:pPr>
      <w:r>
        <w:rPr>
          <w:rFonts w:hint="eastAsia" w:ascii="黑体" w:hAnsi="黑体" w:eastAsia="黑体"/>
          <w:snapToGrid w:val="0"/>
          <w:color w:val="000000" w:themeColor="text1"/>
          <w:sz w:val="30"/>
          <w:szCs w:val="30"/>
          <w:highlight w:val="none"/>
          <w:lang w:eastAsia="zh-CN"/>
          <w14:textFill>
            <w14:solidFill>
              <w14:schemeClr w14:val="tx1"/>
            </w14:solidFill>
          </w14:textFill>
        </w:rPr>
        <w:drawing>
          <wp:inline distT="0" distB="0" distL="114300" distR="114300">
            <wp:extent cx="5492750" cy="7766050"/>
            <wp:effectExtent l="0" t="0" r="12700" b="6350"/>
            <wp:docPr id="319" name="图片 319" descr="资质页-盖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图片 319" descr="资质页-盖章"/>
                    <pic:cNvPicPr>
                      <a:picLocks noChangeAspect="1"/>
                    </pic:cNvPicPr>
                  </pic:nvPicPr>
                  <pic:blipFill>
                    <a:blip r:embed="rId15"/>
                    <a:stretch>
                      <a:fillRect/>
                    </a:stretch>
                  </pic:blipFill>
                  <pic:spPr>
                    <a:xfrm>
                      <a:off x="0" y="0"/>
                      <a:ext cx="5492750" cy="7766050"/>
                    </a:xfrm>
                    <a:prstGeom prst="rect">
                      <a:avLst/>
                    </a:prstGeom>
                  </pic:spPr>
                </pic:pic>
              </a:graphicData>
            </a:graphic>
          </wp:inline>
        </w:drawing>
      </w:r>
    </w:p>
    <w:p w14:paraId="5AC08C5F">
      <w:pPr>
        <w:pStyle w:val="8"/>
        <w:pageBreakBefore/>
        <w:jc w:val="center"/>
        <w:outlineLvl w:val="0"/>
        <w:rPr>
          <w:rFonts w:hint="eastAsia" w:ascii="黑体" w:hAnsi="黑体" w:eastAsia="黑体"/>
          <w:snapToGrid w:val="0"/>
          <w:color w:val="000000" w:themeColor="text1"/>
          <w:sz w:val="30"/>
          <w:szCs w:val="30"/>
          <w:highlight w:val="none"/>
          <w:lang w:eastAsia="zh-CN"/>
          <w14:textFill>
            <w14:solidFill>
              <w14:schemeClr w14:val="tx1"/>
            </w14:solidFill>
          </w14:textFill>
        </w:rPr>
        <w:sectPr>
          <w:footerReference r:id="rId9" w:type="default"/>
          <w:pgSz w:w="11906" w:h="16838"/>
          <w:pgMar w:top="1701" w:right="1531" w:bottom="1701" w:left="1531" w:header="851" w:footer="992" w:gutter="0"/>
          <w:pgBorders>
            <w:top w:val="none" w:sz="0" w:space="0"/>
            <w:left w:val="none" w:sz="0" w:space="0"/>
            <w:bottom w:val="none" w:sz="0" w:space="0"/>
            <w:right w:val="none" w:sz="0" w:space="0"/>
          </w:pgBorders>
          <w:pgNumType w:fmt="numberInDash" w:start="1"/>
          <w:cols w:space="425" w:num="1"/>
          <w:docGrid w:type="lines" w:linePitch="312" w:charSpace="0"/>
        </w:sectPr>
      </w:pPr>
    </w:p>
    <w:p w14:paraId="4E9EA4A0">
      <w:pPr>
        <w:pStyle w:val="8"/>
        <w:pageBreakBefore/>
        <w:jc w:val="center"/>
        <w:outlineLvl w:val="0"/>
        <w:rPr>
          <w:rFonts w:ascii="黑体" w:hAnsi="黑体" w:eastAsia="黑体"/>
          <w:snapToGrid w:val="0"/>
          <w:color w:val="000000" w:themeColor="text1"/>
          <w:sz w:val="30"/>
          <w:szCs w:val="30"/>
          <w:highlight w:val="none"/>
          <w14:textFill>
            <w14:solidFill>
              <w14:schemeClr w14:val="tx1"/>
            </w14:solidFill>
          </w14:textFill>
        </w:rPr>
      </w:pPr>
      <w:r>
        <w:rPr>
          <w:rFonts w:hint="eastAsia" w:ascii="黑体" w:hAnsi="黑体" w:eastAsia="黑体"/>
          <w:snapToGrid w:val="0"/>
          <w:color w:val="000000" w:themeColor="text1"/>
          <w:sz w:val="30"/>
          <w:szCs w:val="30"/>
          <w:highlight w:val="none"/>
          <w14:textFill>
            <w14:solidFill>
              <w14:schemeClr w14:val="tx1"/>
            </w14:solidFill>
          </w14:textFill>
        </w:rPr>
        <w:t>一、建设项目基本情况</w:t>
      </w:r>
    </w:p>
    <w:tbl>
      <w:tblPr>
        <w:tblStyle w:val="35"/>
        <w:tblW w:w="865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984"/>
        <w:gridCol w:w="2489"/>
        <w:gridCol w:w="1867"/>
        <w:gridCol w:w="3314"/>
      </w:tblGrid>
      <w:tr w14:paraId="06EBC2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984" w:type="dxa"/>
            <w:tcMar>
              <w:top w:w="16" w:type="dxa"/>
              <w:left w:w="16" w:type="dxa"/>
              <w:right w:w="16" w:type="dxa"/>
            </w:tcMar>
            <w:vAlign w:val="center"/>
          </w:tcPr>
          <w:p w14:paraId="0595B58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建设项目名称</w:t>
            </w:r>
          </w:p>
        </w:tc>
        <w:tc>
          <w:tcPr>
            <w:tcW w:w="7670" w:type="dxa"/>
            <w:gridSpan w:val="3"/>
            <w:vAlign w:val="center"/>
          </w:tcPr>
          <w:p w14:paraId="4A8B0AD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辽宁华润本溪三药有限公司改扩建项目</w:t>
            </w:r>
          </w:p>
        </w:tc>
      </w:tr>
      <w:tr w14:paraId="21C0D2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984" w:type="dxa"/>
            <w:tcMar>
              <w:top w:w="16" w:type="dxa"/>
              <w:left w:w="16" w:type="dxa"/>
              <w:right w:w="16" w:type="dxa"/>
            </w:tcMar>
            <w:vAlign w:val="center"/>
          </w:tcPr>
          <w:p w14:paraId="60E3725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项目代码</w:t>
            </w:r>
          </w:p>
        </w:tc>
        <w:tc>
          <w:tcPr>
            <w:tcW w:w="7670" w:type="dxa"/>
            <w:gridSpan w:val="3"/>
            <w:vAlign w:val="center"/>
          </w:tcPr>
          <w:p w14:paraId="4BC3C94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w:t>
            </w:r>
          </w:p>
        </w:tc>
      </w:tr>
      <w:tr w14:paraId="2AB948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4" w:hRule="atLeast"/>
          <w:jc w:val="center"/>
        </w:trPr>
        <w:tc>
          <w:tcPr>
            <w:tcW w:w="984" w:type="dxa"/>
            <w:tcMar>
              <w:top w:w="16" w:type="dxa"/>
              <w:left w:w="16" w:type="dxa"/>
              <w:right w:w="16" w:type="dxa"/>
            </w:tcMar>
            <w:vAlign w:val="center"/>
          </w:tcPr>
          <w:p w14:paraId="41EAB80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建设单位联系人</w:t>
            </w:r>
          </w:p>
        </w:tc>
        <w:tc>
          <w:tcPr>
            <w:tcW w:w="2489" w:type="dxa"/>
            <w:vAlign w:val="center"/>
          </w:tcPr>
          <w:p w14:paraId="46267BF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房彦池</w:t>
            </w:r>
          </w:p>
        </w:tc>
        <w:tc>
          <w:tcPr>
            <w:tcW w:w="1867" w:type="dxa"/>
            <w:vAlign w:val="center"/>
          </w:tcPr>
          <w:p w14:paraId="2CD89F8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联系方式</w:t>
            </w:r>
          </w:p>
        </w:tc>
        <w:tc>
          <w:tcPr>
            <w:tcW w:w="3314" w:type="dxa"/>
            <w:vAlign w:val="center"/>
          </w:tcPr>
          <w:p w14:paraId="4ACBA02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13942401583</w:t>
            </w:r>
          </w:p>
        </w:tc>
      </w:tr>
      <w:tr w14:paraId="013DFD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984" w:type="dxa"/>
            <w:tcMar>
              <w:top w:w="16" w:type="dxa"/>
              <w:left w:w="16" w:type="dxa"/>
              <w:right w:w="16" w:type="dxa"/>
            </w:tcMar>
            <w:vAlign w:val="center"/>
          </w:tcPr>
          <w:p w14:paraId="7169988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建设地点</w:t>
            </w:r>
          </w:p>
        </w:tc>
        <w:tc>
          <w:tcPr>
            <w:tcW w:w="7670" w:type="dxa"/>
            <w:gridSpan w:val="3"/>
            <w:vAlign w:val="center"/>
          </w:tcPr>
          <w:p w14:paraId="6D41FC9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辽宁省本溪经济技术开发区医药园区</w:t>
            </w:r>
          </w:p>
        </w:tc>
      </w:tr>
      <w:tr w14:paraId="7237C0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984" w:type="dxa"/>
            <w:tcMar>
              <w:top w:w="16" w:type="dxa"/>
              <w:left w:w="16" w:type="dxa"/>
              <w:right w:w="16" w:type="dxa"/>
            </w:tcMar>
            <w:vAlign w:val="center"/>
          </w:tcPr>
          <w:p w14:paraId="18A02FA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地理坐标</w:t>
            </w:r>
          </w:p>
        </w:tc>
        <w:tc>
          <w:tcPr>
            <w:tcW w:w="7670" w:type="dxa"/>
            <w:gridSpan w:val="3"/>
            <w:vAlign w:val="center"/>
          </w:tcPr>
          <w:p w14:paraId="170D987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123°</w:t>
            </w:r>
            <w:r>
              <w:rPr>
                <w:rFonts w:hint="eastAsia" w:cs="Times New Roman"/>
                <w:color w:val="000000" w:themeColor="text1"/>
                <w:sz w:val="24"/>
                <w:szCs w:val="24"/>
                <w:highlight w:val="none"/>
                <w:lang w:val="en-US" w:eastAsia="zh-CN"/>
                <w14:textFill>
                  <w14:solidFill>
                    <w14:schemeClr w14:val="tx1"/>
                  </w14:solidFill>
                </w14:textFill>
              </w:rPr>
              <w:t>43</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13.653</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″，41°</w:t>
            </w:r>
            <w:r>
              <w:rPr>
                <w:rFonts w:hint="eastAsia" w:cs="Times New Roman"/>
                <w:color w:val="000000" w:themeColor="text1"/>
                <w:sz w:val="24"/>
                <w:szCs w:val="24"/>
                <w:highlight w:val="none"/>
                <w:lang w:val="en-US" w:eastAsia="zh-CN"/>
                <w14:textFill>
                  <w14:solidFill>
                    <w14:schemeClr w14:val="tx1"/>
                  </w14:solidFill>
                </w14:textFill>
              </w:rPr>
              <w:t>27</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49.825</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p>
        </w:tc>
      </w:tr>
      <w:tr w14:paraId="4AFD35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32" w:hRule="atLeast"/>
          <w:jc w:val="center"/>
        </w:trPr>
        <w:tc>
          <w:tcPr>
            <w:tcW w:w="984" w:type="dxa"/>
            <w:tcMar>
              <w:top w:w="16" w:type="dxa"/>
              <w:left w:w="16" w:type="dxa"/>
              <w:right w:w="16" w:type="dxa"/>
            </w:tcMar>
            <w:vAlign w:val="center"/>
          </w:tcPr>
          <w:p w14:paraId="302E05D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国民经济行业类别</w:t>
            </w:r>
          </w:p>
        </w:tc>
        <w:tc>
          <w:tcPr>
            <w:tcW w:w="2489" w:type="dxa"/>
            <w:vAlign w:val="center"/>
          </w:tcPr>
          <w:p w14:paraId="714E539F">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C2740中成药生产</w:t>
            </w:r>
          </w:p>
        </w:tc>
        <w:tc>
          <w:tcPr>
            <w:tcW w:w="1867" w:type="dxa"/>
            <w:vAlign w:val="center"/>
          </w:tcPr>
          <w:p w14:paraId="2DB39B1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4"/>
                <w:szCs w:val="24"/>
                <w:highlight w:val="none"/>
                <w14:textFill>
                  <w14:solidFill>
                    <w14:schemeClr w14:val="tx1"/>
                  </w14:solidFill>
                </w14:textFill>
              </w:rPr>
            </w:pPr>
            <w:bookmarkStart w:id="1" w:name="_Hlk49843745"/>
            <w:r>
              <w:rPr>
                <w:rFonts w:hint="default" w:ascii="Times New Roman" w:hAnsi="Times New Roman" w:cs="Times New Roman"/>
                <w:color w:val="000000" w:themeColor="text1"/>
                <w:sz w:val="24"/>
                <w:szCs w:val="24"/>
                <w:highlight w:val="none"/>
                <w14:textFill>
                  <w14:solidFill>
                    <w14:schemeClr w14:val="tx1"/>
                  </w14:solidFill>
                </w14:textFill>
              </w:rPr>
              <w:t>建设项目</w:t>
            </w:r>
          </w:p>
          <w:p w14:paraId="67F95A6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行业类别</w:t>
            </w:r>
            <w:bookmarkEnd w:id="1"/>
          </w:p>
        </w:tc>
        <w:tc>
          <w:tcPr>
            <w:tcW w:w="3314" w:type="dxa"/>
            <w:vAlign w:val="center"/>
          </w:tcPr>
          <w:p w14:paraId="34E71205">
            <w:pPr>
              <w:pStyle w:val="11"/>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二十四、医药制造业27-48中成药生产274-其他</w:t>
            </w:r>
          </w:p>
        </w:tc>
      </w:tr>
      <w:tr w14:paraId="6D56B6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984" w:type="dxa"/>
            <w:tcMar>
              <w:top w:w="16" w:type="dxa"/>
              <w:left w:w="16" w:type="dxa"/>
              <w:right w:w="16" w:type="dxa"/>
            </w:tcMar>
            <w:vAlign w:val="center"/>
          </w:tcPr>
          <w:p w14:paraId="519E5AC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建设性质</w:t>
            </w:r>
          </w:p>
        </w:tc>
        <w:tc>
          <w:tcPr>
            <w:tcW w:w="2489" w:type="dxa"/>
            <w:vAlign w:val="center"/>
          </w:tcPr>
          <w:p w14:paraId="44BE0633">
            <w:pPr>
              <w:keepNext w:val="0"/>
              <w:keepLines w:val="0"/>
              <w:suppressLineNumbers w:val="0"/>
              <w:spacing w:before="0" w:beforeAutospacing="0" w:after="0" w:afterAutospacing="0"/>
              <w:ind w:left="0" w:right="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新建（迁建）</w:t>
            </w:r>
          </w:p>
          <w:p w14:paraId="70B03594">
            <w:pPr>
              <w:keepNext w:val="0"/>
              <w:keepLines w:val="0"/>
              <w:suppressLineNumbers w:val="0"/>
              <w:spacing w:before="0" w:beforeAutospacing="0" w:after="0" w:afterAutospacing="0"/>
              <w:ind w:left="0" w:right="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改建</w:t>
            </w:r>
          </w:p>
          <w:p w14:paraId="03E4F1D8">
            <w:pPr>
              <w:keepNext w:val="0"/>
              <w:keepLines w:val="0"/>
              <w:suppressLineNumbers w:val="0"/>
              <w:spacing w:before="0" w:beforeAutospacing="0" w:after="0" w:afterAutospacing="0"/>
              <w:ind w:left="0" w:right="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扩建</w:t>
            </w:r>
          </w:p>
          <w:p w14:paraId="1DA611E0">
            <w:pPr>
              <w:keepNext w:val="0"/>
              <w:keepLines w:val="0"/>
              <w:suppressLineNumbers w:val="0"/>
              <w:spacing w:before="0" w:beforeAutospacing="0" w:after="0" w:afterAutospacing="0"/>
              <w:ind w:left="0" w:right="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技术改造</w:t>
            </w:r>
          </w:p>
        </w:tc>
        <w:tc>
          <w:tcPr>
            <w:tcW w:w="1867" w:type="dxa"/>
            <w:vAlign w:val="center"/>
          </w:tcPr>
          <w:p w14:paraId="5C2DFEB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建设项目</w:t>
            </w:r>
          </w:p>
          <w:p w14:paraId="14BE178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申报情形</w:t>
            </w:r>
          </w:p>
        </w:tc>
        <w:tc>
          <w:tcPr>
            <w:tcW w:w="3314" w:type="dxa"/>
            <w:vAlign w:val="center"/>
          </w:tcPr>
          <w:p w14:paraId="72C9EB3C">
            <w:pPr>
              <w:keepNext w:val="0"/>
              <w:keepLines w:val="0"/>
              <w:suppressLineNumbers w:val="0"/>
              <w:spacing w:before="0" w:beforeAutospacing="0" w:after="0" w:afterAutospacing="0"/>
              <w:ind w:left="0" w:right="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 xml:space="preserve">首次申报项目             </w:t>
            </w:r>
          </w:p>
          <w:p w14:paraId="61CCB280">
            <w:pPr>
              <w:keepNext w:val="0"/>
              <w:keepLines w:val="0"/>
              <w:suppressLineNumbers w:val="0"/>
              <w:spacing w:before="0" w:beforeAutospacing="0" w:after="0" w:afterAutospacing="0"/>
              <w:ind w:left="0" w:right="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不予批准后再次申报项目</w:t>
            </w:r>
          </w:p>
          <w:p w14:paraId="25DD688F">
            <w:pPr>
              <w:keepNext w:val="0"/>
              <w:keepLines w:val="0"/>
              <w:suppressLineNumbers w:val="0"/>
              <w:spacing w:before="0" w:beforeAutospacing="0" w:after="0" w:afterAutospacing="0"/>
              <w:ind w:left="0" w:right="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 xml:space="preserve">超五年重新审核项目     </w:t>
            </w:r>
          </w:p>
          <w:p w14:paraId="4865C7E8">
            <w:pPr>
              <w:keepNext w:val="0"/>
              <w:keepLines w:val="0"/>
              <w:suppressLineNumbers w:val="0"/>
              <w:spacing w:before="0" w:beforeAutospacing="0" w:after="0" w:afterAutospacing="0"/>
              <w:ind w:left="0" w:right="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重大变动重新报批项目</w:t>
            </w:r>
          </w:p>
        </w:tc>
      </w:tr>
      <w:tr w14:paraId="02B3AD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84" w:type="dxa"/>
            <w:tcMar>
              <w:top w:w="16" w:type="dxa"/>
              <w:left w:w="16" w:type="dxa"/>
              <w:right w:w="16" w:type="dxa"/>
            </w:tcMar>
            <w:vAlign w:val="center"/>
          </w:tcPr>
          <w:p w14:paraId="2074A64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项目审批（核准/备案）部门（选填）</w:t>
            </w:r>
          </w:p>
        </w:tc>
        <w:tc>
          <w:tcPr>
            <w:tcW w:w="2489" w:type="dxa"/>
            <w:vAlign w:val="center"/>
          </w:tcPr>
          <w:p w14:paraId="52C44E0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w:t>
            </w:r>
          </w:p>
        </w:tc>
        <w:tc>
          <w:tcPr>
            <w:tcW w:w="1867" w:type="dxa"/>
            <w:vAlign w:val="center"/>
          </w:tcPr>
          <w:p w14:paraId="2C32F6C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项目审批（核准/</w:t>
            </w:r>
          </w:p>
          <w:p w14:paraId="5F8CAD0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备案）文号（选填）</w:t>
            </w:r>
          </w:p>
        </w:tc>
        <w:tc>
          <w:tcPr>
            <w:tcW w:w="3314" w:type="dxa"/>
            <w:vAlign w:val="center"/>
          </w:tcPr>
          <w:p w14:paraId="0CE0EEE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w:t>
            </w:r>
          </w:p>
        </w:tc>
      </w:tr>
      <w:tr w14:paraId="0E2996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84" w:type="dxa"/>
            <w:tcMar>
              <w:top w:w="16" w:type="dxa"/>
              <w:left w:w="16" w:type="dxa"/>
              <w:right w:w="16" w:type="dxa"/>
            </w:tcMar>
            <w:vAlign w:val="center"/>
          </w:tcPr>
          <w:p w14:paraId="2882A11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总投资（万元）</w:t>
            </w:r>
          </w:p>
        </w:tc>
        <w:tc>
          <w:tcPr>
            <w:tcW w:w="2489" w:type="dxa"/>
            <w:vAlign w:val="center"/>
          </w:tcPr>
          <w:p w14:paraId="249C9A0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193.5</w:t>
            </w:r>
          </w:p>
        </w:tc>
        <w:tc>
          <w:tcPr>
            <w:tcW w:w="1867" w:type="dxa"/>
            <w:tcMar>
              <w:top w:w="16" w:type="dxa"/>
              <w:left w:w="16" w:type="dxa"/>
              <w:right w:w="16" w:type="dxa"/>
            </w:tcMar>
            <w:vAlign w:val="center"/>
          </w:tcPr>
          <w:p w14:paraId="67171B5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环保投资（万元）</w:t>
            </w:r>
          </w:p>
        </w:tc>
        <w:tc>
          <w:tcPr>
            <w:tcW w:w="3314" w:type="dxa"/>
            <w:vAlign w:val="center"/>
          </w:tcPr>
          <w:p w14:paraId="3F58396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19.2</w:t>
            </w:r>
          </w:p>
        </w:tc>
      </w:tr>
      <w:tr w14:paraId="2013CF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84" w:type="dxa"/>
            <w:tcMar>
              <w:top w:w="16" w:type="dxa"/>
              <w:left w:w="16" w:type="dxa"/>
              <w:right w:w="16" w:type="dxa"/>
            </w:tcMar>
            <w:vAlign w:val="center"/>
          </w:tcPr>
          <w:p w14:paraId="603CF2B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环保投资占比（%）</w:t>
            </w:r>
          </w:p>
        </w:tc>
        <w:tc>
          <w:tcPr>
            <w:tcW w:w="2489" w:type="dxa"/>
            <w:vAlign w:val="center"/>
          </w:tcPr>
          <w:p w14:paraId="1BB5843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9.92</w:t>
            </w:r>
          </w:p>
        </w:tc>
        <w:tc>
          <w:tcPr>
            <w:tcW w:w="1867" w:type="dxa"/>
            <w:tcMar>
              <w:top w:w="16" w:type="dxa"/>
              <w:left w:w="16" w:type="dxa"/>
              <w:right w:w="16" w:type="dxa"/>
            </w:tcMar>
            <w:vAlign w:val="center"/>
          </w:tcPr>
          <w:p w14:paraId="50231CD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施工工期</w:t>
            </w:r>
          </w:p>
        </w:tc>
        <w:tc>
          <w:tcPr>
            <w:tcW w:w="3314" w:type="dxa"/>
            <w:vAlign w:val="center"/>
          </w:tcPr>
          <w:p w14:paraId="1E48F3C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个月</w:t>
            </w:r>
          </w:p>
        </w:tc>
      </w:tr>
      <w:tr w14:paraId="0497CB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984" w:type="dxa"/>
            <w:tcMar>
              <w:top w:w="16" w:type="dxa"/>
              <w:left w:w="16" w:type="dxa"/>
              <w:right w:w="16" w:type="dxa"/>
            </w:tcMar>
            <w:vAlign w:val="center"/>
          </w:tcPr>
          <w:p w14:paraId="1084585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是否开工建设</w:t>
            </w:r>
          </w:p>
        </w:tc>
        <w:tc>
          <w:tcPr>
            <w:tcW w:w="2489" w:type="dxa"/>
            <w:vAlign w:val="center"/>
          </w:tcPr>
          <w:p w14:paraId="54932F78">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否</w:t>
            </w:r>
          </w:p>
          <w:p w14:paraId="751816FF">
            <w:pPr>
              <w:keepNext w:val="0"/>
              <w:keepLines w:val="0"/>
              <w:suppressLineNumbers w:val="0"/>
              <w:adjustRightInd w:val="0"/>
              <w:snapToGrid w:val="0"/>
              <w:spacing w:before="0" w:beforeAutospacing="0" w:after="0" w:afterAutospacing="0"/>
              <w:ind w:left="0" w:right="0"/>
              <w:rPr>
                <w:rFonts w:hint="default" w:ascii="Times New Roman" w:hAnsi="Times New Roman" w:cs="Times New Roman"/>
                <w:color w:val="000000" w:themeColor="text1"/>
                <w:sz w:val="24"/>
                <w:szCs w:val="24"/>
                <w:highlight w:val="none"/>
                <w14:textFill>
                  <w14:solidFill>
                    <w14:schemeClr w14:val="tx1"/>
                  </w14:solidFill>
                </w14:textFill>
              </w:rPr>
            </w:pPr>
            <w:r>
              <w:rPr>
                <w:rFonts w:hint="eastAsia" w:cs="Times New Roman"/>
                <w:b/>
                <w:bCs/>
                <w:color w:val="000000" w:themeColor="text1"/>
                <w:sz w:val="24"/>
                <w:szCs w:val="24"/>
                <w:highlight w:val="none"/>
                <w:lang w:eastAsia="zh-CN"/>
                <w14:textFill>
                  <w14:solidFill>
                    <w14:schemeClr w14:val="tx1"/>
                  </w14:solidFill>
                </w14:textFill>
              </w:rPr>
              <w:t>□</w:t>
            </w:r>
            <w:r>
              <w:rPr>
                <w:rFonts w:hint="default" w:ascii="Times New Roman" w:hAnsi="Times New Roman" w:cs="Times New Roman"/>
                <w:b/>
                <w:bCs/>
                <w:color w:val="000000" w:themeColor="text1"/>
                <w:sz w:val="24"/>
                <w:szCs w:val="24"/>
                <w:highlight w:val="none"/>
                <w14:textFill>
                  <w14:solidFill>
                    <w14:schemeClr w14:val="tx1"/>
                  </w14:solidFill>
                </w14:textFill>
              </w:rPr>
              <w:fldChar w:fldCharType="begin"/>
            </w:r>
            <w:r>
              <w:rPr>
                <w:rFonts w:hint="default" w:ascii="Times New Roman" w:hAnsi="Times New Roman" w:cs="Times New Roman"/>
                <w:b/>
                <w:bCs/>
                <w:color w:val="000000" w:themeColor="text1"/>
                <w:sz w:val="24"/>
                <w:szCs w:val="24"/>
                <w:highlight w:val="none"/>
                <w14:textFill>
                  <w14:solidFill>
                    <w14:schemeClr w14:val="tx1"/>
                  </w14:solidFill>
                </w14:textFill>
              </w:rPr>
              <w:sym w:font="Wingdings 2" w:char="00A3"/>
            </w:r>
            <w:r>
              <w:rPr>
                <w:rFonts w:hint="default" w:ascii="Times New Roman" w:hAnsi="Times New Roman" w:cs="Times New Roman"/>
                <w:b/>
                <w:bCs/>
                <w:color w:val="000000" w:themeColor="text1"/>
                <w:sz w:val="24"/>
                <w:szCs w:val="24"/>
                <w:highlight w:val="none"/>
                <w14:textFill>
                  <w14:solidFill>
                    <w14:schemeClr w14:val="tx1"/>
                  </w14:solidFill>
                </w14:textFill>
              </w:rPr>
              <w:fldChar w:fldCharType="end"/>
            </w:r>
            <w:r>
              <w:rPr>
                <w:rFonts w:hint="default" w:ascii="Times New Roman" w:hAnsi="Times New Roman" w:cs="Times New Roman"/>
                <w:color w:val="000000" w:themeColor="text1"/>
                <w:sz w:val="24"/>
                <w:szCs w:val="24"/>
                <w:highlight w:val="none"/>
                <w14:textFill>
                  <w14:solidFill>
                    <w14:schemeClr w14:val="tx1"/>
                  </w14:solidFill>
                </w14:textFill>
              </w:rPr>
              <w:t>是：</w:t>
            </w:r>
            <w:r>
              <w:rPr>
                <w:rFonts w:hint="default" w:ascii="Times New Roman" w:hAnsi="Times New Roman" w:cs="Times New Roman"/>
                <w:color w:val="000000" w:themeColor="text1"/>
                <w:sz w:val="24"/>
                <w:szCs w:val="24"/>
                <w:highlight w:val="none"/>
                <w:u w:val="single"/>
                <w14:textFill>
                  <w14:solidFill>
                    <w14:schemeClr w14:val="tx1"/>
                  </w14:solidFill>
                </w14:textFill>
              </w:rPr>
              <w:t xml:space="preserve"> </w:t>
            </w:r>
            <w:r>
              <w:rPr>
                <w:rFonts w:hint="eastAsia" w:cs="Times New Roman"/>
                <w:color w:val="000000" w:themeColor="text1"/>
                <w:sz w:val="24"/>
                <w:szCs w:val="24"/>
                <w:highlight w:val="none"/>
                <w:u w:val="single"/>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highlight w:val="none"/>
                <w:u w:val="single"/>
                <w:lang w:val="en-US" w:eastAsia="zh-CN"/>
                <w14:textFill>
                  <w14:solidFill>
                    <w14:schemeClr w14:val="tx1"/>
                  </w14:solidFill>
                </w14:textFill>
              </w:rPr>
              <w:t xml:space="preserve"> </w:t>
            </w:r>
          </w:p>
        </w:tc>
        <w:tc>
          <w:tcPr>
            <w:tcW w:w="1867" w:type="dxa"/>
            <w:tcMar>
              <w:top w:w="16" w:type="dxa"/>
              <w:left w:w="16" w:type="dxa"/>
              <w:right w:w="16" w:type="dxa"/>
            </w:tcMar>
            <w:vAlign w:val="center"/>
          </w:tcPr>
          <w:p w14:paraId="169C775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pacing w:val="-6"/>
                <w:sz w:val="24"/>
                <w:szCs w:val="24"/>
                <w:highlight w:val="none"/>
                <w14:textFill>
                  <w14:solidFill>
                    <w14:schemeClr w14:val="tx1"/>
                  </w14:solidFill>
                </w14:textFill>
              </w:rPr>
            </w:pPr>
            <w:r>
              <w:rPr>
                <w:rFonts w:hint="default" w:ascii="Times New Roman" w:hAnsi="Times New Roman" w:cs="Times New Roman"/>
                <w:color w:val="000000" w:themeColor="text1"/>
                <w:spacing w:val="-6"/>
                <w:sz w:val="24"/>
                <w:szCs w:val="24"/>
                <w:highlight w:val="none"/>
                <w14:textFill>
                  <w14:solidFill>
                    <w14:schemeClr w14:val="tx1"/>
                  </w14:solidFill>
                </w14:textFill>
              </w:rPr>
              <w:t>用地（用海）</w:t>
            </w:r>
          </w:p>
          <w:p w14:paraId="4E61E41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pacing w:val="-6"/>
                <w:sz w:val="24"/>
                <w:szCs w:val="24"/>
                <w:highlight w:val="none"/>
                <w14:textFill>
                  <w14:solidFill>
                    <w14:schemeClr w14:val="tx1"/>
                  </w14:solidFill>
                </w14:textFill>
              </w:rPr>
              <w:t>面积（m</w:t>
            </w:r>
            <w:r>
              <w:rPr>
                <w:rFonts w:hint="default" w:ascii="Times New Roman" w:hAnsi="Times New Roman" w:cs="Times New Roman"/>
                <w:strike w:val="0"/>
                <w:dstrike w:val="0"/>
                <w:color w:val="000000" w:themeColor="text1"/>
                <w:spacing w:val="-6"/>
                <w:sz w:val="24"/>
                <w:szCs w:val="24"/>
                <w:highlight w:val="none"/>
                <w:u w:val="none"/>
                <w:shd w:val="clear" w:fill="auto"/>
                <w:vertAlign w:val="superscript"/>
                <w:lang w:eastAsia="zh-CN"/>
                <w14:textFill>
                  <w14:solidFill>
                    <w14:schemeClr w14:val="tx1"/>
                  </w14:solidFill>
                </w14:textFill>
              </w:rPr>
              <w:t>²</w:t>
            </w:r>
            <w:r>
              <w:rPr>
                <w:rFonts w:hint="default" w:ascii="Times New Roman" w:hAnsi="Times New Roman" w:cs="Times New Roman"/>
                <w:color w:val="000000" w:themeColor="text1"/>
                <w:spacing w:val="-6"/>
                <w:sz w:val="24"/>
                <w:szCs w:val="24"/>
                <w:highlight w:val="none"/>
                <w14:textFill>
                  <w14:solidFill>
                    <w14:schemeClr w14:val="tx1"/>
                  </w14:solidFill>
                </w14:textFill>
              </w:rPr>
              <w:t>）</w:t>
            </w:r>
          </w:p>
        </w:tc>
        <w:tc>
          <w:tcPr>
            <w:tcW w:w="3314" w:type="dxa"/>
            <w:vAlign w:val="center"/>
          </w:tcPr>
          <w:p w14:paraId="044A825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14100</w:t>
            </w:r>
          </w:p>
        </w:tc>
      </w:tr>
      <w:tr w14:paraId="4B41D4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984" w:type="dxa"/>
            <w:vAlign w:val="center"/>
          </w:tcPr>
          <w:p w14:paraId="4A2FDD0E">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专项评价设置情况</w:t>
            </w:r>
          </w:p>
        </w:tc>
        <w:tc>
          <w:tcPr>
            <w:tcW w:w="7670" w:type="dxa"/>
            <w:gridSpan w:val="3"/>
            <w:vAlign w:val="center"/>
          </w:tcPr>
          <w:p w14:paraId="3A337091">
            <w:pPr>
              <w:keepNext w:val="0"/>
              <w:keepLines w:val="0"/>
              <w:numPr>
                <w:ilvl w:val="0"/>
                <w:numId w:val="2"/>
              </w:numPr>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专题评价设置情况明细表</w:t>
            </w:r>
          </w:p>
          <w:tbl>
            <w:tblPr>
              <w:tblStyle w:val="36"/>
              <w:tblW w:w="4995" w:type="pct"/>
              <w:tblInd w:w="0" w:type="dxa"/>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49"/>
              <w:gridCol w:w="2933"/>
              <w:gridCol w:w="2844"/>
              <w:gridCol w:w="821"/>
            </w:tblGrid>
            <w:tr w14:paraId="5355500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0" w:type="pct"/>
                  <w:tcBorders>
                    <w:tl2br w:val="nil"/>
                    <w:tr2bl w:val="nil"/>
                  </w:tcBorders>
                  <w:noWrap w:val="0"/>
                  <w:vAlign w:val="center"/>
                </w:tcPr>
                <w:p w14:paraId="24233C2C">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类别</w:t>
                  </w:r>
                </w:p>
              </w:tc>
              <w:tc>
                <w:tcPr>
                  <w:tcW w:w="1969" w:type="pct"/>
                  <w:tcBorders>
                    <w:tl2br w:val="nil"/>
                    <w:tr2bl w:val="nil"/>
                  </w:tcBorders>
                  <w:noWrap w:val="0"/>
                  <w:vAlign w:val="center"/>
                </w:tcPr>
                <w:p w14:paraId="16D67D67">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设置原则</w:t>
                  </w:r>
                </w:p>
              </w:tc>
              <w:tc>
                <w:tcPr>
                  <w:tcW w:w="1909" w:type="pct"/>
                  <w:tcBorders>
                    <w:tl2br w:val="nil"/>
                    <w:tr2bl w:val="nil"/>
                  </w:tcBorders>
                  <w:noWrap w:val="0"/>
                  <w:vAlign w:val="center"/>
                </w:tcPr>
                <w:p w14:paraId="4DC001AD">
                  <w:pPr>
                    <w:pStyle w:val="58"/>
                    <w:keepNext w:val="0"/>
                    <w:keepLines w:val="0"/>
                    <w:pageBreakBefore w:val="0"/>
                    <w:widowControl/>
                    <w:suppressLineNumbers w:val="0"/>
                    <w:kinsoku/>
                    <w:wordWrap/>
                    <w:overflowPunct/>
                    <w:topLinePunct w:val="0"/>
                    <w:autoSpaceDE/>
                    <w:autoSpaceDN/>
                    <w:bidi w:val="0"/>
                    <w:adjustRightInd w:val="0"/>
                    <w:snapToGrid/>
                    <w:spacing w:beforeAutospacing="0" w:afterAutospacing="0"/>
                    <w:ind w:left="0" w:right="113" w:rightChars="0"/>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b/>
                      <w:bCs/>
                      <w:color w:val="000000" w:themeColor="text1"/>
                      <w:szCs w:val="21"/>
                      <w:highlight w:val="none"/>
                      <w14:textFill>
                        <w14:solidFill>
                          <w14:schemeClr w14:val="tx1"/>
                        </w14:solidFill>
                      </w14:textFill>
                    </w:rPr>
                    <w:t>项目情况</w:t>
                  </w:r>
                </w:p>
              </w:tc>
              <w:tc>
                <w:tcPr>
                  <w:tcW w:w="551" w:type="pct"/>
                  <w:tcBorders>
                    <w:tl2br w:val="nil"/>
                    <w:tr2bl w:val="nil"/>
                  </w:tcBorders>
                  <w:noWrap w:val="0"/>
                  <w:vAlign w:val="center"/>
                </w:tcPr>
                <w:p w14:paraId="5F7161BB">
                  <w:pPr>
                    <w:pStyle w:val="58"/>
                    <w:keepNext w:val="0"/>
                    <w:keepLines w:val="0"/>
                    <w:pageBreakBefore w:val="0"/>
                    <w:widowControl/>
                    <w:suppressLineNumbers w:val="0"/>
                    <w:kinsoku/>
                    <w:wordWrap/>
                    <w:overflowPunct/>
                    <w:topLinePunct w:val="0"/>
                    <w:autoSpaceDE/>
                    <w:autoSpaceDN/>
                    <w:bidi w:val="0"/>
                    <w:adjustRightInd w:val="0"/>
                    <w:snapToGrid/>
                    <w:spacing w:beforeAutospacing="0" w:afterAutospacing="0"/>
                    <w:ind w:left="0" w:right="113" w:rightChars="0"/>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b/>
                      <w:bCs/>
                      <w:color w:val="000000" w:themeColor="text1"/>
                      <w:szCs w:val="21"/>
                      <w:highlight w:val="none"/>
                      <w14:textFill>
                        <w14:solidFill>
                          <w14:schemeClr w14:val="tx1"/>
                        </w14:solidFill>
                      </w14:textFill>
                    </w:rPr>
                    <w:t>是否设置</w:t>
                  </w:r>
                </w:p>
              </w:tc>
            </w:tr>
            <w:tr w14:paraId="314B133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0" w:type="pct"/>
                  <w:tcBorders>
                    <w:tl2br w:val="nil"/>
                    <w:tr2bl w:val="nil"/>
                  </w:tcBorders>
                  <w:noWrap w:val="0"/>
                  <w:vAlign w:val="center"/>
                </w:tcPr>
                <w:p w14:paraId="10991C62">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大气</w:t>
                  </w:r>
                </w:p>
              </w:tc>
              <w:tc>
                <w:tcPr>
                  <w:tcW w:w="1969" w:type="pct"/>
                  <w:tcBorders>
                    <w:tl2br w:val="nil"/>
                    <w:tr2bl w:val="nil"/>
                  </w:tcBorders>
                  <w:noWrap w:val="0"/>
                  <w:vAlign w:val="center"/>
                </w:tcPr>
                <w:p w14:paraId="0177A2CC">
                  <w:pPr>
                    <w:pStyle w:val="25"/>
                    <w:keepNext w:val="0"/>
                    <w:keepLines w:val="0"/>
                    <w:suppressLineNumbers w:val="0"/>
                    <w:adjustRightInd w:val="0"/>
                    <w:snapToGrid w:val="0"/>
                    <w:spacing w:before="0" w:beforeAutospacing="0" w:after="0" w:afterAutospacing="0" w:line="240" w:lineRule="auto"/>
                    <w:ind w:left="0" w:leftChars="0" w:right="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排放废气含有有害污染物、二噁英、苯并芘、氰化物、氯气且厂界外500米范围内有空气保护目标的建设项目</w:t>
                  </w:r>
                </w:p>
              </w:tc>
              <w:tc>
                <w:tcPr>
                  <w:tcW w:w="1909" w:type="pct"/>
                  <w:tcBorders>
                    <w:tl2br w:val="nil"/>
                    <w:tr2bl w:val="nil"/>
                  </w:tcBorders>
                  <w:noWrap w:val="0"/>
                  <w:vAlign w:val="center"/>
                </w:tcPr>
                <w:p w14:paraId="7C7171BE">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不涉及排放前述所列废气污染物</w:t>
                  </w:r>
                </w:p>
              </w:tc>
              <w:tc>
                <w:tcPr>
                  <w:tcW w:w="551" w:type="pct"/>
                  <w:tcBorders>
                    <w:tl2br w:val="nil"/>
                    <w:tr2bl w:val="nil"/>
                  </w:tcBorders>
                  <w:noWrap w:val="0"/>
                  <w:vAlign w:val="center"/>
                </w:tcPr>
                <w:p w14:paraId="65FF3A93">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color w:val="000000" w:themeColor="text1"/>
                      <w:szCs w:val="21"/>
                      <w:highlight w:val="none"/>
                      <w14:textFill>
                        <w14:solidFill>
                          <w14:schemeClr w14:val="tx1"/>
                        </w14:solidFill>
                      </w14:textFill>
                    </w:rPr>
                    <w:t>否</w:t>
                  </w:r>
                </w:p>
              </w:tc>
            </w:tr>
            <w:tr w14:paraId="688FC40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0" w:type="pct"/>
                  <w:tcBorders>
                    <w:tl2br w:val="nil"/>
                    <w:tr2bl w:val="nil"/>
                  </w:tcBorders>
                  <w:noWrap w:val="0"/>
                  <w:vAlign w:val="center"/>
                </w:tcPr>
                <w:p w14:paraId="39DF313F">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地表水</w:t>
                  </w:r>
                </w:p>
              </w:tc>
              <w:tc>
                <w:tcPr>
                  <w:tcW w:w="1969" w:type="pct"/>
                  <w:tcBorders>
                    <w:tl2br w:val="nil"/>
                    <w:tr2bl w:val="nil"/>
                  </w:tcBorders>
                  <w:noWrap w:val="0"/>
                  <w:vAlign w:val="center"/>
                </w:tcPr>
                <w:p w14:paraId="19C9D234">
                  <w:pPr>
                    <w:pStyle w:val="25"/>
                    <w:keepNext w:val="0"/>
                    <w:keepLines w:val="0"/>
                    <w:suppressLineNumbers w:val="0"/>
                    <w:adjustRightInd w:val="0"/>
                    <w:snapToGrid w:val="0"/>
                    <w:spacing w:before="0" w:beforeAutospacing="0" w:after="0" w:afterAutospacing="0" w:line="240" w:lineRule="auto"/>
                    <w:ind w:left="0" w:leftChars="0" w:right="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新增工业废水直排建设项目（槽罐车外送污水至污水处理厂除外）；新增废水直排的污水集中处理厂</w:t>
                  </w:r>
                </w:p>
              </w:tc>
              <w:tc>
                <w:tcPr>
                  <w:tcW w:w="1909" w:type="pct"/>
                  <w:tcBorders>
                    <w:tl2br w:val="nil"/>
                    <w:tr2bl w:val="nil"/>
                  </w:tcBorders>
                  <w:noWrap w:val="0"/>
                  <w:vAlign w:val="center"/>
                </w:tcPr>
                <w:p w14:paraId="44942171">
                  <w:pPr>
                    <w:pStyle w:val="25"/>
                    <w:keepNext w:val="0"/>
                    <w:keepLines w:val="0"/>
                    <w:suppressLineNumbers w:val="0"/>
                    <w:adjustRightInd w:val="0"/>
                    <w:snapToGrid w:val="0"/>
                    <w:spacing w:before="0" w:beforeAutospacing="0" w:after="0" w:afterAutospacing="0" w:line="240" w:lineRule="auto"/>
                    <w:ind w:left="0" w:leftChars="0" w:right="0"/>
                    <w:jc w:val="center"/>
                    <w:rPr>
                      <w:rFonts w:hint="eastAsia" w:ascii="Times New Roman" w:hAnsi="Times New Roman" w:eastAsia="新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eastAsia="新宋体" w:cs="Times New Roman"/>
                      <w:color w:val="000000" w:themeColor="text1"/>
                      <w:sz w:val="21"/>
                      <w:szCs w:val="21"/>
                      <w:highlight w:val="none"/>
                      <w:lang w:eastAsia="zh-CN"/>
                      <w14:textFill>
                        <w14:solidFill>
                          <w14:schemeClr w14:val="tx1"/>
                        </w14:solidFill>
                      </w14:textFill>
                    </w:rPr>
                    <w:t>本项目依托现有的800m</w:t>
                  </w:r>
                  <w:r>
                    <w:rPr>
                      <w:rFonts w:hint="eastAsia" w:eastAsia="新宋体" w:cs="Times New Roman"/>
                      <w:color w:val="000000" w:themeColor="text1"/>
                      <w:sz w:val="21"/>
                      <w:szCs w:val="21"/>
                      <w:highlight w:val="none"/>
                      <w:vertAlign w:val="superscript"/>
                      <w:lang w:val="en-US" w:eastAsia="zh-CN"/>
                      <w14:textFill>
                        <w14:solidFill>
                          <w14:schemeClr w14:val="tx1"/>
                        </w14:solidFill>
                      </w14:textFill>
                    </w:rPr>
                    <w:t>3</w:t>
                  </w:r>
                  <w:r>
                    <w:rPr>
                      <w:rFonts w:hint="eastAsia" w:ascii="Times New Roman" w:hAnsi="Times New Roman" w:eastAsia="新宋体" w:cs="Times New Roman"/>
                      <w:color w:val="000000" w:themeColor="text1"/>
                      <w:sz w:val="21"/>
                      <w:szCs w:val="21"/>
                      <w:highlight w:val="none"/>
                      <w:lang w:eastAsia="zh-CN"/>
                      <w14:textFill>
                        <w14:solidFill>
                          <w14:schemeClr w14:val="tx1"/>
                        </w14:solidFill>
                      </w14:textFill>
                    </w:rPr>
                    <w:t>/d废水处理站，产生的废水进入厂内污水处理站进行处理，处理达标后，排入厂区污水管网后排入高新区市政管网最终排入</w:t>
                  </w:r>
                  <w:r>
                    <w:rPr>
                      <w:rFonts w:hint="eastAsia" w:cs="Times New Roman"/>
                      <w:color w:val="000000" w:themeColor="text1"/>
                      <w:sz w:val="21"/>
                      <w:szCs w:val="21"/>
                      <w:highlight w:val="none"/>
                      <w:lang w:eastAsia="zh-CN"/>
                      <w14:textFill>
                        <w14:solidFill>
                          <w14:schemeClr w14:val="tx1"/>
                        </w14:solidFill>
                      </w14:textFill>
                    </w:rPr>
                    <w:t>石桥子污水处理厂</w:t>
                  </w:r>
                  <w:r>
                    <w:rPr>
                      <w:rFonts w:hint="eastAsia" w:ascii="Times New Roman" w:hAnsi="Times New Roman" w:eastAsia="新宋体" w:cs="Times New Roman"/>
                      <w:color w:val="000000" w:themeColor="text1"/>
                      <w:sz w:val="21"/>
                      <w:szCs w:val="21"/>
                      <w:highlight w:val="none"/>
                      <w:lang w:eastAsia="zh-CN"/>
                      <w14:textFill>
                        <w14:solidFill>
                          <w14:schemeClr w14:val="tx1"/>
                        </w14:solidFill>
                      </w14:textFill>
                    </w:rPr>
                    <w:t>。</w:t>
                  </w:r>
                </w:p>
              </w:tc>
              <w:tc>
                <w:tcPr>
                  <w:tcW w:w="551" w:type="pct"/>
                  <w:tcBorders>
                    <w:tl2br w:val="nil"/>
                    <w:tr2bl w:val="nil"/>
                  </w:tcBorders>
                  <w:noWrap w:val="0"/>
                  <w:vAlign w:val="center"/>
                </w:tcPr>
                <w:p w14:paraId="060D14DA">
                  <w:pPr>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color w:val="000000" w:themeColor="text1"/>
                      <w:szCs w:val="21"/>
                      <w:highlight w:val="none"/>
                      <w14:textFill>
                        <w14:solidFill>
                          <w14:schemeClr w14:val="tx1"/>
                        </w14:solidFill>
                      </w14:textFill>
                    </w:rPr>
                    <w:t>否</w:t>
                  </w:r>
                </w:p>
              </w:tc>
            </w:tr>
            <w:tr w14:paraId="5145C9E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0" w:type="pct"/>
                  <w:tcBorders>
                    <w:tl2br w:val="nil"/>
                    <w:tr2bl w:val="nil"/>
                  </w:tcBorders>
                  <w:noWrap w:val="0"/>
                  <w:vAlign w:val="center"/>
                </w:tcPr>
                <w:p w14:paraId="00AA6F9B">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环境风险</w:t>
                  </w:r>
                </w:p>
              </w:tc>
              <w:tc>
                <w:tcPr>
                  <w:tcW w:w="1969" w:type="pct"/>
                  <w:tcBorders>
                    <w:tl2br w:val="nil"/>
                    <w:tr2bl w:val="nil"/>
                  </w:tcBorders>
                  <w:noWrap w:val="0"/>
                  <w:vAlign w:val="center"/>
                </w:tcPr>
                <w:p w14:paraId="4FF7396F">
                  <w:pPr>
                    <w:pStyle w:val="25"/>
                    <w:keepNext w:val="0"/>
                    <w:keepLines w:val="0"/>
                    <w:suppressLineNumbers w:val="0"/>
                    <w:adjustRightInd w:val="0"/>
                    <w:snapToGrid w:val="0"/>
                    <w:spacing w:before="0" w:beforeAutospacing="0" w:after="0" w:afterAutospacing="0" w:line="240" w:lineRule="auto"/>
                    <w:ind w:left="0" w:leftChars="0" w:right="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有毒有害和易燃易爆危险物质储存量超过临界量的建设项目</w:t>
                  </w:r>
                </w:p>
              </w:tc>
              <w:tc>
                <w:tcPr>
                  <w:tcW w:w="1909" w:type="pct"/>
                  <w:tcBorders>
                    <w:tl2br w:val="nil"/>
                    <w:tr2bl w:val="nil"/>
                  </w:tcBorders>
                  <w:noWrap w:val="0"/>
                  <w:vAlign w:val="center"/>
                </w:tcPr>
                <w:p w14:paraId="58A4C77B">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color w:val="000000" w:themeColor="text1"/>
                      <w:szCs w:val="21"/>
                      <w:highlight w:val="none"/>
                      <w14:textFill>
                        <w14:solidFill>
                          <w14:schemeClr w14:val="tx1"/>
                        </w14:solidFill>
                      </w14:textFill>
                    </w:rPr>
                    <w:t>危险物质存储量</w:t>
                  </w:r>
                  <w:r>
                    <w:rPr>
                      <w:rFonts w:hint="eastAsia"/>
                      <w:color w:val="000000" w:themeColor="text1"/>
                      <w:szCs w:val="21"/>
                      <w:highlight w:val="none"/>
                      <w:lang w:val="en-US" w:eastAsia="zh-CN"/>
                      <w14:textFill>
                        <w14:solidFill>
                          <w14:schemeClr w14:val="tx1"/>
                        </w14:solidFill>
                      </w14:textFill>
                    </w:rPr>
                    <w:t>未</w:t>
                  </w:r>
                  <w:r>
                    <w:rPr>
                      <w:rFonts w:hint="default"/>
                      <w:color w:val="000000" w:themeColor="text1"/>
                      <w:szCs w:val="21"/>
                      <w:highlight w:val="none"/>
                      <w14:textFill>
                        <w14:solidFill>
                          <w14:schemeClr w14:val="tx1"/>
                        </w14:solidFill>
                      </w14:textFill>
                    </w:rPr>
                    <w:t>超过临界量</w:t>
                  </w:r>
                </w:p>
              </w:tc>
              <w:tc>
                <w:tcPr>
                  <w:tcW w:w="551" w:type="pct"/>
                  <w:tcBorders>
                    <w:tl2br w:val="nil"/>
                    <w:tr2bl w:val="nil"/>
                  </w:tcBorders>
                  <w:noWrap w:val="0"/>
                  <w:vAlign w:val="center"/>
                </w:tcPr>
                <w:p w14:paraId="6C6E34B7">
                  <w:pPr>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color w:val="000000" w:themeColor="text1"/>
                      <w:szCs w:val="21"/>
                      <w:highlight w:val="none"/>
                      <w14:textFill>
                        <w14:solidFill>
                          <w14:schemeClr w14:val="tx1"/>
                        </w14:solidFill>
                      </w14:textFill>
                    </w:rPr>
                    <w:t>否</w:t>
                  </w:r>
                </w:p>
              </w:tc>
            </w:tr>
            <w:tr w14:paraId="44E43B8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0" w:type="pct"/>
                  <w:tcBorders>
                    <w:tl2br w:val="nil"/>
                    <w:tr2bl w:val="nil"/>
                  </w:tcBorders>
                  <w:noWrap w:val="0"/>
                  <w:vAlign w:val="center"/>
                </w:tcPr>
                <w:p w14:paraId="4BD1C514">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生态</w:t>
                  </w:r>
                </w:p>
              </w:tc>
              <w:tc>
                <w:tcPr>
                  <w:tcW w:w="1969" w:type="pct"/>
                  <w:tcBorders>
                    <w:tl2br w:val="nil"/>
                    <w:tr2bl w:val="nil"/>
                  </w:tcBorders>
                  <w:noWrap w:val="0"/>
                  <w:vAlign w:val="center"/>
                </w:tcPr>
                <w:p w14:paraId="06469BBE">
                  <w:pPr>
                    <w:pStyle w:val="25"/>
                    <w:keepNext w:val="0"/>
                    <w:keepLines w:val="0"/>
                    <w:suppressLineNumbers w:val="0"/>
                    <w:adjustRightInd w:val="0"/>
                    <w:snapToGrid w:val="0"/>
                    <w:spacing w:before="0" w:beforeAutospacing="0" w:after="0" w:afterAutospacing="0" w:line="240" w:lineRule="auto"/>
                    <w:ind w:left="0" w:leftChars="0" w:right="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取水口下游500米内有重要的水生生物的自然产卵场、索饵场、越冬场和洄游通道的新增河道取水的污染类建设项目</w:t>
                  </w:r>
                </w:p>
              </w:tc>
              <w:tc>
                <w:tcPr>
                  <w:tcW w:w="1909" w:type="pct"/>
                  <w:tcBorders>
                    <w:tl2br w:val="nil"/>
                    <w:tr2bl w:val="nil"/>
                  </w:tcBorders>
                  <w:noWrap w:val="0"/>
                  <w:vAlign w:val="center"/>
                </w:tcPr>
                <w:p w14:paraId="60204C19">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不涉及河道取水</w:t>
                  </w:r>
                </w:p>
              </w:tc>
              <w:tc>
                <w:tcPr>
                  <w:tcW w:w="551" w:type="pct"/>
                  <w:tcBorders>
                    <w:tl2br w:val="nil"/>
                    <w:tr2bl w:val="nil"/>
                  </w:tcBorders>
                  <w:noWrap w:val="0"/>
                  <w:vAlign w:val="center"/>
                </w:tcPr>
                <w:p w14:paraId="699DF182">
                  <w:pPr>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color w:val="000000" w:themeColor="text1"/>
                      <w:szCs w:val="21"/>
                      <w:highlight w:val="none"/>
                      <w14:textFill>
                        <w14:solidFill>
                          <w14:schemeClr w14:val="tx1"/>
                        </w14:solidFill>
                      </w14:textFill>
                    </w:rPr>
                    <w:t>否</w:t>
                  </w:r>
                </w:p>
              </w:tc>
            </w:tr>
            <w:tr w14:paraId="0053A8A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0" w:type="pct"/>
                  <w:tcBorders>
                    <w:tl2br w:val="nil"/>
                    <w:tr2bl w:val="nil"/>
                  </w:tcBorders>
                  <w:noWrap w:val="0"/>
                  <w:vAlign w:val="center"/>
                </w:tcPr>
                <w:p w14:paraId="0E18DE21">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海洋</w:t>
                  </w:r>
                </w:p>
              </w:tc>
              <w:tc>
                <w:tcPr>
                  <w:tcW w:w="1969" w:type="pct"/>
                  <w:tcBorders>
                    <w:tl2br w:val="nil"/>
                    <w:tr2bl w:val="nil"/>
                  </w:tcBorders>
                  <w:noWrap w:val="0"/>
                  <w:vAlign w:val="center"/>
                </w:tcPr>
                <w:p w14:paraId="312810AA">
                  <w:pPr>
                    <w:pStyle w:val="25"/>
                    <w:keepNext w:val="0"/>
                    <w:keepLines w:val="0"/>
                    <w:suppressLineNumbers w:val="0"/>
                    <w:adjustRightInd w:val="0"/>
                    <w:snapToGrid w:val="0"/>
                    <w:spacing w:before="0" w:beforeAutospacing="0" w:after="0" w:afterAutospacing="0" w:line="240" w:lineRule="auto"/>
                    <w:ind w:left="0" w:leftChars="0" w:right="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直接向海排放污染物的海洋工程建设项目</w:t>
                  </w:r>
                </w:p>
              </w:tc>
              <w:tc>
                <w:tcPr>
                  <w:tcW w:w="1909" w:type="pct"/>
                  <w:tcBorders>
                    <w:tl2br w:val="nil"/>
                    <w:tr2bl w:val="nil"/>
                  </w:tcBorders>
                  <w:noWrap w:val="0"/>
                  <w:vAlign w:val="center"/>
                </w:tcPr>
                <w:p w14:paraId="287D470D">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不属于涉海项目</w:t>
                  </w:r>
                </w:p>
              </w:tc>
              <w:tc>
                <w:tcPr>
                  <w:tcW w:w="551" w:type="pct"/>
                  <w:tcBorders>
                    <w:tl2br w:val="nil"/>
                    <w:tr2bl w:val="nil"/>
                  </w:tcBorders>
                  <w:noWrap w:val="0"/>
                  <w:vAlign w:val="center"/>
                </w:tcPr>
                <w:p w14:paraId="483D168F">
                  <w:pPr>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color w:val="000000" w:themeColor="text1"/>
                      <w:szCs w:val="21"/>
                      <w:highlight w:val="none"/>
                      <w14:textFill>
                        <w14:solidFill>
                          <w14:schemeClr w14:val="tx1"/>
                        </w14:solidFill>
                      </w14:textFill>
                    </w:rPr>
                    <w:t>否</w:t>
                  </w:r>
                </w:p>
              </w:tc>
            </w:tr>
          </w:tbl>
          <w:p w14:paraId="693D244E">
            <w:pPr>
              <w:keepNext w:val="0"/>
              <w:keepLines w:val="0"/>
              <w:widowControl w:val="0"/>
              <w:numPr>
                <w:ilvl w:val="0"/>
                <w:numId w:val="0"/>
              </w:numPr>
              <w:suppressLineNumbers w:val="0"/>
              <w:tabs>
                <w:tab w:val="left" w:pos="0"/>
              </w:tabs>
              <w:snapToGrid w:val="0"/>
              <w:spacing w:before="0" w:beforeLines="0" w:beforeAutospacing="0" w:after="0" w:afterLines="0" w:afterAutospacing="0"/>
              <w:ind w:left="0" w:right="0" w:rightChars="0"/>
              <w:jc w:val="center"/>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故本项目</w:t>
            </w:r>
            <w:r>
              <w:rPr>
                <w:rFonts w:hint="eastAsia" w:cs="Times New Roman"/>
                <w:color w:val="000000" w:themeColor="text1"/>
                <w:sz w:val="21"/>
                <w:szCs w:val="21"/>
                <w:highlight w:val="none"/>
                <w:lang w:val="en-US" w:eastAsia="zh-CN"/>
                <w14:textFill>
                  <w14:solidFill>
                    <w14:schemeClr w14:val="tx1"/>
                  </w14:solidFill>
                </w14:textFill>
              </w:rPr>
              <w:t>无需</w:t>
            </w:r>
            <w:r>
              <w:rPr>
                <w:rFonts w:hint="default" w:ascii="Times New Roman" w:hAnsi="Times New Roman" w:cs="Times New Roman"/>
                <w:color w:val="000000" w:themeColor="text1"/>
                <w:sz w:val="21"/>
                <w:szCs w:val="21"/>
                <w:highlight w:val="none"/>
                <w14:textFill>
                  <w14:solidFill>
                    <w14:schemeClr w14:val="tx1"/>
                  </w14:solidFill>
                </w14:textFill>
              </w:rPr>
              <w:t>设置专项评价</w:t>
            </w:r>
          </w:p>
        </w:tc>
      </w:tr>
      <w:tr w14:paraId="622F66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2" w:hRule="atLeast"/>
          <w:jc w:val="center"/>
        </w:trPr>
        <w:tc>
          <w:tcPr>
            <w:tcW w:w="984" w:type="dxa"/>
            <w:vAlign w:val="center"/>
          </w:tcPr>
          <w:p w14:paraId="5A71CDBE">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规划情况</w:t>
            </w:r>
          </w:p>
        </w:tc>
        <w:tc>
          <w:tcPr>
            <w:tcW w:w="7670" w:type="dxa"/>
            <w:gridSpan w:val="3"/>
            <w:vAlign w:val="center"/>
          </w:tcPr>
          <w:p w14:paraId="38D7175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①</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规划名称：《本溪市国土空间总体规划（2021—2035年）》；</w:t>
            </w:r>
          </w:p>
          <w:p w14:paraId="528AFAB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jc w:val="left"/>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cs="Times New Roman"/>
                <w:color w:val="000000" w:themeColor="text1"/>
                <w:kern w:val="2"/>
                <w:sz w:val="24"/>
                <w:szCs w:val="24"/>
                <w:highlight w:val="none"/>
                <w:lang w:val="en-US" w:eastAsia="zh-CN" w:bidi="ar-SA"/>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审批机关：</w:t>
            </w:r>
            <w:r>
              <w:rPr>
                <w:rFonts w:hint="eastAsia" w:cs="Times New Roman"/>
                <w:color w:val="000000" w:themeColor="text1"/>
                <w:kern w:val="2"/>
                <w:sz w:val="24"/>
                <w:szCs w:val="24"/>
                <w:highlight w:val="none"/>
                <w:lang w:val="en-US" w:eastAsia="zh-CN" w:bidi="ar-SA"/>
                <w14:textFill>
                  <w14:solidFill>
                    <w14:schemeClr w14:val="tx1"/>
                  </w14:solidFill>
                </w14:textFill>
              </w:rPr>
              <w:t>辽宁省</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人民政府</w:t>
            </w:r>
            <w:r>
              <w:rPr>
                <w:rFonts w:hint="eastAsia" w:cs="Times New Roman"/>
                <w:color w:val="000000" w:themeColor="text1"/>
                <w:kern w:val="2"/>
                <w:sz w:val="24"/>
                <w:szCs w:val="24"/>
                <w:highlight w:val="none"/>
                <w:lang w:val="en-US" w:eastAsia="zh-CN" w:bidi="ar-SA"/>
                <w14:textFill>
                  <w14:solidFill>
                    <w14:schemeClr w14:val="tx1"/>
                  </w14:solidFill>
                </w14:textFill>
              </w:rPr>
              <w:t>；</w:t>
            </w:r>
          </w:p>
          <w:p w14:paraId="03F4DE4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jc w:val="left"/>
              <w:textAlignment w:val="auto"/>
              <w:rPr>
                <w:rFonts w:hint="eastAsia" w:ascii="Times New Roman" w:hAnsi="宋体"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cs="Times New Roman"/>
                <w:color w:val="000000" w:themeColor="text1"/>
                <w:kern w:val="2"/>
                <w:sz w:val="24"/>
                <w:szCs w:val="24"/>
                <w:highlight w:val="none"/>
                <w:lang w:val="en-US" w:eastAsia="zh-CN" w:bidi="ar-SA"/>
                <w14:textFill>
                  <w14:solidFill>
                    <w14:schemeClr w14:val="tx1"/>
                  </w14:solidFill>
                </w14:textFill>
              </w:rPr>
              <w:t xml:space="preserve">  </w:t>
            </w:r>
            <w:r>
              <w:rPr>
                <w:rFonts w:hint="default" w:ascii="Times New Roman" w:hAnsi="宋体" w:eastAsia="宋体" w:cs="Times New Roman"/>
                <w:color w:val="000000" w:themeColor="text1"/>
                <w:kern w:val="2"/>
                <w:sz w:val="24"/>
                <w:szCs w:val="24"/>
                <w:highlight w:val="none"/>
                <w:lang w:val="en-US" w:eastAsia="zh-CN" w:bidi="ar-SA"/>
                <w14:textFill>
                  <w14:solidFill>
                    <w14:schemeClr w14:val="tx1"/>
                  </w14:solidFill>
                </w14:textFill>
              </w:rPr>
              <w:t>审批文件名称：辽宁省人民政府关于《本溪市国土空间总体规划（2021—2035年）》的批复</w:t>
            </w:r>
            <w:r>
              <w:rPr>
                <w:rFonts w:hint="eastAsia" w:ascii="Times New Roman" w:hAnsi="宋体" w:eastAsia="宋体" w:cs="Times New Roman"/>
                <w:color w:val="000000" w:themeColor="text1"/>
                <w:kern w:val="2"/>
                <w:sz w:val="24"/>
                <w:szCs w:val="24"/>
                <w:highlight w:val="none"/>
                <w:lang w:val="en-US" w:eastAsia="zh-CN" w:bidi="ar-SA"/>
                <w14:textFill>
                  <w14:solidFill>
                    <w14:schemeClr w14:val="tx1"/>
                  </w14:solidFill>
                </w14:textFill>
              </w:rPr>
              <w:t>；</w:t>
            </w:r>
          </w:p>
          <w:p w14:paraId="3EE0BF1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jc w:val="left"/>
              <w:textAlignment w:val="auto"/>
              <w:rPr>
                <w:rFonts w:hint="eastAsia" w:ascii="Times New Roman" w:hAnsi="宋体"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Cs w:val="24"/>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Cs w:val="24"/>
                <w:highlight w:val="none"/>
                <w14:textFill>
                  <w14:solidFill>
                    <w14:schemeClr w14:val="tx1"/>
                  </w14:solidFill>
                </w14:textFill>
              </w:rPr>
              <w:t>审批文号：</w:t>
            </w:r>
            <w:r>
              <w:rPr>
                <w:rFonts w:hint="eastAsia" w:ascii="Times New Roman" w:hAnsi="宋体" w:eastAsia="宋体" w:cs="Times New Roman"/>
                <w:color w:val="000000" w:themeColor="text1"/>
                <w:kern w:val="2"/>
                <w:sz w:val="24"/>
                <w:szCs w:val="24"/>
                <w:highlight w:val="none"/>
                <w:lang w:val="en-US" w:eastAsia="zh-CN" w:bidi="ar-SA"/>
                <w14:textFill>
                  <w14:solidFill>
                    <w14:schemeClr w14:val="tx1"/>
                  </w14:solidFill>
                </w14:textFill>
              </w:rPr>
              <w:t>辽政〔2024〕52号。</w:t>
            </w:r>
          </w:p>
          <w:p w14:paraId="2A6A53B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②</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规划名称：《沈本新城总体规划（2013-2030）》；</w:t>
            </w:r>
          </w:p>
          <w:p w14:paraId="26FDCC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default"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kern w:val="2"/>
                <w:sz w:val="24"/>
                <w:szCs w:val="24"/>
                <w:highlight w:val="none"/>
                <w:lang w:val="en-US" w:eastAsia="zh-CN" w:bidi="ar-SA"/>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审批机关：</w:t>
            </w:r>
            <w:r>
              <w:rPr>
                <w:rFonts w:hint="eastAsia" w:cs="Times New Roman"/>
                <w:color w:val="000000" w:themeColor="text1"/>
                <w:kern w:val="2"/>
                <w:sz w:val="24"/>
                <w:szCs w:val="24"/>
                <w:highlight w:val="none"/>
                <w:lang w:val="en-US" w:eastAsia="zh-CN" w:bidi="ar-SA"/>
                <w14:textFill>
                  <w14:solidFill>
                    <w14:schemeClr w14:val="tx1"/>
                  </w14:solidFill>
                </w14:textFill>
              </w:rPr>
              <w:t>本溪市</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人民政府</w:t>
            </w:r>
            <w:r>
              <w:rPr>
                <w:rFonts w:hint="eastAsia" w:cs="Times New Roman"/>
                <w:color w:val="000000" w:themeColor="text1"/>
                <w:kern w:val="2"/>
                <w:sz w:val="24"/>
                <w:szCs w:val="24"/>
                <w:highlight w:val="none"/>
                <w:lang w:val="en-US" w:eastAsia="zh-CN" w:bidi="ar-SA"/>
                <w14:textFill>
                  <w14:solidFill>
                    <w14:schemeClr w14:val="tx1"/>
                  </w14:solidFill>
                </w14:textFill>
              </w:rPr>
              <w:t>。</w:t>
            </w:r>
          </w:p>
        </w:tc>
      </w:tr>
      <w:tr w14:paraId="7A2608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4" w:type="dxa"/>
            <w:vAlign w:val="center"/>
          </w:tcPr>
          <w:p w14:paraId="5660F17C">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规划环境影响</w:t>
            </w:r>
          </w:p>
          <w:p w14:paraId="6CE2D9CE">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评价情况</w:t>
            </w:r>
          </w:p>
        </w:tc>
        <w:tc>
          <w:tcPr>
            <w:tcW w:w="7670" w:type="dxa"/>
            <w:gridSpan w:val="3"/>
            <w:vAlign w:val="center"/>
          </w:tcPr>
          <w:p w14:paraId="0361446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jc w:val="left"/>
              <w:textAlignment w:val="auto"/>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规划环境影响评价文件名称：《沈本新城总体规划（2013～2030）环境影响报告书》；</w:t>
            </w:r>
          </w:p>
          <w:p w14:paraId="43BB7E4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jc w:val="left"/>
              <w:textAlignment w:val="auto"/>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审批机关：本溪市生态环境局（原本溪市环境保护局）；</w:t>
            </w:r>
          </w:p>
          <w:p w14:paraId="1152CD0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jc w:val="left"/>
              <w:textAlignment w:val="auto"/>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审查文件名称：《关于沈本新城总体规划（2013-2030）环境影响报告书的审查意见》；</w:t>
            </w:r>
          </w:p>
          <w:p w14:paraId="2751BF0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jc w:val="left"/>
              <w:textAlignment w:val="auto"/>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审批文号：本环规审字〔2014〕2号。</w:t>
            </w:r>
          </w:p>
        </w:tc>
      </w:tr>
      <w:tr w14:paraId="4615F4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4" w:type="dxa"/>
            <w:vAlign w:val="center"/>
          </w:tcPr>
          <w:p w14:paraId="45AA7626">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规划及规划环境影响评价符合性分析</w:t>
            </w:r>
          </w:p>
        </w:tc>
        <w:tc>
          <w:tcPr>
            <w:tcW w:w="7670" w:type="dxa"/>
            <w:gridSpan w:val="3"/>
            <w:vAlign w:val="center"/>
          </w:tcPr>
          <w:p w14:paraId="4A833794">
            <w:pPr>
              <w:keepNext w:val="0"/>
              <w:keepLines w:val="0"/>
              <w:pageBreakBefore w:val="0"/>
              <w:widowControl w:val="0"/>
              <w:suppressLineNumbers w:val="0"/>
              <w:kinsoku/>
              <w:wordWrap/>
              <w:overflowPunct/>
              <w:topLinePunct w:val="0"/>
              <w:autoSpaceDE/>
              <w:autoSpaceDN/>
              <w:bidi w:val="0"/>
              <w:adjustRightInd w:val="0"/>
              <w:snapToGrid w:val="0"/>
              <w:spacing w:before="120" w:beforeLines="50" w:beforeAutospacing="0" w:after="0" w:afterAutospacing="0" w:line="360" w:lineRule="auto"/>
              <w:ind w:left="0" w:right="0"/>
              <w:textAlignment w:val="auto"/>
              <w:rPr>
                <w:rFonts w:hint="default"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t>1、本项目与</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《本溪市国土空间总体规划（2021—2035年）》</w:t>
            </w:r>
            <w:r>
              <w:rPr>
                <w:rFonts w:hint="default"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t>符合性分析</w:t>
            </w:r>
          </w:p>
          <w:p w14:paraId="1099EB2A">
            <w:pPr>
              <w:keepNext w:val="0"/>
              <w:keepLines w:val="0"/>
              <w:numPr>
                <w:ilvl w:val="0"/>
                <w:numId w:val="2"/>
              </w:numPr>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本项目与《本溪市国土空间总体规划（2021—2035年）》符合性分析</w:t>
            </w:r>
          </w:p>
          <w:tbl>
            <w:tblPr>
              <w:tblStyle w:val="35"/>
              <w:tblW w:w="4999"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534"/>
              <w:gridCol w:w="2275"/>
              <w:gridCol w:w="644"/>
            </w:tblGrid>
            <w:tr w14:paraId="0974156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041" w:type="pct"/>
                  <w:tcBorders>
                    <w:tl2br w:val="nil"/>
                    <w:tr2bl w:val="nil"/>
                  </w:tcBorders>
                  <w:noWrap w:val="0"/>
                  <w:vAlign w:val="center"/>
                </w:tcPr>
                <w:p w14:paraId="0DF5856D">
                  <w:pPr>
                    <w:pStyle w:val="114"/>
                    <w:keepNext w:val="0"/>
                    <w:keepLines w:val="0"/>
                    <w:suppressLineNumbers w:val="0"/>
                    <w:spacing w:before="0" w:beforeAutospacing="0" w:after="0" w:afterAutospacing="0"/>
                    <w:ind w:left="0" w:right="0"/>
                    <w:rPr>
                      <w:rFonts w:hint="default" w:ascii="Times New Roman" w:hAnsi="Times New Roman" w:eastAsia="宋体" w:cs="Times New Roman"/>
                      <w:b/>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snapToGrid/>
                      <w:color w:val="000000" w:themeColor="text1"/>
                      <w:kern w:val="36"/>
                      <w:sz w:val="21"/>
                      <w:szCs w:val="21"/>
                      <w:highlight w:val="none"/>
                      <w:lang w:val="en-US"/>
                      <w14:textFill>
                        <w14:solidFill>
                          <w14:schemeClr w14:val="tx1"/>
                        </w14:solidFill>
                      </w14:textFill>
                    </w:rPr>
                    <w:t>规划</w:t>
                  </w:r>
                  <w:r>
                    <w:rPr>
                      <w:rFonts w:hint="default" w:ascii="Times New Roman" w:hAnsi="Times New Roman" w:eastAsia="宋体" w:cs="Times New Roman"/>
                      <w:b/>
                      <w:bCs w:val="0"/>
                      <w:snapToGrid w:val="0"/>
                      <w:color w:val="000000" w:themeColor="text1"/>
                      <w:kern w:val="0"/>
                      <w:sz w:val="21"/>
                      <w:szCs w:val="21"/>
                      <w:highlight w:val="none"/>
                      <w:lang w:val="en-US" w:eastAsia="zh-CN" w:bidi="ar-SA"/>
                      <w14:textFill>
                        <w14:solidFill>
                          <w14:schemeClr w14:val="tx1"/>
                        </w14:solidFill>
                      </w14:textFill>
                    </w:rPr>
                    <w:t>要求</w:t>
                  </w:r>
                </w:p>
              </w:tc>
              <w:tc>
                <w:tcPr>
                  <w:tcW w:w="1526" w:type="pct"/>
                  <w:tcBorders>
                    <w:tl2br w:val="nil"/>
                    <w:tr2bl w:val="nil"/>
                  </w:tcBorders>
                  <w:noWrap w:val="0"/>
                  <w:vAlign w:val="center"/>
                </w:tcPr>
                <w:p w14:paraId="7FAAED25">
                  <w:pPr>
                    <w:pStyle w:val="114"/>
                    <w:keepNext w:val="0"/>
                    <w:keepLines w:val="0"/>
                    <w:suppressLineNumbers w:val="0"/>
                    <w:spacing w:before="0" w:beforeAutospacing="0" w:after="0" w:afterAutospacing="0"/>
                    <w:ind w:left="0" w:right="0"/>
                    <w:rPr>
                      <w:rFonts w:hint="default" w:ascii="Times New Roman" w:hAnsi="Times New Roman" w:eastAsia="宋体" w:cs="Times New Roman"/>
                      <w:b/>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szCs w:val="21"/>
                      <w:highlight w:val="none"/>
                      <w:lang w:val="en-US" w:eastAsia="zh-CN"/>
                      <w14:textFill>
                        <w14:solidFill>
                          <w14:schemeClr w14:val="tx1"/>
                        </w14:solidFill>
                      </w14:textFill>
                    </w:rPr>
                    <w:t>本</w:t>
                  </w:r>
                  <w:r>
                    <w:rPr>
                      <w:rFonts w:hint="default" w:ascii="Times New Roman" w:hAnsi="Times New Roman" w:eastAsia="宋体" w:cs="Times New Roman"/>
                      <w:b/>
                      <w:bCs/>
                      <w:color w:val="000000" w:themeColor="text1"/>
                      <w:szCs w:val="21"/>
                      <w:highlight w:val="none"/>
                      <w14:textFill>
                        <w14:solidFill>
                          <w14:schemeClr w14:val="tx1"/>
                        </w14:solidFill>
                      </w14:textFill>
                    </w:rPr>
                    <w:t>项目情况</w:t>
                  </w:r>
                </w:p>
              </w:tc>
              <w:tc>
                <w:tcPr>
                  <w:tcW w:w="432" w:type="pct"/>
                  <w:tcBorders>
                    <w:tl2br w:val="nil"/>
                    <w:tr2bl w:val="nil"/>
                  </w:tcBorders>
                  <w:noWrap w:val="0"/>
                  <w:tcMar>
                    <w:top w:w="0" w:type="dxa"/>
                    <w:left w:w="0" w:type="dxa"/>
                    <w:bottom w:w="0" w:type="dxa"/>
                    <w:right w:w="0" w:type="dxa"/>
                  </w:tcMar>
                  <w:vAlign w:val="center"/>
                </w:tcPr>
                <w:p w14:paraId="6C5EBB56">
                  <w:pPr>
                    <w:pStyle w:val="114"/>
                    <w:keepNext w:val="0"/>
                    <w:keepLines w:val="0"/>
                    <w:suppressLineNumbers w:val="0"/>
                    <w:spacing w:before="0" w:beforeAutospacing="0" w:after="0" w:afterAutospacing="0"/>
                    <w:ind w:left="0" w:right="0"/>
                    <w:rPr>
                      <w:rFonts w:hint="default" w:ascii="Times New Roman" w:hAnsi="Times New Roman" w:eastAsia="宋体" w:cs="Times New Roman"/>
                      <w:b/>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lang w:val="en-US" w:eastAsia="zh-CN"/>
                      <w14:textFill>
                        <w14:solidFill>
                          <w14:schemeClr w14:val="tx1"/>
                        </w14:solidFill>
                      </w14:textFill>
                    </w:rPr>
                    <w:t>相符性</w:t>
                  </w:r>
                </w:p>
              </w:tc>
            </w:tr>
            <w:tr w14:paraId="3BA9B17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3041" w:type="pct"/>
                  <w:tcBorders>
                    <w:tl2br w:val="nil"/>
                    <w:tr2bl w:val="nil"/>
                  </w:tcBorders>
                  <w:noWrap w:val="0"/>
                  <w:vAlign w:val="center"/>
                </w:tcPr>
                <w:p w14:paraId="05CB868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第2条 规划定位</w:t>
                  </w:r>
                </w:p>
                <w:p w14:paraId="749AE73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本规划是对本溪市范围内国土空间开发保护作出的总体安排和综合部署，是统筹本溪市国土空间保护、开发、利用、修复和指导各类建设的纲领性文件</w:t>
                  </w:r>
                  <w:r>
                    <w:rPr>
                      <w:rFonts w:hint="eastAsia" w:cs="Times New Roman"/>
                      <w:bCs/>
                      <w:snapToGrid w:val="0"/>
                      <w:color w:val="000000" w:themeColor="text1"/>
                      <w:kern w:val="0"/>
                      <w:sz w:val="21"/>
                      <w:szCs w:val="21"/>
                      <w:highlight w:val="none"/>
                      <w:lang w:val="en-US" w:eastAsia="zh-CN" w:bidi="ar-SA"/>
                      <w14:textFill>
                        <w14:solidFill>
                          <w14:schemeClr w14:val="tx1"/>
                        </w14:solidFill>
                      </w14:textFill>
                    </w:rPr>
                    <w:t>，</w:t>
                  </w: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是下位国土空间总体规划详细规划、相关专项规划和开展各类开发保护建设活动、实施国土空间用途管制的基本依据。</w:t>
                  </w:r>
                </w:p>
              </w:tc>
              <w:tc>
                <w:tcPr>
                  <w:tcW w:w="1526" w:type="pct"/>
                  <w:tcBorders>
                    <w:tl2br w:val="nil"/>
                    <w:tr2bl w:val="nil"/>
                  </w:tcBorders>
                  <w:noWrap w:val="0"/>
                  <w:vAlign w:val="center"/>
                </w:tcPr>
                <w:p w14:paraId="4054E2DF">
                  <w:pPr>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本项目</w:t>
                  </w:r>
                  <w:r>
                    <w:rPr>
                      <w:rFonts w:hint="eastAsia"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厂区</w:t>
                  </w:r>
                  <w:r>
                    <w:rPr>
                      <w:rFonts w:hint="eastAsia" w:cs="Times New Roman"/>
                      <w:bCs/>
                      <w:snapToGrid w:val="0"/>
                      <w:color w:val="000000" w:themeColor="text1"/>
                      <w:kern w:val="0"/>
                      <w:sz w:val="21"/>
                      <w:szCs w:val="21"/>
                      <w:highlight w:val="none"/>
                      <w:lang w:val="en-US" w:eastAsia="zh-CN" w:bidi="ar-SA"/>
                      <w14:textFill>
                        <w14:solidFill>
                          <w14:schemeClr w14:val="tx1"/>
                        </w14:solidFill>
                      </w14:textFill>
                    </w:rPr>
                    <w:t>位于本溪经济技术开发区医药园区内，</w:t>
                  </w: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产品为中成药，为医药制造业</w:t>
                  </w:r>
                  <w:r>
                    <w:rPr>
                      <w:rFonts w:hint="eastAsia" w:cs="Times New Roman"/>
                      <w:bCs/>
                      <w:snapToGrid w:val="0"/>
                      <w:color w:val="000000" w:themeColor="text1"/>
                      <w:kern w:val="0"/>
                      <w:sz w:val="21"/>
                      <w:szCs w:val="21"/>
                      <w:highlight w:val="none"/>
                      <w:lang w:val="en-US" w:eastAsia="zh-CN" w:bidi="ar-SA"/>
                      <w14:textFill>
                        <w14:solidFill>
                          <w14:schemeClr w14:val="tx1"/>
                        </w14:solidFill>
                      </w14:textFill>
                    </w:rPr>
                    <w:t>，</w:t>
                  </w: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符合规划</w:t>
                  </w:r>
                  <w:r>
                    <w:rPr>
                      <w:rFonts w:hint="eastAsia" w:cs="Times New Roman"/>
                      <w:bCs/>
                      <w:snapToGrid w:val="0"/>
                      <w:color w:val="000000" w:themeColor="text1"/>
                      <w:kern w:val="0"/>
                      <w:sz w:val="21"/>
                      <w:szCs w:val="21"/>
                      <w:highlight w:val="none"/>
                      <w:lang w:val="en-US" w:eastAsia="zh-CN" w:bidi="ar-SA"/>
                      <w14:textFill>
                        <w14:solidFill>
                          <w14:schemeClr w14:val="tx1"/>
                        </w14:solidFill>
                      </w14:textFill>
                    </w:rPr>
                    <w:t>定位</w:t>
                  </w: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w:t>
                  </w:r>
                </w:p>
              </w:tc>
              <w:tc>
                <w:tcPr>
                  <w:tcW w:w="432" w:type="pct"/>
                  <w:tcBorders>
                    <w:tl2br w:val="nil"/>
                    <w:tr2bl w:val="nil"/>
                  </w:tcBorders>
                  <w:noWrap w:val="0"/>
                  <w:vAlign w:val="center"/>
                </w:tcPr>
                <w:p w14:paraId="6F670561">
                  <w:pPr>
                    <w:pStyle w:val="114"/>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符合</w:t>
                  </w:r>
                </w:p>
              </w:tc>
            </w:tr>
            <w:tr w14:paraId="629B9E5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041" w:type="pct"/>
                  <w:tcBorders>
                    <w:tl2br w:val="nil"/>
                    <w:tr2bl w:val="nil"/>
                  </w:tcBorders>
                  <w:noWrap w:val="0"/>
                  <w:vAlign w:val="center"/>
                </w:tcPr>
                <w:p w14:paraId="4BDAE14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第3条 指导思想</w:t>
                  </w:r>
                </w:p>
                <w:p w14:paraId="7B9AA0D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坚持以习近平新时代中国特色社会主义思想为指导，深入贯彻习近平生态文明思想及习近平总书记关于东北、辽宁振兴发展的重要讲话和指示批示精神，以及省委、省政府和本溪市委、市政府有关要求，立足新发展阶段，完整、准确、全面贯彻新发展理念，服务和融入新发展格局，坚持以人民为中心的发展思</w:t>
                  </w:r>
                  <w:r>
                    <w:rPr>
                      <w:rFonts w:hint="eastAsia" w:cs="Times New Roman"/>
                      <w:bCs/>
                      <w:snapToGrid w:val="0"/>
                      <w:color w:val="000000" w:themeColor="text1"/>
                      <w:kern w:val="0"/>
                      <w:sz w:val="21"/>
                      <w:szCs w:val="21"/>
                      <w:highlight w:val="none"/>
                      <w:lang w:val="en-US" w:eastAsia="zh-CN" w:bidi="ar-SA"/>
                      <w14:textFill>
                        <w14:solidFill>
                          <w14:schemeClr w14:val="tx1"/>
                        </w14:solidFill>
                      </w14:textFill>
                    </w:rPr>
                    <w:t>想</w:t>
                  </w: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牢牢把握辽宁省在维护国家“五大安全”(国防安全、粮食安全、生态安全、能源安全、产业安全)中的重要使命，牢牢把握高质量发展的首要任务和构建新发展格局的战略任务，统筹全域国土空间开发与保护，提高国土空间资源利用效率，彰显本溪独具特色的山水魅力空间品质，全面提升国土空间治理体系和治理能力现代化水平。</w:t>
                  </w:r>
                </w:p>
              </w:tc>
              <w:tc>
                <w:tcPr>
                  <w:tcW w:w="1526" w:type="pct"/>
                  <w:tcBorders>
                    <w:tl2br w:val="nil"/>
                    <w:tr2bl w:val="nil"/>
                  </w:tcBorders>
                  <w:noWrap w:val="0"/>
                  <w:vAlign w:val="center"/>
                </w:tcPr>
                <w:p w14:paraId="104571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bCs/>
                      <w:snapToGrid w:val="0"/>
                      <w:color w:val="000000" w:themeColor="text1"/>
                      <w:kern w:val="0"/>
                      <w:sz w:val="21"/>
                      <w:szCs w:val="21"/>
                      <w:highlight w:val="none"/>
                      <w:lang w:val="en-US"/>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zh-CN"/>
                      <w14:textFill>
                        <w14:solidFill>
                          <w14:schemeClr w14:val="tx1"/>
                        </w14:solidFill>
                      </w14:textFill>
                    </w:rPr>
                    <w:t>本项目</w:t>
                  </w:r>
                  <w:r>
                    <w:rPr>
                      <w:rFonts w:hint="eastAsia" w:cs="Times New Roman"/>
                      <w:bCs/>
                      <w:snapToGrid w:val="0"/>
                      <w:color w:val="000000" w:themeColor="text1"/>
                      <w:kern w:val="0"/>
                      <w:sz w:val="21"/>
                      <w:szCs w:val="21"/>
                      <w:highlight w:val="none"/>
                      <w:lang w:val="zh-CN"/>
                      <w14:textFill>
                        <w14:solidFill>
                          <w14:schemeClr w14:val="tx1"/>
                        </w14:solidFill>
                      </w14:textFill>
                    </w:rPr>
                    <w:t>在</w:t>
                  </w:r>
                  <w:r>
                    <w:rPr>
                      <w:rFonts w:hint="eastAsia" w:cs="Times New Roman"/>
                      <w:bCs/>
                      <w:snapToGrid w:val="0"/>
                      <w:color w:val="000000" w:themeColor="text1"/>
                      <w:kern w:val="0"/>
                      <w:sz w:val="21"/>
                      <w:szCs w:val="21"/>
                      <w:highlight w:val="none"/>
                      <w:lang w:val="en-US" w:eastAsia="zh-CN"/>
                      <w14:textFill>
                        <w14:solidFill>
                          <w14:schemeClr w14:val="tx1"/>
                        </w14:solidFill>
                      </w14:textFill>
                    </w:rPr>
                    <w:t>现有</w:t>
                  </w:r>
                  <w:r>
                    <w:rPr>
                      <w:rFonts w:hint="eastAsia" w:cs="Times New Roman"/>
                      <w:bCs/>
                      <w:snapToGrid w:val="0"/>
                      <w:color w:val="000000" w:themeColor="text1"/>
                      <w:kern w:val="0"/>
                      <w:sz w:val="21"/>
                      <w:szCs w:val="21"/>
                      <w:highlight w:val="none"/>
                      <w:lang w:val="en-US" w:eastAsia="zh-CN" w:bidi="ar-SA"/>
                      <w14:textFill>
                        <w14:solidFill>
                          <w14:schemeClr w14:val="tx1"/>
                        </w14:solidFill>
                      </w14:textFill>
                    </w:rPr>
                    <w:t>生产车间内进行改建，只扩建1座成品库，符合规划指导思想。</w:t>
                  </w:r>
                </w:p>
              </w:tc>
              <w:tc>
                <w:tcPr>
                  <w:tcW w:w="432" w:type="pct"/>
                  <w:tcBorders>
                    <w:tl2br w:val="nil"/>
                    <w:tr2bl w:val="nil"/>
                  </w:tcBorders>
                  <w:noWrap w:val="0"/>
                  <w:vAlign w:val="center"/>
                </w:tcPr>
                <w:p w14:paraId="2548F250">
                  <w:pPr>
                    <w:pStyle w:val="114"/>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bCs/>
                      <w:snapToGrid w:val="0"/>
                      <w:color w:val="000000" w:themeColor="text1"/>
                      <w:kern w:val="0"/>
                      <w:sz w:val="21"/>
                      <w:szCs w:val="21"/>
                      <w:highlight w:val="none"/>
                      <w:lang w:val="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符合</w:t>
                  </w:r>
                </w:p>
              </w:tc>
            </w:tr>
            <w:tr w14:paraId="0BA4B38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3041" w:type="pct"/>
                  <w:tcBorders>
                    <w:tl2br w:val="nil"/>
                    <w:tr2bl w:val="nil"/>
                  </w:tcBorders>
                  <w:noWrap w:val="0"/>
                  <w:vAlign w:val="center"/>
                </w:tcPr>
                <w:p w14:paraId="6657D12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t>第4</w:t>
                  </w:r>
                  <w:r>
                    <w:rPr>
                      <w:rFonts w:hint="eastAsia" w:cs="Times New Roman"/>
                      <w:bCs/>
                      <w:snapToGrid w:val="0"/>
                      <w:color w:val="000000" w:themeColor="text1"/>
                      <w:kern w:val="0"/>
                      <w:sz w:val="21"/>
                      <w:szCs w:val="21"/>
                      <w:highlight w:val="none"/>
                      <w:lang w:val="en-US" w:eastAsia="zh-CN" w:bidi="ar-SA"/>
                      <w14:textFill>
                        <w14:solidFill>
                          <w14:schemeClr w14:val="tx1"/>
                        </w14:solidFill>
                      </w14:textFill>
                    </w:rPr>
                    <w:t xml:space="preserve">条 </w:t>
                  </w:r>
                  <w:r>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t>规划原则</w:t>
                  </w:r>
                </w:p>
                <w:p w14:paraId="24068AC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pPr>
                  <w:r>
                    <w:rPr>
                      <w:rFonts w:hint="default" w:ascii="Times New Roman" w:hAnsi="Times New Roman" w:eastAsia="宋体" w:cs="Times New Roman"/>
                      <w:b/>
                      <w:bCs w:val="0"/>
                      <w:snapToGrid w:val="0"/>
                      <w:color w:val="000000" w:themeColor="text1"/>
                      <w:kern w:val="0"/>
                      <w:sz w:val="21"/>
                      <w:szCs w:val="21"/>
                      <w:highlight w:val="none"/>
                      <w:lang w:val="zh-CN" w:eastAsia="zh-CN" w:bidi="ar-SA"/>
                      <w14:textFill>
                        <w14:solidFill>
                          <w14:schemeClr w14:val="tx1"/>
                        </w14:solidFill>
                      </w14:textFill>
                    </w:rPr>
                    <w:t>底线思维，保护优先。</w:t>
                  </w:r>
                  <w:r>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t>坚持底线思维，统筹兼顾经济社会发展需要，严守国土空间安全底线，坚持耕地保护优先，坚持以水定城、以水定地、以水定人、以水定产，完善国土安全基础设施，增强空间韧性。</w:t>
                  </w:r>
                </w:p>
                <w:p w14:paraId="1EAC07C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pPr>
                  <w:r>
                    <w:rPr>
                      <w:rFonts w:hint="default" w:ascii="Times New Roman" w:hAnsi="Times New Roman" w:eastAsia="宋体" w:cs="Times New Roman"/>
                      <w:b/>
                      <w:bCs w:val="0"/>
                      <w:snapToGrid w:val="0"/>
                      <w:color w:val="000000" w:themeColor="text1"/>
                      <w:kern w:val="0"/>
                      <w:sz w:val="21"/>
                      <w:szCs w:val="21"/>
                      <w:highlight w:val="none"/>
                      <w:lang w:val="zh-CN" w:eastAsia="zh-CN" w:bidi="ar-SA"/>
                      <w14:textFill>
                        <w14:solidFill>
                          <w14:schemeClr w14:val="tx1"/>
                        </w14:solidFill>
                      </w14:textFill>
                    </w:rPr>
                    <w:t>战略引领，全域统筹。</w:t>
                  </w:r>
                  <w:r>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t>紧紧围绕国家、辽宁省及本溪市发展战略要求，把握发展趋势，明确发展目标，引领城乡高质量发展。</w:t>
                  </w:r>
                </w:p>
                <w:p w14:paraId="019D500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pPr>
                  <w:r>
                    <w:rPr>
                      <w:rFonts w:hint="default" w:ascii="Times New Roman" w:hAnsi="Times New Roman" w:eastAsia="宋体" w:cs="Times New Roman"/>
                      <w:b/>
                      <w:bCs w:val="0"/>
                      <w:snapToGrid w:val="0"/>
                      <w:color w:val="000000" w:themeColor="text1"/>
                      <w:kern w:val="0"/>
                      <w:sz w:val="21"/>
                      <w:szCs w:val="21"/>
                      <w:highlight w:val="none"/>
                      <w:lang w:val="zh-CN" w:eastAsia="zh-CN" w:bidi="ar-SA"/>
                      <w14:textFill>
                        <w14:solidFill>
                          <w14:schemeClr w14:val="tx1"/>
                        </w14:solidFill>
                      </w14:textFill>
                    </w:rPr>
                    <w:t>人民至上，高质量发展。</w:t>
                  </w:r>
                  <w:r>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t>以区域资源环境承载能力和国土空间开发适宜性评价结果为依托，优化产业、能源、水利、交通运输等空间布局与用地结构，培育壮大创新功能，促进高质量发展。</w:t>
                  </w:r>
                </w:p>
                <w:p w14:paraId="1A6817D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pPr>
                  <w:r>
                    <w:rPr>
                      <w:rFonts w:hint="default" w:ascii="Times New Roman" w:hAnsi="Times New Roman" w:eastAsia="宋体" w:cs="Times New Roman"/>
                      <w:b/>
                      <w:bCs w:val="0"/>
                      <w:snapToGrid w:val="0"/>
                      <w:color w:val="000000" w:themeColor="text1"/>
                      <w:kern w:val="0"/>
                      <w:sz w:val="21"/>
                      <w:szCs w:val="21"/>
                      <w:highlight w:val="none"/>
                      <w:lang w:val="zh-CN" w:eastAsia="zh-CN" w:bidi="ar-SA"/>
                      <w14:textFill>
                        <w14:solidFill>
                          <w14:schemeClr w14:val="tx1"/>
                        </w14:solidFill>
                      </w14:textFill>
                    </w:rPr>
                    <w:t>传承文化，彰显特色。</w:t>
                  </w:r>
                  <w:r>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t>坚定文化自信，注重文化传承，正确处理城乡建设与历史文化保护利用关系，切实做到在保护中发展、在发展中保护。</w:t>
                  </w:r>
                </w:p>
              </w:tc>
              <w:tc>
                <w:tcPr>
                  <w:tcW w:w="1526" w:type="pct"/>
                  <w:tcBorders>
                    <w:tl2br w:val="nil"/>
                    <w:tr2bl w:val="nil"/>
                  </w:tcBorders>
                  <w:noWrap w:val="0"/>
                  <w:vAlign w:val="center"/>
                </w:tcPr>
                <w:p w14:paraId="50F1AD0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本项目</w:t>
                  </w:r>
                  <w:r>
                    <w:rPr>
                      <w:rFonts w:hint="eastAsia"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厂区</w:t>
                  </w:r>
                  <w:r>
                    <w:rPr>
                      <w:rFonts w:hint="eastAsia" w:cs="Times New Roman"/>
                      <w:bCs/>
                      <w:snapToGrid w:val="0"/>
                      <w:color w:val="000000" w:themeColor="text1"/>
                      <w:kern w:val="0"/>
                      <w:sz w:val="21"/>
                      <w:szCs w:val="21"/>
                      <w:highlight w:val="none"/>
                      <w:lang w:val="en-US" w:eastAsia="zh-CN" w:bidi="ar-SA"/>
                      <w14:textFill>
                        <w14:solidFill>
                          <w14:schemeClr w14:val="tx1"/>
                        </w14:solidFill>
                      </w14:textFill>
                    </w:rPr>
                    <w:t>位于本溪经济技术开发区医药园区内，</w:t>
                  </w: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用地性质为工业用地，</w:t>
                  </w:r>
                  <w:r>
                    <w:rPr>
                      <w:rFonts w:hint="eastAsia"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不占用耕地，</w:t>
                  </w:r>
                  <w:r>
                    <w:rPr>
                      <w:rFonts w:hint="eastAsia" w:cs="Times New Roman"/>
                      <w:bCs/>
                      <w:snapToGrid w:val="0"/>
                      <w:color w:val="000000" w:themeColor="text1"/>
                      <w:kern w:val="0"/>
                      <w:sz w:val="21"/>
                      <w:szCs w:val="21"/>
                      <w:highlight w:val="none"/>
                      <w:lang w:val="en-US" w:eastAsia="zh-CN" w:bidi="ar-SA"/>
                      <w14:textFill>
                        <w14:solidFill>
                          <w14:schemeClr w14:val="tx1"/>
                        </w14:solidFill>
                      </w14:textFill>
                    </w:rPr>
                    <w:t>通过厂区合理布局，生产车间、锅炉房和污水排放口</w:t>
                  </w: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距离居住区等敏感点距离较远，</w:t>
                  </w:r>
                  <w:r>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t>厂区采取分区防渗、三级防控等措施最大限度</w:t>
                  </w:r>
                  <w:r>
                    <w:rPr>
                      <w:rFonts w:hint="eastAsia" w:cs="Times New Roman"/>
                      <w:bCs/>
                      <w:snapToGrid w:val="0"/>
                      <w:color w:val="000000" w:themeColor="text1"/>
                      <w:kern w:val="0"/>
                      <w:sz w:val="21"/>
                      <w:szCs w:val="21"/>
                      <w:highlight w:val="none"/>
                      <w:lang w:val="zh-CN" w:eastAsia="zh-CN" w:bidi="ar-SA"/>
                      <w14:textFill>
                        <w14:solidFill>
                          <w14:schemeClr w14:val="tx1"/>
                        </w14:solidFill>
                      </w14:textFill>
                    </w:rPr>
                    <w:t>地</w:t>
                  </w:r>
                  <w:r>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t>降低环境风险</w:t>
                  </w:r>
                  <w:r>
                    <w:rPr>
                      <w:rFonts w:hint="eastAsia"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t>，</w:t>
                  </w: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不会造成</w:t>
                  </w:r>
                  <w:r>
                    <w:rPr>
                      <w:rFonts w:hint="eastAsia"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水环境、土壤</w:t>
                  </w: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污染</w:t>
                  </w:r>
                  <w:r>
                    <w:rPr>
                      <w:rFonts w:hint="eastAsia"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；项目</w:t>
                  </w:r>
                  <w:r>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t>生产运行期产生的各项污染物均能做到稳定达标排放，不会对</w:t>
                  </w:r>
                  <w:r>
                    <w:rPr>
                      <w:rFonts w:hint="eastAsia"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区域环境承载能力</w:t>
                  </w:r>
                  <w:r>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t>产生明显的影响，且本项目的建设促</w:t>
                  </w:r>
                  <w:r>
                    <w:rPr>
                      <w:rFonts w:hint="eastAsia" w:cs="Times New Roman"/>
                      <w:bCs/>
                      <w:snapToGrid w:val="0"/>
                      <w:color w:val="000000" w:themeColor="text1"/>
                      <w:kern w:val="0"/>
                      <w:sz w:val="21"/>
                      <w:szCs w:val="21"/>
                      <w:highlight w:val="none"/>
                      <w:lang w:val="zh-CN" w:eastAsia="zh-CN" w:bidi="ar-SA"/>
                      <w14:textFill>
                        <w14:solidFill>
                          <w14:schemeClr w14:val="tx1"/>
                        </w14:solidFill>
                      </w14:textFill>
                    </w:rPr>
                    <w:t>进了</w:t>
                  </w:r>
                  <w:r>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t>社会经济发展</w:t>
                  </w:r>
                  <w:r>
                    <w:rPr>
                      <w:rFonts w:hint="eastAsia" w:cs="Times New Roman"/>
                      <w:bCs/>
                      <w:snapToGrid w:val="0"/>
                      <w:color w:val="000000" w:themeColor="text1"/>
                      <w:kern w:val="0"/>
                      <w:sz w:val="21"/>
                      <w:szCs w:val="21"/>
                      <w:highlight w:val="none"/>
                      <w:lang w:val="zh-CN" w:eastAsia="zh-CN" w:bidi="ar-SA"/>
                      <w14:textFill>
                        <w14:solidFill>
                          <w14:schemeClr w14:val="tx1"/>
                        </w14:solidFill>
                      </w14:textFill>
                    </w:rPr>
                    <w:t>，</w:t>
                  </w:r>
                  <w:r>
                    <w:rPr>
                      <w:rFonts w:hint="eastAsia" w:cs="Times New Roman"/>
                      <w:bCs/>
                      <w:snapToGrid w:val="0"/>
                      <w:color w:val="000000" w:themeColor="text1"/>
                      <w:kern w:val="0"/>
                      <w:sz w:val="21"/>
                      <w:szCs w:val="21"/>
                      <w:highlight w:val="none"/>
                      <w:lang w:val="en-US" w:eastAsia="zh-CN" w:bidi="ar-SA"/>
                      <w14:textFill>
                        <w14:solidFill>
                          <w14:schemeClr w14:val="tx1"/>
                        </w14:solidFill>
                      </w14:textFill>
                    </w:rPr>
                    <w:t>符合规划原则。</w:t>
                  </w:r>
                </w:p>
              </w:tc>
              <w:tc>
                <w:tcPr>
                  <w:tcW w:w="432" w:type="pct"/>
                  <w:tcBorders>
                    <w:tl2br w:val="nil"/>
                    <w:tr2bl w:val="nil"/>
                  </w:tcBorders>
                  <w:noWrap w:val="0"/>
                  <w:vAlign w:val="center"/>
                </w:tcPr>
                <w:p w14:paraId="4A58E744">
                  <w:pPr>
                    <w:pStyle w:val="114"/>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bCs/>
                      <w:snapToGrid w:val="0"/>
                      <w:color w:val="000000" w:themeColor="text1"/>
                      <w:kern w:val="0"/>
                      <w:sz w:val="21"/>
                      <w:szCs w:val="21"/>
                      <w:highlight w:val="none"/>
                      <w:lang w:val="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符合</w:t>
                  </w:r>
                </w:p>
              </w:tc>
            </w:tr>
            <w:tr w14:paraId="062149D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3041" w:type="pct"/>
                  <w:tcBorders>
                    <w:tl2br w:val="nil"/>
                    <w:tr2bl w:val="nil"/>
                  </w:tcBorders>
                  <w:noWrap w:val="0"/>
                  <w:vAlign w:val="center"/>
                </w:tcPr>
                <w:p w14:paraId="18A2BF9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t>第22条 国土空间开发保护目标</w:t>
                  </w:r>
                </w:p>
                <w:p w14:paraId="5CA3C60A">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val="0"/>
                      <w:snapToGrid w:val="0"/>
                      <w:color w:val="000000" w:themeColor="text1"/>
                      <w:kern w:val="0"/>
                      <w:sz w:val="21"/>
                      <w:szCs w:val="21"/>
                      <w:highlight w:val="none"/>
                      <w:lang w:val="zh-CN" w:eastAsia="zh-CN" w:bidi="ar-SA"/>
                      <w14:textFill>
                        <w14:solidFill>
                          <w14:schemeClr w14:val="tx1"/>
                        </w14:solidFill>
                      </w14:textFill>
                    </w:rPr>
                  </w:pPr>
                  <w:r>
                    <w:rPr>
                      <w:rFonts w:hint="default" w:ascii="Times New Roman" w:hAnsi="Times New Roman" w:eastAsia="宋体" w:cs="Times New Roman"/>
                      <w:b/>
                      <w:bCs w:val="0"/>
                      <w:snapToGrid w:val="0"/>
                      <w:color w:val="000000" w:themeColor="text1"/>
                      <w:kern w:val="0"/>
                      <w:sz w:val="21"/>
                      <w:szCs w:val="21"/>
                      <w:highlight w:val="none"/>
                      <w:lang w:val="zh-CN" w:eastAsia="zh-CN" w:bidi="ar-SA"/>
                      <w14:textFill>
                        <w14:solidFill>
                          <w14:schemeClr w14:val="tx1"/>
                        </w14:solidFill>
                      </w14:textFill>
                    </w:rPr>
                    <w:t>推动产业结构转型升级，资源利用更加节约高效。</w:t>
                  </w:r>
                  <w:r>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t>到2035年，全面建成钢铁及精深加工产业基地、生物医药产业基地，全面形成全域旅游空间高质量发展新格局，成为沈阳都市圈发展重要增长极，基本构建现代化产业体系。</w:t>
                  </w:r>
                </w:p>
              </w:tc>
              <w:tc>
                <w:tcPr>
                  <w:tcW w:w="1526" w:type="pct"/>
                  <w:tcBorders>
                    <w:tl2br w:val="nil"/>
                    <w:tr2bl w:val="nil"/>
                  </w:tcBorders>
                  <w:noWrap w:val="0"/>
                  <w:vAlign w:val="center"/>
                </w:tcPr>
                <w:p w14:paraId="2B989CD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本项目产品为中成药，为医药制造业</w:t>
                  </w:r>
                  <w:r>
                    <w:rPr>
                      <w:rFonts w:hint="eastAsia"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，符合规划产业结构和产业体系。</w:t>
                  </w:r>
                </w:p>
              </w:tc>
              <w:tc>
                <w:tcPr>
                  <w:tcW w:w="432" w:type="pct"/>
                  <w:tcBorders>
                    <w:tl2br w:val="nil"/>
                    <w:tr2bl w:val="nil"/>
                  </w:tcBorders>
                  <w:noWrap w:val="0"/>
                  <w:vAlign w:val="center"/>
                </w:tcPr>
                <w:p w14:paraId="2BB6EA37">
                  <w:pPr>
                    <w:pStyle w:val="114"/>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bCs/>
                      <w:snapToGrid w:val="0"/>
                      <w:color w:val="000000" w:themeColor="text1"/>
                      <w:kern w:val="0"/>
                      <w:sz w:val="21"/>
                      <w:szCs w:val="21"/>
                      <w:highlight w:val="none"/>
                      <w:lang w:val="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符合</w:t>
                  </w:r>
                </w:p>
              </w:tc>
            </w:tr>
            <w:tr w14:paraId="25D3D73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3041" w:type="pct"/>
                  <w:tcBorders>
                    <w:tl2br w:val="nil"/>
                    <w:tr2bl w:val="nil"/>
                  </w:tcBorders>
                  <w:noWrap w:val="0"/>
                  <w:vAlign w:val="center"/>
                </w:tcPr>
                <w:p w14:paraId="4C2AC8C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t>第</w:t>
                  </w:r>
                  <w:r>
                    <w:rPr>
                      <w:rFonts w:hint="eastAsia" w:cs="Times New Roman"/>
                      <w:bCs/>
                      <w:snapToGrid w:val="0"/>
                      <w:color w:val="000000" w:themeColor="text1"/>
                      <w:kern w:val="0"/>
                      <w:sz w:val="21"/>
                      <w:szCs w:val="21"/>
                      <w:highlight w:val="none"/>
                      <w:lang w:val="en-US" w:eastAsia="zh-CN" w:bidi="ar-SA"/>
                      <w14:textFill>
                        <w14:solidFill>
                          <w14:schemeClr w14:val="tx1"/>
                        </w14:solidFill>
                      </w14:textFill>
                    </w:rPr>
                    <w:t xml:space="preserve">26条 </w:t>
                  </w:r>
                  <w:r>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t>科学划定生态保护红线</w:t>
                  </w:r>
                </w:p>
                <w:p w14:paraId="4CDB9319">
                  <w:pPr>
                    <w:keepNext w:val="0"/>
                    <w:keepLines w:val="0"/>
                    <w:widowControl/>
                    <w:numPr>
                      <w:ilvl w:val="0"/>
                      <w:numId w:val="0"/>
                    </w:numPr>
                    <w:suppressLineNumbers w:val="0"/>
                    <w:spacing w:before="0" w:beforeAutospacing="0" w:after="0" w:afterAutospacing="0"/>
                    <w:ind w:left="0" w:right="0"/>
                    <w:jc w:val="left"/>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val="0"/>
                      <w:snapToGrid w:val="0"/>
                      <w:color w:val="000000" w:themeColor="text1"/>
                      <w:kern w:val="0"/>
                      <w:sz w:val="21"/>
                      <w:szCs w:val="21"/>
                      <w:highlight w:val="none"/>
                      <w:lang w:val="zh-CN" w:eastAsia="zh-CN" w:bidi="ar-SA"/>
                      <w14:textFill>
                        <w14:solidFill>
                          <w14:schemeClr w14:val="tx1"/>
                        </w14:solidFill>
                      </w14:textFill>
                    </w:rPr>
                    <w:t>强化生态保护红线管控。</w:t>
                  </w:r>
                  <w:r>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t>生态保护红线内，自然保护地核心保护区原则上禁止人为活动，其他区域严格禁止开发性、生产性建设活动，在符合法律法规的前提下，仅允许对生态功能不造成破坏的有限人为活动，并加强管理和监管。</w:t>
                  </w:r>
                </w:p>
              </w:tc>
              <w:tc>
                <w:tcPr>
                  <w:tcW w:w="1526" w:type="pct"/>
                  <w:tcBorders>
                    <w:tl2br w:val="nil"/>
                    <w:tr2bl w:val="nil"/>
                  </w:tcBorders>
                  <w:noWrap w:val="0"/>
                  <w:vAlign w:val="center"/>
                </w:tcPr>
                <w:p w14:paraId="60CA358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本项目用地性质为工业用地，</w:t>
                  </w:r>
                  <w:r>
                    <w:rPr>
                      <w:rFonts w:hint="default" w:ascii="Times New Roman" w:hAnsi="Times New Roman" w:eastAsia="宋体" w:cs="Times New Roman"/>
                      <w:color w:val="000000" w:themeColor="text1"/>
                      <w:sz w:val="21"/>
                      <w:szCs w:val="21"/>
                      <w:highlight w:val="none"/>
                      <w14:textFill>
                        <w14:solidFill>
                          <w14:schemeClr w14:val="tx1"/>
                        </w14:solidFill>
                      </w14:textFill>
                    </w:rPr>
                    <w:t>不在</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本溪市</w:t>
                  </w:r>
                  <w:r>
                    <w:rPr>
                      <w:rFonts w:hint="default" w:ascii="Times New Roman" w:hAnsi="Times New Roman" w:eastAsia="宋体" w:cs="Times New Roman"/>
                      <w:color w:val="000000" w:themeColor="text1"/>
                      <w:sz w:val="21"/>
                      <w:szCs w:val="21"/>
                      <w:highlight w:val="none"/>
                      <w14:textFill>
                        <w14:solidFill>
                          <w14:schemeClr w14:val="tx1"/>
                        </w14:solidFill>
                      </w14:textFill>
                    </w:rPr>
                    <w:t>生态保护红线</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范围</w:t>
                  </w:r>
                  <w:r>
                    <w:rPr>
                      <w:rFonts w:hint="default" w:ascii="Times New Roman" w:hAnsi="Times New Roman" w:eastAsia="宋体" w:cs="Times New Roman"/>
                      <w:color w:val="000000" w:themeColor="text1"/>
                      <w:sz w:val="21"/>
                      <w:szCs w:val="21"/>
                      <w:highlight w:val="none"/>
                      <w14:textFill>
                        <w14:solidFill>
                          <w14:schemeClr w14:val="tx1"/>
                        </w14:solidFill>
                      </w14:textFill>
                    </w:rPr>
                    <w:t>内</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详见附图6</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c>
                <w:tcPr>
                  <w:tcW w:w="432" w:type="pct"/>
                  <w:tcBorders>
                    <w:tl2br w:val="nil"/>
                    <w:tr2bl w:val="nil"/>
                  </w:tcBorders>
                  <w:noWrap w:val="0"/>
                  <w:vAlign w:val="center"/>
                </w:tcPr>
                <w:p w14:paraId="0158EA43">
                  <w:pPr>
                    <w:pStyle w:val="114"/>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bCs/>
                      <w:snapToGrid w:val="0"/>
                      <w:color w:val="000000" w:themeColor="text1"/>
                      <w:kern w:val="0"/>
                      <w:sz w:val="21"/>
                      <w:szCs w:val="21"/>
                      <w:highlight w:val="none"/>
                      <w:lang w:val="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符合</w:t>
                  </w:r>
                </w:p>
              </w:tc>
            </w:tr>
            <w:tr w14:paraId="548E454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3041" w:type="pct"/>
                  <w:tcBorders>
                    <w:tl2br w:val="nil"/>
                    <w:tr2bl w:val="nil"/>
                  </w:tcBorders>
                  <w:noWrap w:val="0"/>
                  <w:vAlign w:val="center"/>
                </w:tcPr>
                <w:p w14:paraId="19A5A21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t>第47条 强化水资源保护</w:t>
                  </w:r>
                </w:p>
                <w:p w14:paraId="53C575E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val="0"/>
                      <w:snapToGrid w:val="0"/>
                      <w:color w:val="000000" w:themeColor="text1"/>
                      <w:kern w:val="0"/>
                      <w:sz w:val="21"/>
                      <w:szCs w:val="21"/>
                      <w:highlight w:val="none"/>
                      <w:lang w:val="zh-CN" w:eastAsia="zh-CN" w:bidi="ar-SA"/>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t>项目选址中，涉及饮用水水源保护区时，按照《中华人民共和国水污染防治法》《辽宁省水污染防治条例》等相关规定执行。</w:t>
                  </w:r>
                </w:p>
              </w:tc>
              <w:tc>
                <w:tcPr>
                  <w:tcW w:w="1526" w:type="pct"/>
                  <w:tcBorders>
                    <w:tl2br w:val="nil"/>
                    <w:tr2bl w:val="nil"/>
                  </w:tcBorders>
                  <w:noWrap w:val="0"/>
                  <w:vAlign w:val="center"/>
                </w:tcPr>
                <w:p w14:paraId="72F16A2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本项目为</w:t>
                  </w:r>
                  <w:r>
                    <w:rPr>
                      <w:rFonts w:hint="eastAsia" w:cs="Times New Roman"/>
                      <w:bCs/>
                      <w:snapToGrid w:val="0"/>
                      <w:color w:val="000000" w:themeColor="text1"/>
                      <w:kern w:val="0"/>
                      <w:sz w:val="21"/>
                      <w:szCs w:val="21"/>
                      <w:highlight w:val="none"/>
                      <w:lang w:val="en-US" w:eastAsia="zh-CN" w:bidi="ar-SA"/>
                      <w14:textFill>
                        <w14:solidFill>
                          <w14:schemeClr w14:val="tx1"/>
                        </w14:solidFill>
                      </w14:textFill>
                    </w:rPr>
                    <w:t>改</w:t>
                  </w: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扩建项目，用地性质为工业用地</w:t>
                  </w:r>
                  <w:r>
                    <w:rPr>
                      <w:rFonts w:hint="eastAsia"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，不涉及</w:t>
                  </w:r>
                  <w:r>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t>饮用水水源保护区</w:t>
                  </w:r>
                  <w:r>
                    <w:rPr>
                      <w:rFonts w:hint="eastAsia"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t>。</w:t>
                  </w:r>
                </w:p>
              </w:tc>
              <w:tc>
                <w:tcPr>
                  <w:tcW w:w="432" w:type="pct"/>
                  <w:tcBorders>
                    <w:tl2br w:val="nil"/>
                    <w:tr2bl w:val="nil"/>
                  </w:tcBorders>
                  <w:noWrap w:val="0"/>
                  <w:vAlign w:val="center"/>
                </w:tcPr>
                <w:p w14:paraId="3B6740C2">
                  <w:pPr>
                    <w:pStyle w:val="114"/>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bCs/>
                      <w:snapToGrid w:val="0"/>
                      <w:color w:val="000000" w:themeColor="text1"/>
                      <w:kern w:val="0"/>
                      <w:sz w:val="21"/>
                      <w:szCs w:val="21"/>
                      <w:highlight w:val="none"/>
                      <w:lang w:val="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符合</w:t>
                  </w:r>
                </w:p>
              </w:tc>
            </w:tr>
          </w:tbl>
          <w:p w14:paraId="05A4BF09">
            <w:pPr>
              <w:keepNext w:val="0"/>
              <w:keepLines w:val="0"/>
              <w:widowControl/>
              <w:numPr>
                <w:ilvl w:val="0"/>
                <w:numId w:val="0"/>
              </w:numPr>
              <w:suppressLineNumbers w:val="0"/>
              <w:adjustRightInd w:val="0"/>
              <w:snapToGrid w:val="0"/>
              <w:spacing w:before="0" w:beforeAutospacing="0" w:after="0" w:afterAutospacing="0" w:line="360" w:lineRule="auto"/>
              <w:ind w:left="0" w:leftChars="0" w:right="0" w:rightChars="0" w:firstLine="480" w:firstLineChars="200"/>
              <w:jc w:val="left"/>
              <w:rPr>
                <w:rFonts w:hint="default" w:ascii="Times New Roman" w:hAnsi="Times New Roman"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cs="Times New Roman"/>
                <w:color w:val="000000" w:themeColor="text1"/>
                <w:kern w:val="0"/>
                <w:sz w:val="24"/>
                <w:szCs w:val="24"/>
                <w:highlight w:val="none"/>
                <w:lang w:bidi="ar"/>
                <w14:textFill>
                  <w14:solidFill>
                    <w14:schemeClr w14:val="tx1"/>
                  </w14:solidFill>
                </w14:textFill>
              </w:rPr>
              <w:t>综上所述</w:t>
            </w:r>
            <w:r>
              <w:rPr>
                <w:rFonts w:hint="default" w:ascii="Times New Roman" w:hAnsi="Times New Roman" w:cs="Times New Roman"/>
                <w:color w:val="000000" w:themeColor="text1"/>
                <w:kern w:val="0"/>
                <w:sz w:val="24"/>
                <w:szCs w:val="24"/>
                <w:highlight w:val="none"/>
                <w:lang w:eastAsia="zh-CN" w:bidi="ar"/>
                <w14:textFill>
                  <w14:solidFill>
                    <w14:schemeClr w14:val="tx1"/>
                  </w14:solidFill>
                </w14:textFill>
              </w:rPr>
              <w:t>，</w:t>
            </w:r>
            <w:r>
              <w:rPr>
                <w:rFonts w:hint="default" w:ascii="Times New Roman" w:hAnsi="Times New Roman" w:cs="Times New Roman"/>
                <w:color w:val="000000" w:themeColor="text1"/>
                <w:kern w:val="0"/>
                <w:sz w:val="24"/>
                <w:szCs w:val="24"/>
                <w:highlight w:val="none"/>
                <w:lang w:bidi="ar"/>
                <w14:textFill>
                  <w14:solidFill>
                    <w14:schemeClr w14:val="tx1"/>
                  </w14:solidFill>
                </w14:textFill>
              </w:rPr>
              <w:t>本项目符合《本溪市国土空间总体规划（2021—2035年）》</w:t>
            </w:r>
            <w:r>
              <w:rPr>
                <w:rFonts w:hint="default" w:ascii="Times New Roman" w:hAnsi="Times New Roman" w:cs="Times New Roman"/>
                <w:color w:val="000000" w:themeColor="text1"/>
                <w:kern w:val="0"/>
                <w:sz w:val="24"/>
                <w:szCs w:val="24"/>
                <w:highlight w:val="none"/>
                <w:lang w:val="en-US" w:eastAsia="zh-CN" w:bidi="ar"/>
                <w14:textFill>
                  <w14:solidFill>
                    <w14:schemeClr w14:val="tx1"/>
                  </w14:solidFill>
                </w14:textFill>
              </w:rPr>
              <w:t>规划要求。</w:t>
            </w:r>
          </w:p>
          <w:p w14:paraId="23EF8106">
            <w:pPr>
              <w:keepNext w:val="0"/>
              <w:keepLines w:val="0"/>
              <w:pageBreakBefore w:val="0"/>
              <w:widowControl w:val="0"/>
              <w:suppressLineNumbers w:val="0"/>
              <w:kinsoku/>
              <w:wordWrap/>
              <w:overflowPunct/>
              <w:topLinePunct w:val="0"/>
              <w:autoSpaceDE/>
              <w:autoSpaceDN/>
              <w:bidi w:val="0"/>
              <w:adjustRightInd w:val="0"/>
              <w:snapToGrid w:val="0"/>
              <w:spacing w:before="120" w:beforeLines="50" w:beforeAutospacing="0" w:after="0" w:afterAutospacing="0" w:line="360" w:lineRule="auto"/>
              <w:ind w:left="0" w:right="0"/>
              <w:textAlignment w:val="auto"/>
              <w:rPr>
                <w:rFonts w:hint="default"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pPr>
            <w:r>
              <w:rPr>
                <w:rFonts w:hint="eastAsia" w:cs="Times New Roman"/>
                <w:b/>
                <w:bCs/>
                <w:color w:val="000000" w:themeColor="text1"/>
                <w:kern w:val="0"/>
                <w:sz w:val="24"/>
                <w:szCs w:val="24"/>
                <w:highlight w:val="none"/>
                <w:lang w:val="en-US" w:eastAsia="zh-CN" w:bidi="en-US"/>
                <w14:textFill>
                  <w14:solidFill>
                    <w14:schemeClr w14:val="tx1"/>
                  </w14:solidFill>
                </w14:textFill>
              </w:rPr>
              <w:t>2</w:t>
            </w:r>
            <w:r>
              <w:rPr>
                <w:rFonts w:hint="default"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t>、本项目与辽宁省人民政府关于《本溪市国土空间总体规划（2021—2035年）》的批复符合性分析</w:t>
            </w:r>
          </w:p>
          <w:p w14:paraId="1B8E6875">
            <w:pPr>
              <w:keepNext w:val="0"/>
              <w:keepLines w:val="0"/>
              <w:numPr>
                <w:ilvl w:val="0"/>
                <w:numId w:val="2"/>
              </w:numPr>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eastAsia"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本项目</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与辽宁省人民政府关于《本溪市国土空间总体规划（2021—2035年）》的批复的符合性分析</w:t>
            </w:r>
          </w:p>
          <w:tbl>
            <w:tblPr>
              <w:tblStyle w:val="35"/>
              <w:tblW w:w="4998"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450"/>
              <w:gridCol w:w="2356"/>
              <w:gridCol w:w="645"/>
            </w:tblGrid>
            <w:tr w14:paraId="3BD2B1D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6" w:type="pct"/>
                  <w:tcBorders>
                    <w:tl2br w:val="nil"/>
                    <w:tr2bl w:val="nil"/>
                  </w:tcBorders>
                  <w:noWrap w:val="0"/>
                  <w:vAlign w:val="center"/>
                </w:tcPr>
                <w:p w14:paraId="7DD2E0BA">
                  <w:pPr>
                    <w:pStyle w:val="114"/>
                    <w:keepNext w:val="0"/>
                    <w:keepLines w:val="0"/>
                    <w:suppressLineNumbers w:val="0"/>
                    <w:spacing w:before="0" w:beforeAutospacing="0" w:after="0" w:afterAutospacing="0"/>
                    <w:ind w:left="0" w:right="0"/>
                    <w:rPr>
                      <w:rFonts w:hint="default" w:ascii="Times New Roman" w:hAnsi="Times New Roman" w:eastAsia="宋体" w:cs="Times New Roman"/>
                      <w:b/>
                      <w:bCs w:val="0"/>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b/>
                      <w:bCs w:val="0"/>
                      <w:snapToGrid w:val="0"/>
                      <w:color w:val="000000" w:themeColor="text1"/>
                      <w:kern w:val="0"/>
                      <w:sz w:val="21"/>
                      <w:szCs w:val="21"/>
                      <w:highlight w:val="none"/>
                      <w:lang w:val="en-US" w:eastAsia="zh-CN" w:bidi="ar-SA"/>
                      <w14:textFill>
                        <w14:solidFill>
                          <w14:schemeClr w14:val="tx1"/>
                        </w14:solidFill>
                      </w14:textFill>
                    </w:rPr>
                    <w:t>规划</w:t>
                  </w:r>
                  <w:r>
                    <w:rPr>
                      <w:rFonts w:hint="default" w:ascii="Times New Roman" w:hAnsi="Times New Roman" w:eastAsia="宋体" w:cs="Times New Roman"/>
                      <w:b/>
                      <w:bCs w:val="0"/>
                      <w:snapToGrid w:val="0"/>
                      <w:color w:val="000000" w:themeColor="text1"/>
                      <w:kern w:val="0"/>
                      <w:sz w:val="21"/>
                      <w:szCs w:val="21"/>
                      <w:highlight w:val="none"/>
                      <w:lang w:val="en-US" w:eastAsia="zh-CN" w:bidi="ar-SA"/>
                      <w14:textFill>
                        <w14:solidFill>
                          <w14:schemeClr w14:val="tx1"/>
                        </w14:solidFill>
                      </w14:textFill>
                    </w:rPr>
                    <w:t>批复要求</w:t>
                  </w:r>
                </w:p>
              </w:tc>
              <w:tc>
                <w:tcPr>
                  <w:tcW w:w="1581" w:type="pct"/>
                  <w:tcBorders>
                    <w:tl2br w:val="nil"/>
                    <w:tr2bl w:val="nil"/>
                  </w:tcBorders>
                  <w:noWrap w:val="0"/>
                  <w:vAlign w:val="center"/>
                </w:tcPr>
                <w:p w14:paraId="664964AF">
                  <w:pPr>
                    <w:pStyle w:val="114"/>
                    <w:keepNext w:val="0"/>
                    <w:keepLines w:val="0"/>
                    <w:suppressLineNumbers w:val="0"/>
                    <w:spacing w:before="0" w:beforeAutospacing="0" w:after="0" w:afterAutospacing="0"/>
                    <w:ind w:left="0" w:right="0"/>
                    <w:rPr>
                      <w:rFonts w:hint="default" w:ascii="Times New Roman" w:hAnsi="Times New Roman" w:eastAsia="宋体" w:cs="Times New Roman"/>
                      <w:b/>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szCs w:val="21"/>
                      <w:highlight w:val="none"/>
                      <w:lang w:val="en-US" w:eastAsia="zh-CN"/>
                      <w14:textFill>
                        <w14:solidFill>
                          <w14:schemeClr w14:val="tx1"/>
                        </w14:solidFill>
                      </w14:textFill>
                    </w:rPr>
                    <w:t>本</w:t>
                  </w:r>
                  <w:r>
                    <w:rPr>
                      <w:rFonts w:hint="default" w:ascii="Times New Roman" w:hAnsi="Times New Roman" w:eastAsia="宋体" w:cs="Times New Roman"/>
                      <w:b/>
                      <w:bCs/>
                      <w:color w:val="000000" w:themeColor="text1"/>
                      <w:szCs w:val="21"/>
                      <w:highlight w:val="none"/>
                      <w14:textFill>
                        <w14:solidFill>
                          <w14:schemeClr w14:val="tx1"/>
                        </w14:solidFill>
                      </w14:textFill>
                    </w:rPr>
                    <w:t>项目情况</w:t>
                  </w:r>
                </w:p>
              </w:tc>
              <w:tc>
                <w:tcPr>
                  <w:tcW w:w="432" w:type="pct"/>
                  <w:tcBorders>
                    <w:tl2br w:val="nil"/>
                    <w:tr2bl w:val="nil"/>
                  </w:tcBorders>
                  <w:noWrap w:val="0"/>
                  <w:tcMar>
                    <w:top w:w="0" w:type="dxa"/>
                    <w:left w:w="0" w:type="dxa"/>
                    <w:bottom w:w="0" w:type="dxa"/>
                    <w:right w:w="0" w:type="dxa"/>
                  </w:tcMar>
                  <w:vAlign w:val="center"/>
                </w:tcPr>
                <w:p w14:paraId="688EF704">
                  <w:pPr>
                    <w:pStyle w:val="114"/>
                    <w:keepNext w:val="0"/>
                    <w:keepLines w:val="0"/>
                    <w:suppressLineNumbers w:val="0"/>
                    <w:spacing w:before="0" w:beforeAutospacing="0" w:after="0" w:afterAutospacing="0"/>
                    <w:ind w:left="0" w:right="0"/>
                    <w:rPr>
                      <w:rFonts w:hint="default" w:ascii="Times New Roman" w:hAnsi="Times New Roman" w:eastAsia="宋体" w:cs="Times New Roman"/>
                      <w:b/>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lang w:val="en-US" w:eastAsia="zh-CN"/>
                      <w14:textFill>
                        <w14:solidFill>
                          <w14:schemeClr w14:val="tx1"/>
                        </w14:solidFill>
                      </w14:textFill>
                    </w:rPr>
                    <w:t>相符性</w:t>
                  </w:r>
                </w:p>
              </w:tc>
            </w:tr>
            <w:tr w14:paraId="7D19B0D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2986" w:type="pct"/>
                  <w:tcBorders>
                    <w:tl2br w:val="nil"/>
                    <w:tr2bl w:val="nil"/>
                  </w:tcBorders>
                  <w:noWrap w:val="0"/>
                  <w:vAlign w:val="center"/>
                </w:tcPr>
                <w:p w14:paraId="0BDB71E1">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t>二、筑牢安全发展的空间基础。到2035年，本溪市耕地保有量不低于123.37万亩，其中永久基本农田保护面积不低于107.19万亩；生态保护红线面积不低于3407.97平方千米；城镇开发边界扩展倍数控制在基于2020年城镇建设用地规模的1.18倍以内。单位地区生产总值建设用地使用面积下降不少于40%；用水总量不超过省下达指标，其中2025年不超过3.45亿立方米。明确自然灾害风险重点防控区域，划定洪涝等风险控制线以及绿地系统线、水体保护线、历史文化保护线和基础设施保护线，落实战略性矿产资源等安全保障空间，全面锚固高质量发展的空间底线。</w:t>
                  </w:r>
                </w:p>
              </w:tc>
              <w:tc>
                <w:tcPr>
                  <w:tcW w:w="1581" w:type="pct"/>
                  <w:tcBorders>
                    <w:tl2br w:val="nil"/>
                    <w:tr2bl w:val="nil"/>
                  </w:tcBorders>
                  <w:noWrap w:val="0"/>
                  <w:vAlign w:val="center"/>
                </w:tcPr>
                <w:p w14:paraId="2E06F623">
                  <w:pPr>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本项目位于</w:t>
                  </w:r>
                  <w:r>
                    <w:rPr>
                      <w:rFonts w:hint="eastAsia" w:cs="Times New Roman"/>
                      <w:color w:val="000000" w:themeColor="text1"/>
                      <w:sz w:val="21"/>
                      <w:szCs w:val="21"/>
                      <w:highlight w:val="none"/>
                      <w:lang w:eastAsia="zh-CN"/>
                      <w14:textFill>
                        <w14:solidFill>
                          <w14:schemeClr w14:val="tx1"/>
                        </w14:solidFill>
                      </w14:textFill>
                    </w:rPr>
                    <w:t>辽宁省本溪经济技术开发区医药园区</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用地性质为工业用地</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不占用耕地、不在生态红线内、位于</w:t>
                  </w:r>
                  <w:r>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t>城镇开发边界</w:t>
                  </w:r>
                  <w:r>
                    <w:rPr>
                      <w:rFonts w:hint="eastAsia" w:eastAsia="宋体" w:cs="Times New Roman"/>
                      <w:bCs/>
                      <w:snapToGrid w:val="0"/>
                      <w:color w:val="000000" w:themeColor="text1"/>
                      <w:kern w:val="0"/>
                      <w:sz w:val="21"/>
                      <w:szCs w:val="21"/>
                      <w:highlight w:val="none"/>
                      <w:lang w:val="en-US" w:eastAsia="zh-CN" w:bidi="ar-SA"/>
                      <w14:textFill>
                        <w14:solidFill>
                          <w14:schemeClr w14:val="tx1"/>
                        </w14:solidFill>
                      </w14:textFill>
                    </w:rPr>
                    <w:t>内</w:t>
                  </w: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符合规划</w:t>
                  </w:r>
                  <w:r>
                    <w:rPr>
                      <w:rFonts w:hint="eastAsia" w:cs="Times New Roman"/>
                      <w:color w:val="000000" w:themeColor="text1"/>
                      <w:sz w:val="21"/>
                      <w:szCs w:val="21"/>
                      <w:highlight w:val="none"/>
                      <w:lang w:val="en-US" w:eastAsia="zh-CN"/>
                      <w14:textFill>
                        <w14:solidFill>
                          <w14:schemeClr w14:val="tx1"/>
                        </w14:solidFill>
                      </w14:textFill>
                    </w:rPr>
                    <w:t>安全发展的空间要求</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c>
                <w:tcPr>
                  <w:tcW w:w="432" w:type="pct"/>
                  <w:tcBorders>
                    <w:tl2br w:val="nil"/>
                    <w:tr2bl w:val="nil"/>
                  </w:tcBorders>
                  <w:noWrap w:val="0"/>
                  <w:vAlign w:val="center"/>
                </w:tcPr>
                <w:p w14:paraId="06AC641D">
                  <w:pPr>
                    <w:pStyle w:val="114"/>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符合</w:t>
                  </w:r>
                </w:p>
              </w:tc>
            </w:tr>
            <w:tr w14:paraId="16528E5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2986" w:type="pct"/>
                  <w:tcBorders>
                    <w:tl2br w:val="nil"/>
                    <w:tr2bl w:val="nil"/>
                  </w:tcBorders>
                  <w:noWrap w:val="0"/>
                  <w:vAlign w:val="center"/>
                </w:tcPr>
                <w:p w14:paraId="1055172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三、构建支撑新发展格局的国土空间体系。深入实施区域协调发展战略、区域重大战略、主体功能区战略、新型城镇化战略和乡村振兴战略，促进形成主体功能明显、优势互补、高质量发展的国土空间开发保护新格局。主动参与共建“一带一路”，深度融入东北东部绿色经济带、沈阳都市圈、辽东绿色经济区建设，努力在钢铁及精深加工、生物医药产业、全域旅游、辽东绿色生态屏障建设等方面发挥重要支撑作用。</w:t>
                  </w:r>
                </w:p>
              </w:tc>
              <w:tc>
                <w:tcPr>
                  <w:tcW w:w="1581" w:type="pct"/>
                  <w:tcBorders>
                    <w:tl2br w:val="nil"/>
                    <w:tr2bl w:val="nil"/>
                  </w:tcBorders>
                  <w:noWrap w:val="0"/>
                  <w:vAlign w:val="center"/>
                </w:tcPr>
                <w:p w14:paraId="63A7E19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bCs/>
                      <w:snapToGrid w:val="0"/>
                      <w:color w:val="000000" w:themeColor="text1"/>
                      <w:kern w:val="0"/>
                      <w:sz w:val="21"/>
                      <w:szCs w:val="21"/>
                      <w:highlight w:val="none"/>
                      <w:lang w:val="en-US" w:eastAsia="zh-CN"/>
                      <w14:textFill>
                        <w14:solidFill>
                          <w14:schemeClr w14:val="tx1"/>
                        </w14:solidFill>
                      </w14:textFill>
                    </w:rPr>
                  </w:pPr>
                  <w:r>
                    <w:rPr>
                      <w:rFonts w:hint="eastAsia" w:cs="Times New Roman"/>
                      <w:bCs/>
                      <w:snapToGrid w:val="0"/>
                      <w:color w:val="000000" w:themeColor="text1"/>
                      <w:kern w:val="0"/>
                      <w:sz w:val="21"/>
                      <w:szCs w:val="21"/>
                      <w:highlight w:val="none"/>
                      <w:lang w:val="en-US" w:eastAsia="zh-CN"/>
                      <w14:textFill>
                        <w14:solidFill>
                          <w14:schemeClr w14:val="tx1"/>
                        </w14:solidFill>
                      </w14:textFill>
                    </w:rPr>
                    <w:t>本项目行业类别为C2740中成药生产，符合</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规划</w:t>
                  </w:r>
                  <w:r>
                    <w:rPr>
                      <w:rFonts w:hint="eastAsia" w:eastAsia="宋体" w:cs="Times New Roman"/>
                      <w:color w:val="000000" w:themeColor="text1"/>
                      <w:sz w:val="21"/>
                      <w:szCs w:val="21"/>
                      <w:highlight w:val="none"/>
                      <w:lang w:val="en-US" w:eastAsia="zh-CN"/>
                      <w14:textFill>
                        <w14:solidFill>
                          <w14:schemeClr w14:val="tx1"/>
                        </w14:solidFill>
                      </w14:textFill>
                    </w:rPr>
                    <w:t>产业定位和国土空间体系。</w:t>
                  </w:r>
                </w:p>
              </w:tc>
              <w:tc>
                <w:tcPr>
                  <w:tcW w:w="432" w:type="pct"/>
                  <w:tcBorders>
                    <w:tl2br w:val="nil"/>
                    <w:tr2bl w:val="nil"/>
                  </w:tcBorders>
                  <w:noWrap w:val="0"/>
                  <w:vAlign w:val="center"/>
                </w:tcPr>
                <w:p w14:paraId="6528E919">
                  <w:pPr>
                    <w:keepNext w:val="0"/>
                    <w:keepLines w:val="0"/>
                    <w:suppressLineNumbers w:val="0"/>
                    <w:spacing w:before="0" w:beforeAutospacing="0" w:after="0" w:afterAutospacing="0"/>
                    <w:ind w:left="0" w:right="0"/>
                    <w:rPr>
                      <w:rFonts w:hint="default" w:ascii="Times New Roman" w:hAnsi="Times New Roman" w:eastAsia="宋体" w:cs="Times New Roman"/>
                      <w:bCs/>
                      <w:snapToGrid w:val="0"/>
                      <w:color w:val="000000" w:themeColor="text1"/>
                      <w:kern w:val="0"/>
                      <w:sz w:val="21"/>
                      <w:szCs w:val="21"/>
                      <w:highlight w:val="none"/>
                      <w:lang w:val="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符合</w:t>
                  </w:r>
                </w:p>
              </w:tc>
            </w:tr>
            <w:tr w14:paraId="07FD64B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2986" w:type="pct"/>
                  <w:tcBorders>
                    <w:tl2br w:val="nil"/>
                    <w:tr2bl w:val="nil"/>
                  </w:tcBorders>
                  <w:noWrap w:val="0"/>
                  <w:vAlign w:val="center"/>
                </w:tcPr>
                <w:p w14:paraId="2EEE7D3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t>四、优化国土空间开发保护格局。以“三区三线”为基础，落实细化主体功能区划分，统筹农业、生态、城镇空间。保障产业与创新建设空间，优化产业空间布局，提升产业承载能力，重点推动战略性新兴产业、先进制造业发展，提高建设用地使用效率，促进城乡建设方式由扩张增量向盘活存量、优化结构、提升质量转变。</w:t>
                  </w:r>
                </w:p>
              </w:tc>
              <w:tc>
                <w:tcPr>
                  <w:tcW w:w="1581" w:type="pct"/>
                  <w:tcBorders>
                    <w:tl2br w:val="nil"/>
                    <w:tr2bl w:val="nil"/>
                  </w:tcBorders>
                  <w:noWrap w:val="0"/>
                  <w:vAlign w:val="center"/>
                </w:tcPr>
                <w:p w14:paraId="6F8844C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本项目</w:t>
                  </w:r>
                  <w:r>
                    <w:rPr>
                      <w:rFonts w:hint="eastAsia" w:cs="Times New Roman"/>
                      <w:bCs/>
                      <w:snapToGrid w:val="0"/>
                      <w:color w:val="000000" w:themeColor="text1"/>
                      <w:kern w:val="0"/>
                      <w:sz w:val="21"/>
                      <w:szCs w:val="21"/>
                      <w:highlight w:val="none"/>
                      <w:lang w:val="en-US" w:eastAsia="zh-CN" w:bidi="ar-SA"/>
                      <w14:textFill>
                        <w14:solidFill>
                          <w14:schemeClr w14:val="tx1"/>
                        </w14:solidFill>
                      </w14:textFill>
                    </w:rPr>
                    <w:t>位于城镇空间建成区范围内</w:t>
                  </w: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，用地性质为工业用地</w:t>
                  </w:r>
                  <w:r>
                    <w:rPr>
                      <w:rFonts w:hint="eastAsia"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w:t>
                  </w:r>
                  <w:r>
                    <w:rPr>
                      <w:rFonts w:hint="eastAsia" w:eastAsia="宋体" w:cs="Times New Roman"/>
                      <w:bCs/>
                      <w:snapToGrid w:val="0"/>
                      <w:color w:val="000000" w:themeColor="text1"/>
                      <w:kern w:val="0"/>
                      <w:sz w:val="21"/>
                      <w:szCs w:val="21"/>
                      <w:highlight w:val="none"/>
                      <w:lang w:val="en-US" w:eastAsia="zh-CN" w:bidi="ar-SA"/>
                      <w14:textFill>
                        <w14:solidFill>
                          <w14:schemeClr w14:val="tx1"/>
                        </w14:solidFill>
                      </w14:textFill>
                    </w:rPr>
                    <w:t>符合</w:t>
                  </w:r>
                  <w:r>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t>国土空间开发保护格局</w:t>
                  </w:r>
                  <w:r>
                    <w:rPr>
                      <w:rFonts w:hint="eastAsia" w:eastAsia="宋体" w:cs="Times New Roman"/>
                      <w:bCs/>
                      <w:snapToGrid w:val="0"/>
                      <w:color w:val="000000" w:themeColor="text1"/>
                      <w:kern w:val="0"/>
                      <w:sz w:val="21"/>
                      <w:szCs w:val="21"/>
                      <w:highlight w:val="none"/>
                      <w:lang w:val="zh-CN" w:eastAsia="zh-CN" w:bidi="ar-SA"/>
                      <w14:textFill>
                        <w14:solidFill>
                          <w14:schemeClr w14:val="tx1"/>
                        </w14:solidFill>
                      </w14:textFill>
                    </w:rPr>
                    <w:t>。</w:t>
                  </w:r>
                </w:p>
              </w:tc>
              <w:tc>
                <w:tcPr>
                  <w:tcW w:w="432" w:type="pct"/>
                  <w:tcBorders>
                    <w:tl2br w:val="nil"/>
                    <w:tr2bl w:val="nil"/>
                  </w:tcBorders>
                  <w:noWrap w:val="0"/>
                  <w:vAlign w:val="center"/>
                </w:tcPr>
                <w:p w14:paraId="677102F1">
                  <w:pPr>
                    <w:keepNext w:val="0"/>
                    <w:keepLines w:val="0"/>
                    <w:suppressLineNumbers w:val="0"/>
                    <w:spacing w:before="0" w:beforeAutospacing="0" w:after="0" w:afterAutospacing="0"/>
                    <w:ind w:left="0" w:right="0"/>
                    <w:rPr>
                      <w:rFonts w:hint="default" w:ascii="Times New Roman" w:hAnsi="Times New Roman" w:eastAsia="宋体" w:cs="Times New Roman"/>
                      <w:bCs/>
                      <w:snapToGrid w:val="0"/>
                      <w:color w:val="000000" w:themeColor="text1"/>
                      <w:kern w:val="0"/>
                      <w:sz w:val="21"/>
                      <w:szCs w:val="21"/>
                      <w:highlight w:val="none"/>
                      <w:lang w:val="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符合</w:t>
                  </w:r>
                </w:p>
              </w:tc>
            </w:tr>
          </w:tbl>
          <w:p w14:paraId="25123EA4">
            <w:pPr>
              <w:keepNext w:val="0"/>
              <w:keepLines w:val="0"/>
              <w:widowControl/>
              <w:numPr>
                <w:ilvl w:val="0"/>
                <w:numId w:val="0"/>
              </w:numPr>
              <w:suppressLineNumbers w:val="0"/>
              <w:adjustRightInd w:val="0"/>
              <w:snapToGrid w:val="0"/>
              <w:spacing w:before="0" w:beforeAutospacing="0" w:after="0" w:afterAutospacing="0" w:line="360" w:lineRule="auto"/>
              <w:ind w:left="0" w:leftChars="0" w:right="0" w:rightChars="0" w:firstLine="480" w:firstLineChars="200"/>
              <w:jc w:val="left"/>
              <w:rPr>
                <w:rFonts w:hint="default" w:ascii="Times New Roman" w:hAnsi="Times New Roman"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cs="Times New Roman"/>
                <w:color w:val="000000" w:themeColor="text1"/>
                <w:kern w:val="0"/>
                <w:sz w:val="24"/>
                <w:szCs w:val="24"/>
                <w:highlight w:val="none"/>
                <w:lang w:bidi="ar"/>
                <w14:textFill>
                  <w14:solidFill>
                    <w14:schemeClr w14:val="tx1"/>
                  </w14:solidFill>
                </w14:textFill>
              </w:rPr>
              <w:t>综上所述</w:t>
            </w:r>
            <w:r>
              <w:rPr>
                <w:rFonts w:hint="default" w:ascii="Times New Roman" w:hAnsi="Times New Roman" w:cs="Times New Roman"/>
                <w:color w:val="000000" w:themeColor="text1"/>
                <w:kern w:val="0"/>
                <w:sz w:val="24"/>
                <w:szCs w:val="24"/>
                <w:highlight w:val="none"/>
                <w:lang w:eastAsia="zh-CN" w:bidi="ar"/>
                <w14:textFill>
                  <w14:solidFill>
                    <w14:schemeClr w14:val="tx1"/>
                  </w14:solidFill>
                </w14:textFill>
              </w:rPr>
              <w:t>，</w:t>
            </w:r>
            <w:r>
              <w:rPr>
                <w:rFonts w:hint="default" w:ascii="Times New Roman" w:hAnsi="Times New Roman" w:cs="Times New Roman"/>
                <w:color w:val="000000" w:themeColor="text1"/>
                <w:kern w:val="0"/>
                <w:sz w:val="24"/>
                <w:szCs w:val="24"/>
                <w:highlight w:val="none"/>
                <w:lang w:bidi="ar"/>
                <w14:textFill>
                  <w14:solidFill>
                    <w14:schemeClr w14:val="tx1"/>
                  </w14:solidFill>
                </w14:textFill>
              </w:rPr>
              <w:t>本项目符合辽宁省人民政府关于《本溪市国土空间总体规划（2021—2035年）》的批复</w:t>
            </w:r>
            <w:r>
              <w:rPr>
                <w:rFonts w:hint="default" w:ascii="Times New Roman" w:hAnsi="Times New Roman" w:cs="Times New Roman"/>
                <w:color w:val="000000" w:themeColor="text1"/>
                <w:kern w:val="0"/>
                <w:sz w:val="24"/>
                <w:szCs w:val="24"/>
                <w:highlight w:val="none"/>
                <w:lang w:val="en-US" w:eastAsia="zh-CN" w:bidi="ar"/>
                <w14:textFill>
                  <w14:solidFill>
                    <w14:schemeClr w14:val="tx1"/>
                  </w14:solidFill>
                </w14:textFill>
              </w:rPr>
              <w:t>要求。</w:t>
            </w:r>
          </w:p>
          <w:p w14:paraId="0F8C0262">
            <w:pPr>
              <w:keepNext w:val="0"/>
              <w:keepLines w:val="0"/>
              <w:pageBreakBefore w:val="0"/>
              <w:widowControl w:val="0"/>
              <w:suppressLineNumbers w:val="0"/>
              <w:kinsoku/>
              <w:wordWrap/>
              <w:overflowPunct/>
              <w:topLinePunct w:val="0"/>
              <w:autoSpaceDE/>
              <w:autoSpaceDN/>
              <w:bidi w:val="0"/>
              <w:adjustRightInd w:val="0"/>
              <w:snapToGrid w:val="0"/>
              <w:spacing w:before="120" w:beforeLines="50" w:beforeAutospacing="0" w:after="0" w:afterAutospacing="0" w:line="360" w:lineRule="auto"/>
              <w:ind w:left="0" w:right="0"/>
              <w:textAlignment w:val="auto"/>
              <w:rPr>
                <w:rFonts w:hint="default"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pPr>
            <w:r>
              <w:rPr>
                <w:rFonts w:hint="eastAsia"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t>3</w:t>
            </w:r>
            <w:r>
              <w:rPr>
                <w:rFonts w:hint="default"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t>、本项目与《沈本新城总体规划（2013-2030）》符合性分析</w:t>
            </w:r>
          </w:p>
          <w:p w14:paraId="204B87DC">
            <w:pPr>
              <w:keepNext w:val="0"/>
              <w:keepLines w:val="0"/>
              <w:numPr>
                <w:ilvl w:val="0"/>
                <w:numId w:val="2"/>
              </w:numPr>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本项目与《沈本新城总体规划（2013-2030）》符合性分析</w:t>
            </w:r>
          </w:p>
          <w:tbl>
            <w:tblPr>
              <w:tblStyle w:val="35"/>
              <w:tblW w:w="4999"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452"/>
              <w:gridCol w:w="2357"/>
              <w:gridCol w:w="644"/>
            </w:tblGrid>
            <w:tr w14:paraId="15E7A48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6" w:type="pct"/>
                  <w:tcBorders>
                    <w:tl2br w:val="nil"/>
                    <w:tr2bl w:val="nil"/>
                  </w:tcBorders>
                  <w:noWrap w:val="0"/>
                  <w:vAlign w:val="center"/>
                </w:tcPr>
                <w:p w14:paraId="579CF20A">
                  <w:pPr>
                    <w:pStyle w:val="114"/>
                    <w:keepNext w:val="0"/>
                    <w:keepLines w:val="0"/>
                    <w:suppressLineNumbers w:val="0"/>
                    <w:spacing w:before="0" w:beforeAutospacing="0" w:after="0" w:afterAutospacing="0"/>
                    <w:ind w:left="0" w:right="0"/>
                    <w:rPr>
                      <w:rFonts w:hint="default" w:ascii="Times New Roman" w:hAnsi="Times New Roman" w:eastAsia="宋体" w:cs="Times New Roman"/>
                      <w:b/>
                      <w:bCs w:val="0"/>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val="0"/>
                      <w:snapToGrid w:val="0"/>
                      <w:color w:val="000000" w:themeColor="text1"/>
                      <w:kern w:val="0"/>
                      <w:sz w:val="21"/>
                      <w:szCs w:val="21"/>
                      <w:highlight w:val="none"/>
                      <w:lang w:val="en-US" w:eastAsia="zh-CN" w:bidi="ar-SA"/>
                      <w14:textFill>
                        <w14:solidFill>
                          <w14:schemeClr w14:val="tx1"/>
                        </w14:solidFill>
                      </w14:textFill>
                    </w:rPr>
                    <w:t>规划要求</w:t>
                  </w:r>
                </w:p>
              </w:tc>
              <w:tc>
                <w:tcPr>
                  <w:tcW w:w="1581" w:type="pct"/>
                  <w:tcBorders>
                    <w:tl2br w:val="nil"/>
                    <w:tr2bl w:val="nil"/>
                  </w:tcBorders>
                  <w:noWrap w:val="0"/>
                  <w:vAlign w:val="center"/>
                </w:tcPr>
                <w:p w14:paraId="6250B4F9">
                  <w:pPr>
                    <w:pStyle w:val="114"/>
                    <w:keepNext w:val="0"/>
                    <w:keepLines w:val="0"/>
                    <w:suppressLineNumbers w:val="0"/>
                    <w:spacing w:before="0" w:beforeAutospacing="0" w:after="0" w:afterAutospacing="0"/>
                    <w:ind w:left="0" w:right="0"/>
                    <w:rPr>
                      <w:rFonts w:hint="default" w:ascii="Times New Roman" w:hAnsi="Times New Roman" w:eastAsia="宋体" w:cs="Times New Roman"/>
                      <w:b/>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szCs w:val="21"/>
                      <w:highlight w:val="none"/>
                      <w:lang w:val="en-US" w:eastAsia="zh-CN"/>
                      <w14:textFill>
                        <w14:solidFill>
                          <w14:schemeClr w14:val="tx1"/>
                        </w14:solidFill>
                      </w14:textFill>
                    </w:rPr>
                    <w:t>本</w:t>
                  </w:r>
                  <w:r>
                    <w:rPr>
                      <w:rFonts w:hint="default" w:ascii="Times New Roman" w:hAnsi="Times New Roman" w:eastAsia="宋体" w:cs="Times New Roman"/>
                      <w:b/>
                      <w:bCs/>
                      <w:color w:val="000000" w:themeColor="text1"/>
                      <w:szCs w:val="21"/>
                      <w:highlight w:val="none"/>
                      <w14:textFill>
                        <w14:solidFill>
                          <w14:schemeClr w14:val="tx1"/>
                        </w14:solidFill>
                      </w14:textFill>
                    </w:rPr>
                    <w:t>项目情况</w:t>
                  </w:r>
                </w:p>
              </w:tc>
              <w:tc>
                <w:tcPr>
                  <w:tcW w:w="432" w:type="pct"/>
                  <w:tcBorders>
                    <w:tl2br w:val="nil"/>
                    <w:tr2bl w:val="nil"/>
                  </w:tcBorders>
                  <w:noWrap w:val="0"/>
                  <w:tcMar>
                    <w:top w:w="0" w:type="dxa"/>
                    <w:left w:w="0" w:type="dxa"/>
                    <w:bottom w:w="0" w:type="dxa"/>
                    <w:right w:w="0" w:type="dxa"/>
                  </w:tcMar>
                  <w:vAlign w:val="center"/>
                </w:tcPr>
                <w:p w14:paraId="615026A1">
                  <w:pPr>
                    <w:pStyle w:val="114"/>
                    <w:keepNext w:val="0"/>
                    <w:keepLines w:val="0"/>
                    <w:suppressLineNumbers w:val="0"/>
                    <w:spacing w:before="0" w:beforeAutospacing="0" w:after="0" w:afterAutospacing="0"/>
                    <w:ind w:left="0" w:right="0"/>
                    <w:rPr>
                      <w:rFonts w:hint="default" w:ascii="Times New Roman" w:hAnsi="Times New Roman" w:eastAsia="宋体" w:cs="Times New Roman"/>
                      <w:b/>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lang w:val="en-US" w:eastAsia="zh-CN"/>
                      <w14:textFill>
                        <w14:solidFill>
                          <w14:schemeClr w14:val="tx1"/>
                        </w14:solidFill>
                      </w14:textFill>
                    </w:rPr>
                    <w:t>相符性</w:t>
                  </w:r>
                </w:p>
              </w:tc>
            </w:tr>
            <w:tr w14:paraId="6522911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2986" w:type="pct"/>
                  <w:tcBorders>
                    <w:tl2br w:val="nil"/>
                    <w:tr2bl w:val="nil"/>
                  </w:tcBorders>
                  <w:noWrap w:val="0"/>
                  <w:vAlign w:val="center"/>
                </w:tcPr>
                <w:p w14:paraId="17320AB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沈本新城规划区域面积176.97km</w:t>
                  </w:r>
                  <w:r>
                    <w:rPr>
                      <w:rFonts w:hint="default" w:ascii="Times New Roman" w:hAnsi="Times New Roman" w:eastAsia="宋体" w:cs="Times New Roman"/>
                      <w:bCs/>
                      <w:snapToGrid w:val="0"/>
                      <w:color w:val="000000" w:themeColor="text1"/>
                      <w:kern w:val="0"/>
                      <w:sz w:val="21"/>
                      <w:szCs w:val="21"/>
                      <w:highlight w:val="none"/>
                      <w:vertAlign w:val="superscript"/>
                      <w:lang w:val="en-US" w:eastAsia="zh-CN" w:bidi="ar-SA"/>
                      <w14:textFill>
                        <w14:solidFill>
                          <w14:schemeClr w14:val="tx1"/>
                        </w14:solidFill>
                      </w14:textFill>
                    </w:rPr>
                    <w:t>2</w:t>
                  </w: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，行政辖区覆盖日月岛、石桥子和张其寨三个街道办事处，其中城市建设用地规模为68.37km</w:t>
                  </w:r>
                  <w:r>
                    <w:rPr>
                      <w:rFonts w:hint="default" w:ascii="Times New Roman" w:hAnsi="Times New Roman" w:eastAsia="宋体" w:cs="Times New Roman"/>
                      <w:bCs/>
                      <w:snapToGrid w:val="0"/>
                      <w:color w:val="000000" w:themeColor="text1"/>
                      <w:kern w:val="0"/>
                      <w:sz w:val="21"/>
                      <w:szCs w:val="21"/>
                      <w:highlight w:val="none"/>
                      <w:vertAlign w:val="superscript"/>
                      <w:lang w:val="en-US" w:eastAsia="zh-CN" w:bidi="ar-SA"/>
                      <w14:textFill>
                        <w14:solidFill>
                          <w14:schemeClr w14:val="tx1"/>
                        </w14:solidFill>
                      </w14:textFill>
                    </w:rPr>
                    <w:t>2</w:t>
                  </w: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规划期限为2013-2030年。该规划总体发展目标为将沈本新城建设成为生态环境优越、社会经济协调发展、人民生活宜居的国家重要的医药产业基地、东北地区重要的区域城市和健康产业基地、沈阳经济区生态发展示范新城、本溪市对外开放中心，实现沈本新城跨越式发展。</w:t>
                  </w:r>
                </w:p>
              </w:tc>
              <w:tc>
                <w:tcPr>
                  <w:tcW w:w="1581" w:type="pct"/>
                  <w:tcBorders>
                    <w:tl2br w:val="nil"/>
                    <w:tr2bl w:val="nil"/>
                  </w:tcBorders>
                  <w:noWrap w:val="0"/>
                  <w:vAlign w:val="center"/>
                </w:tcPr>
                <w:p w14:paraId="5B32CA49">
                  <w:pPr>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本项目位于辽宁省本溪经济技术开发区医药园区，属于</w:t>
                  </w: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石桥子街道办事处</w:t>
                  </w:r>
                  <w:r>
                    <w:rPr>
                      <w:rFonts w:hint="eastAsia"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，在规划区域内。</w:t>
                  </w:r>
                </w:p>
              </w:tc>
              <w:tc>
                <w:tcPr>
                  <w:tcW w:w="432" w:type="pct"/>
                  <w:tcBorders>
                    <w:tl2br w:val="nil"/>
                    <w:tr2bl w:val="nil"/>
                  </w:tcBorders>
                  <w:noWrap w:val="0"/>
                  <w:vAlign w:val="center"/>
                </w:tcPr>
                <w:p w14:paraId="2B70800A">
                  <w:pPr>
                    <w:pStyle w:val="114"/>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符合</w:t>
                  </w:r>
                </w:p>
              </w:tc>
            </w:tr>
            <w:tr w14:paraId="124B72F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2986" w:type="pct"/>
                  <w:tcBorders>
                    <w:tl2br w:val="nil"/>
                    <w:tr2bl w:val="nil"/>
                  </w:tcBorders>
                  <w:noWrap w:val="0"/>
                  <w:vAlign w:val="center"/>
                </w:tcPr>
                <w:p w14:paraId="2230811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园区规划主导产业定位为以现代中药、功能食品保健品、医疗器械、高端仿制药及化药、生物制药及疫苗、医药相关配套产业、现代物流、新兴产业为主导，打造成引领区域转型发展的国家级医药产业园区、东北地区知名的健康、休闲旅游先导示范区。</w:t>
                  </w:r>
                </w:p>
              </w:tc>
              <w:tc>
                <w:tcPr>
                  <w:tcW w:w="1581" w:type="pct"/>
                  <w:tcBorders>
                    <w:tl2br w:val="nil"/>
                    <w:tr2bl w:val="nil"/>
                  </w:tcBorders>
                  <w:noWrap w:val="0"/>
                  <w:vAlign w:val="center"/>
                </w:tcPr>
                <w:p w14:paraId="79ECC458">
                  <w:pPr>
                    <w:keepNext w:val="0"/>
                    <w:keepLines w:val="0"/>
                    <w:suppressLineNumbers w:val="0"/>
                    <w:spacing w:before="0" w:beforeAutospacing="0" w:after="0" w:afterAutospacing="0"/>
                    <w:ind w:left="0" w:right="0"/>
                    <w:rPr>
                      <w:rFonts w:hint="eastAsia"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本项目位于</w:t>
                  </w:r>
                  <w:r>
                    <w:rPr>
                      <w:rFonts w:hint="eastAsia" w:cs="Times New Roman"/>
                      <w:color w:val="000000" w:themeColor="text1"/>
                      <w:sz w:val="21"/>
                      <w:szCs w:val="21"/>
                      <w:highlight w:val="none"/>
                      <w:lang w:eastAsia="zh-CN"/>
                      <w14:textFill>
                        <w14:solidFill>
                          <w14:schemeClr w14:val="tx1"/>
                        </w14:solidFill>
                      </w14:textFill>
                    </w:rPr>
                    <w:t>辽宁省本溪经济技术开发区医药园区</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，产品为中成药，符合园区规划主导产业定位。</w:t>
                  </w:r>
                </w:p>
              </w:tc>
              <w:tc>
                <w:tcPr>
                  <w:tcW w:w="432" w:type="pct"/>
                  <w:tcBorders>
                    <w:tl2br w:val="nil"/>
                    <w:tr2bl w:val="nil"/>
                  </w:tcBorders>
                  <w:noWrap w:val="0"/>
                  <w:vAlign w:val="center"/>
                </w:tcPr>
                <w:p w14:paraId="52824C71">
                  <w:pPr>
                    <w:pStyle w:val="114"/>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符合</w:t>
                  </w:r>
                </w:p>
              </w:tc>
            </w:tr>
            <w:tr w14:paraId="0F5D970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2986" w:type="pct"/>
                  <w:tcBorders>
                    <w:tl2br w:val="nil"/>
                    <w:tr2bl w:val="nil"/>
                  </w:tcBorders>
                  <w:noWrap w:val="0"/>
                  <w:vAlign w:val="center"/>
                </w:tcPr>
                <w:p w14:paraId="168B46F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沈本新城规划建立“一轴、八园”的产业空间发展格局。“一轴”是指沿枫叶路形成集原材料加工、产品研发、商业流通、医疗保健于一体的生物医药产业发展带，强化各个功能片区之间的联系，实现沈本新城医药产业的不断优化升级。“八园”包括现代中药产业园、功能食品保健品产业园、医疗器械产业园、高端仿制药及化药产业园、生物制药及疫苗产业园、医药相关配套产业园、现代物流园、新兴产业园。</w:t>
                  </w:r>
                </w:p>
              </w:tc>
              <w:tc>
                <w:tcPr>
                  <w:tcW w:w="1581" w:type="pct"/>
                  <w:tcBorders>
                    <w:tl2br w:val="nil"/>
                    <w:tr2bl w:val="nil"/>
                  </w:tcBorders>
                  <w:noWrap w:val="0"/>
                  <w:vAlign w:val="center"/>
                </w:tcPr>
                <w:p w14:paraId="6E14A23F">
                  <w:pPr>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本项目位于</w:t>
                  </w:r>
                  <w:r>
                    <w:rPr>
                      <w:rFonts w:hint="eastAsia" w:cs="Times New Roman"/>
                      <w:color w:val="000000" w:themeColor="text1"/>
                      <w:sz w:val="21"/>
                      <w:szCs w:val="21"/>
                      <w:highlight w:val="none"/>
                      <w:lang w:eastAsia="zh-CN"/>
                      <w14:textFill>
                        <w14:solidFill>
                          <w14:schemeClr w14:val="tx1"/>
                        </w14:solidFill>
                      </w14:textFill>
                    </w:rPr>
                    <w:t>辽宁省本溪经济技术开发区医药园区</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，产品为中成药，符合沈本新城总体规划。</w:t>
                  </w:r>
                </w:p>
              </w:tc>
              <w:tc>
                <w:tcPr>
                  <w:tcW w:w="432" w:type="pct"/>
                  <w:tcBorders>
                    <w:tl2br w:val="nil"/>
                    <w:tr2bl w:val="nil"/>
                  </w:tcBorders>
                  <w:noWrap w:val="0"/>
                  <w:vAlign w:val="center"/>
                </w:tcPr>
                <w:p w14:paraId="2B4284F2">
                  <w:pPr>
                    <w:pStyle w:val="114"/>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符合</w:t>
                  </w:r>
                </w:p>
              </w:tc>
            </w:tr>
            <w:tr w14:paraId="64ED4A5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2986" w:type="pct"/>
                  <w:tcBorders>
                    <w:tl2br w:val="nil"/>
                    <w:tr2bl w:val="nil"/>
                  </w:tcBorders>
                  <w:noWrap w:val="0"/>
                  <w:vAlign w:val="center"/>
                </w:tcPr>
                <w:p w14:paraId="6FE9DC1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加强水污染防治和水资源管理力度。加强排污口的监控，完善污水处理的运行、监控体系。做好地表水环境保护工作。开展预防污染物的治理工程建设，加强河流的生态保护，建设生态保护工程。</w:t>
                  </w:r>
                </w:p>
              </w:tc>
              <w:tc>
                <w:tcPr>
                  <w:tcW w:w="1581" w:type="pct"/>
                  <w:tcBorders>
                    <w:tl2br w:val="nil"/>
                    <w:tr2bl w:val="nil"/>
                  </w:tcBorders>
                  <w:noWrap w:val="0"/>
                  <w:vAlign w:val="center"/>
                </w:tcPr>
                <w:p w14:paraId="7E6993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bCs/>
                      <w:snapToGrid w:val="0"/>
                      <w:color w:val="000000" w:themeColor="text1"/>
                      <w:kern w:val="0"/>
                      <w:sz w:val="21"/>
                      <w:szCs w:val="21"/>
                      <w:highlight w:val="none"/>
                      <w:lang w:val="zh-CN"/>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zh-CN"/>
                      <w14:textFill>
                        <w14:solidFill>
                          <w14:schemeClr w14:val="tx1"/>
                        </w14:solidFill>
                      </w14:textFill>
                    </w:rPr>
                    <w:t>本项目产生的废水进入厂内污水处理站进行处理，处理达标后，排入厂区污水管网后排入高新区市政管网最终排入石桥子污水处理厂。</w:t>
                  </w:r>
                </w:p>
              </w:tc>
              <w:tc>
                <w:tcPr>
                  <w:tcW w:w="432" w:type="pct"/>
                  <w:tcBorders>
                    <w:tl2br w:val="nil"/>
                    <w:tr2bl w:val="nil"/>
                  </w:tcBorders>
                  <w:noWrap w:val="0"/>
                  <w:vAlign w:val="center"/>
                </w:tcPr>
                <w:p w14:paraId="10FD0A3B">
                  <w:pPr>
                    <w:keepNext w:val="0"/>
                    <w:keepLines w:val="0"/>
                    <w:suppressLineNumbers w:val="0"/>
                    <w:spacing w:before="0" w:beforeAutospacing="0" w:after="0" w:afterAutospacing="0"/>
                    <w:ind w:left="0" w:right="0"/>
                    <w:rPr>
                      <w:rFonts w:hint="default" w:ascii="Times New Roman" w:hAnsi="Times New Roman" w:eastAsia="宋体" w:cs="Times New Roman"/>
                      <w:bCs/>
                      <w:snapToGrid w:val="0"/>
                      <w:color w:val="000000" w:themeColor="text1"/>
                      <w:kern w:val="0"/>
                      <w:sz w:val="21"/>
                      <w:szCs w:val="21"/>
                      <w:highlight w:val="none"/>
                      <w:lang w:val="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符合</w:t>
                  </w:r>
                </w:p>
              </w:tc>
            </w:tr>
            <w:tr w14:paraId="279DDA5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2986" w:type="pct"/>
                  <w:tcBorders>
                    <w:tl2br w:val="nil"/>
                    <w:tr2bl w:val="nil"/>
                  </w:tcBorders>
                  <w:noWrap w:val="0"/>
                  <w:vAlign w:val="center"/>
                </w:tcPr>
                <w:p w14:paraId="6C94CC0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坚持走新型工业化道路，大力发展资源节约型产业。坚决禁止高耗能、高污染的企业进入，重点发展资源能源消耗低、附加值高的高新技术产业。</w:t>
                  </w:r>
                </w:p>
              </w:tc>
              <w:tc>
                <w:tcPr>
                  <w:tcW w:w="1581" w:type="pct"/>
                  <w:tcBorders>
                    <w:tl2br w:val="nil"/>
                    <w:tr2bl w:val="nil"/>
                  </w:tcBorders>
                  <w:noWrap w:val="0"/>
                  <w:vAlign w:val="center"/>
                </w:tcPr>
                <w:p w14:paraId="388D0BC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本项目不属于“高污染、高风险、高能耗”项目。</w:t>
                  </w:r>
                </w:p>
              </w:tc>
              <w:tc>
                <w:tcPr>
                  <w:tcW w:w="432" w:type="pct"/>
                  <w:tcBorders>
                    <w:tl2br w:val="nil"/>
                    <w:tr2bl w:val="nil"/>
                  </w:tcBorders>
                  <w:noWrap w:val="0"/>
                  <w:vAlign w:val="center"/>
                </w:tcPr>
                <w:p w14:paraId="46E49CEC">
                  <w:pPr>
                    <w:keepNext w:val="0"/>
                    <w:keepLines w:val="0"/>
                    <w:suppressLineNumbers w:val="0"/>
                    <w:spacing w:before="0" w:beforeAutospacing="0" w:after="0" w:afterAutospacing="0"/>
                    <w:ind w:left="0" w:right="0"/>
                    <w:rPr>
                      <w:rFonts w:hint="default" w:ascii="Times New Roman" w:hAnsi="Times New Roman" w:eastAsia="宋体" w:cs="Times New Roman"/>
                      <w:bCs/>
                      <w:snapToGrid w:val="0"/>
                      <w:color w:val="000000" w:themeColor="text1"/>
                      <w:kern w:val="0"/>
                      <w:sz w:val="21"/>
                      <w:szCs w:val="21"/>
                      <w:highlight w:val="none"/>
                      <w:lang w:val="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符合</w:t>
                  </w:r>
                </w:p>
              </w:tc>
            </w:tr>
          </w:tbl>
          <w:p w14:paraId="6DDA74A9">
            <w:pPr>
              <w:keepNext w:val="0"/>
              <w:keepLines w:val="0"/>
              <w:widowControl/>
              <w:numPr>
                <w:ilvl w:val="0"/>
                <w:numId w:val="0"/>
              </w:numPr>
              <w:suppressLineNumbers w:val="0"/>
              <w:adjustRightInd w:val="0"/>
              <w:snapToGrid w:val="0"/>
              <w:spacing w:before="0" w:beforeAutospacing="0" w:after="0" w:afterAutospacing="0" w:line="360" w:lineRule="auto"/>
              <w:ind w:left="0" w:leftChars="0" w:right="0" w:rightChars="0" w:firstLine="480" w:firstLineChars="200"/>
              <w:jc w:val="left"/>
              <w:rPr>
                <w:rFonts w:hint="default" w:ascii="Times New Roman" w:hAnsi="Times New Roman"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cs="Times New Roman"/>
                <w:color w:val="000000" w:themeColor="text1"/>
                <w:kern w:val="0"/>
                <w:sz w:val="24"/>
                <w:szCs w:val="24"/>
                <w:highlight w:val="none"/>
                <w:lang w:bidi="ar"/>
                <w14:textFill>
                  <w14:solidFill>
                    <w14:schemeClr w14:val="tx1"/>
                  </w14:solidFill>
                </w14:textFill>
              </w:rPr>
              <w:t>综上所述</w:t>
            </w:r>
            <w:r>
              <w:rPr>
                <w:rFonts w:hint="default" w:ascii="Times New Roman" w:hAnsi="Times New Roman" w:cs="Times New Roman"/>
                <w:color w:val="000000" w:themeColor="text1"/>
                <w:kern w:val="0"/>
                <w:sz w:val="24"/>
                <w:szCs w:val="24"/>
                <w:highlight w:val="none"/>
                <w:lang w:eastAsia="zh-CN" w:bidi="ar"/>
                <w14:textFill>
                  <w14:solidFill>
                    <w14:schemeClr w14:val="tx1"/>
                  </w14:solidFill>
                </w14:textFill>
              </w:rPr>
              <w:t>，</w:t>
            </w:r>
            <w:r>
              <w:rPr>
                <w:rFonts w:hint="default" w:ascii="Times New Roman" w:hAnsi="Times New Roman" w:cs="Times New Roman"/>
                <w:color w:val="000000" w:themeColor="text1"/>
                <w:kern w:val="0"/>
                <w:sz w:val="24"/>
                <w:szCs w:val="24"/>
                <w:highlight w:val="none"/>
                <w:lang w:bidi="ar"/>
                <w14:textFill>
                  <w14:solidFill>
                    <w14:schemeClr w14:val="tx1"/>
                  </w14:solidFill>
                </w14:textFill>
              </w:rPr>
              <w:t>本项目符合《沈本新城总体规划（2013-2030）》</w:t>
            </w:r>
            <w:r>
              <w:rPr>
                <w:rFonts w:hint="default" w:ascii="Times New Roman" w:hAnsi="Times New Roman" w:cs="Times New Roman"/>
                <w:color w:val="000000" w:themeColor="text1"/>
                <w:kern w:val="0"/>
                <w:sz w:val="24"/>
                <w:szCs w:val="24"/>
                <w:highlight w:val="none"/>
                <w:lang w:val="en-US" w:eastAsia="zh-CN" w:bidi="ar"/>
                <w14:textFill>
                  <w14:solidFill>
                    <w14:schemeClr w14:val="tx1"/>
                  </w14:solidFill>
                </w14:textFill>
              </w:rPr>
              <w:t>规划要求。</w:t>
            </w:r>
          </w:p>
          <w:p w14:paraId="5A1B4535">
            <w:pPr>
              <w:keepNext w:val="0"/>
              <w:keepLines w:val="0"/>
              <w:pageBreakBefore w:val="0"/>
              <w:widowControl w:val="0"/>
              <w:suppressLineNumbers w:val="0"/>
              <w:kinsoku/>
              <w:wordWrap/>
              <w:overflowPunct/>
              <w:topLinePunct w:val="0"/>
              <w:autoSpaceDE/>
              <w:autoSpaceDN/>
              <w:bidi w:val="0"/>
              <w:adjustRightInd w:val="0"/>
              <w:snapToGrid w:val="0"/>
              <w:spacing w:before="120" w:beforeLines="50" w:beforeAutospacing="0" w:after="0" w:afterAutospacing="0" w:line="360" w:lineRule="auto"/>
              <w:ind w:left="0" w:right="0"/>
              <w:textAlignment w:val="auto"/>
              <w:rPr>
                <w:rFonts w:hint="default"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pPr>
            <w:r>
              <w:rPr>
                <w:rFonts w:hint="eastAsia"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t>4</w:t>
            </w:r>
            <w:r>
              <w:rPr>
                <w:rFonts w:hint="default"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t>、本项目与《沈本新城总体规划（2013～2030）环境影响报告书》主要结论符合性分析</w:t>
            </w:r>
          </w:p>
          <w:p w14:paraId="3411E94B">
            <w:pPr>
              <w:keepNext w:val="0"/>
              <w:keepLines w:val="0"/>
              <w:numPr>
                <w:ilvl w:val="0"/>
                <w:numId w:val="2"/>
              </w:numPr>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本项目与《沈本新城总体规划（2013～2030）环境影响报告书》主要结论符合性分析</w:t>
            </w:r>
          </w:p>
          <w:tbl>
            <w:tblPr>
              <w:tblStyle w:val="35"/>
              <w:tblW w:w="4999"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263"/>
              <w:gridCol w:w="2460"/>
              <w:gridCol w:w="730"/>
            </w:tblGrid>
            <w:tr w14:paraId="4BED873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59" w:type="pct"/>
                  <w:tcBorders>
                    <w:tl2br w:val="nil"/>
                    <w:tr2bl w:val="nil"/>
                  </w:tcBorders>
                  <w:noWrap w:val="0"/>
                  <w:vAlign w:val="center"/>
                </w:tcPr>
                <w:p w14:paraId="4BA05432">
                  <w:pPr>
                    <w:pStyle w:val="114"/>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val="0"/>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b/>
                      <w:bCs w:val="0"/>
                      <w:color w:val="000000" w:themeColor="text1"/>
                      <w:sz w:val="21"/>
                      <w:szCs w:val="21"/>
                      <w:highlight w:val="none"/>
                      <w:lang w:val="en-US" w:eastAsia="zh-CN"/>
                      <w14:textFill>
                        <w14:solidFill>
                          <w14:schemeClr w14:val="tx1"/>
                        </w14:solidFill>
                      </w14:textFill>
                    </w:rPr>
                    <w:t>规划环评主要结论</w:t>
                  </w:r>
                </w:p>
              </w:tc>
              <w:tc>
                <w:tcPr>
                  <w:tcW w:w="1650" w:type="pct"/>
                  <w:tcBorders>
                    <w:tl2br w:val="nil"/>
                    <w:tr2bl w:val="nil"/>
                  </w:tcBorders>
                  <w:noWrap w:val="0"/>
                  <w:vAlign w:val="center"/>
                </w:tcPr>
                <w:p w14:paraId="657AA76D">
                  <w:pPr>
                    <w:pStyle w:val="114"/>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b/>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szCs w:val="21"/>
                      <w:highlight w:val="none"/>
                      <w:lang w:val="en-US" w:eastAsia="zh-CN"/>
                      <w14:textFill>
                        <w14:solidFill>
                          <w14:schemeClr w14:val="tx1"/>
                        </w14:solidFill>
                      </w14:textFill>
                    </w:rPr>
                    <w:t>本</w:t>
                  </w:r>
                  <w:r>
                    <w:rPr>
                      <w:rFonts w:hint="default" w:ascii="Times New Roman" w:hAnsi="Times New Roman" w:eastAsia="宋体" w:cs="Times New Roman"/>
                      <w:b/>
                      <w:bCs/>
                      <w:color w:val="000000" w:themeColor="text1"/>
                      <w:szCs w:val="21"/>
                      <w:highlight w:val="none"/>
                      <w14:textFill>
                        <w14:solidFill>
                          <w14:schemeClr w14:val="tx1"/>
                        </w14:solidFill>
                      </w14:textFill>
                    </w:rPr>
                    <w:t>项目情况</w:t>
                  </w:r>
                </w:p>
              </w:tc>
              <w:tc>
                <w:tcPr>
                  <w:tcW w:w="489" w:type="pct"/>
                  <w:tcBorders>
                    <w:tl2br w:val="nil"/>
                    <w:tr2bl w:val="nil"/>
                  </w:tcBorders>
                  <w:noWrap w:val="0"/>
                  <w:tcMar>
                    <w:top w:w="0" w:type="dxa"/>
                    <w:left w:w="0" w:type="dxa"/>
                    <w:bottom w:w="0" w:type="dxa"/>
                    <w:right w:w="0" w:type="dxa"/>
                  </w:tcMar>
                  <w:vAlign w:val="center"/>
                </w:tcPr>
                <w:p w14:paraId="229B969D">
                  <w:pPr>
                    <w:pStyle w:val="114"/>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b/>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lang w:val="en-US" w:eastAsia="zh-CN"/>
                      <w14:textFill>
                        <w14:solidFill>
                          <w14:schemeClr w14:val="tx1"/>
                        </w14:solidFill>
                      </w14:textFill>
                    </w:rPr>
                    <w:t>相符性</w:t>
                  </w:r>
                </w:p>
              </w:tc>
            </w:tr>
            <w:tr w14:paraId="7FF2B04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2859" w:type="pct"/>
                  <w:tcBorders>
                    <w:tl2br w:val="nil"/>
                    <w:tr2bl w:val="nil"/>
                  </w:tcBorders>
                  <w:noWrap w:val="0"/>
                  <w:vAlign w:val="center"/>
                </w:tcPr>
                <w:p w14:paraId="35906B9D">
                  <w:pPr>
                    <w:pStyle w:val="58"/>
                    <w:keepNext w:val="0"/>
                    <w:keepLines w:val="0"/>
                    <w:widowControl/>
                    <w:suppressLineNumbers w:val="0"/>
                    <w:adjustRightInd w:val="0"/>
                    <w:spacing w:beforeAutospacing="0" w:afterAutospacing="0"/>
                    <w:ind w:left="0" w:right="113" w:rightChars="0" w:firstLine="0" w:firstLineChars="0"/>
                    <w:jc w:val="both"/>
                    <w:textAlignment w:val="auto"/>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沈本新城总体规划（2013~2030）》本着保护生态、全面规划、合理开发的原则，坚持以产业基地为引擎，打造强大的产业集群，重点发展医药制造、医疗器械制造、先进制造和商贸物流等产业。沈本新城规划区域面积176.97k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，行政辖区覆盖日月岛、石桥子和张其寨三个街道办事处，其中城市建设用地规模为68.37km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。规划期限为2013-2030年。</w:t>
                  </w:r>
                </w:p>
              </w:tc>
              <w:tc>
                <w:tcPr>
                  <w:tcW w:w="1650" w:type="pct"/>
                  <w:tcBorders>
                    <w:tl2br w:val="nil"/>
                    <w:tr2bl w:val="nil"/>
                  </w:tcBorders>
                  <w:noWrap w:val="0"/>
                  <w:vAlign w:val="center"/>
                </w:tcPr>
                <w:p w14:paraId="36F9AF50">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本项目位于</w:t>
                  </w:r>
                  <w:r>
                    <w:rPr>
                      <w:rFonts w:hint="eastAsia" w:cs="Times New Roman"/>
                      <w:bCs/>
                      <w:snapToGrid w:val="0"/>
                      <w:color w:val="000000" w:themeColor="text1"/>
                      <w:kern w:val="0"/>
                      <w:sz w:val="21"/>
                      <w:szCs w:val="21"/>
                      <w:highlight w:val="none"/>
                      <w:lang w:val="en-US" w:eastAsia="zh-CN" w:bidi="ar-SA"/>
                      <w14:textFill>
                        <w14:solidFill>
                          <w14:schemeClr w14:val="tx1"/>
                        </w14:solidFill>
                      </w14:textFill>
                    </w:rPr>
                    <w:t>辽宁省本溪经济技术开发区医药园区</w:t>
                  </w: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属于</w:t>
                  </w: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石桥子街道办事处</w:t>
                  </w:r>
                  <w:r>
                    <w:rPr>
                      <w:rFonts w:hint="eastAsia"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w:t>
                  </w: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产品为中成药，为医药制造业</w:t>
                  </w:r>
                  <w:r>
                    <w:rPr>
                      <w:rFonts w:hint="eastAsia" w:cs="Times New Roman"/>
                      <w:bCs/>
                      <w:snapToGrid w:val="0"/>
                      <w:color w:val="000000" w:themeColor="text1"/>
                      <w:kern w:val="0"/>
                      <w:sz w:val="21"/>
                      <w:szCs w:val="21"/>
                      <w:highlight w:val="none"/>
                      <w:lang w:val="en-US" w:eastAsia="zh-CN" w:bidi="ar-SA"/>
                      <w14:textFill>
                        <w14:solidFill>
                          <w14:schemeClr w14:val="tx1"/>
                        </w14:solidFill>
                      </w14:textFill>
                    </w:rPr>
                    <w:t>，</w:t>
                  </w: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符合沈本新城总体规划。</w:t>
                  </w:r>
                </w:p>
              </w:tc>
              <w:tc>
                <w:tcPr>
                  <w:tcW w:w="489" w:type="pct"/>
                  <w:tcBorders>
                    <w:tl2br w:val="nil"/>
                    <w:tr2bl w:val="nil"/>
                  </w:tcBorders>
                  <w:noWrap w:val="0"/>
                  <w:vAlign w:val="center"/>
                </w:tcPr>
                <w:p w14:paraId="77E57980">
                  <w:pPr>
                    <w:pStyle w:val="114"/>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符合</w:t>
                  </w:r>
                </w:p>
              </w:tc>
            </w:tr>
            <w:tr w14:paraId="41CADD5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2859" w:type="pct"/>
                  <w:tcBorders>
                    <w:tl2br w:val="nil"/>
                    <w:tr2bl w:val="nil"/>
                  </w:tcBorders>
                  <w:noWrap w:val="0"/>
                  <w:vAlign w:val="center"/>
                </w:tcPr>
                <w:p w14:paraId="7BEFA367">
                  <w:pPr>
                    <w:pStyle w:val="58"/>
                    <w:keepNext w:val="0"/>
                    <w:keepLines w:val="0"/>
                    <w:widowControl/>
                    <w:suppressLineNumbers w:val="0"/>
                    <w:adjustRightInd w:val="0"/>
                    <w:spacing w:beforeAutospacing="0" w:afterAutospacing="0"/>
                    <w:ind w:left="0" w:right="113" w:rightChars="0" w:firstLine="0" w:firstLineChars="0"/>
                    <w:jc w:val="both"/>
                    <w:textAlignment w:val="auto"/>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该规划总体发展目标为将沈本新城建设成为生态环境优越、社会经济协调发展、人民生活宜居的国家重要的医药产业基地、东北地区重要的区域城市和健康产业基地、沈阳经济区生态发展示范新城、本溪市对外开放中心，实现沈本新城跨越式发展。</w:t>
                  </w:r>
                </w:p>
              </w:tc>
              <w:tc>
                <w:tcPr>
                  <w:tcW w:w="1650" w:type="pct"/>
                  <w:tcBorders>
                    <w:tl2br w:val="nil"/>
                    <w:tr2bl w:val="nil"/>
                  </w:tcBorders>
                  <w:noWrap w:val="0"/>
                  <w:vAlign w:val="center"/>
                </w:tcPr>
                <w:p w14:paraId="758F23E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t>本项目</w:t>
                  </w:r>
                  <w:r>
                    <w:rPr>
                      <w:rFonts w:hint="eastAsia" w:cs="Times New Roman"/>
                      <w:bCs/>
                      <w:snapToGrid w:val="0"/>
                      <w:color w:val="000000" w:themeColor="text1"/>
                      <w:kern w:val="0"/>
                      <w:sz w:val="21"/>
                      <w:szCs w:val="21"/>
                      <w:highlight w:val="none"/>
                      <w:lang w:val="en-US" w:eastAsia="zh-CN" w:bidi="ar-SA"/>
                      <w14:textFill>
                        <w14:solidFill>
                          <w14:schemeClr w14:val="tx1"/>
                        </w14:solidFill>
                      </w14:textFill>
                    </w:rPr>
                    <w:t>位于</w:t>
                  </w:r>
                  <w:r>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t>沈本新城总体规划</w:t>
                  </w:r>
                  <w:r>
                    <w:rPr>
                      <w:rFonts w:hint="eastAsia" w:cs="Times New Roman"/>
                      <w:bCs/>
                      <w:snapToGrid w:val="0"/>
                      <w:color w:val="000000" w:themeColor="text1"/>
                      <w:kern w:val="0"/>
                      <w:sz w:val="21"/>
                      <w:szCs w:val="21"/>
                      <w:highlight w:val="none"/>
                      <w:lang w:val="en-US" w:eastAsia="zh-CN" w:bidi="ar-SA"/>
                      <w14:textFill>
                        <w14:solidFill>
                          <w14:schemeClr w14:val="tx1"/>
                        </w14:solidFill>
                      </w14:textFill>
                    </w:rPr>
                    <w:t>现代中药产业园</w:t>
                  </w:r>
                  <w:r>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t>内，生产运行期产生的各项污染物均能做到稳定达标排放，不会对生态环境质量现状产生明显的影响，且本项目的建设促</w:t>
                  </w:r>
                  <w:r>
                    <w:rPr>
                      <w:rFonts w:hint="eastAsia" w:cs="Times New Roman"/>
                      <w:bCs/>
                      <w:snapToGrid w:val="0"/>
                      <w:color w:val="000000" w:themeColor="text1"/>
                      <w:kern w:val="0"/>
                      <w:sz w:val="21"/>
                      <w:szCs w:val="21"/>
                      <w:highlight w:val="none"/>
                      <w:lang w:val="zh-CN" w:eastAsia="zh-CN" w:bidi="ar-SA"/>
                      <w14:textFill>
                        <w14:solidFill>
                          <w14:schemeClr w14:val="tx1"/>
                        </w14:solidFill>
                      </w14:textFill>
                    </w:rPr>
                    <w:t>进了</w:t>
                  </w:r>
                  <w:r>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t>社会经济发展。</w:t>
                  </w:r>
                </w:p>
              </w:tc>
              <w:tc>
                <w:tcPr>
                  <w:tcW w:w="489" w:type="pct"/>
                  <w:tcBorders>
                    <w:tl2br w:val="nil"/>
                    <w:tr2bl w:val="nil"/>
                  </w:tcBorders>
                  <w:noWrap w:val="0"/>
                  <w:vAlign w:val="center"/>
                </w:tcPr>
                <w:p w14:paraId="1D42410F">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Cs/>
                      <w:snapToGrid w:val="0"/>
                      <w:color w:val="000000" w:themeColor="text1"/>
                      <w:kern w:val="0"/>
                      <w:sz w:val="21"/>
                      <w:szCs w:val="21"/>
                      <w:highlight w:val="none"/>
                      <w:lang w:val="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符合</w:t>
                  </w:r>
                </w:p>
              </w:tc>
            </w:tr>
            <w:tr w14:paraId="203429A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2859" w:type="pct"/>
                  <w:tcBorders>
                    <w:tl2br w:val="nil"/>
                    <w:tr2bl w:val="nil"/>
                  </w:tcBorders>
                  <w:noWrap w:val="0"/>
                  <w:vAlign w:val="center"/>
                </w:tcPr>
                <w:p w14:paraId="111C9CAB">
                  <w:pPr>
                    <w:pStyle w:val="58"/>
                    <w:keepNext w:val="0"/>
                    <w:keepLines w:val="0"/>
                    <w:widowControl/>
                    <w:suppressLineNumbers w:val="0"/>
                    <w:adjustRightInd w:val="0"/>
                    <w:spacing w:beforeAutospacing="0" w:afterAutospacing="0"/>
                    <w:ind w:left="0" w:right="113" w:rightChars="0" w:firstLine="0" w:firstLineChars="0"/>
                    <w:jc w:val="both"/>
                    <w:textAlignment w:val="auto"/>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针对规划区域目前存在的问题，本次规划将原来混杂的工业区和居住区相互分离开来，并在工业用地四周建设防护林带作为缓冲；道路系统得到了完善；目前作为主要大气污染源的中小锅炉房也将为集中供暖所取代；此外规划增加了区域的绿地面积。但是，鉴于规划区的土地利用现状，以及经济成本等方面的因素，目前规划方案并不是最优方案虽然根据相关标准的规定规划工业区周围设置了绿化隔离带以减少工业区对居住区的影响，但由于规划的工业区四周均被居住区包围着，存在环境风险，规划布局也不利于该域工业企业未来的扩建与发展。</w:t>
                  </w:r>
                </w:p>
              </w:tc>
              <w:tc>
                <w:tcPr>
                  <w:tcW w:w="1650" w:type="pct"/>
                  <w:tcBorders>
                    <w:tl2br w:val="nil"/>
                    <w:tr2bl w:val="nil"/>
                  </w:tcBorders>
                  <w:noWrap w:val="0"/>
                  <w:vAlign w:val="center"/>
                </w:tcPr>
                <w:p w14:paraId="1A14FE8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t>本项目位于沈本新城总体规划</w:t>
                  </w:r>
                  <w:r>
                    <w:rPr>
                      <w:rFonts w:hint="eastAsia" w:cs="Times New Roman"/>
                      <w:bCs/>
                      <w:snapToGrid w:val="0"/>
                      <w:color w:val="000000" w:themeColor="text1"/>
                      <w:kern w:val="0"/>
                      <w:sz w:val="21"/>
                      <w:szCs w:val="21"/>
                      <w:highlight w:val="none"/>
                      <w:lang w:val="en-US" w:eastAsia="zh-CN" w:bidi="ar-SA"/>
                      <w14:textFill>
                        <w14:solidFill>
                          <w14:schemeClr w14:val="tx1"/>
                        </w14:solidFill>
                      </w14:textFill>
                    </w:rPr>
                    <w:t>现代中药产业园</w:t>
                  </w:r>
                  <w:r>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t>内，厂区采取分区防渗、三级防控等措施最大限度</w:t>
                  </w:r>
                  <w:r>
                    <w:rPr>
                      <w:rFonts w:hint="eastAsia" w:cs="Times New Roman"/>
                      <w:bCs/>
                      <w:snapToGrid w:val="0"/>
                      <w:color w:val="000000" w:themeColor="text1"/>
                      <w:kern w:val="0"/>
                      <w:sz w:val="21"/>
                      <w:szCs w:val="21"/>
                      <w:highlight w:val="none"/>
                      <w:lang w:val="zh-CN" w:eastAsia="zh-CN" w:bidi="ar-SA"/>
                      <w14:textFill>
                        <w14:solidFill>
                          <w14:schemeClr w14:val="tx1"/>
                        </w14:solidFill>
                      </w14:textFill>
                    </w:rPr>
                    <w:t>地</w:t>
                  </w:r>
                  <w:r>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t>降低环境风险，</w:t>
                  </w:r>
                  <w:r>
                    <w:rPr>
                      <w:rFonts w:hint="eastAsia"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项目乙醇罐区和污水排放口等位于厂区</w:t>
                  </w:r>
                  <w:r>
                    <w:rPr>
                      <w:rFonts w:hint="eastAsia" w:cs="Times New Roman"/>
                      <w:bCs/>
                      <w:snapToGrid w:val="0"/>
                      <w:color w:val="000000" w:themeColor="text1"/>
                      <w:kern w:val="0"/>
                      <w:sz w:val="21"/>
                      <w:szCs w:val="21"/>
                      <w:highlight w:val="none"/>
                      <w:lang w:val="en-US" w:eastAsia="zh-CN" w:bidi="ar-SA"/>
                      <w14:textFill>
                        <w14:solidFill>
                          <w14:schemeClr w14:val="tx1"/>
                        </w14:solidFill>
                      </w14:textFill>
                    </w:rPr>
                    <w:t>中部和</w:t>
                  </w:r>
                  <w:r>
                    <w:rPr>
                      <w:rFonts w:hint="eastAsia"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北部，与厂区最近的敏感目</w:t>
                  </w:r>
                  <w:r>
                    <w:rPr>
                      <w:rFonts w:hint="eastAsia"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t>的</w:t>
                  </w:r>
                  <w:r>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t>旺力新天地</w:t>
                  </w:r>
                  <w:r>
                    <w:rPr>
                      <w:rFonts w:hint="eastAsia"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w:t>
                  </w:r>
                  <w:r>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t>厂界</w:t>
                  </w:r>
                  <w:r>
                    <w:rPr>
                      <w:rFonts w:hint="eastAsia" w:cs="Times New Roman"/>
                      <w:bCs/>
                      <w:snapToGrid w:val="0"/>
                      <w:color w:val="000000" w:themeColor="text1"/>
                      <w:kern w:val="0"/>
                      <w:sz w:val="21"/>
                      <w:szCs w:val="21"/>
                      <w:highlight w:val="none"/>
                      <w:lang w:val="en-US" w:eastAsia="zh-CN" w:bidi="ar-SA"/>
                      <w14:textFill>
                        <w14:solidFill>
                          <w14:schemeClr w14:val="tx1"/>
                        </w14:solidFill>
                      </w14:textFill>
                    </w:rPr>
                    <w:t>西</w:t>
                  </w:r>
                  <w:r>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t>南侧</w:t>
                  </w:r>
                  <w:r>
                    <w:rPr>
                      <w:rFonts w:hint="eastAsia"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）较远，且经分析，本项目环境风险影响较小。</w:t>
                  </w:r>
                </w:p>
              </w:tc>
              <w:tc>
                <w:tcPr>
                  <w:tcW w:w="489" w:type="pct"/>
                  <w:tcBorders>
                    <w:tl2br w:val="nil"/>
                    <w:tr2bl w:val="nil"/>
                  </w:tcBorders>
                  <w:noWrap w:val="0"/>
                  <w:vAlign w:val="center"/>
                </w:tcPr>
                <w:p w14:paraId="44FAB8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符合</w:t>
                  </w:r>
                </w:p>
              </w:tc>
            </w:tr>
            <w:tr w14:paraId="26D1B5E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2859" w:type="pct"/>
                  <w:tcBorders>
                    <w:tl2br w:val="nil"/>
                    <w:tr2bl w:val="nil"/>
                  </w:tcBorders>
                  <w:noWrap w:val="0"/>
                  <w:vAlign w:val="center"/>
                </w:tcPr>
                <w:p w14:paraId="54D6699E">
                  <w:pPr>
                    <w:pStyle w:val="58"/>
                    <w:keepNext w:val="0"/>
                    <w:keepLines w:val="0"/>
                    <w:widowControl/>
                    <w:suppressLineNumbers w:val="0"/>
                    <w:adjustRightInd w:val="0"/>
                    <w:spacing w:beforeAutospacing="0" w:afterAutospacing="0"/>
                    <w:ind w:left="0" w:right="113" w:rightChars="0" w:firstLine="0" w:firstLineChars="0"/>
                    <w:jc w:val="both"/>
                    <w:textAlignment w:val="auto"/>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本规划的实施，将使沈本新城地区的布局趋于合理化，公共基础设施得到完善。在落实规划环评提出的减缓措施和建议基础上，从环保角度分析，《沈本新城总体规划</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2013-2030</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》总体可行。</w:t>
                  </w:r>
                </w:p>
              </w:tc>
              <w:tc>
                <w:tcPr>
                  <w:tcW w:w="1650" w:type="pct"/>
                  <w:tcBorders>
                    <w:tl2br w:val="nil"/>
                    <w:tr2bl w:val="nil"/>
                  </w:tcBorders>
                  <w:noWrap w:val="0"/>
                  <w:vAlign w:val="center"/>
                </w:tcPr>
                <w:p w14:paraId="1DB670C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sz w:val="21"/>
                      <w:szCs w:val="21"/>
                      <w:highlight w:val="none"/>
                      <w:vertAlign w:val="baseline"/>
                      <w:lang w:val="zh-CN"/>
                      <w14:textFill>
                        <w14:solidFill>
                          <w14:schemeClr w14:val="tx1"/>
                        </w14:solidFill>
                      </w14:textFill>
                    </w:rPr>
                    <w:t>本项目不涉及</w:t>
                  </w:r>
                </w:p>
              </w:tc>
              <w:tc>
                <w:tcPr>
                  <w:tcW w:w="489" w:type="pct"/>
                  <w:tcBorders>
                    <w:tl2br w:val="nil"/>
                    <w:tr2bl w:val="nil"/>
                  </w:tcBorders>
                  <w:noWrap w:val="0"/>
                  <w:vAlign w:val="center"/>
                </w:tcPr>
                <w:p w14:paraId="4D2205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pPr>
                  <w:r>
                    <w:rPr>
                      <w:rFonts w:hint="eastAsia" w:ascii="Times New Roman" w:hAnsi="Times New Roman" w:eastAsia="宋体" w:cs="Times New Roman"/>
                      <w:snapToGrid/>
                      <w:color w:val="000000" w:themeColor="text1"/>
                      <w:sz w:val="21"/>
                      <w:szCs w:val="21"/>
                      <w:highlight w:val="none"/>
                      <w:vertAlign w:val="baseline"/>
                      <w:lang w:val="zh-CN"/>
                      <w14:textFill>
                        <w14:solidFill>
                          <w14:schemeClr w14:val="tx1"/>
                        </w14:solidFill>
                      </w14:textFill>
                    </w:rPr>
                    <w:t>不涉及</w:t>
                  </w:r>
                </w:p>
              </w:tc>
            </w:tr>
          </w:tbl>
          <w:p w14:paraId="1EFD2912">
            <w:pPr>
              <w:keepNext w:val="0"/>
              <w:keepLines w:val="0"/>
              <w:widowControl/>
              <w:numPr>
                <w:ilvl w:val="0"/>
                <w:numId w:val="0"/>
              </w:numPr>
              <w:suppressLineNumbers w:val="0"/>
              <w:adjustRightInd w:val="0"/>
              <w:snapToGrid w:val="0"/>
              <w:spacing w:before="0" w:beforeAutospacing="0" w:after="0" w:afterAutospacing="0" w:line="360" w:lineRule="auto"/>
              <w:ind w:left="0" w:leftChars="0" w:right="0" w:rightChars="0" w:firstLine="480" w:firstLineChars="200"/>
              <w:jc w:val="left"/>
              <w:rPr>
                <w:rFonts w:hint="default" w:ascii="Times New Roman" w:hAnsi="Times New Roman"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cs="Times New Roman"/>
                <w:color w:val="000000" w:themeColor="text1"/>
                <w:kern w:val="0"/>
                <w:sz w:val="24"/>
                <w:szCs w:val="24"/>
                <w:highlight w:val="none"/>
                <w:lang w:bidi="ar"/>
                <w14:textFill>
                  <w14:solidFill>
                    <w14:schemeClr w14:val="tx1"/>
                  </w14:solidFill>
                </w14:textFill>
              </w:rPr>
              <w:t>综上所述</w:t>
            </w:r>
            <w:r>
              <w:rPr>
                <w:rFonts w:hint="default" w:ascii="Times New Roman" w:hAnsi="Times New Roman" w:cs="Times New Roman"/>
                <w:color w:val="000000" w:themeColor="text1"/>
                <w:kern w:val="0"/>
                <w:sz w:val="24"/>
                <w:szCs w:val="24"/>
                <w:highlight w:val="none"/>
                <w:lang w:eastAsia="zh-CN" w:bidi="ar"/>
                <w14:textFill>
                  <w14:solidFill>
                    <w14:schemeClr w14:val="tx1"/>
                  </w14:solidFill>
                </w14:textFill>
              </w:rPr>
              <w:t>，</w:t>
            </w:r>
            <w:r>
              <w:rPr>
                <w:rFonts w:hint="default" w:ascii="Times New Roman" w:hAnsi="Times New Roman" w:cs="Times New Roman"/>
                <w:color w:val="000000" w:themeColor="text1"/>
                <w:kern w:val="0"/>
                <w:sz w:val="24"/>
                <w:szCs w:val="24"/>
                <w:highlight w:val="none"/>
                <w:lang w:bidi="ar"/>
                <w14:textFill>
                  <w14:solidFill>
                    <w14:schemeClr w14:val="tx1"/>
                  </w14:solidFill>
                </w14:textFill>
              </w:rPr>
              <w:t>本项目符合《沈本新城总体规划（2013～2030）环境影响报告书》主要结论</w:t>
            </w:r>
            <w:r>
              <w:rPr>
                <w:rFonts w:hint="default" w:ascii="Times New Roman" w:hAnsi="Times New Roman" w:cs="Times New Roman"/>
                <w:color w:val="000000" w:themeColor="text1"/>
                <w:kern w:val="0"/>
                <w:sz w:val="24"/>
                <w:szCs w:val="24"/>
                <w:highlight w:val="none"/>
                <w:lang w:val="en-US" w:eastAsia="zh-CN" w:bidi="ar"/>
                <w14:textFill>
                  <w14:solidFill>
                    <w14:schemeClr w14:val="tx1"/>
                  </w14:solidFill>
                </w14:textFill>
              </w:rPr>
              <w:t>要求。</w:t>
            </w:r>
          </w:p>
          <w:p w14:paraId="59096D0D">
            <w:pPr>
              <w:keepNext w:val="0"/>
              <w:keepLines w:val="0"/>
              <w:pageBreakBefore w:val="0"/>
              <w:widowControl w:val="0"/>
              <w:suppressLineNumbers w:val="0"/>
              <w:kinsoku/>
              <w:wordWrap/>
              <w:overflowPunct/>
              <w:topLinePunct w:val="0"/>
              <w:autoSpaceDE/>
              <w:autoSpaceDN/>
              <w:bidi w:val="0"/>
              <w:adjustRightInd w:val="0"/>
              <w:snapToGrid w:val="0"/>
              <w:spacing w:before="120" w:beforeLines="50" w:beforeAutospacing="0" w:after="0" w:afterAutospacing="0" w:line="360" w:lineRule="auto"/>
              <w:ind w:left="0" w:right="0"/>
              <w:textAlignment w:val="auto"/>
              <w:rPr>
                <w:rFonts w:hint="default"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pPr>
            <w:r>
              <w:rPr>
                <w:rFonts w:hint="eastAsia" w:cs="Times New Roman"/>
                <w:b/>
                <w:bCs/>
                <w:color w:val="000000" w:themeColor="text1"/>
                <w:kern w:val="0"/>
                <w:sz w:val="24"/>
                <w:szCs w:val="24"/>
                <w:highlight w:val="none"/>
                <w:lang w:val="en-US" w:eastAsia="zh-CN" w:bidi="en-US"/>
                <w14:textFill>
                  <w14:solidFill>
                    <w14:schemeClr w14:val="tx1"/>
                  </w14:solidFill>
                </w14:textFill>
              </w:rPr>
              <w:t>5</w:t>
            </w:r>
            <w:r>
              <w:rPr>
                <w:rFonts w:hint="default"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t>、本项目与</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《关于沈本新城总体规划（2013-2030）环境影响报告书的审查意见》（本环规审字【2014】2号）</w:t>
            </w:r>
            <w:r>
              <w:rPr>
                <w:rFonts w:hint="default"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t>符合性分析</w:t>
            </w:r>
          </w:p>
          <w:p w14:paraId="4B12EBDA">
            <w:pPr>
              <w:keepNext w:val="0"/>
              <w:keepLines w:val="0"/>
              <w:numPr>
                <w:ilvl w:val="0"/>
                <w:numId w:val="2"/>
              </w:numPr>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本项目与《关于沈本新城总体规划（2013-2030）环境影响报告书的审查意见》符合性分析</w:t>
            </w:r>
          </w:p>
          <w:tbl>
            <w:tblPr>
              <w:tblStyle w:val="35"/>
              <w:tblW w:w="7723" w:type="dxa"/>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403"/>
              <w:gridCol w:w="2563"/>
              <w:gridCol w:w="757"/>
            </w:tblGrid>
            <w:tr w14:paraId="23AC5FF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03" w:type="dxa"/>
                  <w:tcBorders>
                    <w:tl2br w:val="nil"/>
                    <w:tr2bl w:val="nil"/>
                  </w:tcBorders>
                  <w:noWrap w:val="0"/>
                  <w:vAlign w:val="center"/>
                </w:tcPr>
                <w:p w14:paraId="481F534F">
                  <w:pPr>
                    <w:pStyle w:val="114"/>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val="0"/>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b/>
                      <w:bCs w:val="0"/>
                      <w:color w:val="000000" w:themeColor="text1"/>
                      <w:sz w:val="21"/>
                      <w:szCs w:val="21"/>
                      <w:highlight w:val="none"/>
                      <w:lang w:val="en-US" w:eastAsia="zh-CN"/>
                      <w14:textFill>
                        <w14:solidFill>
                          <w14:schemeClr w14:val="tx1"/>
                        </w14:solidFill>
                      </w14:textFill>
                    </w:rPr>
                    <w:t>规划环评</w:t>
                  </w:r>
                  <w:r>
                    <w:rPr>
                      <w:rFonts w:hint="default" w:ascii="Times New Roman" w:hAnsi="Times New Roman" w:eastAsia="宋体" w:cs="Times New Roman"/>
                      <w:b/>
                      <w:bCs w:val="0"/>
                      <w:color w:val="000000" w:themeColor="text1"/>
                      <w:sz w:val="21"/>
                      <w:szCs w:val="21"/>
                      <w:highlight w:val="none"/>
                      <w:lang w:val="en-US" w:eastAsia="zh-CN"/>
                      <w14:textFill>
                        <w14:solidFill>
                          <w14:schemeClr w14:val="tx1"/>
                        </w14:solidFill>
                      </w14:textFill>
                    </w:rPr>
                    <w:t>审查意见</w:t>
                  </w:r>
                </w:p>
              </w:tc>
              <w:tc>
                <w:tcPr>
                  <w:tcW w:w="2563" w:type="dxa"/>
                  <w:tcBorders>
                    <w:tl2br w:val="nil"/>
                    <w:tr2bl w:val="nil"/>
                  </w:tcBorders>
                  <w:noWrap w:val="0"/>
                  <w:vAlign w:val="center"/>
                </w:tcPr>
                <w:p w14:paraId="7E8A600E">
                  <w:pPr>
                    <w:pStyle w:val="114"/>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b/>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szCs w:val="21"/>
                      <w:highlight w:val="none"/>
                      <w:lang w:val="en-US" w:eastAsia="zh-CN"/>
                      <w14:textFill>
                        <w14:solidFill>
                          <w14:schemeClr w14:val="tx1"/>
                        </w14:solidFill>
                      </w14:textFill>
                    </w:rPr>
                    <w:t>本</w:t>
                  </w:r>
                  <w:r>
                    <w:rPr>
                      <w:rFonts w:hint="default" w:ascii="Times New Roman" w:hAnsi="Times New Roman" w:eastAsia="宋体" w:cs="Times New Roman"/>
                      <w:b/>
                      <w:bCs/>
                      <w:color w:val="000000" w:themeColor="text1"/>
                      <w:szCs w:val="21"/>
                      <w:highlight w:val="none"/>
                      <w14:textFill>
                        <w14:solidFill>
                          <w14:schemeClr w14:val="tx1"/>
                        </w14:solidFill>
                      </w14:textFill>
                    </w:rPr>
                    <w:t>项目情况</w:t>
                  </w:r>
                </w:p>
              </w:tc>
              <w:tc>
                <w:tcPr>
                  <w:tcW w:w="757" w:type="dxa"/>
                  <w:tcBorders>
                    <w:tl2br w:val="nil"/>
                    <w:tr2bl w:val="nil"/>
                  </w:tcBorders>
                  <w:noWrap w:val="0"/>
                  <w:tcMar>
                    <w:top w:w="0" w:type="dxa"/>
                    <w:left w:w="0" w:type="dxa"/>
                    <w:bottom w:w="0" w:type="dxa"/>
                    <w:right w:w="0" w:type="dxa"/>
                  </w:tcMar>
                  <w:vAlign w:val="center"/>
                </w:tcPr>
                <w:p w14:paraId="4748D803">
                  <w:pPr>
                    <w:pStyle w:val="114"/>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b/>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lang w:val="en-US" w:eastAsia="zh-CN"/>
                      <w14:textFill>
                        <w14:solidFill>
                          <w14:schemeClr w14:val="tx1"/>
                        </w14:solidFill>
                      </w14:textFill>
                    </w:rPr>
                    <w:t>相符性</w:t>
                  </w:r>
                </w:p>
              </w:tc>
            </w:tr>
            <w:tr w14:paraId="23DD8CD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4403" w:type="dxa"/>
                  <w:tcBorders>
                    <w:tl2br w:val="nil"/>
                    <w:tr2bl w:val="nil"/>
                  </w:tcBorders>
                  <w:noWrap w:val="0"/>
                  <w:vAlign w:val="center"/>
                </w:tcPr>
                <w:p w14:paraId="0F812062">
                  <w:pPr>
                    <w:pStyle w:val="58"/>
                    <w:keepNext w:val="0"/>
                    <w:keepLines w:val="0"/>
                    <w:pageBreakBefore w:val="0"/>
                    <w:widowControl/>
                    <w:suppressLineNumbers w:val="0"/>
                    <w:kinsoku/>
                    <w:wordWrap/>
                    <w:overflowPunct/>
                    <w:topLinePunct w:val="0"/>
                    <w:autoSpaceDE/>
                    <w:autoSpaceDN/>
                    <w:bidi w:val="0"/>
                    <w:adjustRightInd w:val="0"/>
                    <w:snapToGrid/>
                    <w:spacing w:beforeAutospacing="0" w:afterAutospacing="0"/>
                    <w:ind w:left="0" w:right="113" w:rightChars="0" w:firstLine="0" w:firstLineChars="0"/>
                    <w:jc w:val="both"/>
                    <w:textAlignment w:val="auto"/>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报告书”编制规范，评价内容较全面，评价重点突出，评价方法科学，污染控制与环境保护目标明确，环境影响识别准确，提出的环境影响减缓措施基本可行，评价结论总体可信，满足国家规划环境影响评价技术导则要求，可作为规划实施和环境管理的依据</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c>
                <w:tcPr>
                  <w:tcW w:w="2563" w:type="dxa"/>
                  <w:tcBorders>
                    <w:tl2br w:val="nil"/>
                    <w:tr2bl w:val="nil"/>
                  </w:tcBorders>
                  <w:noWrap w:val="0"/>
                  <w:vAlign w:val="center"/>
                </w:tcPr>
                <w:p w14:paraId="6349526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本项目不涉及</w:t>
                  </w:r>
                </w:p>
              </w:tc>
              <w:tc>
                <w:tcPr>
                  <w:tcW w:w="757" w:type="dxa"/>
                  <w:tcBorders>
                    <w:tl2br w:val="nil"/>
                    <w:tr2bl w:val="nil"/>
                  </w:tcBorders>
                  <w:noWrap w:val="0"/>
                  <w:vAlign w:val="center"/>
                </w:tcPr>
                <w:p w14:paraId="6237D3BE">
                  <w:pPr>
                    <w:pStyle w:val="114"/>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不涉及</w:t>
                  </w:r>
                </w:p>
              </w:tc>
            </w:tr>
            <w:tr w14:paraId="2955D98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03" w:type="dxa"/>
                  <w:tcBorders>
                    <w:tl2br w:val="nil"/>
                    <w:tr2bl w:val="nil"/>
                  </w:tcBorders>
                  <w:noWrap w:val="0"/>
                  <w:vAlign w:val="center"/>
                </w:tcPr>
                <w:p w14:paraId="04FA76D0">
                  <w:pPr>
                    <w:pStyle w:val="58"/>
                    <w:keepNext w:val="0"/>
                    <w:keepLines w:val="0"/>
                    <w:pageBreakBefore w:val="0"/>
                    <w:widowControl/>
                    <w:suppressLineNumbers w:val="0"/>
                    <w:kinsoku/>
                    <w:wordWrap/>
                    <w:overflowPunct/>
                    <w:topLinePunct w:val="0"/>
                    <w:autoSpaceDE/>
                    <w:autoSpaceDN/>
                    <w:bidi w:val="0"/>
                    <w:adjustRightInd w:val="0"/>
                    <w:snapToGrid/>
                    <w:spacing w:beforeAutospacing="0" w:afterAutospacing="0"/>
                    <w:ind w:left="0" w:right="113" w:rightChars="0" w:firstLine="0" w:firstLineChars="0"/>
                    <w:jc w:val="left"/>
                    <w:textAlignment w:val="auto"/>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沈本新城位于辽宁省本溪市，东接抚顺市和本溪满族自治县、西接辽阳市、南靠本溪老城区、北临沈阳市，规划区域面积176.97km</w:t>
                  </w:r>
                  <w:r>
                    <w:rPr>
                      <w:rFonts w:hint="default" w:ascii="Times New Roman" w:hAnsi="Times New Roman" w:eastAsia="宋体" w:cs="Times New Roman"/>
                      <w:color w:val="000000" w:themeColor="text1"/>
                      <w:sz w:val="21"/>
                      <w:szCs w:val="21"/>
                      <w:highlight w:val="none"/>
                      <w:vertAlign w:val="superscript"/>
                      <w:lang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，行政辖区覆盖日月岛、石桥子和张其寨三个街道办事处，其中城市建设用地规模为68.37km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。规划期限为2013-2030年</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《沈本新城总体规划</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2013-2030</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以下简称《规划》</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本着促进可持续发展的原则，协调经济、人口与资源利用、生态环境保护的关系，通过打造强大的产业集群，重点发展医药制造、医疗器械制造等先进制造和商贸物流等产业，将沈本新城建设成为生态环境优越、社会经济协调发展，人民生活宜居的国家重要的医药产业基地，辽中地区重要的生态健康城市，沈阳经济区生态发展示范新城，本溪市对外开放中心，最终实现沈本新城跨越式发展。</w:t>
                  </w:r>
                </w:p>
              </w:tc>
              <w:tc>
                <w:tcPr>
                  <w:tcW w:w="2563" w:type="dxa"/>
                  <w:tcBorders>
                    <w:tl2br w:val="nil"/>
                    <w:tr2bl w:val="nil"/>
                  </w:tcBorders>
                  <w:noWrap w:val="0"/>
                  <w:vAlign w:val="center"/>
                </w:tcPr>
                <w:p w14:paraId="53DF00D2">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t>根据沈本新城产业空间布局图，本项目位于沈本新城总体规划</w:t>
                  </w:r>
                  <w:r>
                    <w:rPr>
                      <w:rFonts w:hint="eastAsia" w:cs="Times New Roman"/>
                      <w:bCs/>
                      <w:snapToGrid w:val="0"/>
                      <w:color w:val="000000" w:themeColor="text1"/>
                      <w:kern w:val="0"/>
                      <w:sz w:val="21"/>
                      <w:szCs w:val="21"/>
                      <w:highlight w:val="none"/>
                      <w:lang w:val="en-US" w:eastAsia="zh-CN" w:bidi="ar-SA"/>
                      <w14:textFill>
                        <w14:solidFill>
                          <w14:schemeClr w14:val="tx1"/>
                        </w14:solidFill>
                      </w14:textFill>
                    </w:rPr>
                    <w:t>现代中药产业园</w:t>
                  </w:r>
                  <w:r>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t>内，</w:t>
                  </w: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产品为中成药，为医药制造业</w:t>
                  </w:r>
                  <w:r>
                    <w:rPr>
                      <w:rFonts w:hint="eastAsia" w:cs="Times New Roman"/>
                      <w:bCs/>
                      <w:snapToGrid w:val="0"/>
                      <w:color w:val="000000" w:themeColor="text1"/>
                      <w:kern w:val="0"/>
                      <w:sz w:val="21"/>
                      <w:szCs w:val="21"/>
                      <w:highlight w:val="none"/>
                      <w:lang w:val="en-US" w:eastAsia="zh-CN" w:bidi="ar-SA"/>
                      <w14:textFill>
                        <w14:solidFill>
                          <w14:schemeClr w14:val="tx1"/>
                        </w14:solidFill>
                      </w14:textFill>
                    </w:rPr>
                    <w:t>，</w:t>
                  </w: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本项目的建设有利于沈本新城的社会经济发展。</w:t>
                  </w:r>
                </w:p>
              </w:tc>
              <w:tc>
                <w:tcPr>
                  <w:tcW w:w="757" w:type="dxa"/>
                  <w:tcBorders>
                    <w:tl2br w:val="nil"/>
                    <w:tr2bl w:val="nil"/>
                  </w:tcBorders>
                  <w:noWrap w:val="0"/>
                  <w:vAlign w:val="center"/>
                </w:tcPr>
                <w:p w14:paraId="6A6CCB26">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bCs/>
                      <w:snapToGrid w:val="0"/>
                      <w:color w:val="000000" w:themeColor="text1"/>
                      <w:kern w:val="0"/>
                      <w:sz w:val="21"/>
                      <w:szCs w:val="21"/>
                      <w:highlight w:val="none"/>
                      <w:lang w:val="en-US" w:eastAsia="zh-CN"/>
                      <w14:textFill>
                        <w14:solidFill>
                          <w14:schemeClr w14:val="tx1"/>
                        </w14:solidFill>
                      </w14:textFill>
                    </w:rPr>
                  </w:pPr>
                  <w:r>
                    <w:rPr>
                      <w:rFonts w:hint="eastAsia" w:cs="Times New Roman"/>
                      <w:bCs/>
                      <w:snapToGrid w:val="0"/>
                      <w:color w:val="000000" w:themeColor="text1"/>
                      <w:kern w:val="0"/>
                      <w:sz w:val="21"/>
                      <w:szCs w:val="21"/>
                      <w:highlight w:val="none"/>
                      <w:lang w:val="en-US" w:eastAsia="zh-CN"/>
                      <w14:textFill>
                        <w14:solidFill>
                          <w14:schemeClr w14:val="tx1"/>
                        </w14:solidFill>
                      </w14:textFill>
                    </w:rPr>
                    <w:t>符合</w:t>
                  </w:r>
                </w:p>
              </w:tc>
            </w:tr>
            <w:tr w14:paraId="4ACC9B9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03" w:type="dxa"/>
                  <w:tcBorders>
                    <w:tl2br w:val="nil"/>
                    <w:tr2bl w:val="nil"/>
                  </w:tcBorders>
                  <w:noWrap w:val="0"/>
                  <w:vAlign w:val="center"/>
                </w:tcPr>
                <w:p w14:paraId="60AC869A">
                  <w:pPr>
                    <w:pStyle w:val="58"/>
                    <w:keepNext w:val="0"/>
                    <w:keepLines w:val="0"/>
                    <w:pageBreakBefore w:val="0"/>
                    <w:widowControl/>
                    <w:suppressLineNumbers w:val="0"/>
                    <w:kinsoku/>
                    <w:wordWrap/>
                    <w:overflowPunct/>
                    <w:topLinePunct w:val="0"/>
                    <w:autoSpaceDE/>
                    <w:autoSpaceDN/>
                    <w:bidi w:val="0"/>
                    <w:adjustRightInd w:val="0"/>
                    <w:snapToGrid/>
                    <w:spacing w:beforeAutospacing="0" w:afterAutospacing="0"/>
                    <w:ind w:left="0" w:right="113" w:rightChars="0" w:firstLine="0" w:firstLineChars="0"/>
                    <w:jc w:val="left"/>
                    <w:textAlignment w:val="auto"/>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《规划》符合《辽宁中部城市群发展规划》《本溪市城市总体规划</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2000-2020</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本溪市国民经济和社会发展第十二个五年规划纲要》和本溪市有关环境保护政策要求。该规划在认真落实《报告书》提出的环境影响减缓措施、环境风险防范措施、环境管理对策和环境影响评价建议的前提下，《规划》的环境保护目标可以实现，《规划》是可行的。</w:t>
                  </w:r>
                </w:p>
              </w:tc>
              <w:tc>
                <w:tcPr>
                  <w:tcW w:w="2563" w:type="dxa"/>
                  <w:tcBorders>
                    <w:tl2br w:val="nil"/>
                    <w:tr2bl w:val="nil"/>
                  </w:tcBorders>
                  <w:noWrap w:val="0"/>
                  <w:vAlign w:val="center"/>
                </w:tcPr>
                <w:p w14:paraId="622CFC2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本项目不涉及</w:t>
                  </w:r>
                </w:p>
              </w:tc>
              <w:tc>
                <w:tcPr>
                  <w:tcW w:w="757" w:type="dxa"/>
                  <w:tcBorders>
                    <w:tl2br w:val="nil"/>
                    <w:tr2bl w:val="nil"/>
                  </w:tcBorders>
                  <w:noWrap w:val="0"/>
                  <w:vAlign w:val="center"/>
                </w:tcPr>
                <w:p w14:paraId="2DEF73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不涉及</w:t>
                  </w:r>
                </w:p>
              </w:tc>
            </w:tr>
            <w:tr w14:paraId="50AFFD5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03" w:type="dxa"/>
                  <w:tcBorders>
                    <w:tl2br w:val="nil"/>
                    <w:tr2bl w:val="nil"/>
                  </w:tcBorders>
                  <w:noWrap w:val="0"/>
                  <w:vAlign w:val="center"/>
                </w:tcPr>
                <w:p w14:paraId="3F7BF00D">
                  <w:pPr>
                    <w:pStyle w:val="58"/>
                    <w:keepNext w:val="0"/>
                    <w:keepLines w:val="0"/>
                    <w:pageBreakBefore w:val="0"/>
                    <w:widowControl/>
                    <w:suppressLineNumbers w:val="0"/>
                    <w:kinsoku/>
                    <w:wordWrap/>
                    <w:overflowPunct/>
                    <w:topLinePunct w:val="0"/>
                    <w:autoSpaceDE/>
                    <w:autoSpaceDN/>
                    <w:bidi w:val="0"/>
                    <w:adjustRightInd w:val="0"/>
                    <w:snapToGrid/>
                    <w:spacing w:beforeAutospacing="0" w:afterAutospacing="0"/>
                    <w:ind w:left="0" w:right="113" w:rightChars="0" w:firstLine="0" w:firstLineChars="0"/>
                    <w:jc w:val="left"/>
                    <w:textAlignment w:val="auto"/>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根据《报告书》环境影响预测，《规划》的实施，沈本新城的空气质量、水环境质量将有局部改善，声环境质量将维持现有水平，陆生生态系统将受到一定的影响。根据规划环评大气及地表水监测结果，部分点位监测因子超标，同时该区域处于丘陵，群山之间，集中供热也将成为规划的制约因素，在调整新城发展布局基础及采取严格的环境影响减缓措施后，资源与环境承载力基本能够保证总体规划的实施。</w:t>
                  </w:r>
                </w:p>
              </w:tc>
              <w:tc>
                <w:tcPr>
                  <w:tcW w:w="2563" w:type="dxa"/>
                  <w:tcBorders>
                    <w:tl2br w:val="nil"/>
                    <w:tr2bl w:val="nil"/>
                  </w:tcBorders>
                  <w:noWrap w:val="0"/>
                  <w:vAlign w:val="center"/>
                </w:tcPr>
                <w:p w14:paraId="13125DF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本项目生产运行期采取有效的治理措施可保证各项污染物稳定达标排放，不会对项目所在区域的空气质量、水环境质量产生明显的不利影响。</w:t>
                  </w:r>
                </w:p>
              </w:tc>
              <w:tc>
                <w:tcPr>
                  <w:tcW w:w="757" w:type="dxa"/>
                  <w:tcBorders>
                    <w:tl2br w:val="nil"/>
                    <w:tr2bl w:val="nil"/>
                  </w:tcBorders>
                  <w:noWrap w:val="0"/>
                  <w:vAlign w:val="center"/>
                </w:tcPr>
                <w:p w14:paraId="4CBAA7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bCs/>
                      <w:snapToGrid w:val="0"/>
                      <w:color w:val="000000" w:themeColor="text1"/>
                      <w:kern w:val="0"/>
                      <w:sz w:val="21"/>
                      <w:szCs w:val="21"/>
                      <w:highlight w:val="none"/>
                      <w:lang w:val="en-US" w:eastAsia="zh-CN" w:bidi="ar-SA"/>
                      <w14:textFill>
                        <w14:solidFill>
                          <w14:schemeClr w14:val="tx1"/>
                        </w14:solidFill>
                      </w14:textFill>
                    </w:rPr>
                    <w:t>符合</w:t>
                  </w:r>
                </w:p>
              </w:tc>
            </w:tr>
            <w:tr w14:paraId="6D84372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03" w:type="dxa"/>
                  <w:tcBorders>
                    <w:tl2br w:val="nil"/>
                    <w:tr2bl w:val="nil"/>
                  </w:tcBorders>
                  <w:noWrap w:val="0"/>
                  <w:vAlign w:val="center"/>
                </w:tcPr>
                <w:p w14:paraId="7A634C3B">
                  <w:pPr>
                    <w:pStyle w:val="58"/>
                    <w:keepNext w:val="0"/>
                    <w:keepLines w:val="0"/>
                    <w:pageBreakBefore w:val="0"/>
                    <w:widowControl/>
                    <w:suppressLineNumbers w:val="0"/>
                    <w:kinsoku/>
                    <w:wordWrap/>
                    <w:overflowPunct/>
                    <w:topLinePunct w:val="0"/>
                    <w:autoSpaceDE/>
                    <w:autoSpaceDN/>
                    <w:bidi w:val="0"/>
                    <w:adjustRightInd w:val="0"/>
                    <w:snapToGrid/>
                    <w:spacing w:beforeAutospacing="0" w:afterAutospacing="0"/>
                    <w:ind w:left="0" w:right="113" w:rightChars="0" w:firstLine="0" w:firstLineChars="0"/>
                    <w:jc w:val="left"/>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《报告书》对总体规划提出的7条建议基本可行，建议在《规划》实施过程中认真考虑以下问题</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1、严格控制引进项目环保准入条件，主导产业医疗器械工艺中可能涉及到化学电镀、高端仿制药及化药中部分产品属于“高污染、高风险、高能耗”项目，应予严格控制，严禁入驻，进一步核定工业用地类别。2、沈本新城北接沈阳市、东北邻抚顺市，西侧为辽阳市，东侧和南侧为本溪市，要严格控制跨界污染和扰民现象产生</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3、沈本新城规划建设的工业区基本是沿着河流建设的，河流两岸生态易遭破坏，河体水质易受污染，建议沿河两岸应严格要求设置绿化隔离带</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c>
                <w:tcPr>
                  <w:tcW w:w="2563" w:type="dxa"/>
                  <w:tcBorders>
                    <w:tl2br w:val="nil"/>
                    <w:tr2bl w:val="nil"/>
                  </w:tcBorders>
                  <w:noWrap w:val="0"/>
                  <w:vAlign w:val="center"/>
                </w:tcPr>
                <w:p w14:paraId="05F3BE5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1.本项目产品为中成药，为医药制造业，符合引进项目环保准入条件，不属于“高污染、高风险、高能耗”项目</w:t>
                  </w:r>
                  <w:r>
                    <w:rPr>
                      <w:rFonts w:hint="eastAsia" w:cs="Times New Roman"/>
                      <w:bCs/>
                      <w:snapToGrid w:val="0"/>
                      <w:color w:val="000000" w:themeColor="text1"/>
                      <w:kern w:val="0"/>
                      <w:sz w:val="21"/>
                      <w:szCs w:val="21"/>
                      <w:highlight w:val="none"/>
                      <w:lang w:val="en-US" w:eastAsia="zh-CN" w:bidi="ar-SA"/>
                      <w14:textFill>
                        <w14:solidFill>
                          <w14:schemeClr w14:val="tx1"/>
                        </w14:solidFill>
                      </w14:textFill>
                    </w:rPr>
                    <w:t>；</w:t>
                  </w:r>
                </w:p>
                <w:p w14:paraId="38D821F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2.本项目为</w:t>
                  </w:r>
                  <w:r>
                    <w:rPr>
                      <w:rFonts w:hint="eastAsia" w:cs="Times New Roman"/>
                      <w:bCs/>
                      <w:snapToGrid w:val="0"/>
                      <w:color w:val="000000" w:themeColor="text1"/>
                      <w:kern w:val="0"/>
                      <w:sz w:val="21"/>
                      <w:szCs w:val="21"/>
                      <w:highlight w:val="none"/>
                      <w:lang w:val="en-US" w:eastAsia="zh-CN" w:bidi="ar-SA"/>
                      <w14:textFill>
                        <w14:solidFill>
                          <w14:schemeClr w14:val="tx1"/>
                        </w14:solidFill>
                      </w14:textFill>
                    </w:rPr>
                    <w:t>改</w:t>
                  </w: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扩建项目，用地性质为工业用地，</w:t>
                  </w:r>
                  <w:r>
                    <w:rPr>
                      <w:rFonts w:hint="eastAsia" w:cs="Times New Roman"/>
                      <w:bCs/>
                      <w:snapToGrid w:val="0"/>
                      <w:color w:val="000000" w:themeColor="text1"/>
                      <w:kern w:val="0"/>
                      <w:sz w:val="21"/>
                      <w:szCs w:val="21"/>
                      <w:highlight w:val="none"/>
                      <w:lang w:val="en-US" w:eastAsia="zh-CN" w:bidi="ar-SA"/>
                      <w14:textFill>
                        <w14:solidFill>
                          <w14:schemeClr w14:val="tx1"/>
                        </w14:solidFill>
                      </w14:textFill>
                    </w:rPr>
                    <w:t>通过厂区合理布局，生产车间、锅炉房和污水排放口</w:t>
                  </w: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距离居住区等敏感点距离较远，不会造成跨界污染和扰民现象产生</w:t>
                  </w:r>
                  <w:r>
                    <w:rPr>
                      <w:rFonts w:hint="eastAsia" w:cs="Times New Roman"/>
                      <w:bCs/>
                      <w:snapToGrid w:val="0"/>
                      <w:color w:val="000000" w:themeColor="text1"/>
                      <w:kern w:val="0"/>
                      <w:sz w:val="21"/>
                      <w:szCs w:val="21"/>
                      <w:highlight w:val="none"/>
                      <w:lang w:val="en-US" w:eastAsia="zh-CN" w:bidi="ar-SA"/>
                      <w14:textFill>
                        <w14:solidFill>
                          <w14:schemeClr w14:val="tx1"/>
                        </w14:solidFill>
                      </w14:textFill>
                    </w:rPr>
                    <w:t>；</w:t>
                  </w:r>
                </w:p>
                <w:p w14:paraId="4AEDAA5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3.经预测，本项目采取治理措施后，各项污染物可做到稳定达标排放，不会对周围河流生态环境产生明显不利影响。</w:t>
                  </w:r>
                </w:p>
              </w:tc>
              <w:tc>
                <w:tcPr>
                  <w:tcW w:w="757" w:type="dxa"/>
                  <w:tcBorders>
                    <w:tl2br w:val="nil"/>
                    <w:tr2bl w:val="nil"/>
                  </w:tcBorders>
                  <w:noWrap w:val="0"/>
                  <w:vAlign w:val="center"/>
                </w:tcPr>
                <w:p w14:paraId="0DB073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Cs/>
                      <w:snapToGrid w:val="0"/>
                      <w:color w:val="000000" w:themeColor="text1"/>
                      <w:kern w:val="0"/>
                      <w:sz w:val="21"/>
                      <w:szCs w:val="21"/>
                      <w:highlight w:val="none"/>
                      <w:lang w:val="zh-CN" w:eastAsia="zh-CN" w:bidi="ar-SA"/>
                      <w14:textFill>
                        <w14:solidFill>
                          <w14:schemeClr w14:val="tx1"/>
                        </w14:solidFill>
                      </w14:textFill>
                    </w:rPr>
                  </w:pPr>
                </w:p>
              </w:tc>
            </w:tr>
          </w:tbl>
          <w:p w14:paraId="5568C1B8">
            <w:pPr>
              <w:keepNext w:val="0"/>
              <w:keepLines w:val="0"/>
              <w:widowControl/>
              <w:numPr>
                <w:ilvl w:val="0"/>
                <w:numId w:val="0"/>
              </w:numPr>
              <w:suppressLineNumbers w:val="0"/>
              <w:adjustRightInd w:val="0"/>
              <w:snapToGrid w:val="0"/>
              <w:spacing w:before="0" w:beforeAutospacing="0" w:after="0" w:afterAutospacing="0" w:line="360" w:lineRule="auto"/>
              <w:ind w:left="0" w:leftChars="0" w:right="0" w:rightChars="0" w:firstLine="480" w:firstLineChars="200"/>
              <w:jc w:val="left"/>
              <w:rPr>
                <w:rFonts w:hint="default" w:ascii="Times New Roman" w:hAnsi="Times New Roman"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cs="Times New Roman"/>
                <w:color w:val="000000" w:themeColor="text1"/>
                <w:kern w:val="0"/>
                <w:sz w:val="24"/>
                <w:szCs w:val="24"/>
                <w:highlight w:val="none"/>
                <w:lang w:bidi="ar"/>
                <w14:textFill>
                  <w14:solidFill>
                    <w14:schemeClr w14:val="tx1"/>
                  </w14:solidFill>
                </w14:textFill>
              </w:rPr>
              <w:t>综上所述</w:t>
            </w:r>
            <w:r>
              <w:rPr>
                <w:rFonts w:hint="default" w:ascii="Times New Roman" w:hAnsi="Times New Roman" w:cs="Times New Roman"/>
                <w:color w:val="000000" w:themeColor="text1"/>
                <w:kern w:val="0"/>
                <w:sz w:val="24"/>
                <w:szCs w:val="24"/>
                <w:highlight w:val="none"/>
                <w:lang w:eastAsia="zh-CN" w:bidi="ar"/>
                <w14:textFill>
                  <w14:solidFill>
                    <w14:schemeClr w14:val="tx1"/>
                  </w14:solidFill>
                </w14:textFill>
              </w:rPr>
              <w:t>，</w:t>
            </w:r>
            <w:r>
              <w:rPr>
                <w:rFonts w:hint="default" w:ascii="Times New Roman" w:hAnsi="Times New Roman" w:cs="Times New Roman"/>
                <w:color w:val="000000" w:themeColor="text1"/>
                <w:kern w:val="0"/>
                <w:sz w:val="24"/>
                <w:szCs w:val="24"/>
                <w:highlight w:val="none"/>
                <w:lang w:bidi="ar"/>
                <w14:textFill>
                  <w14:solidFill>
                    <w14:schemeClr w14:val="tx1"/>
                  </w14:solidFill>
                </w14:textFill>
              </w:rPr>
              <w:t>本项目符合《关于沈本新城总体规划（2013-2030）环境影响报告书的审查意见》（本环规审字【2014】2号）</w:t>
            </w:r>
            <w:r>
              <w:rPr>
                <w:rFonts w:hint="default" w:ascii="Times New Roman" w:hAnsi="Times New Roman" w:cs="Times New Roman"/>
                <w:color w:val="000000" w:themeColor="text1"/>
                <w:kern w:val="0"/>
                <w:sz w:val="24"/>
                <w:szCs w:val="24"/>
                <w:highlight w:val="none"/>
                <w:lang w:val="en-US" w:eastAsia="zh-CN" w:bidi="ar"/>
                <w14:textFill>
                  <w14:solidFill>
                    <w14:schemeClr w14:val="tx1"/>
                  </w14:solidFill>
                </w14:textFill>
              </w:rPr>
              <w:t>要求。</w:t>
            </w:r>
          </w:p>
        </w:tc>
      </w:tr>
      <w:tr w14:paraId="3675A4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984" w:type="dxa"/>
            <w:vAlign w:val="center"/>
          </w:tcPr>
          <w:p w14:paraId="35199CD2">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其他符合性分析</w:t>
            </w:r>
          </w:p>
        </w:tc>
        <w:tc>
          <w:tcPr>
            <w:tcW w:w="7670" w:type="dxa"/>
            <w:gridSpan w:val="3"/>
            <w:vAlign w:val="center"/>
          </w:tcPr>
          <w:p w14:paraId="40CED3D9">
            <w:pPr>
              <w:keepNext w:val="0"/>
              <w:keepLines w:val="0"/>
              <w:suppressLineNumbers w:val="0"/>
              <w:spacing w:before="0" w:beforeAutospacing="0" w:after="0" w:afterAutospacing="0" w:line="360" w:lineRule="auto"/>
              <w:ind w:left="0" w:right="0"/>
              <w:rPr>
                <w:rFonts w:hint="default" w:ascii="Times New Roman" w:hAnsi="Times New Roman" w:cs="Times New Roman"/>
                <w:b/>
                <w:bCs/>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1、</w:t>
            </w:r>
            <w:r>
              <w:rPr>
                <w:rFonts w:hint="default" w:ascii="Times New Roman" w:hAnsi="Times New Roman" w:cs="Times New Roman"/>
                <w:b/>
                <w:bCs/>
                <w:color w:val="000000" w:themeColor="text1"/>
                <w:sz w:val="24"/>
                <w:szCs w:val="24"/>
                <w:highlight w:val="none"/>
                <w14:textFill>
                  <w14:solidFill>
                    <w14:schemeClr w14:val="tx1"/>
                  </w14:solidFill>
                </w14:textFill>
              </w:rPr>
              <w:t>产业政策相符性分析</w:t>
            </w:r>
          </w:p>
          <w:p w14:paraId="001E682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本项目在国民行业经济类别中属于C2704 中成药生产，</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建设项目不属于</w:t>
            </w:r>
            <w:r>
              <w:rPr>
                <w:rFonts w:hint="default" w:ascii="Times New Roman" w:hAnsi="Times New Roman" w:eastAsia="宋体" w:cs="Times New Roman"/>
                <w:color w:val="000000" w:themeColor="text1"/>
                <w:sz w:val="24"/>
                <w:szCs w:val="24"/>
                <w:highlight w:val="none"/>
                <w14:textFill>
                  <w14:solidFill>
                    <w14:schemeClr w14:val="tx1"/>
                  </w14:solidFill>
                </w14:textFill>
              </w:rPr>
              <w:t>《产业结构调整指导目录（2024年本）》</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中“鼓励类”、“限制类”及“淘汰类”项目，为允许类建设项目。</w:t>
            </w:r>
          </w:p>
          <w:p w14:paraId="454E3DA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因此，建设项目符合国家产业政策要求。</w:t>
            </w:r>
          </w:p>
          <w:p w14:paraId="1D22E1EA">
            <w:pPr>
              <w:keepNext w:val="0"/>
              <w:keepLines w:val="0"/>
              <w:suppressLineNumbers w:val="0"/>
              <w:spacing w:before="0" w:beforeAutospacing="0" w:after="0" w:afterAutospacing="0" w:line="360" w:lineRule="auto"/>
              <w:ind w:left="0" w:right="0"/>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b/>
                <w:bCs/>
                <w:color w:val="000000" w:themeColor="text1"/>
                <w:sz w:val="24"/>
                <w:szCs w:val="24"/>
                <w:highlight w:val="none"/>
                <w14:textFill>
                  <w14:solidFill>
                    <w14:schemeClr w14:val="tx1"/>
                  </w14:solidFill>
                </w14:textFill>
              </w:rPr>
              <w:t>、</w:t>
            </w: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选址</w:t>
            </w:r>
            <w:r>
              <w:rPr>
                <w:rFonts w:hint="default" w:ascii="Times New Roman" w:hAnsi="Times New Roman" w:cs="Times New Roman"/>
                <w:b/>
                <w:bCs/>
                <w:color w:val="000000" w:themeColor="text1"/>
                <w:sz w:val="24"/>
                <w:szCs w:val="24"/>
                <w:highlight w:val="none"/>
                <w14:textFill>
                  <w14:solidFill>
                    <w14:schemeClr w14:val="tx1"/>
                  </w14:solidFill>
                </w14:textFill>
              </w:rPr>
              <w:t>相符性</w:t>
            </w: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分析</w:t>
            </w:r>
          </w:p>
          <w:p w14:paraId="20B9E4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本项目选址位于</w:t>
            </w:r>
            <w:r>
              <w:rPr>
                <w:rFonts w:hint="eastAsia" w:cs="Times New Roman"/>
                <w:color w:val="000000" w:themeColor="text1"/>
                <w:sz w:val="24"/>
                <w:szCs w:val="24"/>
                <w:highlight w:val="none"/>
                <w:lang w:val="en-US" w:eastAsia="zh-CN"/>
                <w14:textFill>
                  <w14:solidFill>
                    <w14:schemeClr w14:val="tx1"/>
                  </w14:solidFill>
                </w14:textFill>
              </w:rPr>
              <w:t>辽宁省本溪经济技术开发区医药园区</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，在现有生产车间内进行改建，只扩建1座成品库，用地性质为工业用地，项目用地符合用地规划。地理位置中心坐标为：E</w:t>
            </w:r>
            <w:r>
              <w:rPr>
                <w:rFonts w:hint="default" w:ascii="Times New Roman" w:hAnsi="Times New Roman" w:cs="Times New Roman"/>
                <w:color w:val="000000" w:themeColor="text1"/>
                <w:sz w:val="24"/>
                <w:szCs w:val="24"/>
                <w:highlight w:val="none"/>
                <w:lang w:eastAsia="zh-CN"/>
                <w14:textFill>
                  <w14:solidFill>
                    <w14:schemeClr w14:val="tx1"/>
                  </w14:solidFill>
                </w14:textFill>
              </w:rPr>
              <w:t>123°43′13.653″</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、N</w:t>
            </w:r>
            <w:r>
              <w:rPr>
                <w:rFonts w:hint="default" w:ascii="Times New Roman" w:hAnsi="Times New Roman" w:cs="Times New Roman"/>
                <w:color w:val="000000" w:themeColor="text1"/>
                <w:sz w:val="24"/>
                <w:szCs w:val="24"/>
                <w:highlight w:val="none"/>
                <w:lang w:eastAsia="zh-CN"/>
                <w14:textFill>
                  <w14:solidFill>
                    <w14:schemeClr w14:val="tx1"/>
                  </w14:solidFill>
                </w14:textFill>
              </w:rPr>
              <w:t>41°27′49.825″</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。本项目所在地周边无自然保护区、饮用水源保护区等生态保护目标，不在生态保护红线范围内，厂址所在区域的水、电、气、通讯配套齐全，道路畅通，交通便利，选址合理。</w:t>
            </w:r>
          </w:p>
          <w:p w14:paraId="159FD038">
            <w:pPr>
              <w:keepNext w:val="0"/>
              <w:keepLines w:val="0"/>
              <w:suppressLineNumbers w:val="0"/>
              <w:spacing w:before="120" w:beforeLines="50" w:beforeAutospacing="0" w:after="0" w:afterAutospacing="0"/>
              <w:ind w:left="0" w:right="0"/>
              <w:rPr>
                <w:rFonts w:hint="default" w:ascii="Times New Roman" w:hAnsi="Times New Roman" w:eastAsia="宋体" w:cs="Times New Roman"/>
                <w:b/>
                <w:bCs/>
                <w:color w:val="000000" w:themeColor="text1"/>
                <w:kern w:val="0"/>
                <w:sz w:val="24"/>
                <w:szCs w:val="24"/>
                <w:highlight w:val="none"/>
                <w:lang w:val="en-US" w:eastAsia="zh-CN" w:bidi="en-US"/>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t>3</w:t>
            </w:r>
            <w:r>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t>、</w:t>
            </w:r>
            <w:r>
              <w:rPr>
                <w:rFonts w:hint="default" w:ascii="Times New Roman" w:hAnsi="Times New Roman" w:cs="Times New Roman"/>
                <w:b/>
                <w:bCs/>
                <w:color w:val="000000" w:themeColor="text1"/>
                <w:kern w:val="0"/>
                <w:sz w:val="24"/>
                <w:szCs w:val="24"/>
                <w:highlight w:val="none"/>
                <w:lang w:eastAsia="zh-CN" w:bidi="en-US"/>
                <w14:textFill>
                  <w14:solidFill>
                    <w14:schemeClr w14:val="tx1"/>
                  </w14:solidFill>
                </w14:textFill>
              </w:rPr>
              <w:t>“生态环境分区管控”</w:t>
            </w:r>
            <w:r>
              <w:rPr>
                <w:rFonts w:hint="default"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t>相符性分析</w:t>
            </w:r>
          </w:p>
          <w:p w14:paraId="2C7E8BA4">
            <w:pPr>
              <w:keepNext w:val="0"/>
              <w:keepLines w:val="0"/>
              <w:pageBreakBefore w:val="0"/>
              <w:widowControl w:val="0"/>
              <w:suppressLineNumbers w:val="0"/>
              <w:kinsoku/>
              <w:wordWrap/>
              <w:overflowPunct/>
              <w:topLinePunct w:val="0"/>
              <w:autoSpaceDE/>
              <w:autoSpaceDN/>
              <w:bidi w:val="0"/>
              <w:adjustRightInd w:val="0"/>
              <w:snapToGrid w:val="0"/>
              <w:spacing w:before="120" w:beforeLines="50" w:beforeAutospacing="0" w:after="0" w:afterAutospacing="0" w:line="360" w:lineRule="auto"/>
              <w:ind w:left="0" w:right="0"/>
              <w:textAlignment w:val="auto"/>
              <w:rPr>
                <w:rFonts w:hint="default"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t>（1）本项目与《关于以改善环境质量为核心加强环境影响评价管理的通知》（环评〔2016〕150号）相符性分析</w:t>
            </w:r>
          </w:p>
          <w:p w14:paraId="12E16AE6">
            <w:pPr>
              <w:keepNext w:val="0"/>
              <w:keepLines w:val="0"/>
              <w:numPr>
                <w:ilvl w:val="0"/>
                <w:numId w:val="2"/>
              </w:numPr>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宋体" w:cs="Times New Roman"/>
                <w:b/>
                <w:bCs/>
                <w:color w:val="000000" w:themeColor="text1"/>
                <w:sz w:val="21"/>
                <w:szCs w:val="21"/>
                <w:highlight w:val="none"/>
                <w:lang w:val="zh-CN"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本项目与《关于以改善环境质量为核心加强环境影响评价管理的通知》相符性分析</w:t>
            </w:r>
          </w:p>
          <w:tbl>
            <w:tblPr>
              <w:tblStyle w:val="36"/>
              <w:tblW w:w="4999" w:type="pct"/>
              <w:tblInd w:w="0" w:type="dxa"/>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477"/>
              <w:gridCol w:w="2023"/>
              <w:gridCol w:w="953"/>
            </w:tblGrid>
            <w:tr w14:paraId="2B9DE91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3003" w:type="pct"/>
                  <w:tcBorders>
                    <w:tl2br w:val="nil"/>
                    <w:tr2bl w:val="nil"/>
                  </w:tcBorders>
                  <w:vAlign w:val="center"/>
                </w:tcPr>
                <w:p w14:paraId="65084C51">
                  <w:pPr>
                    <w:pStyle w:val="3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通知内容</w:t>
                  </w:r>
                </w:p>
              </w:tc>
              <w:tc>
                <w:tcPr>
                  <w:tcW w:w="1357" w:type="pct"/>
                  <w:tcBorders>
                    <w:tl2br w:val="nil"/>
                    <w:tr2bl w:val="nil"/>
                  </w:tcBorders>
                  <w:vAlign w:val="center"/>
                </w:tcPr>
                <w:p w14:paraId="7E25D983">
                  <w:pPr>
                    <w:pStyle w:val="3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000000" w:themeColor="text1"/>
                      <w:sz w:val="21"/>
                      <w:szCs w:val="21"/>
                      <w:highlight w:val="none"/>
                      <w:lang w:val="zh-CN"/>
                      <w14:textFill>
                        <w14:solidFill>
                          <w14:schemeClr w14:val="tx1"/>
                        </w14:solidFill>
                      </w14:textFill>
                    </w:rPr>
                  </w:pPr>
                  <w:r>
                    <w:rPr>
                      <w:rFonts w:hint="default" w:ascii="Times New Roman" w:hAnsi="Times New Roman" w:cs="Times New Roman"/>
                      <w:b/>
                      <w:bCs/>
                      <w:color w:val="000000" w:themeColor="text1"/>
                      <w:sz w:val="21"/>
                      <w:szCs w:val="21"/>
                      <w:highlight w:val="none"/>
                      <w:lang w:val="zh-CN"/>
                      <w14:textFill>
                        <w14:solidFill>
                          <w14:schemeClr w14:val="tx1"/>
                        </w14:solidFill>
                      </w14:textFill>
                    </w:rPr>
                    <w:t>本项目情况</w:t>
                  </w:r>
                </w:p>
              </w:tc>
              <w:tc>
                <w:tcPr>
                  <w:tcW w:w="639" w:type="pct"/>
                  <w:tcBorders>
                    <w:tl2br w:val="nil"/>
                    <w:tr2bl w:val="nil"/>
                  </w:tcBorders>
                  <w:vAlign w:val="center"/>
                </w:tcPr>
                <w:p w14:paraId="2F476F77">
                  <w:pPr>
                    <w:pStyle w:val="3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000000" w:themeColor="text1"/>
                      <w:sz w:val="21"/>
                      <w:szCs w:val="21"/>
                      <w:highlight w:val="none"/>
                      <w:lang w:val="zh-CN"/>
                      <w14:textFill>
                        <w14:solidFill>
                          <w14:schemeClr w14:val="tx1"/>
                        </w14:solidFill>
                      </w14:textFill>
                    </w:rPr>
                  </w:pPr>
                  <w:r>
                    <w:rPr>
                      <w:rFonts w:hint="default" w:ascii="Times New Roman" w:hAnsi="Times New Roman" w:cs="Times New Roman"/>
                      <w:b/>
                      <w:bCs/>
                      <w:color w:val="000000" w:themeColor="text1"/>
                      <w:sz w:val="21"/>
                      <w:szCs w:val="21"/>
                      <w:highlight w:val="none"/>
                      <w:lang w:val="zh-CN"/>
                      <w14:textFill>
                        <w14:solidFill>
                          <w14:schemeClr w14:val="tx1"/>
                        </w14:solidFill>
                      </w14:textFill>
                    </w:rPr>
                    <w:t>符合性</w:t>
                  </w:r>
                </w:p>
              </w:tc>
            </w:tr>
            <w:tr w14:paraId="26035BC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03" w:type="pct"/>
                  <w:tcBorders>
                    <w:tl2br w:val="nil"/>
                    <w:tr2bl w:val="nil"/>
                  </w:tcBorders>
                  <w:vAlign w:val="center"/>
                </w:tcPr>
                <w:p w14:paraId="08A31774">
                  <w:pPr>
                    <w:pStyle w:val="33"/>
                    <w:keepNext w:val="0"/>
                    <w:keepLines w:val="0"/>
                    <w:suppressLineNumbers w:val="0"/>
                    <w:adjustRightInd w:val="0"/>
                    <w:spacing w:before="0" w:beforeAutospacing="0" w:after="0" w:afterAutospacing="0" w:line="240" w:lineRule="auto"/>
                    <w:ind w:left="0" w:right="0" w:firstLine="0" w:firstLineChars="0"/>
                    <w:jc w:val="left"/>
                    <w:rPr>
                      <w:rFonts w:hint="default" w:ascii="Times New Roman" w:hAnsi="Times New Roman" w:cs="Times New Roman"/>
                      <w:color w:val="000000" w:themeColor="text1"/>
                      <w:sz w:val="21"/>
                      <w:szCs w:val="21"/>
                      <w:highlight w:val="none"/>
                      <w:lang w:val="zh-CN"/>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一</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生态保护红线是生态空间范围内具有特殊重要生态功能必须实行强制性严格保护的区域。相关规划环评应将生态空间管控作为重要内容，规划区域涉及生态保护红线的，在规划环评结论和审查意见中应落实生态保护红线的管理要求，提出相应对策措施。除受自然条件限制、确实无法避让的铁路、公路、航道、防洪、管道、</w:t>
                  </w:r>
                  <w:r>
                    <w:rPr>
                      <w:rFonts w:hint="default" w:ascii="Times New Roman" w:hAnsi="Times New Roman" w:cs="Times New Roman"/>
                      <w:color w:val="000000" w:themeColor="text1"/>
                      <w:sz w:val="21"/>
                      <w:szCs w:val="21"/>
                      <w:highlight w:val="none"/>
                      <w:lang w:eastAsia="zh-CN"/>
                      <w14:textFill>
                        <w14:solidFill>
                          <w14:schemeClr w14:val="tx1"/>
                        </w14:solidFill>
                      </w14:textFill>
                    </w:rPr>
                    <w:t>干渠</w:t>
                  </w:r>
                  <w:r>
                    <w:rPr>
                      <w:rFonts w:hint="default" w:ascii="Times New Roman" w:hAnsi="Times New Roman" w:cs="Times New Roman"/>
                      <w:color w:val="000000" w:themeColor="text1"/>
                      <w:sz w:val="21"/>
                      <w:szCs w:val="21"/>
                      <w:highlight w:val="none"/>
                      <w14:textFill>
                        <w14:solidFill>
                          <w14:schemeClr w14:val="tx1"/>
                        </w14:solidFill>
                      </w14:textFill>
                    </w:rPr>
                    <w:t>、通讯、输变电等重要基础设施项目外，在生态保护红线范围内，严控各类开发建设活动，依法不予审批新建工业项目和矿产开发项目的环评文件。</w:t>
                  </w:r>
                </w:p>
              </w:tc>
              <w:tc>
                <w:tcPr>
                  <w:tcW w:w="1357" w:type="pct"/>
                  <w:tcBorders>
                    <w:tl2br w:val="nil"/>
                    <w:tr2bl w:val="nil"/>
                  </w:tcBorders>
                  <w:vAlign w:val="center"/>
                </w:tcPr>
                <w:p w14:paraId="772B9EAB">
                  <w:pPr>
                    <w:pStyle w:val="33"/>
                    <w:keepNext w:val="0"/>
                    <w:keepLines w:val="0"/>
                    <w:suppressLineNumbers w:val="0"/>
                    <w:adjustRightInd w:val="0"/>
                    <w:spacing w:before="0" w:beforeAutospacing="0" w:after="0" w:afterAutospacing="0" w:line="240" w:lineRule="auto"/>
                    <w:ind w:left="0" w:right="0" w:firstLine="0" w:firstLineChars="0"/>
                    <w:jc w:val="left"/>
                    <w:rPr>
                      <w:rFonts w:hint="default" w:ascii="Times New Roman" w:hAnsi="Times New Roman" w:cs="Times New Roman"/>
                      <w:color w:val="000000" w:themeColor="text1"/>
                      <w:sz w:val="21"/>
                      <w:szCs w:val="21"/>
                      <w:highlight w:val="none"/>
                      <w:lang w:val="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本项目位于</w:t>
                  </w:r>
                  <w:r>
                    <w:rPr>
                      <w:rFonts w:hint="eastAsia" w:cs="Times New Roman"/>
                      <w:color w:val="000000" w:themeColor="text1"/>
                      <w:sz w:val="21"/>
                      <w:szCs w:val="21"/>
                      <w:highlight w:val="none"/>
                      <w:lang w:val="en-US" w:eastAsia="zh-CN"/>
                      <w14:textFill>
                        <w14:solidFill>
                          <w14:schemeClr w14:val="tx1"/>
                        </w14:solidFill>
                      </w14:textFill>
                    </w:rPr>
                    <w:t>辽宁省本溪经济技术开发区医药园区</w:t>
                  </w:r>
                  <w:r>
                    <w:rPr>
                      <w:rFonts w:hint="default" w:ascii="Times New Roman" w:hAnsi="Times New Roman" w:cs="Times New Roman"/>
                      <w:color w:val="000000" w:themeColor="text1"/>
                      <w:sz w:val="21"/>
                      <w:szCs w:val="21"/>
                      <w:highlight w:val="none"/>
                      <w14:textFill>
                        <w14:solidFill>
                          <w14:schemeClr w14:val="tx1"/>
                        </w14:solidFill>
                      </w14:textFill>
                    </w:rPr>
                    <w:t>，项目所在地</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不在</w:t>
                  </w:r>
                  <w:r>
                    <w:rPr>
                      <w:rFonts w:hint="default" w:ascii="Times New Roman" w:hAnsi="Times New Roman" w:cs="Times New Roman"/>
                      <w:color w:val="000000" w:themeColor="text1"/>
                      <w:sz w:val="21"/>
                      <w:szCs w:val="21"/>
                      <w:highlight w:val="none"/>
                      <w14:textFill>
                        <w14:solidFill>
                          <w14:schemeClr w14:val="tx1"/>
                        </w14:solidFill>
                      </w14:textFill>
                    </w:rPr>
                    <w:t>生态保护红线</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范围内。</w:t>
                  </w:r>
                </w:p>
              </w:tc>
              <w:tc>
                <w:tcPr>
                  <w:tcW w:w="639" w:type="pct"/>
                  <w:tcBorders>
                    <w:tl2br w:val="nil"/>
                    <w:tr2bl w:val="nil"/>
                  </w:tcBorders>
                  <w:vAlign w:val="center"/>
                </w:tcPr>
                <w:p w14:paraId="4A68040E">
                  <w:pPr>
                    <w:pStyle w:val="33"/>
                    <w:keepNext w:val="0"/>
                    <w:keepLines w:val="0"/>
                    <w:suppressLineNumbers w:val="0"/>
                    <w:adjustRightInd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符合</w:t>
                  </w:r>
                </w:p>
              </w:tc>
            </w:tr>
            <w:tr w14:paraId="6226E73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03" w:type="pct"/>
                  <w:tcBorders>
                    <w:tl2br w:val="nil"/>
                    <w:tr2bl w:val="nil"/>
                  </w:tcBorders>
                  <w:vAlign w:val="center"/>
                </w:tcPr>
                <w:p w14:paraId="6ED3526C">
                  <w:pPr>
                    <w:pStyle w:val="33"/>
                    <w:keepNext w:val="0"/>
                    <w:keepLines w:val="0"/>
                    <w:suppressLineNumbers w:val="0"/>
                    <w:adjustRightInd w:val="0"/>
                    <w:spacing w:before="0" w:beforeAutospacing="0" w:after="0" w:afterAutospacing="0" w:line="240" w:lineRule="auto"/>
                    <w:ind w:left="0" w:right="0" w:firstLine="0" w:firstLineChars="0"/>
                    <w:jc w:val="left"/>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二</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环境质量底线是国家和地方设置的大气、水和土壤环境质量目标，也是改善环境质量的基准线。有关规划环评应落实区域环境质量目标管理要求，提出区域或者行业污染物排放总量管控建议以及优化区域或行业发展布局、结构和规模的对策措施。项目环评应对照区域环境质量目标，深入分析预测项目建设对环境质量的影响，强化污染防治措施和污染物排放控制要求</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p>
              </w:tc>
              <w:tc>
                <w:tcPr>
                  <w:tcW w:w="1357" w:type="pct"/>
                  <w:tcBorders>
                    <w:tl2br w:val="nil"/>
                    <w:tr2bl w:val="nil"/>
                  </w:tcBorders>
                  <w:vAlign w:val="center"/>
                </w:tcPr>
                <w:p w14:paraId="3CDD9018">
                  <w:pPr>
                    <w:keepNext w:val="0"/>
                    <w:keepLines w:val="0"/>
                    <w:suppressLineNumbers w:val="0"/>
                    <w:adjustRightInd w:val="0"/>
                    <w:snapToGrid w:val="0"/>
                    <w:spacing w:before="0" w:beforeAutospacing="0" w:after="0" w:afterAutospacing="0"/>
                    <w:ind w:left="0" w:right="0"/>
                    <w:jc w:val="left"/>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本次环评已对照区域环境质量达标规划等进行分析，已深入预测项目建成后对环境质量的影响，已采取有效污染防治措施</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可保证污染物稳定达标排放</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p>
              </w:tc>
              <w:tc>
                <w:tcPr>
                  <w:tcW w:w="639" w:type="pct"/>
                  <w:tcBorders>
                    <w:tl2br w:val="nil"/>
                    <w:tr2bl w:val="nil"/>
                  </w:tcBorders>
                  <w:vAlign w:val="center"/>
                </w:tcPr>
                <w:p w14:paraId="1CA830E1">
                  <w:pPr>
                    <w:pStyle w:val="33"/>
                    <w:keepNext w:val="0"/>
                    <w:keepLines w:val="0"/>
                    <w:suppressLineNumbers w:val="0"/>
                    <w:adjustRightInd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sz w:val="21"/>
                      <w:szCs w:val="21"/>
                      <w:highlight w:val="none"/>
                      <w:lang w:val="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符合</w:t>
                  </w:r>
                </w:p>
              </w:tc>
            </w:tr>
            <w:tr w14:paraId="50DF634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3003" w:type="pct"/>
                  <w:tcBorders>
                    <w:tl2br w:val="nil"/>
                    <w:tr2bl w:val="nil"/>
                  </w:tcBorders>
                </w:tcPr>
                <w:p w14:paraId="42E0F06C">
                  <w:pPr>
                    <w:pStyle w:val="33"/>
                    <w:keepNext w:val="0"/>
                    <w:keepLines w:val="0"/>
                    <w:suppressLineNumbers w:val="0"/>
                    <w:adjustRightInd w:val="0"/>
                    <w:spacing w:before="0" w:beforeAutospacing="0" w:after="0" w:afterAutospacing="0" w:line="240" w:lineRule="auto"/>
                    <w:ind w:left="0" w:right="0" w:firstLine="0" w:firstLineChars="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三</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资源是环境的载体，资源利用上线是各地区能源、水、土地等资源消耗不得突破的“天花板”。相关规划环评应依据有关资源利用上线，对规划实施以及规划内项目的资源开发利用，区分不同行业，从能源资源开发等量或减量替代、开采方式和规模控制、利用效率和保护措施等方面提出建议，为规划编制和审批决策提供重要依据。</w:t>
                  </w:r>
                </w:p>
              </w:tc>
              <w:tc>
                <w:tcPr>
                  <w:tcW w:w="1357" w:type="pct"/>
                  <w:tcBorders>
                    <w:tl2br w:val="nil"/>
                    <w:tr2bl w:val="nil"/>
                  </w:tcBorders>
                  <w:vAlign w:val="center"/>
                </w:tcPr>
                <w:p w14:paraId="5D783409">
                  <w:pPr>
                    <w:pStyle w:val="33"/>
                    <w:keepNext w:val="0"/>
                    <w:keepLines w:val="0"/>
                    <w:suppressLineNumbers w:val="0"/>
                    <w:adjustRightInd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本项目运营过程中消耗一定量的电、水等能源，项目运行后通过内部管理和污染治理，以</w:t>
                  </w:r>
                  <w:r>
                    <w:rPr>
                      <w:rFonts w:hint="default" w:ascii="Times New Roman" w:hAnsi="Times New Roman" w:cs="Times New Roman"/>
                      <w:color w:val="000000" w:themeColor="text1"/>
                      <w:sz w:val="21"/>
                      <w:szCs w:val="21"/>
                      <w:highlight w:val="none"/>
                      <w:lang w:val="zh-CN"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节能、降耗、减污</w:t>
                  </w:r>
                  <w:r>
                    <w:rPr>
                      <w:rFonts w:hint="default" w:ascii="Times New Roman" w:hAnsi="Times New Roman" w:cs="Times New Roman"/>
                      <w:color w:val="000000" w:themeColor="text1"/>
                      <w:sz w:val="21"/>
                      <w:szCs w:val="21"/>
                      <w:highlight w:val="none"/>
                      <w:lang w:val="zh-CN"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为目标，各项资源消耗量均在区域可承受范围内</w:t>
                  </w:r>
                  <w:r>
                    <w:rPr>
                      <w:rFonts w:hint="default" w:ascii="Times New Roman" w:hAnsi="Times New Roman" w:cs="Times New Roman"/>
                      <w:color w:val="000000" w:themeColor="text1"/>
                      <w:sz w:val="21"/>
                      <w:szCs w:val="21"/>
                      <w:highlight w:val="none"/>
                      <w:lang w:val="zh-CN"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zh-CN" w:eastAsia="zh-CN"/>
                      <w14:textFill>
                        <w14:solidFill>
                          <w14:schemeClr w14:val="tx1"/>
                        </w14:solidFill>
                      </w14:textFill>
                    </w:rPr>
                    <w:t>不会突破区域的资源利用上线</w:t>
                  </w:r>
                  <w:r>
                    <w:rPr>
                      <w:rFonts w:hint="default" w:ascii="Times New Roman" w:hAnsi="Times New Roman" w:cs="Times New Roman"/>
                      <w:color w:val="000000" w:themeColor="text1"/>
                      <w:sz w:val="21"/>
                      <w:szCs w:val="21"/>
                      <w:highlight w:val="none"/>
                      <w:lang w:val="zh-CN" w:eastAsia="zh-CN"/>
                      <w14:textFill>
                        <w14:solidFill>
                          <w14:schemeClr w14:val="tx1"/>
                        </w14:solidFill>
                      </w14:textFill>
                    </w:rPr>
                    <w:t>。</w:t>
                  </w:r>
                </w:p>
              </w:tc>
              <w:tc>
                <w:tcPr>
                  <w:tcW w:w="639" w:type="pct"/>
                  <w:tcBorders>
                    <w:tl2br w:val="nil"/>
                    <w:tr2bl w:val="nil"/>
                  </w:tcBorders>
                  <w:vAlign w:val="center"/>
                </w:tcPr>
                <w:p w14:paraId="2C2528D7">
                  <w:pPr>
                    <w:pStyle w:val="33"/>
                    <w:keepNext w:val="0"/>
                    <w:keepLines w:val="0"/>
                    <w:suppressLineNumbers w:val="0"/>
                    <w:adjustRightInd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sz w:val="21"/>
                      <w:szCs w:val="21"/>
                      <w:highlight w:val="none"/>
                      <w:lang w:val="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符合</w:t>
                  </w:r>
                </w:p>
              </w:tc>
            </w:tr>
            <w:tr w14:paraId="112A24B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56" w:hRule="atLeast"/>
              </w:trPr>
              <w:tc>
                <w:tcPr>
                  <w:tcW w:w="3003" w:type="pct"/>
                  <w:tcBorders>
                    <w:tl2br w:val="nil"/>
                    <w:tr2bl w:val="nil"/>
                  </w:tcBorders>
                </w:tcPr>
                <w:p w14:paraId="317BA681">
                  <w:pPr>
                    <w:pStyle w:val="33"/>
                    <w:keepNext w:val="0"/>
                    <w:keepLines w:val="0"/>
                    <w:suppressLineNumbers w:val="0"/>
                    <w:adjustRightInd w:val="0"/>
                    <w:spacing w:before="0" w:beforeAutospacing="0" w:after="0" w:afterAutospacing="0" w:line="240" w:lineRule="auto"/>
                    <w:ind w:left="0" w:right="0" w:firstLine="0" w:firstLineChars="0"/>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四</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环境准入负面清单是基于生态保护红线、环境质量底线和资源利用上线，以清单方式列出的禁止、限制等差别化环境准入条件和要求。要在规划环评清单式管理资源配置方式等方面入手，制定环境准入负面清单，充分发挥负面清单对产业发展和项目准入的指导和约束作用</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p>
              </w:tc>
              <w:tc>
                <w:tcPr>
                  <w:tcW w:w="1357" w:type="pct"/>
                  <w:tcBorders>
                    <w:tl2br w:val="nil"/>
                    <w:tr2bl w:val="nil"/>
                  </w:tcBorders>
                  <w:vAlign w:val="center"/>
                </w:tcPr>
                <w:p w14:paraId="786A9F9F">
                  <w:pPr>
                    <w:pStyle w:val="33"/>
                    <w:keepNext w:val="0"/>
                    <w:keepLines w:val="0"/>
                    <w:suppressLineNumbers w:val="0"/>
                    <w:adjustRightInd w:val="0"/>
                    <w:spacing w:before="0" w:beforeAutospacing="0" w:after="0" w:afterAutospacing="0" w:line="240" w:lineRule="auto"/>
                    <w:ind w:left="0" w:right="0" w:firstLine="0" w:firstLineChars="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项目所在地不在生态保护红线范围内</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不在环境准入负面清单之</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内。</w:t>
                  </w:r>
                </w:p>
              </w:tc>
              <w:tc>
                <w:tcPr>
                  <w:tcW w:w="639" w:type="pct"/>
                  <w:tcBorders>
                    <w:tl2br w:val="nil"/>
                    <w:tr2bl w:val="nil"/>
                  </w:tcBorders>
                  <w:vAlign w:val="center"/>
                </w:tcPr>
                <w:p w14:paraId="4727D360">
                  <w:pPr>
                    <w:pStyle w:val="33"/>
                    <w:keepNext w:val="0"/>
                    <w:keepLines w:val="0"/>
                    <w:suppressLineNumbers w:val="0"/>
                    <w:adjustRightInd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符合</w:t>
                  </w:r>
                </w:p>
              </w:tc>
            </w:tr>
          </w:tbl>
          <w:p w14:paraId="2E8D0EBB">
            <w:pPr>
              <w:keepNext w:val="0"/>
              <w:keepLines w:val="0"/>
              <w:pageBreakBefore w:val="0"/>
              <w:widowControl w:val="0"/>
              <w:suppressLineNumbers w:val="0"/>
              <w:kinsoku/>
              <w:wordWrap/>
              <w:overflowPunct/>
              <w:topLinePunct w:val="0"/>
              <w:autoSpaceDE/>
              <w:autoSpaceDN/>
              <w:bidi w:val="0"/>
              <w:adjustRightInd w:val="0"/>
              <w:snapToGrid w:val="0"/>
              <w:spacing w:before="120" w:beforeLines="50" w:beforeAutospacing="0" w:after="0" w:afterAutospacing="0" w:line="360" w:lineRule="auto"/>
              <w:ind w:left="0" w:right="0"/>
              <w:textAlignment w:val="auto"/>
              <w:rPr>
                <w:rFonts w:hint="default" w:ascii="Times New Roman" w:hAnsi="Times New Roman" w:cs="Times New Roman"/>
                <w:b/>
                <w:bCs/>
                <w:color w:val="000000" w:themeColor="text1"/>
                <w:kern w:val="0"/>
                <w:sz w:val="24"/>
                <w:szCs w:val="24"/>
                <w:highlight w:val="none"/>
                <w:lang w:val="zh-CN" w:eastAsia="zh-CN" w:bidi="en-US"/>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val="zh-CN" w:eastAsia="zh-CN" w:bidi="en-US"/>
                <w14:textFill>
                  <w14:solidFill>
                    <w14:schemeClr w14:val="tx1"/>
                  </w14:solidFill>
                </w14:textFill>
              </w:rPr>
              <w:t>（</w:t>
            </w:r>
            <w:r>
              <w:rPr>
                <w:rFonts w:hint="eastAsia" w:cs="Times New Roman"/>
                <w:b/>
                <w:bCs/>
                <w:color w:val="000000" w:themeColor="text1"/>
                <w:kern w:val="0"/>
                <w:sz w:val="24"/>
                <w:szCs w:val="24"/>
                <w:highlight w:val="none"/>
                <w:lang w:val="en-US" w:eastAsia="zh-CN" w:bidi="en-US"/>
                <w14:textFill>
                  <w14:solidFill>
                    <w14:schemeClr w14:val="tx1"/>
                  </w14:solidFill>
                </w14:textFill>
              </w:rPr>
              <w:t>2</w:t>
            </w:r>
            <w:r>
              <w:rPr>
                <w:rFonts w:hint="default" w:ascii="Times New Roman" w:hAnsi="Times New Roman" w:cs="Times New Roman"/>
                <w:b/>
                <w:bCs/>
                <w:color w:val="000000" w:themeColor="text1"/>
                <w:kern w:val="0"/>
                <w:sz w:val="24"/>
                <w:szCs w:val="24"/>
                <w:highlight w:val="none"/>
                <w:lang w:val="zh-CN" w:eastAsia="zh-CN" w:bidi="en-US"/>
                <w14:textFill>
                  <w14:solidFill>
                    <w14:schemeClr w14:val="tx1"/>
                  </w14:solidFill>
                </w14:textFill>
              </w:rPr>
              <w:t>）</w:t>
            </w:r>
            <w:r>
              <w:rPr>
                <w:rFonts w:hint="default"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t>本项目</w:t>
            </w:r>
            <w:r>
              <w:rPr>
                <w:rFonts w:hint="default" w:ascii="Times New Roman" w:hAnsi="Times New Roman" w:cs="Times New Roman"/>
                <w:b/>
                <w:bCs/>
                <w:color w:val="000000" w:themeColor="text1"/>
                <w:kern w:val="0"/>
                <w:sz w:val="24"/>
                <w:szCs w:val="24"/>
                <w:highlight w:val="none"/>
                <w:lang w:val="zh-CN" w:eastAsia="zh-CN" w:bidi="en-US"/>
                <w14:textFill>
                  <w14:solidFill>
                    <w14:schemeClr w14:val="tx1"/>
                  </w14:solidFill>
                </w14:textFill>
              </w:rPr>
              <w:t>与《本溪市生态环境分区管控成果动态更新》附件</w:t>
            </w:r>
            <w:r>
              <w:rPr>
                <w:rFonts w:hint="eastAsia" w:cs="Times New Roman"/>
                <w:b/>
                <w:bCs/>
                <w:color w:val="000000" w:themeColor="text1"/>
                <w:kern w:val="0"/>
                <w:sz w:val="24"/>
                <w:szCs w:val="24"/>
                <w:highlight w:val="none"/>
                <w:lang w:val="en-US" w:eastAsia="zh-CN" w:bidi="en-US"/>
                <w14:textFill>
                  <w14:solidFill>
                    <w14:schemeClr w14:val="tx1"/>
                  </w14:solidFill>
                </w14:textFill>
              </w:rPr>
              <w:t>4</w:t>
            </w:r>
            <w:r>
              <w:rPr>
                <w:rFonts w:hint="default" w:ascii="Times New Roman" w:hAnsi="Times New Roman" w:cs="Times New Roman"/>
                <w:b/>
                <w:bCs/>
                <w:color w:val="000000" w:themeColor="text1"/>
                <w:kern w:val="0"/>
                <w:sz w:val="24"/>
                <w:szCs w:val="24"/>
                <w:highlight w:val="none"/>
                <w:lang w:val="zh-CN" w:eastAsia="zh-CN" w:bidi="en-US"/>
                <w14:textFill>
                  <w14:solidFill>
                    <w14:schemeClr w14:val="tx1"/>
                  </w14:solidFill>
                </w14:textFill>
              </w:rPr>
              <w:t>本溪市工业园区生态环境准入清单</w:t>
            </w:r>
            <w:r>
              <w:rPr>
                <w:rFonts w:hint="default"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t>相符</w:t>
            </w:r>
            <w:r>
              <w:rPr>
                <w:rFonts w:hint="default" w:ascii="Times New Roman" w:hAnsi="Times New Roman" w:cs="Times New Roman"/>
                <w:b/>
                <w:bCs/>
                <w:color w:val="000000" w:themeColor="text1"/>
                <w:kern w:val="0"/>
                <w:sz w:val="24"/>
                <w:szCs w:val="24"/>
                <w:highlight w:val="none"/>
                <w:lang w:val="zh-CN" w:eastAsia="zh-CN" w:bidi="en-US"/>
                <w14:textFill>
                  <w14:solidFill>
                    <w14:schemeClr w14:val="tx1"/>
                  </w14:solidFill>
                </w14:textFill>
              </w:rPr>
              <w:t>性分析</w:t>
            </w:r>
          </w:p>
          <w:p w14:paraId="7079956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val="0"/>
                <w:color w:val="000000" w:themeColor="text1"/>
                <w:kern w:val="0"/>
                <w:sz w:val="24"/>
                <w:szCs w:val="24"/>
                <w:highlight w:val="none"/>
                <w:lang w:bidi="en-US"/>
                <w14:textFill>
                  <w14:solidFill>
                    <w14:schemeClr w14:val="tx1"/>
                  </w14:solidFill>
                </w14:textFill>
              </w:rPr>
            </w:pPr>
            <w:r>
              <w:rPr>
                <w:rFonts w:hint="default" w:ascii="Times New Roman" w:hAnsi="Times New Roman" w:cs="Times New Roman"/>
                <w:b w:val="0"/>
                <w:bCs w:val="0"/>
                <w:color w:val="000000" w:themeColor="text1"/>
                <w:kern w:val="0"/>
                <w:sz w:val="24"/>
                <w:szCs w:val="24"/>
                <w:highlight w:val="none"/>
                <w:lang w:bidi="en-US"/>
                <w14:textFill>
                  <w14:solidFill>
                    <w14:schemeClr w14:val="tx1"/>
                  </w14:solidFill>
                </w14:textFill>
              </w:rPr>
              <w:t>本项目位于本溪高新技术产业开发区，根据《本溪市生态环境分区管控成果动态更新》</w:t>
            </w:r>
            <w:r>
              <w:rPr>
                <w:rFonts w:hint="eastAsia" w:cs="Times New Roman"/>
                <w:b w:val="0"/>
                <w:bCs w:val="0"/>
                <w:color w:val="000000" w:themeColor="text1"/>
                <w:kern w:val="0"/>
                <w:sz w:val="24"/>
                <w:szCs w:val="24"/>
                <w:highlight w:val="none"/>
                <w:lang w:val="en-US" w:eastAsia="zh-CN" w:bidi="en-US"/>
                <w14:textFill>
                  <w14:solidFill>
                    <w14:schemeClr w14:val="tx1"/>
                  </w14:solidFill>
                </w14:textFill>
              </w:rPr>
              <w:t>附件4本溪市工业园区生态环境准入清单</w:t>
            </w:r>
            <w:r>
              <w:rPr>
                <w:rFonts w:hint="default" w:ascii="Times New Roman" w:hAnsi="Times New Roman" w:cs="Times New Roman"/>
                <w:b w:val="0"/>
                <w:bCs w:val="0"/>
                <w:color w:val="000000" w:themeColor="text1"/>
                <w:kern w:val="0"/>
                <w:sz w:val="24"/>
                <w:szCs w:val="24"/>
                <w:highlight w:val="none"/>
                <w:lang w:bidi="en-US"/>
                <w14:textFill>
                  <w14:solidFill>
                    <w14:schemeClr w14:val="tx1"/>
                  </w14:solidFill>
                </w14:textFill>
              </w:rPr>
              <w:t>，项目所在环境管控单元类型为重点管控区，环境管控单元编码为ZH21050320002。</w:t>
            </w:r>
          </w:p>
          <w:p w14:paraId="740C4D39">
            <w:pPr>
              <w:keepNext w:val="0"/>
              <w:keepLines w:val="0"/>
              <w:numPr>
                <w:ilvl w:val="0"/>
                <w:numId w:val="2"/>
              </w:numPr>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宋体" w:cs="Times New Roman"/>
                <w:b/>
                <w:bCs/>
                <w:color w:val="000000" w:themeColor="text1"/>
                <w:sz w:val="21"/>
                <w:szCs w:val="21"/>
                <w:highlight w:val="none"/>
                <w:lang w:val="zh-CN"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本项目与《沈阳市生态环境准入清单（2023年版）》相符性分析</w:t>
            </w:r>
          </w:p>
          <w:tbl>
            <w:tblPr>
              <w:tblStyle w:val="36"/>
              <w:tblW w:w="4996"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39"/>
              <w:gridCol w:w="3269"/>
              <w:gridCol w:w="2541"/>
              <w:gridCol w:w="999"/>
            </w:tblGrid>
            <w:tr w14:paraId="24F49DE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70" w:type="dxa"/>
                  <w:gridSpan w:val="2"/>
                  <w:tcBorders>
                    <w:tl2br w:val="nil"/>
                    <w:tr2bl w:val="nil"/>
                  </w:tcBorders>
                  <w:noWrap w:val="0"/>
                  <w:vAlign w:val="center"/>
                </w:tcPr>
                <w:p w14:paraId="13D88555">
                  <w:pPr>
                    <w:pStyle w:val="5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113"/>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管控单元编码</w:t>
                  </w:r>
                </w:p>
              </w:tc>
              <w:tc>
                <w:tcPr>
                  <w:tcW w:w="3596" w:type="dxa"/>
                  <w:gridSpan w:val="2"/>
                  <w:tcBorders>
                    <w:tl2br w:val="nil"/>
                    <w:tr2bl w:val="nil"/>
                  </w:tcBorders>
                  <w:noWrap w:val="0"/>
                  <w:vAlign w:val="center"/>
                </w:tcPr>
                <w:p w14:paraId="6471623F">
                  <w:pPr>
                    <w:pStyle w:val="5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113"/>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ZH21050320002</w:t>
                  </w:r>
                </w:p>
              </w:tc>
            </w:tr>
            <w:tr w14:paraId="09C70AF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70" w:type="dxa"/>
                  <w:gridSpan w:val="2"/>
                  <w:tcBorders>
                    <w:tl2br w:val="nil"/>
                    <w:tr2bl w:val="nil"/>
                  </w:tcBorders>
                  <w:noWrap w:val="0"/>
                  <w:vAlign w:val="center"/>
                </w:tcPr>
                <w:p w14:paraId="5915AE00">
                  <w:pPr>
                    <w:pStyle w:val="5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113"/>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管控单元名称</w:t>
                  </w:r>
                </w:p>
              </w:tc>
              <w:tc>
                <w:tcPr>
                  <w:tcW w:w="3596" w:type="dxa"/>
                  <w:gridSpan w:val="2"/>
                  <w:tcBorders>
                    <w:tl2br w:val="nil"/>
                    <w:tr2bl w:val="nil"/>
                  </w:tcBorders>
                  <w:noWrap w:val="0"/>
                  <w:vAlign w:val="center"/>
                </w:tcPr>
                <w:p w14:paraId="5E1588EB">
                  <w:pPr>
                    <w:pStyle w:val="5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113"/>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本溪</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高新技术产业开发区</w:t>
                  </w:r>
                </w:p>
              </w:tc>
            </w:tr>
            <w:tr w14:paraId="1C1D377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70" w:type="dxa"/>
                  <w:gridSpan w:val="2"/>
                  <w:tcBorders>
                    <w:tl2br w:val="nil"/>
                    <w:tr2bl w:val="nil"/>
                  </w:tcBorders>
                  <w:noWrap w:val="0"/>
                  <w:vAlign w:val="center"/>
                </w:tcPr>
                <w:p w14:paraId="6920A190">
                  <w:pPr>
                    <w:pStyle w:val="5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113"/>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管控单元类型</w:t>
                  </w:r>
                </w:p>
              </w:tc>
              <w:tc>
                <w:tcPr>
                  <w:tcW w:w="3596" w:type="dxa"/>
                  <w:gridSpan w:val="2"/>
                  <w:tcBorders>
                    <w:tl2br w:val="nil"/>
                    <w:tr2bl w:val="nil"/>
                  </w:tcBorders>
                  <w:noWrap w:val="0"/>
                  <w:vAlign w:val="center"/>
                </w:tcPr>
                <w:p w14:paraId="5000D323">
                  <w:pPr>
                    <w:pStyle w:val="5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113"/>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重点管控区</w:t>
                  </w:r>
                </w:p>
              </w:tc>
            </w:tr>
            <w:tr w14:paraId="762BA44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70" w:type="dxa"/>
                  <w:gridSpan w:val="2"/>
                  <w:tcBorders>
                    <w:tl2br w:val="nil"/>
                    <w:tr2bl w:val="nil"/>
                  </w:tcBorders>
                  <w:noWrap w:val="0"/>
                  <w:vAlign w:val="center"/>
                </w:tcPr>
                <w:p w14:paraId="41CFC2F4">
                  <w:pPr>
                    <w:pStyle w:val="5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113"/>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管控区具体要求</w:t>
                  </w:r>
                </w:p>
              </w:tc>
              <w:tc>
                <w:tcPr>
                  <w:tcW w:w="2583" w:type="dxa"/>
                  <w:tcBorders>
                    <w:tl2br w:val="nil"/>
                    <w:tr2bl w:val="nil"/>
                  </w:tcBorders>
                  <w:noWrap w:val="0"/>
                  <w:vAlign w:val="center"/>
                </w:tcPr>
                <w:p w14:paraId="1B77CE43">
                  <w:pPr>
                    <w:pStyle w:val="5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113"/>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本项目</w:t>
                  </w:r>
                </w:p>
              </w:tc>
              <w:tc>
                <w:tcPr>
                  <w:tcW w:w="1013" w:type="dxa"/>
                  <w:tcBorders>
                    <w:tl2br w:val="nil"/>
                    <w:tr2bl w:val="nil"/>
                  </w:tcBorders>
                  <w:noWrap w:val="0"/>
                  <w:vAlign w:val="center"/>
                </w:tcPr>
                <w:p w14:paraId="391F8F0B">
                  <w:pPr>
                    <w:pStyle w:val="5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113"/>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相符性</w:t>
                  </w:r>
                </w:p>
              </w:tc>
            </w:tr>
            <w:tr w14:paraId="17594E8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6" w:type="dxa"/>
                  <w:tcBorders>
                    <w:tl2br w:val="nil"/>
                    <w:tr2bl w:val="nil"/>
                  </w:tcBorders>
                  <w:noWrap w:val="0"/>
                  <w:vAlign w:val="center"/>
                </w:tcPr>
                <w:p w14:paraId="73A8E95B">
                  <w:pPr>
                    <w:pStyle w:val="5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空间布局约束</w:t>
                  </w:r>
                </w:p>
              </w:tc>
              <w:tc>
                <w:tcPr>
                  <w:tcW w:w="3324" w:type="dxa"/>
                  <w:tcBorders>
                    <w:tl2br w:val="nil"/>
                    <w:tr2bl w:val="nil"/>
                  </w:tcBorders>
                  <w:noWrap w:val="0"/>
                  <w:vAlign w:val="center"/>
                </w:tcPr>
                <w:p w14:paraId="26C7207A">
                  <w:pPr>
                    <w:pStyle w:val="58"/>
                    <w:keepNext w:val="0"/>
                    <w:keepLines w:val="0"/>
                    <w:pageBreakBefore w:val="0"/>
                    <w:widowControl/>
                    <w:suppressLineNumbers w:val="0"/>
                    <w:kinsoku/>
                    <w:wordWrap/>
                    <w:overflowPunct/>
                    <w:topLinePunct w:val="0"/>
                    <w:autoSpaceDE/>
                    <w:autoSpaceDN/>
                    <w:bidi w:val="0"/>
                    <w:spacing w:beforeAutospacing="0" w:afterAutospacing="0" w:line="240" w:lineRule="auto"/>
                    <w:ind w:left="0" w:right="0"/>
                    <w:jc w:val="both"/>
                    <w:textAlignment w:val="auto"/>
                    <w:rPr>
                      <w:rFonts w:hint="default" w:ascii="Times New Roman" w:hAnsi="Times New Roman" w:eastAsia="宋体" w:cs="Times New Roman"/>
                      <w:bCs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Cs w:val="0"/>
                      <w:color w:val="000000" w:themeColor="text1"/>
                      <w:kern w:val="0"/>
                      <w:sz w:val="21"/>
                      <w:szCs w:val="21"/>
                      <w:highlight w:val="none"/>
                      <w14:textFill>
                        <w14:solidFill>
                          <w14:schemeClr w14:val="tx1"/>
                        </w14:solidFill>
                      </w14:textFill>
                    </w:rPr>
                    <w:t>积极推动园区产业结构向低碳新业态发展，按照增加碳汇、减少碳源的原则，严格禁止高耗能、高污染产业发展；园区新建、改建、扩建项目须符合生态环境保护法律法规和相关法定规划，满足重点污染物排放总量控制、碳排放达峰目标、相关规划环评和相应行业建设项目环境准入条件、环评文件审批原则要求。取缔不符合国家产业政策和行业准入条件的小型严重污染水环境的企业。积极引入低能耗、低污染、低排放为主要特点的低碳产业、节能环保产业、清洁生产产业等。</w:t>
                  </w:r>
                </w:p>
              </w:tc>
              <w:tc>
                <w:tcPr>
                  <w:tcW w:w="2583" w:type="dxa"/>
                  <w:tcBorders>
                    <w:tl2br w:val="nil"/>
                    <w:tr2bl w:val="nil"/>
                  </w:tcBorders>
                  <w:noWrap w:val="0"/>
                  <w:vAlign w:val="center"/>
                </w:tcPr>
                <w:p w14:paraId="6863274A">
                  <w:pPr>
                    <w:pStyle w:val="5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jc w:val="both"/>
                    <w:textAlignment w:val="auto"/>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Cs w:val="0"/>
                      <w:color w:val="000000" w:themeColor="text1"/>
                      <w:kern w:val="0"/>
                      <w:sz w:val="21"/>
                      <w:szCs w:val="21"/>
                      <w:highlight w:val="none"/>
                      <w:lang w:val="en-US" w:eastAsia="zh-CN"/>
                      <w14:textFill>
                        <w14:solidFill>
                          <w14:schemeClr w14:val="tx1"/>
                        </w14:solidFill>
                      </w14:textFill>
                    </w:rPr>
                    <w:t>本项目为C2740中成药生产</w:t>
                  </w:r>
                  <w:r>
                    <w:rPr>
                      <w:rFonts w:hint="default" w:ascii="Times New Roman" w:hAnsi="Times New Roman" w:eastAsia="宋体" w:cs="Times New Roman"/>
                      <w:bCs w:val="0"/>
                      <w:color w:val="000000" w:themeColor="text1"/>
                      <w:kern w:val="0"/>
                      <w:sz w:val="21"/>
                      <w:szCs w:val="21"/>
                      <w:highlight w:val="none"/>
                      <w:lang w:eastAsia="zh-CN"/>
                      <w14:textFill>
                        <w14:solidFill>
                          <w14:schemeClr w14:val="tx1"/>
                        </w14:solidFill>
                      </w14:textFill>
                    </w:rPr>
                    <w:t>，</w:t>
                  </w:r>
                  <w:r>
                    <w:rPr>
                      <w:rFonts w:hint="default" w:ascii="Times New Roman" w:hAnsi="Times New Roman" w:eastAsia="宋体" w:cs="Times New Roman"/>
                      <w:bCs w:val="0"/>
                      <w:color w:val="000000" w:themeColor="text1"/>
                      <w:kern w:val="0"/>
                      <w:sz w:val="21"/>
                      <w:szCs w:val="21"/>
                      <w:highlight w:val="none"/>
                      <w:lang w:val="en-US" w:eastAsia="zh-CN"/>
                      <w14:textFill>
                        <w14:solidFill>
                          <w14:schemeClr w14:val="tx1"/>
                        </w14:solidFill>
                      </w14:textFill>
                    </w:rPr>
                    <w:t>不属于</w:t>
                  </w:r>
                  <w:r>
                    <w:rPr>
                      <w:rFonts w:hint="default" w:ascii="Times New Roman" w:hAnsi="Times New Roman" w:eastAsia="宋体" w:cs="Times New Roman"/>
                      <w:color w:val="000000" w:themeColor="text1"/>
                      <w:sz w:val="21"/>
                      <w:szCs w:val="21"/>
                      <w:highlight w:val="none"/>
                      <w:lang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两高</w:t>
                  </w:r>
                  <w:r>
                    <w:rPr>
                      <w:rFonts w:hint="default" w:ascii="Times New Roman" w:hAnsi="Times New Roman" w:eastAsia="宋体" w:cs="Times New Roman"/>
                      <w:color w:val="000000" w:themeColor="text1"/>
                      <w:sz w:val="21"/>
                      <w:szCs w:val="21"/>
                      <w:highlight w:val="none"/>
                      <w:lang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类项目</w:t>
                  </w:r>
                  <w:r>
                    <w:rPr>
                      <w:rFonts w:hint="default" w:ascii="Times New Roman" w:hAnsi="Times New Roman" w:eastAsia="宋体" w:cs="Times New Roman"/>
                      <w:color w:val="000000" w:themeColor="text1"/>
                      <w:kern w:val="0"/>
                      <w:sz w:val="21"/>
                      <w:szCs w:val="21"/>
                      <w:highlight w:val="none"/>
                      <w:lang w:eastAsia="zh-CN" w:bidi="ar"/>
                      <w14:textFill>
                        <w14:solidFill>
                          <w14:schemeClr w14:val="tx1"/>
                        </w14:solidFill>
                      </w14:textFill>
                    </w:rPr>
                    <w:t>。</w:t>
                  </w:r>
                  <w:r>
                    <w:rPr>
                      <w:rFonts w:hint="default" w:ascii="Times New Roman" w:hAnsi="Times New Roman" w:eastAsia="宋体" w:cs="Times New Roman"/>
                      <w:b w:val="0"/>
                      <w:color w:val="000000" w:themeColor="text1"/>
                      <w:kern w:val="0"/>
                      <w:sz w:val="21"/>
                      <w:szCs w:val="21"/>
                      <w:highlight w:val="none"/>
                      <w:lang w:val="en-US" w:eastAsia="zh-CN"/>
                      <w14:textFill>
                        <w14:solidFill>
                          <w14:schemeClr w14:val="tx1"/>
                        </w14:solidFill>
                      </w14:textFill>
                    </w:rPr>
                    <w:t>本项目的建设</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满足重点污染物排放总量控制、碳排放达峰目标、相关规划环评和相应行业建设项目环境准入条件、环评文件审批原则要求</w:t>
                  </w:r>
                  <w:r>
                    <w:rPr>
                      <w:rFonts w:hint="default" w:ascii="Times New Roman" w:hAnsi="Times New Roman" w:eastAsia="宋体" w:cs="Times New Roman"/>
                      <w:b w:val="0"/>
                      <w:color w:val="000000" w:themeColor="text1"/>
                      <w:kern w:val="0"/>
                      <w:sz w:val="21"/>
                      <w:szCs w:val="21"/>
                      <w:highlight w:val="none"/>
                      <w:lang w:val="en-US" w:eastAsia="zh-CN"/>
                      <w14:textFill>
                        <w14:solidFill>
                          <w14:schemeClr w14:val="tx1"/>
                        </w14:solidFill>
                      </w14:textFill>
                    </w:rPr>
                    <w:t>。</w:t>
                  </w:r>
                </w:p>
              </w:tc>
              <w:tc>
                <w:tcPr>
                  <w:tcW w:w="1013" w:type="dxa"/>
                  <w:tcBorders>
                    <w:tl2br w:val="nil"/>
                    <w:tr2bl w:val="nil"/>
                  </w:tcBorders>
                  <w:noWrap w:val="0"/>
                  <w:vAlign w:val="center"/>
                </w:tcPr>
                <w:p w14:paraId="0C154EC4">
                  <w:pPr>
                    <w:pStyle w:val="5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jc w:val="center"/>
                    <w:textAlignment w:val="auto"/>
                    <w:rPr>
                      <w:rFonts w:hint="default" w:ascii="Times New Roman" w:hAnsi="Times New Roman" w:eastAsia="宋体" w:cs="Times New Roman"/>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r w14:paraId="6C75416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6" w:type="dxa"/>
                  <w:tcBorders>
                    <w:tl2br w:val="nil"/>
                    <w:tr2bl w:val="nil"/>
                  </w:tcBorders>
                  <w:noWrap w:val="0"/>
                  <w:vAlign w:val="center"/>
                </w:tcPr>
                <w:p w14:paraId="2E273212">
                  <w:pPr>
                    <w:pStyle w:val="5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污染物排放管控</w:t>
                  </w:r>
                </w:p>
              </w:tc>
              <w:tc>
                <w:tcPr>
                  <w:tcW w:w="3324" w:type="dxa"/>
                  <w:tcBorders>
                    <w:tl2br w:val="nil"/>
                    <w:tr2bl w:val="nil"/>
                  </w:tcBorders>
                  <w:noWrap w:val="0"/>
                  <w:vAlign w:val="center"/>
                </w:tcPr>
                <w:p w14:paraId="430075F5">
                  <w:pPr>
                    <w:pStyle w:val="58"/>
                    <w:keepNext w:val="0"/>
                    <w:keepLines w:val="0"/>
                    <w:pageBreakBefore w:val="0"/>
                    <w:widowControl/>
                    <w:suppressLineNumbers w:val="0"/>
                    <w:kinsoku/>
                    <w:wordWrap/>
                    <w:overflowPunct/>
                    <w:topLinePunct w:val="0"/>
                    <w:autoSpaceDE/>
                    <w:autoSpaceDN/>
                    <w:bidi w:val="0"/>
                    <w:spacing w:beforeAutospacing="0" w:afterAutospacing="0" w:line="240" w:lineRule="auto"/>
                    <w:ind w:left="0" w:right="0"/>
                    <w:jc w:val="both"/>
                    <w:textAlignment w:val="auto"/>
                    <w:rPr>
                      <w:rFonts w:hint="default" w:ascii="Times New Roman" w:hAnsi="Times New Roman" w:eastAsia="宋体" w:cs="Times New Roman"/>
                      <w:color w:val="000000" w:themeColor="text1"/>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持续推进园区工业企业大气污染物全面达标排放要求，核发排污许可证的企业将严格依据排污许可证管理要求进行管理。深化医药、制药企业VOCs排放治理，采取源头削减、过程控制、末端治理的全过程防治措施，严控工业挥发性有机物排放。新建、扩建、改建涉VOCs的制药企业视情况执行特别排放限值。</w:t>
                  </w:r>
                </w:p>
              </w:tc>
              <w:tc>
                <w:tcPr>
                  <w:tcW w:w="2583" w:type="dxa"/>
                  <w:tcBorders>
                    <w:tl2br w:val="nil"/>
                    <w:tr2bl w:val="nil"/>
                  </w:tcBorders>
                  <w:noWrap w:val="0"/>
                  <w:vAlign w:val="center"/>
                </w:tcPr>
                <w:p w14:paraId="6768EE78">
                  <w:pPr>
                    <w:pStyle w:val="5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jc w:val="both"/>
                    <w:textAlignment w:val="auto"/>
                    <w:rPr>
                      <w:rFonts w:hint="default" w:ascii="Times New Roman" w:hAnsi="Times New Roman" w:eastAsia="宋体" w:cs="Times New Roman"/>
                      <w:b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本</w:t>
                  </w:r>
                  <w:r>
                    <w:rPr>
                      <w:rFonts w:hint="default" w:ascii="Times New Roman" w:hAnsi="Times New Roman" w:eastAsia="宋体" w:cs="Times New Roman"/>
                      <w:color w:val="000000" w:themeColor="text1"/>
                      <w:sz w:val="21"/>
                      <w:szCs w:val="21"/>
                      <w:highlight w:val="none"/>
                      <w14:textFill>
                        <w14:solidFill>
                          <w14:schemeClr w14:val="tx1"/>
                        </w14:solidFill>
                      </w14:textFill>
                    </w:rPr>
                    <w:t>项目实施后，采取相应的污染防治措施，加强污染物达标排放与监控，</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可保证各项污染物稳定达标排放，并按照排污许可证管理要求进行管理；</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本项目涉及</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医药、制药企业VOCs排放治理，</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生产运行期</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采取源头削减、过程控制、末端治理的全过程防治措施，</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确保挥发性有机物稳定达标排放；本项目为</w:t>
                  </w:r>
                  <w:r>
                    <w:rPr>
                      <w:rFonts w:hint="eastAsia" w:ascii="Times New Roman" w:hAnsi="Times New Roman" w:cs="Times New Roman"/>
                      <w:color w:val="000000" w:themeColor="text1"/>
                      <w:sz w:val="21"/>
                      <w:szCs w:val="21"/>
                      <w:highlight w:val="none"/>
                      <w:lang w:val="en-US" w:eastAsia="zh-CN" w:bidi="ar"/>
                      <w14:textFill>
                        <w14:solidFill>
                          <w14:schemeClr w14:val="tx1"/>
                        </w14:solidFill>
                      </w14:textFill>
                    </w:rPr>
                    <w:t>改</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扩建项目，废气排放标准</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执行特别排放限值</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要求</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w:t>
                  </w:r>
                </w:p>
              </w:tc>
              <w:tc>
                <w:tcPr>
                  <w:tcW w:w="1013" w:type="dxa"/>
                  <w:tcBorders>
                    <w:tl2br w:val="nil"/>
                    <w:tr2bl w:val="nil"/>
                  </w:tcBorders>
                  <w:noWrap w:val="0"/>
                  <w:vAlign w:val="center"/>
                </w:tcPr>
                <w:p w14:paraId="340AEEEA">
                  <w:pPr>
                    <w:pStyle w:val="5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jc w:val="center"/>
                    <w:textAlignment w:val="auto"/>
                    <w:rPr>
                      <w:rFonts w:hint="default" w:ascii="Times New Roman" w:hAnsi="Times New Roman" w:eastAsia="宋体" w:cs="Times New Roman"/>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r w14:paraId="6C8E48D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6" w:type="dxa"/>
                  <w:tcBorders>
                    <w:tl2br w:val="nil"/>
                    <w:tr2bl w:val="nil"/>
                  </w:tcBorders>
                  <w:noWrap w:val="0"/>
                  <w:vAlign w:val="center"/>
                </w:tcPr>
                <w:p w14:paraId="572DC3E2">
                  <w:pPr>
                    <w:pStyle w:val="5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jc w:val="center"/>
                    <w:textAlignment w:val="auto"/>
                    <w:rPr>
                      <w:rFonts w:hint="default" w:ascii="Times New Roman" w:hAnsi="Times New Roman" w:eastAsia="宋体" w:cs="Times New Roman"/>
                      <w:color w:val="000000" w:themeColor="text1"/>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环境风险防控</w:t>
                  </w:r>
                </w:p>
              </w:tc>
              <w:tc>
                <w:tcPr>
                  <w:tcW w:w="3324" w:type="dxa"/>
                  <w:tcBorders>
                    <w:tl2br w:val="nil"/>
                    <w:tr2bl w:val="nil"/>
                  </w:tcBorders>
                  <w:noWrap w:val="0"/>
                  <w:vAlign w:val="center"/>
                </w:tcPr>
                <w:p w14:paraId="518BFE01">
                  <w:pPr>
                    <w:pStyle w:val="58"/>
                    <w:keepNext w:val="0"/>
                    <w:keepLines w:val="0"/>
                    <w:pageBreakBefore w:val="0"/>
                    <w:widowControl/>
                    <w:suppressLineNumbers w:val="0"/>
                    <w:kinsoku/>
                    <w:wordWrap/>
                    <w:overflowPunct/>
                    <w:topLinePunct w:val="0"/>
                    <w:autoSpaceDE/>
                    <w:autoSpaceDN/>
                    <w:bidi w:val="0"/>
                    <w:spacing w:beforeAutospacing="0" w:afterAutospacing="0" w:line="240" w:lineRule="auto"/>
                    <w:ind w:left="0" w:right="0"/>
                    <w:jc w:val="both"/>
                    <w:textAlignment w:val="auto"/>
                    <w:rPr>
                      <w:rFonts w:hint="default" w:ascii="Times New Roman" w:hAnsi="Times New Roman" w:eastAsia="宋体" w:cs="Times New Roman"/>
                      <w:color w:val="000000" w:themeColor="text1"/>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完善与更新重污染天气应急预案；重点细化水污染物应急防护措施，落实到企业各工艺环节，实施“一厂一策”清单化管理。</w:t>
                  </w:r>
                </w:p>
              </w:tc>
              <w:tc>
                <w:tcPr>
                  <w:tcW w:w="2583" w:type="dxa"/>
                  <w:tcBorders>
                    <w:tl2br w:val="nil"/>
                    <w:tr2bl w:val="nil"/>
                  </w:tcBorders>
                  <w:noWrap w:val="0"/>
                  <w:vAlign w:val="center"/>
                </w:tcPr>
                <w:p w14:paraId="35BA0909">
                  <w:pPr>
                    <w:pStyle w:val="5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jc w:val="both"/>
                    <w:textAlignment w:val="auto"/>
                    <w:rPr>
                      <w:rFonts w:hint="default" w:ascii="Times New Roman" w:hAnsi="Times New Roman" w:eastAsia="宋体" w:cs="Times New Roman"/>
                      <w:b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color w:val="000000" w:themeColor="text1"/>
                      <w:kern w:val="0"/>
                      <w:sz w:val="21"/>
                      <w:szCs w:val="21"/>
                      <w:highlight w:val="none"/>
                      <w:lang w:val="en-US" w:eastAsia="zh-CN"/>
                      <w14:textFill>
                        <w14:solidFill>
                          <w14:schemeClr w14:val="tx1"/>
                        </w14:solidFill>
                      </w14:textFill>
                    </w:rPr>
                    <w:t>按照相关部门要求严格执行。</w:t>
                  </w:r>
                </w:p>
              </w:tc>
              <w:tc>
                <w:tcPr>
                  <w:tcW w:w="1013" w:type="dxa"/>
                  <w:tcBorders>
                    <w:tl2br w:val="nil"/>
                    <w:tr2bl w:val="nil"/>
                  </w:tcBorders>
                  <w:noWrap w:val="0"/>
                  <w:vAlign w:val="center"/>
                </w:tcPr>
                <w:p w14:paraId="5F0A3D5A">
                  <w:pPr>
                    <w:pStyle w:val="5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jc w:val="center"/>
                    <w:textAlignment w:val="auto"/>
                    <w:rPr>
                      <w:rFonts w:hint="default" w:ascii="Times New Roman" w:hAnsi="Times New Roman" w:eastAsia="宋体" w:cs="Times New Roman"/>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r w14:paraId="349D379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6" w:type="dxa"/>
                  <w:tcBorders>
                    <w:tl2br w:val="nil"/>
                    <w:tr2bl w:val="nil"/>
                  </w:tcBorders>
                  <w:noWrap w:val="0"/>
                  <w:vAlign w:val="center"/>
                </w:tcPr>
                <w:p w14:paraId="6AFCDF97">
                  <w:pPr>
                    <w:pStyle w:val="5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jc w:val="center"/>
                    <w:textAlignment w:val="auto"/>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资源开发效率要求</w:t>
                  </w:r>
                </w:p>
              </w:tc>
              <w:tc>
                <w:tcPr>
                  <w:tcW w:w="3324" w:type="dxa"/>
                  <w:tcBorders>
                    <w:tl2br w:val="nil"/>
                    <w:tr2bl w:val="nil"/>
                  </w:tcBorders>
                  <w:noWrap w:val="0"/>
                  <w:vAlign w:val="center"/>
                </w:tcPr>
                <w:p w14:paraId="382BEBB2">
                  <w:pPr>
                    <w:pStyle w:val="58"/>
                    <w:keepNext w:val="0"/>
                    <w:keepLines w:val="0"/>
                    <w:pageBreakBefore w:val="0"/>
                    <w:widowControl/>
                    <w:suppressLineNumbers w:val="0"/>
                    <w:kinsoku/>
                    <w:wordWrap/>
                    <w:overflowPunct/>
                    <w:topLinePunct w:val="0"/>
                    <w:autoSpaceDE/>
                    <w:autoSpaceDN/>
                    <w:bidi w:val="0"/>
                    <w:spacing w:beforeAutospacing="0" w:afterAutospacing="0" w:line="240" w:lineRule="auto"/>
                    <w:ind w:left="0" w:right="0"/>
                    <w:jc w:val="both"/>
                    <w:textAlignment w:val="auto"/>
                    <w:rPr>
                      <w:rFonts w:hint="default" w:ascii="Times New Roman" w:hAnsi="Times New Roman" w:eastAsia="宋体" w:cs="Times New Roman"/>
                      <w:color w:val="000000" w:themeColor="text1"/>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建立节约用水管理制度，使用先进节约用水技术、工艺和设备，采取循环用水、综合利用和废水处理回用等措施，降低用水消耗，提高重复利用率。企业主要产品综合能耗达到清洁生产一级/二级水平。</w:t>
                  </w:r>
                </w:p>
              </w:tc>
              <w:tc>
                <w:tcPr>
                  <w:tcW w:w="2583" w:type="dxa"/>
                  <w:tcBorders>
                    <w:tl2br w:val="nil"/>
                    <w:tr2bl w:val="nil"/>
                  </w:tcBorders>
                  <w:noWrap w:val="0"/>
                  <w:vAlign w:val="center"/>
                </w:tcPr>
                <w:p w14:paraId="404672E2">
                  <w:pPr>
                    <w:pStyle w:val="5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jc w:val="both"/>
                    <w:textAlignment w:val="auto"/>
                    <w:rPr>
                      <w:rFonts w:hint="default" w:ascii="Times New Roman" w:hAnsi="Times New Roman" w:eastAsia="宋体" w:cs="Times New Roman"/>
                      <w:b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建设单位</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建立节约用水管理制度，降低用水消耗，提高重复利用率。</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根据</w:t>
                  </w:r>
                  <w:r>
                    <w:rPr>
                      <w:rFonts w:hint="default" w:ascii="Times New Roman" w:hAnsi="Times New Roman" w:eastAsia="宋体" w:cs="Times New Roman"/>
                      <w:color w:val="000000" w:themeColor="text1"/>
                      <w:sz w:val="21"/>
                      <w:szCs w:val="21"/>
                      <w:highlight w:val="none"/>
                      <w14:textFill>
                        <w14:solidFill>
                          <w14:schemeClr w14:val="tx1"/>
                        </w14:solidFill>
                      </w14:textFill>
                    </w:rPr>
                    <w:t>《清洁生产评价指标体系 医药制造业》，</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经核算，</w:t>
                  </w:r>
                  <w:r>
                    <w:rPr>
                      <w:rFonts w:hint="default" w:ascii="Times New Roman" w:hAnsi="Times New Roman" w:eastAsia="宋体" w:cs="Times New Roman"/>
                      <w:color w:val="000000" w:themeColor="text1"/>
                      <w:sz w:val="21"/>
                      <w:szCs w:val="21"/>
                      <w:highlight w:val="none"/>
                      <w14:textFill>
                        <w14:solidFill>
                          <w14:schemeClr w14:val="tx1"/>
                        </w14:solidFill>
                      </w14:textFill>
                    </w:rPr>
                    <w:t>本项目</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主要产品综合能耗</w:t>
                  </w: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可</w:t>
                  </w:r>
                  <w:r>
                    <w:rPr>
                      <w:rFonts w:hint="default" w:ascii="Times New Roman" w:hAnsi="Times New Roman" w:eastAsia="宋体" w:cs="Times New Roman"/>
                      <w:color w:val="000000" w:themeColor="text1"/>
                      <w:sz w:val="21"/>
                      <w:szCs w:val="21"/>
                      <w:highlight w:val="none"/>
                      <w:lang w:bidi="ar"/>
                      <w14:textFill>
                        <w14:solidFill>
                          <w14:schemeClr w14:val="tx1"/>
                        </w14:solidFill>
                      </w14:textFill>
                    </w:rPr>
                    <w:t>达到清洁生产二级水平</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1013" w:type="dxa"/>
                  <w:tcBorders>
                    <w:tl2br w:val="nil"/>
                    <w:tr2bl w:val="nil"/>
                  </w:tcBorders>
                  <w:noWrap w:val="0"/>
                  <w:vAlign w:val="center"/>
                </w:tcPr>
                <w:p w14:paraId="092EA08F">
                  <w:pPr>
                    <w:pStyle w:val="5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0" w:firstLineChars="0"/>
                    <w:jc w:val="center"/>
                    <w:textAlignment w:val="auto"/>
                    <w:rPr>
                      <w:rFonts w:hint="default" w:ascii="Times New Roman" w:hAnsi="Times New Roman" w:eastAsia="宋体" w:cs="Times New Roman"/>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bl>
          <w:p w14:paraId="13056091">
            <w:pPr>
              <w:keepNext w:val="0"/>
              <w:keepLines w:val="0"/>
              <w:pageBreakBefore w:val="0"/>
              <w:widowControl/>
              <w:suppressLineNumbers w:val="0"/>
              <w:kinsoku/>
              <w:wordWrap/>
              <w:overflowPunct/>
              <w:topLinePunct w:val="0"/>
              <w:autoSpaceDE/>
              <w:autoSpaceDN/>
              <w:bidi w:val="0"/>
              <w:adjustRightInd w:val="0"/>
              <w:snapToGrid w:val="0"/>
              <w:spacing w:before="156" w:beforeLines="5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综上所述，本项目符合《本溪市生态环境分区管控成果动态更新》附件4本溪市工业园区生态环境准入清单的要求。</w:t>
            </w:r>
          </w:p>
          <w:p w14:paraId="0EFB3E26">
            <w:pPr>
              <w:keepNext w:val="0"/>
              <w:keepLines w:val="0"/>
              <w:numPr>
                <w:ilvl w:val="0"/>
                <w:numId w:val="0"/>
              </w:numPr>
              <w:suppressLineNumbers w:val="0"/>
              <w:adjustRightInd w:val="0"/>
              <w:snapToGrid w:val="0"/>
              <w:spacing w:before="156" w:beforeLines="50" w:beforeAutospacing="0" w:after="0" w:afterAutospacing="0" w:line="360" w:lineRule="auto"/>
              <w:ind w:left="0" w:leftChars="0" w:right="0" w:rightChars="0" w:firstLine="0" w:firstLineChars="0"/>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kern w:val="2"/>
                <w:sz w:val="24"/>
                <w:szCs w:val="24"/>
                <w:highlight w:val="none"/>
                <w:lang w:val="en-US" w:eastAsia="zh-CN" w:bidi="ar-SA"/>
                <w14:textFill>
                  <w14:solidFill>
                    <w14:schemeClr w14:val="tx1"/>
                  </w14:solidFill>
                </w14:textFill>
              </w:rPr>
              <w:t>3</w:t>
            </w: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环境管理政策相符性分析</w:t>
            </w:r>
          </w:p>
          <w:p w14:paraId="4066C051">
            <w:pPr>
              <w:keepNext w:val="0"/>
              <w:keepLines w:val="0"/>
              <w:numPr>
                <w:ilvl w:val="0"/>
                <w:numId w:val="3"/>
              </w:numPr>
              <w:suppressLineNumbers w:val="0"/>
              <w:adjustRightInd w:val="0"/>
              <w:snapToGrid w:val="0"/>
              <w:spacing w:before="156" w:beforeLines="50" w:beforeAutospacing="0" w:after="0" w:afterAutospacing="0" w:line="360" w:lineRule="auto"/>
              <w:ind w:left="0" w:leftChars="0" w:right="0" w:rightChars="0"/>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本项目与《辽宁省大气污染防治条例》相符性分析</w:t>
            </w:r>
          </w:p>
          <w:p w14:paraId="7C56ED45">
            <w:pPr>
              <w:keepNext w:val="0"/>
              <w:keepLines w:val="0"/>
              <w:numPr>
                <w:ilvl w:val="0"/>
                <w:numId w:val="2"/>
              </w:numPr>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本项目与《辽宁省大气污染防治条例》相符性分析</w:t>
            </w:r>
          </w:p>
          <w:tbl>
            <w:tblPr>
              <w:tblStyle w:val="36"/>
              <w:tblW w:w="5000"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706"/>
              <w:gridCol w:w="1930"/>
              <w:gridCol w:w="818"/>
            </w:tblGrid>
            <w:tr w14:paraId="7278434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884" w:type="dxa"/>
                  <w:tcBorders>
                    <w:tl2br w:val="nil"/>
                    <w:tr2bl w:val="nil"/>
                  </w:tcBorders>
                  <w:vAlign w:val="center"/>
                </w:tcPr>
                <w:p w14:paraId="5A589530">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条文明细</w:t>
                  </w:r>
                </w:p>
              </w:tc>
              <w:tc>
                <w:tcPr>
                  <w:tcW w:w="1998" w:type="dxa"/>
                  <w:tcBorders>
                    <w:tl2br w:val="nil"/>
                    <w:tr2bl w:val="nil"/>
                  </w:tcBorders>
                  <w:vAlign w:val="center"/>
                </w:tcPr>
                <w:p w14:paraId="6F9D3549">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lang w:val="en-US" w:eastAsia="zh-CN" w:bidi="ar"/>
                      <w14:textFill>
                        <w14:solidFill>
                          <w14:schemeClr w14:val="tx1"/>
                        </w14:solidFill>
                      </w14:textFill>
                    </w:rPr>
                    <w:t>本</w:t>
                  </w: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项目情况</w:t>
                  </w:r>
                </w:p>
              </w:tc>
              <w:tc>
                <w:tcPr>
                  <w:tcW w:w="841" w:type="dxa"/>
                  <w:tcBorders>
                    <w:tl2br w:val="nil"/>
                    <w:tr2bl w:val="nil"/>
                  </w:tcBorders>
                  <w:vAlign w:val="center"/>
                </w:tcPr>
                <w:p w14:paraId="2FF17D04">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相符</w:t>
                  </w:r>
                  <w:r>
                    <w:rPr>
                      <w:rFonts w:hint="default" w:ascii="Times New Roman" w:hAnsi="Times New Roman" w:eastAsia="宋体" w:cs="Times New Roman"/>
                      <w:b/>
                      <w:bCs/>
                      <w:color w:val="000000" w:themeColor="text1"/>
                      <w:sz w:val="21"/>
                      <w:szCs w:val="21"/>
                      <w:highlight w:val="none"/>
                      <w:lang w:val="zh-CN"/>
                      <w14:textFill>
                        <w14:solidFill>
                          <w14:schemeClr w14:val="tx1"/>
                        </w14:solidFill>
                      </w14:textFill>
                    </w:rPr>
                    <w:t>性</w:t>
                  </w:r>
                </w:p>
              </w:tc>
            </w:tr>
            <w:tr w14:paraId="6F2EAF6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84" w:type="dxa"/>
                  <w:tcBorders>
                    <w:tl2br w:val="nil"/>
                    <w:tr2bl w:val="nil"/>
                  </w:tcBorders>
                  <w:vAlign w:val="center"/>
                </w:tcPr>
                <w:p w14:paraId="52CF532A">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第九条企业事业单位和其他生产经营者应当</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履行</w:t>
                  </w:r>
                  <w:r>
                    <w:rPr>
                      <w:rFonts w:hint="default" w:ascii="Times New Roman" w:hAnsi="Times New Roman" w:eastAsia="宋体" w:cs="Times New Roman"/>
                      <w:color w:val="000000" w:themeColor="text1"/>
                      <w:sz w:val="21"/>
                      <w:szCs w:val="21"/>
                      <w:highlight w:val="none"/>
                      <w14:textFill>
                        <w14:solidFill>
                          <w14:schemeClr w14:val="tx1"/>
                        </w14:solidFill>
                      </w14:textFill>
                    </w:rPr>
                    <w:t>防治大气污染的法定义务</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执行国家和省规定的大气污染物排放和控制标准</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采取措施防治生产经营或者其他活动对大气环境造成的污染。</w:t>
                  </w:r>
                </w:p>
              </w:tc>
              <w:tc>
                <w:tcPr>
                  <w:tcW w:w="1998" w:type="dxa"/>
                  <w:tcBorders>
                    <w:tl2br w:val="nil"/>
                    <w:tr2bl w:val="nil"/>
                  </w:tcBorders>
                  <w:vAlign w:val="center"/>
                </w:tcPr>
                <w:p w14:paraId="53786384">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本项目</w:t>
                  </w:r>
                  <w:r>
                    <w:rPr>
                      <w:rFonts w:hint="eastAsia" w:cs="Times New Roman"/>
                      <w:color w:val="000000" w:themeColor="text1"/>
                      <w:sz w:val="21"/>
                      <w:szCs w:val="21"/>
                      <w:highlight w:val="none"/>
                      <w:lang w:val="en-US" w:eastAsia="zh-CN"/>
                      <w14:textFill>
                        <w14:solidFill>
                          <w14:schemeClr w14:val="tx1"/>
                        </w14:solidFill>
                      </w14:textFill>
                    </w:rPr>
                    <w:t>为改扩建项目</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，各污染因子均满足相关排放标准。</w:t>
                  </w:r>
                </w:p>
              </w:tc>
              <w:tc>
                <w:tcPr>
                  <w:tcW w:w="841" w:type="dxa"/>
                  <w:tcBorders>
                    <w:tl2br w:val="nil"/>
                    <w:tr2bl w:val="nil"/>
                  </w:tcBorders>
                  <w:vAlign w:val="center"/>
                </w:tcPr>
                <w:p w14:paraId="331407A3">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r w14:paraId="6913C96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4884" w:type="dxa"/>
                  <w:tcBorders>
                    <w:tl2br w:val="nil"/>
                    <w:tr2bl w:val="nil"/>
                  </w:tcBorders>
                  <w:vAlign w:val="center"/>
                </w:tcPr>
                <w:p w14:paraId="4CBE0030">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第十三条企业事业单位和其他生产经营者建设对大气环境有影响的项目，应当依法进行环境影响评价建设项目的环境影响评价报告书或者报告表未经法律规定的审批部门审查或者审查后未予批准的，建设单位不得开工建设</w:t>
                  </w:r>
                  <w:r>
                    <w:rPr>
                      <w:rFonts w:hint="eastAsia" w:cs="Times New Roman"/>
                      <w:color w:val="000000" w:themeColor="text1"/>
                      <w:sz w:val="21"/>
                      <w:szCs w:val="21"/>
                      <w:highlight w:val="none"/>
                      <w:lang w:eastAsia="zh-CN"/>
                      <w14:textFill>
                        <w14:solidFill>
                          <w14:schemeClr w14:val="tx1"/>
                        </w14:solidFill>
                      </w14:textFill>
                    </w:rPr>
                    <w:t>。</w:t>
                  </w:r>
                </w:p>
              </w:tc>
              <w:tc>
                <w:tcPr>
                  <w:tcW w:w="1998" w:type="dxa"/>
                  <w:tcBorders>
                    <w:tl2br w:val="nil"/>
                    <w:tr2bl w:val="nil"/>
                  </w:tcBorders>
                  <w:vAlign w:val="center"/>
                </w:tcPr>
                <w:p w14:paraId="775F3E31">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本项目</w:t>
                  </w:r>
                  <w:r>
                    <w:rPr>
                      <w:rFonts w:hint="eastAsia" w:cs="Times New Roman"/>
                      <w:color w:val="000000" w:themeColor="text1"/>
                      <w:sz w:val="21"/>
                      <w:szCs w:val="21"/>
                      <w:highlight w:val="none"/>
                      <w:lang w:val="en-US" w:eastAsia="zh-CN"/>
                      <w14:textFill>
                        <w14:solidFill>
                          <w14:schemeClr w14:val="tx1"/>
                        </w14:solidFill>
                      </w14:textFill>
                    </w:rPr>
                    <w:t>为改扩建项目，现有项目已经完成环保验收工作。</w:t>
                  </w:r>
                </w:p>
              </w:tc>
              <w:tc>
                <w:tcPr>
                  <w:tcW w:w="841" w:type="dxa"/>
                  <w:tcBorders>
                    <w:tl2br w:val="nil"/>
                    <w:tr2bl w:val="nil"/>
                  </w:tcBorders>
                  <w:vAlign w:val="center"/>
                </w:tcPr>
                <w:p w14:paraId="29B8969B">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r w14:paraId="5BCC57D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884" w:type="dxa"/>
                  <w:tcBorders>
                    <w:tl2br w:val="nil"/>
                    <w:tr2bl w:val="nil"/>
                  </w:tcBorders>
                  <w:vAlign w:val="center"/>
                </w:tcPr>
                <w:p w14:paraId="5A80271E">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第十四条市、县人民政府应当按照主体功能区划合理规划工业园区的布局。新建产生大气污染物的工业项目，应当符合大气污染物排放标准，按照有利于减少大气污染物排放、资源循环利用和集中治理的原则，集中安排在工业园区</w:t>
                  </w:r>
                  <w:r>
                    <w:rPr>
                      <w:rFonts w:hint="eastAsia" w:cs="Times New Roman"/>
                      <w:color w:val="000000" w:themeColor="text1"/>
                      <w:sz w:val="21"/>
                      <w:szCs w:val="21"/>
                      <w:highlight w:val="none"/>
                      <w:lang w:eastAsia="zh-CN"/>
                      <w14:textFill>
                        <w14:solidFill>
                          <w14:schemeClr w14:val="tx1"/>
                        </w14:solidFill>
                      </w14:textFill>
                    </w:rPr>
                    <w:t>。</w:t>
                  </w:r>
                </w:p>
              </w:tc>
              <w:tc>
                <w:tcPr>
                  <w:tcW w:w="1998" w:type="dxa"/>
                  <w:tcBorders>
                    <w:tl2br w:val="nil"/>
                    <w:tr2bl w:val="nil"/>
                  </w:tcBorders>
                  <w:vAlign w:val="center"/>
                </w:tcPr>
                <w:p w14:paraId="5E588385">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本项目</w:t>
                  </w:r>
                  <w:r>
                    <w:rPr>
                      <w:rFonts w:hint="eastAsia" w:cs="Times New Roman"/>
                      <w:color w:val="000000" w:themeColor="text1"/>
                      <w:sz w:val="21"/>
                      <w:szCs w:val="21"/>
                      <w:highlight w:val="none"/>
                      <w:lang w:val="en-US" w:eastAsia="zh-CN"/>
                      <w14:textFill>
                        <w14:solidFill>
                          <w14:schemeClr w14:val="tx1"/>
                        </w14:solidFill>
                      </w14:textFill>
                    </w:rPr>
                    <w:t>为改扩建项目</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，各污染因子均满足相关排放标准。</w:t>
                  </w:r>
                </w:p>
              </w:tc>
              <w:tc>
                <w:tcPr>
                  <w:tcW w:w="841" w:type="dxa"/>
                  <w:tcBorders>
                    <w:tl2br w:val="nil"/>
                    <w:tr2bl w:val="nil"/>
                  </w:tcBorders>
                  <w:vAlign w:val="center"/>
                </w:tcPr>
                <w:p w14:paraId="73D81D8A">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r w14:paraId="3B23D29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884" w:type="dxa"/>
                  <w:tcBorders>
                    <w:tl2br w:val="nil"/>
                    <w:tr2bl w:val="nil"/>
                  </w:tcBorders>
                  <w:vAlign w:val="center"/>
                </w:tcPr>
                <w:p w14:paraId="1C38BBB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第十五条实行大气污染物排污许可管理制度向大气排放工业废气或者国家有毒有害大气污染物名录中大气污染物的企业事业单位、集中供热设施的燃煤热源生产运营单位</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以及其他依法实行排污许可管理的排污单位，应当按照国家有关规定取得排污许可证，并按照排污许可证的规定排放大气污染物。向大气排放污染物的单位</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应当按照国家和省有关规定，设置大气污染物排放口及其标志。</w:t>
                  </w:r>
                </w:p>
              </w:tc>
              <w:tc>
                <w:tcPr>
                  <w:tcW w:w="1998" w:type="dxa"/>
                  <w:tcBorders>
                    <w:tl2br w:val="nil"/>
                    <w:tr2bl w:val="nil"/>
                  </w:tcBorders>
                  <w:vAlign w:val="center"/>
                </w:tcPr>
                <w:p w14:paraId="6BFA9F07">
                  <w:pPr>
                    <w:keepNext w:val="0"/>
                    <w:keepLines w:val="0"/>
                    <w:widowControl/>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该公司承诺在取得环评批复后，</w:t>
                  </w:r>
                  <w:r>
                    <w:rPr>
                      <w:rFonts w:hint="eastAsia" w:cs="Times New Roman"/>
                      <w:color w:val="000000" w:themeColor="text1"/>
                      <w:sz w:val="21"/>
                      <w:szCs w:val="21"/>
                      <w:highlight w:val="none"/>
                      <w:lang w:val="en-US" w:eastAsia="zh-CN"/>
                      <w14:textFill>
                        <w14:solidFill>
                          <w14:schemeClr w14:val="tx1"/>
                        </w14:solidFill>
                      </w14:textFill>
                    </w:rPr>
                    <w:t>排污前</w:t>
                  </w:r>
                  <w:r>
                    <w:rPr>
                      <w:rFonts w:hint="default" w:ascii="Times New Roman" w:hAnsi="Times New Roman" w:eastAsia="宋体" w:cs="Times New Roman"/>
                      <w:color w:val="000000" w:themeColor="text1"/>
                      <w:sz w:val="21"/>
                      <w:szCs w:val="21"/>
                      <w:highlight w:val="none"/>
                      <w14:textFill>
                        <w14:solidFill>
                          <w14:schemeClr w14:val="tx1"/>
                        </w14:solidFill>
                      </w14:textFill>
                    </w:rPr>
                    <w:t>按照相关要求</w:t>
                  </w:r>
                  <w:r>
                    <w:rPr>
                      <w:rFonts w:hint="eastAsia" w:cs="Times New Roman"/>
                      <w:color w:val="000000" w:themeColor="text1"/>
                      <w:sz w:val="21"/>
                      <w:szCs w:val="21"/>
                      <w:highlight w:val="none"/>
                      <w:lang w:val="en-US" w:eastAsia="zh-CN"/>
                      <w14:textFill>
                        <w14:solidFill>
                          <w14:schemeClr w14:val="tx1"/>
                        </w14:solidFill>
                      </w14:textFill>
                    </w:rPr>
                    <w:t>申请</w:t>
                  </w:r>
                  <w:r>
                    <w:rPr>
                      <w:rFonts w:hint="default" w:ascii="Times New Roman" w:hAnsi="Times New Roman" w:eastAsia="宋体" w:cs="Times New Roman"/>
                      <w:color w:val="000000" w:themeColor="text1"/>
                      <w:sz w:val="21"/>
                      <w:szCs w:val="21"/>
                      <w:highlight w:val="none"/>
                      <w14:textFill>
                        <w14:solidFill>
                          <w14:schemeClr w14:val="tx1"/>
                        </w14:solidFill>
                      </w14:textFill>
                    </w:rPr>
                    <w:t>排污许可</w:t>
                  </w:r>
                  <w:r>
                    <w:rPr>
                      <w:rFonts w:hint="eastAsia" w:cs="Times New Roman"/>
                      <w:color w:val="000000" w:themeColor="text1"/>
                      <w:sz w:val="21"/>
                      <w:szCs w:val="21"/>
                      <w:highlight w:val="none"/>
                      <w:lang w:val="en-US" w:eastAsia="zh-CN"/>
                      <w14:textFill>
                        <w14:solidFill>
                          <w14:schemeClr w14:val="tx1"/>
                        </w14:solidFill>
                      </w14:textFill>
                    </w:rPr>
                    <w:t>重新申请</w:t>
                  </w:r>
                  <w:r>
                    <w:rPr>
                      <w:rFonts w:hint="default" w:ascii="Times New Roman" w:hAnsi="Times New Roman" w:eastAsia="宋体" w:cs="Times New Roman"/>
                      <w:color w:val="000000" w:themeColor="text1"/>
                      <w:sz w:val="21"/>
                      <w:szCs w:val="21"/>
                      <w:highlight w:val="none"/>
                      <w14:textFill>
                        <w14:solidFill>
                          <w14:schemeClr w14:val="tx1"/>
                        </w14:solidFill>
                      </w14:textFill>
                    </w:rPr>
                    <w:t>手续</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严格</w:t>
                  </w:r>
                  <w:r>
                    <w:rPr>
                      <w:rFonts w:hint="default" w:ascii="Times New Roman" w:hAnsi="Times New Roman" w:eastAsia="宋体" w:cs="Times New Roman"/>
                      <w:color w:val="000000" w:themeColor="text1"/>
                      <w:sz w:val="21"/>
                      <w:szCs w:val="21"/>
                      <w:highlight w:val="none"/>
                      <w14:textFill>
                        <w14:solidFill>
                          <w14:schemeClr w14:val="tx1"/>
                        </w14:solidFill>
                      </w14:textFill>
                    </w:rPr>
                    <w:t>按照要求设置大气污染物排放口及标识</w:t>
                  </w:r>
                  <w:r>
                    <w:rPr>
                      <w:rFonts w:hint="eastAsia" w:cs="Times New Roman"/>
                      <w:color w:val="000000" w:themeColor="text1"/>
                      <w:sz w:val="21"/>
                      <w:szCs w:val="21"/>
                      <w:highlight w:val="none"/>
                      <w:lang w:eastAsia="zh-CN"/>
                      <w14:textFill>
                        <w14:solidFill>
                          <w14:schemeClr w14:val="tx1"/>
                        </w14:solidFill>
                      </w14:textFill>
                    </w:rPr>
                    <w:t>。</w:t>
                  </w:r>
                </w:p>
              </w:tc>
              <w:tc>
                <w:tcPr>
                  <w:tcW w:w="841" w:type="dxa"/>
                  <w:tcBorders>
                    <w:tl2br w:val="nil"/>
                    <w:tr2bl w:val="nil"/>
                  </w:tcBorders>
                  <w:vAlign w:val="center"/>
                </w:tcPr>
                <w:p w14:paraId="315DEFA9">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r w14:paraId="4CECD21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884" w:type="dxa"/>
                  <w:tcBorders>
                    <w:tl2br w:val="nil"/>
                    <w:tr2bl w:val="nil"/>
                  </w:tcBorders>
                  <w:vAlign w:val="center"/>
                </w:tcPr>
                <w:p w14:paraId="104143B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第十七条排污单位的重点大气污染物排放总量控制指标</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由生态环境主管部门根据</w:t>
                  </w:r>
                  <w:r>
                    <w:rPr>
                      <w:rFonts w:hint="default" w:ascii="Times New Roman" w:hAnsi="Times New Roman" w:cs="Times New Roman"/>
                      <w:color w:val="000000" w:themeColor="text1"/>
                      <w:sz w:val="21"/>
                      <w:szCs w:val="21"/>
                      <w:highlight w:val="none"/>
                      <w:lang w:eastAsia="zh-CN"/>
                      <w14:textFill>
                        <w14:solidFill>
                          <w14:schemeClr w14:val="tx1"/>
                        </w14:solidFill>
                      </w14:textFill>
                    </w:rPr>
                    <w:t>本行政区域</w:t>
                  </w:r>
                  <w:r>
                    <w:rPr>
                      <w:rFonts w:hint="default" w:ascii="Times New Roman" w:hAnsi="Times New Roman" w:eastAsia="宋体" w:cs="Times New Roman"/>
                      <w:color w:val="000000" w:themeColor="text1"/>
                      <w:sz w:val="21"/>
                      <w:szCs w:val="21"/>
                      <w:highlight w:val="none"/>
                      <w14:textFill>
                        <w14:solidFill>
                          <w14:schemeClr w14:val="tx1"/>
                        </w14:solidFill>
                      </w14:textFill>
                    </w:rPr>
                    <w:t>重点大气污染物总量控制指标、排污单位现有排放量和改善大气环境质量的目标核定。排污单位不得超过生态环境主管部门核定的重点大气污染物总量控制指标排放大气污染物。</w:t>
                  </w:r>
                </w:p>
              </w:tc>
              <w:tc>
                <w:tcPr>
                  <w:tcW w:w="1998" w:type="dxa"/>
                  <w:tcBorders>
                    <w:tl2br w:val="nil"/>
                    <w:tr2bl w:val="nil"/>
                  </w:tcBorders>
                  <w:vAlign w:val="center"/>
                </w:tcPr>
                <w:p w14:paraId="41F6CF7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该公司承诺待项目建成投产后污染物不超过总量控制指标许可量</w:t>
                  </w:r>
                </w:p>
              </w:tc>
              <w:tc>
                <w:tcPr>
                  <w:tcW w:w="841" w:type="dxa"/>
                  <w:tcBorders>
                    <w:tl2br w:val="nil"/>
                    <w:tr2bl w:val="nil"/>
                  </w:tcBorders>
                  <w:vAlign w:val="center"/>
                </w:tcPr>
                <w:p w14:paraId="43166DBD">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r w14:paraId="624DCE3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884" w:type="dxa"/>
                  <w:tcBorders>
                    <w:tl2br w:val="nil"/>
                    <w:tr2bl w:val="nil"/>
                  </w:tcBorders>
                  <w:vAlign w:val="center"/>
                </w:tcPr>
                <w:p w14:paraId="466FF9D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第二十条企业事业单位和其他生产经营者应当按照国家有关规定和监测规范</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自行或者委托有资质的监测机构对其排放的工业废气和国家有毒有害大气污染物名录中的大气污染物实施监测。原始监测记录保存期限不得少于三年，重点排污单位应当按照国家和省有关规定，安装使用大气污染物排放自动监测设备</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并与生态环境主管部门的监控设备联网</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保证监测设备正常运行并依法公开排放信息，对监测数据的真实性、准确性负责。</w:t>
                  </w:r>
                </w:p>
              </w:tc>
              <w:tc>
                <w:tcPr>
                  <w:tcW w:w="1998" w:type="dxa"/>
                  <w:tcBorders>
                    <w:tl2br w:val="nil"/>
                    <w:tr2bl w:val="nil"/>
                  </w:tcBorders>
                  <w:vAlign w:val="center"/>
                </w:tcPr>
                <w:p w14:paraId="0680C1D1">
                  <w:pPr>
                    <w:keepNext w:val="0"/>
                    <w:keepLines w:val="0"/>
                    <w:widowControl/>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该公司承诺待项目建成投产后，按照排污许可的相关要求开展污染源监测</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原始监测记录保存期限不得少于三年</w:t>
                  </w:r>
                  <w:r>
                    <w:rPr>
                      <w:rFonts w:hint="eastAsia" w:cs="Times New Roman"/>
                      <w:color w:val="000000" w:themeColor="text1"/>
                      <w:sz w:val="21"/>
                      <w:szCs w:val="21"/>
                      <w:highlight w:val="none"/>
                      <w:lang w:eastAsia="zh-CN"/>
                      <w14:textFill>
                        <w14:solidFill>
                          <w14:schemeClr w14:val="tx1"/>
                        </w14:solidFill>
                      </w14:textFill>
                    </w:rPr>
                    <w:t>。</w:t>
                  </w:r>
                </w:p>
              </w:tc>
              <w:tc>
                <w:tcPr>
                  <w:tcW w:w="841" w:type="dxa"/>
                  <w:tcBorders>
                    <w:tl2br w:val="nil"/>
                    <w:tr2bl w:val="nil"/>
                  </w:tcBorders>
                  <w:vAlign w:val="center"/>
                </w:tcPr>
                <w:p w14:paraId="30535E0F">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r w14:paraId="381F422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884" w:type="dxa"/>
                  <w:tcBorders>
                    <w:tl2br w:val="nil"/>
                    <w:tr2bl w:val="nil"/>
                  </w:tcBorders>
                  <w:vAlign w:val="center"/>
                </w:tcPr>
                <w:p w14:paraId="18DC8C3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第三十三条禁止直接排放有毒有害大气污染物。在生产经营过程中产生有毒有害大气污染物的工业企业，应当采取安装收集净化装置等防治措施</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并保证环保设备正常运行，达到国家和省规定的大气污染物排放标准</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p>
              </w:tc>
              <w:tc>
                <w:tcPr>
                  <w:tcW w:w="1998" w:type="dxa"/>
                  <w:tcBorders>
                    <w:tl2br w:val="nil"/>
                    <w:tr2bl w:val="nil"/>
                  </w:tcBorders>
                  <w:vAlign w:val="center"/>
                </w:tcPr>
                <w:p w14:paraId="3B5B8F50">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本项目</w:t>
                  </w:r>
                  <w:r>
                    <w:rPr>
                      <w:rFonts w:hint="eastAsia" w:cs="Times New Roman"/>
                      <w:color w:val="000000" w:themeColor="text1"/>
                      <w:sz w:val="21"/>
                      <w:szCs w:val="21"/>
                      <w:highlight w:val="none"/>
                      <w:lang w:val="en-US" w:eastAsia="zh-CN"/>
                      <w14:textFill>
                        <w14:solidFill>
                          <w14:schemeClr w14:val="tx1"/>
                        </w14:solidFill>
                      </w14:textFill>
                    </w:rPr>
                    <w:t>为改扩建项目</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，各污染因子均满足相关排放标准。</w:t>
                  </w:r>
                </w:p>
              </w:tc>
              <w:tc>
                <w:tcPr>
                  <w:tcW w:w="841" w:type="dxa"/>
                  <w:tcBorders>
                    <w:tl2br w:val="nil"/>
                    <w:tr2bl w:val="nil"/>
                  </w:tcBorders>
                  <w:vAlign w:val="center"/>
                </w:tcPr>
                <w:p w14:paraId="11301CA0">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r w14:paraId="136CF2A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884" w:type="dxa"/>
                  <w:tcBorders>
                    <w:tl2br w:val="nil"/>
                    <w:tr2bl w:val="nil"/>
                  </w:tcBorders>
                  <w:vAlign w:val="center"/>
                </w:tcPr>
                <w:p w14:paraId="09DCD2F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第三十五条下列产生含挥发性有机物废气的生产和服务活动，应当使用低挥发性有机物含量的原料，在密闭空间或者设备中进行，并按照规定安装、使用污染防治设施</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无法密闭的，应当采取措施减少废气排放</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一</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石化、煤化工等含挥发性有机物原料的生产</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二</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燃油、溶剂的储存、运输和销售</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三</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涂料、油墨、胶粘剂、农药等以挥发性有机物为原料的生产</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四</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涂装、印刷、粘合、工业清洗等含挥发性有机物的产品使用</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五</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其他产生含挥发性有机物废气的生产和服务活动</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p>
              </w:tc>
              <w:tc>
                <w:tcPr>
                  <w:tcW w:w="1998" w:type="dxa"/>
                  <w:tcBorders>
                    <w:tl2br w:val="nil"/>
                    <w:tr2bl w:val="nil"/>
                  </w:tcBorders>
                  <w:vAlign w:val="center"/>
                </w:tcPr>
                <w:p w14:paraId="1EA6C672">
                  <w:pPr>
                    <w:keepNext w:val="0"/>
                    <w:keepLines w:val="0"/>
                    <w:widowControl/>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本</w:t>
                  </w:r>
                  <w:r>
                    <w:rPr>
                      <w:rFonts w:hint="eastAsia" w:cs="Times New Roman"/>
                      <w:color w:val="000000" w:themeColor="text1"/>
                      <w:sz w:val="21"/>
                      <w:szCs w:val="21"/>
                      <w:highlight w:val="none"/>
                      <w:lang w:val="en-US" w:eastAsia="zh-CN"/>
                      <w14:textFill>
                        <w14:solidFill>
                          <w14:schemeClr w14:val="tx1"/>
                        </w14:solidFill>
                      </w14:textFill>
                    </w:rPr>
                    <w:t>项目</w:t>
                  </w: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产品为中成药，为医药制造业，</w:t>
                  </w:r>
                  <w:r>
                    <w:rPr>
                      <w:rFonts w:hint="eastAsia" w:cs="Times New Roman"/>
                      <w:color w:val="000000" w:themeColor="text1"/>
                      <w:sz w:val="21"/>
                      <w:szCs w:val="21"/>
                      <w:highlight w:val="none"/>
                      <w:lang w:val="en-US" w:eastAsia="zh-CN"/>
                      <w14:textFill>
                        <w14:solidFill>
                          <w14:schemeClr w14:val="tx1"/>
                        </w14:solidFill>
                      </w14:textFill>
                    </w:rPr>
                    <w:t>不涉及</w:t>
                  </w:r>
                  <w:r>
                    <w:rPr>
                      <w:rFonts w:hint="default" w:ascii="Times New Roman" w:hAnsi="Times New Roman" w:eastAsia="宋体" w:cs="Times New Roman"/>
                      <w:color w:val="000000" w:themeColor="text1"/>
                      <w:sz w:val="21"/>
                      <w:szCs w:val="21"/>
                      <w:highlight w:val="none"/>
                      <w14:textFill>
                        <w14:solidFill>
                          <w14:schemeClr w14:val="tx1"/>
                        </w14:solidFill>
                      </w14:textFill>
                    </w:rPr>
                    <w:t>含挥发性有机物废气的生产和服务活动</w:t>
                  </w:r>
                  <w:r>
                    <w:rPr>
                      <w:rFonts w:hint="eastAsia" w:cs="Times New Roman"/>
                      <w:color w:val="000000" w:themeColor="text1"/>
                      <w:sz w:val="21"/>
                      <w:szCs w:val="21"/>
                      <w:highlight w:val="none"/>
                      <w:lang w:eastAsia="zh-CN"/>
                      <w14:textFill>
                        <w14:solidFill>
                          <w14:schemeClr w14:val="tx1"/>
                        </w14:solidFill>
                      </w14:textFill>
                    </w:rPr>
                    <w:t>。</w:t>
                  </w:r>
                </w:p>
              </w:tc>
              <w:tc>
                <w:tcPr>
                  <w:tcW w:w="841" w:type="dxa"/>
                  <w:tcBorders>
                    <w:tl2br w:val="nil"/>
                    <w:tr2bl w:val="nil"/>
                  </w:tcBorders>
                  <w:vAlign w:val="center"/>
                </w:tcPr>
                <w:p w14:paraId="238AF2B6">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bl>
          <w:p w14:paraId="2AFAD48C">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156" w:beforeLines="50" w:beforeAutospacing="0" w:after="0" w:afterAutospacing="0" w:line="360" w:lineRule="auto"/>
              <w:ind w:left="0" w:right="0" w:rightChars="0" w:firstLine="480" w:firstLineChars="200"/>
              <w:textAlignment w:val="auto"/>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综上所述</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，本项目符合《辽宁省大气污染防治条例》中的相关要求。</w:t>
            </w:r>
          </w:p>
          <w:p w14:paraId="56BEBCBB">
            <w:pPr>
              <w:keepNext w:val="0"/>
              <w:keepLines w:val="0"/>
              <w:numPr>
                <w:ilvl w:val="0"/>
                <w:numId w:val="3"/>
              </w:numPr>
              <w:suppressLineNumbers w:val="0"/>
              <w:adjustRightInd w:val="0"/>
              <w:snapToGrid w:val="0"/>
              <w:spacing w:before="156" w:beforeLines="50" w:beforeAutospacing="0" w:after="0" w:afterAutospacing="0" w:line="360" w:lineRule="auto"/>
              <w:ind w:left="0" w:leftChars="0" w:right="0" w:rightChars="0"/>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本项目与《辽宁省空气质量持续改善行动实施方案》（辽政发〔2024〕11 号）相符性分析</w:t>
            </w:r>
          </w:p>
          <w:p w14:paraId="0EE9270F">
            <w:pPr>
              <w:keepNext w:val="0"/>
              <w:keepLines w:val="0"/>
              <w:numPr>
                <w:ilvl w:val="0"/>
                <w:numId w:val="2"/>
              </w:numPr>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zh-CN" w:eastAsia="zh-CN"/>
                <w14:textFill>
                  <w14:solidFill>
                    <w14:schemeClr w14:val="tx1"/>
                  </w14:solidFill>
                </w14:textFill>
              </w:rPr>
              <w:t xml:space="preserve"> </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1"/>
                <w:szCs w:val="21"/>
                <w:highlight w:val="none"/>
                <w:lang w:val="zh-CN" w:eastAsia="zh-CN"/>
                <w14:textFill>
                  <w14:solidFill>
                    <w14:schemeClr w14:val="tx1"/>
                  </w14:solidFill>
                </w14:textFill>
              </w:rPr>
              <w:t>与《辽宁省空气质量持续改善行动计划实施方案》相符性</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分析</w:t>
            </w:r>
          </w:p>
          <w:tbl>
            <w:tblPr>
              <w:tblStyle w:val="35"/>
              <w:tblW w:w="4995" w:type="pct"/>
              <w:tblInd w:w="0" w:type="dxa"/>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79"/>
              <w:gridCol w:w="4568"/>
              <w:gridCol w:w="1743"/>
              <w:gridCol w:w="657"/>
            </w:tblGrid>
            <w:tr w14:paraId="40915FF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22" w:type="pct"/>
                  <w:tcBorders>
                    <w:tl2br w:val="nil"/>
                    <w:tr2bl w:val="nil"/>
                  </w:tcBorders>
                  <w:noWrap w:val="0"/>
                  <w:vAlign w:val="center"/>
                </w:tcPr>
                <w:p w14:paraId="104FB934">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val="0"/>
                      <w:color w:val="000000" w:themeColor="text1"/>
                      <w:kern w:val="0"/>
                      <w:sz w:val="21"/>
                      <w:szCs w:val="21"/>
                      <w:highlight w:val="none"/>
                      <w14:textFill>
                        <w14:solidFill>
                          <w14:schemeClr w14:val="tx1"/>
                        </w14:solidFill>
                      </w14:textFill>
                    </w:rPr>
                  </w:pPr>
                  <w:r>
                    <w:rPr>
                      <w:rFonts w:hint="default" w:ascii="Times New Roman" w:hAnsi="Times New Roman" w:cs="Times New Roman"/>
                      <w:b/>
                      <w:bCs w:val="0"/>
                      <w:color w:val="000000" w:themeColor="text1"/>
                      <w:kern w:val="0"/>
                      <w:sz w:val="21"/>
                      <w:szCs w:val="21"/>
                      <w:highlight w:val="none"/>
                      <w14:textFill>
                        <w14:solidFill>
                          <w14:schemeClr w14:val="tx1"/>
                        </w14:solidFill>
                      </w14:textFill>
                    </w:rPr>
                    <w:t>序号</w:t>
                  </w:r>
                </w:p>
              </w:tc>
              <w:tc>
                <w:tcPr>
                  <w:tcW w:w="3067" w:type="pct"/>
                  <w:tcBorders>
                    <w:tl2br w:val="nil"/>
                    <w:tr2bl w:val="nil"/>
                  </w:tcBorders>
                  <w:noWrap w:val="0"/>
                  <w:vAlign w:val="center"/>
                </w:tcPr>
                <w:p w14:paraId="6EEDB21B">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b/>
                      <w:bCs w:val="0"/>
                      <w:color w:val="000000" w:themeColor="text1"/>
                      <w:kern w:val="0"/>
                      <w:sz w:val="21"/>
                      <w:szCs w:val="21"/>
                      <w:highlight w:val="none"/>
                      <w:lang w:val="en-US" w:eastAsia="zh-CN"/>
                      <w14:textFill>
                        <w14:solidFill>
                          <w14:schemeClr w14:val="tx1"/>
                        </w14:solidFill>
                      </w14:textFill>
                    </w:rPr>
                    <w:t>相关要求</w:t>
                  </w:r>
                </w:p>
              </w:tc>
              <w:tc>
                <w:tcPr>
                  <w:tcW w:w="1170" w:type="pct"/>
                  <w:tcBorders>
                    <w:tl2br w:val="nil"/>
                    <w:tr2bl w:val="nil"/>
                  </w:tcBorders>
                  <w:noWrap w:val="0"/>
                  <w:vAlign w:val="center"/>
                </w:tcPr>
                <w:p w14:paraId="6BB4C89D">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val="0"/>
                      <w:color w:val="000000" w:themeColor="text1"/>
                      <w:kern w:val="0"/>
                      <w:sz w:val="21"/>
                      <w:szCs w:val="21"/>
                      <w:highlight w:val="none"/>
                      <w14:textFill>
                        <w14:solidFill>
                          <w14:schemeClr w14:val="tx1"/>
                        </w14:solidFill>
                      </w14:textFill>
                    </w:rPr>
                  </w:pPr>
                  <w:r>
                    <w:rPr>
                      <w:rFonts w:hint="default" w:ascii="Times New Roman" w:hAnsi="Times New Roman" w:cs="Times New Roman"/>
                      <w:b/>
                      <w:bCs w:val="0"/>
                      <w:color w:val="000000" w:themeColor="text1"/>
                      <w:kern w:val="0"/>
                      <w:sz w:val="21"/>
                      <w:szCs w:val="21"/>
                      <w:highlight w:val="none"/>
                      <w14:textFill>
                        <w14:solidFill>
                          <w14:schemeClr w14:val="tx1"/>
                        </w14:solidFill>
                      </w14:textFill>
                    </w:rPr>
                    <w:t>本项目情况</w:t>
                  </w:r>
                </w:p>
              </w:tc>
              <w:tc>
                <w:tcPr>
                  <w:tcW w:w="439" w:type="pct"/>
                  <w:tcBorders>
                    <w:tl2br w:val="nil"/>
                    <w:tr2bl w:val="nil"/>
                  </w:tcBorders>
                  <w:noWrap w:val="0"/>
                  <w:vAlign w:val="center"/>
                </w:tcPr>
                <w:p w14:paraId="68CB304E">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val="0"/>
                      <w:color w:val="000000" w:themeColor="text1"/>
                      <w:kern w:val="0"/>
                      <w:sz w:val="21"/>
                      <w:szCs w:val="21"/>
                      <w:highlight w:val="none"/>
                      <w14:textFill>
                        <w14:solidFill>
                          <w14:schemeClr w14:val="tx1"/>
                        </w14:solidFill>
                      </w14:textFill>
                    </w:rPr>
                  </w:pPr>
                  <w:r>
                    <w:rPr>
                      <w:rFonts w:hint="default" w:ascii="Times New Roman" w:hAnsi="Times New Roman" w:cs="Times New Roman"/>
                      <w:b/>
                      <w:bCs w:val="0"/>
                      <w:color w:val="000000" w:themeColor="text1"/>
                      <w:kern w:val="0"/>
                      <w:sz w:val="21"/>
                      <w:szCs w:val="21"/>
                      <w:highlight w:val="none"/>
                      <w:lang w:val="en-US" w:eastAsia="zh-CN" w:bidi="ar"/>
                      <w14:textFill>
                        <w14:solidFill>
                          <w14:schemeClr w14:val="tx1"/>
                        </w14:solidFill>
                      </w14:textFill>
                    </w:rPr>
                    <w:t>相符性</w:t>
                  </w:r>
                </w:p>
              </w:tc>
            </w:tr>
            <w:tr w14:paraId="075AC21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4"/>
                  <w:tcBorders>
                    <w:tl2br w:val="nil"/>
                    <w:tr2bl w:val="nil"/>
                  </w:tcBorders>
                  <w:noWrap w:val="0"/>
                  <w:vAlign w:val="center"/>
                </w:tcPr>
                <w:p w14:paraId="3E71A211">
                  <w:pPr>
                    <w:keepNext w:val="0"/>
                    <w:keepLines w:val="0"/>
                    <w:suppressLineNumbers w:val="0"/>
                    <w:snapToGrid w:val="0"/>
                    <w:spacing w:before="0" w:beforeAutospacing="0" w:after="0" w:afterAutospacing="0"/>
                    <w:ind w:left="0" w:right="0"/>
                    <w:jc w:val="center"/>
                    <w:rPr>
                      <w:rFonts w:hint="default" w:ascii="Times New Roman" w:hAnsi="Times New Roman" w:cs="Times New Roman"/>
                      <w:bCs/>
                      <w:color w:val="000000" w:themeColor="text1"/>
                      <w:kern w:val="0"/>
                      <w:sz w:val="21"/>
                      <w:szCs w:val="21"/>
                      <w:highlight w:val="none"/>
                      <w14:textFill>
                        <w14:solidFill>
                          <w14:schemeClr w14:val="tx1"/>
                        </w14:solidFill>
                      </w14:textFill>
                    </w:rPr>
                  </w:pPr>
                  <w:r>
                    <w:rPr>
                      <w:rFonts w:hint="default" w:ascii="Times New Roman" w:hAnsi="Times New Roman" w:cs="Times New Roman"/>
                      <w:bCs/>
                      <w:color w:val="000000" w:themeColor="text1"/>
                      <w:kern w:val="0"/>
                      <w:sz w:val="21"/>
                      <w:szCs w:val="21"/>
                      <w:highlight w:val="none"/>
                      <w14:textFill>
                        <w14:solidFill>
                          <w14:schemeClr w14:val="tx1"/>
                        </w14:solidFill>
                      </w14:textFill>
                    </w:rPr>
                    <w:t>二、优化产业结构，促进产业产品绿色升级</w:t>
                  </w:r>
                </w:p>
              </w:tc>
            </w:tr>
            <w:tr w14:paraId="096B64B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22" w:type="pct"/>
                  <w:tcBorders>
                    <w:tl2br w:val="nil"/>
                    <w:tr2bl w:val="nil"/>
                  </w:tcBorders>
                  <w:noWrap w:val="0"/>
                  <w:vAlign w:val="center"/>
                </w:tcPr>
                <w:p w14:paraId="7EF60EDF">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1</w:t>
                  </w:r>
                </w:p>
              </w:tc>
              <w:tc>
                <w:tcPr>
                  <w:tcW w:w="3067" w:type="pct"/>
                  <w:tcBorders>
                    <w:tl2br w:val="nil"/>
                    <w:tr2bl w:val="nil"/>
                  </w:tcBorders>
                  <w:noWrap w:val="0"/>
                  <w:vAlign w:val="center"/>
                </w:tcPr>
                <w:p w14:paraId="185CD4A0">
                  <w:pPr>
                    <w:keepNext w:val="0"/>
                    <w:keepLines w:val="0"/>
                    <w:suppressLineNumbers w:val="0"/>
                    <w:adjustRightInd w:val="0"/>
                    <w:snapToGrid w:val="0"/>
                    <w:spacing w:before="0" w:beforeAutospacing="0" w:after="0" w:afterAutospacing="0" w:line="240" w:lineRule="auto"/>
                    <w:ind w:left="0" w:right="0"/>
                    <w:jc w:val="left"/>
                    <w:rPr>
                      <w:rFonts w:hint="default" w:ascii="Times New Roman" w:hAnsi="Times New Roman" w:cs="Times New Roman"/>
                      <w:bCs/>
                      <w:color w:val="000000" w:themeColor="text1"/>
                      <w:kern w:val="0"/>
                      <w:sz w:val="21"/>
                      <w:szCs w:val="21"/>
                      <w:highlight w:val="none"/>
                      <w:shd w:val="clear" w:color="auto" w:fill="FFFFFF"/>
                      <w14:textFill>
                        <w14:solidFill>
                          <w14:schemeClr w14:val="tx1"/>
                        </w14:solidFill>
                      </w14:textFill>
                    </w:rPr>
                  </w:pPr>
                  <w:r>
                    <w:rPr>
                      <w:rFonts w:hint="default" w:ascii="Times New Roman" w:hAnsi="Times New Roman" w:cs="Times New Roman"/>
                      <w:bCs/>
                      <w:color w:val="000000" w:themeColor="text1"/>
                      <w:kern w:val="0"/>
                      <w:sz w:val="21"/>
                      <w:szCs w:val="21"/>
                      <w:highlight w:val="none"/>
                      <w:shd w:val="clear" w:color="auto" w:fill="FFFFFF"/>
                      <w14:textFill>
                        <w14:solidFill>
                          <w14:schemeClr w14:val="tx1"/>
                        </w14:solidFill>
                      </w14:textFill>
                    </w:rPr>
                    <w:t>（二）推动产业绿色低碳发展。铸造、菱镁、陶瓷、有色金属、化工、炭素等制造业集中的城市，2025年底前制定产业集群发展规划。进一步排查不符合城市建设规划、行业发展规划、生态环境功能定位的重污染企业，严防</w:t>
                  </w:r>
                  <w:r>
                    <w:rPr>
                      <w:rFonts w:hint="default" w:ascii="Times New Roman" w:hAnsi="Times New Roman" w:cs="Times New Roman"/>
                      <w:bCs/>
                      <w:color w:val="000000" w:themeColor="text1"/>
                      <w:kern w:val="0"/>
                      <w:sz w:val="21"/>
                      <w:szCs w:val="21"/>
                      <w:highlight w:val="none"/>
                      <w:shd w:val="clear" w:color="auto" w:fill="FFFFFF"/>
                      <w:lang w:eastAsia="zh-CN"/>
                      <w14:textFill>
                        <w14:solidFill>
                          <w14:schemeClr w14:val="tx1"/>
                        </w14:solidFill>
                      </w14:textFill>
                    </w:rPr>
                    <w:t>“</w:t>
                  </w:r>
                  <w:r>
                    <w:rPr>
                      <w:rFonts w:hint="default" w:ascii="Times New Roman" w:hAnsi="Times New Roman" w:cs="Times New Roman"/>
                      <w:bCs/>
                      <w:color w:val="000000" w:themeColor="text1"/>
                      <w:kern w:val="0"/>
                      <w:sz w:val="21"/>
                      <w:szCs w:val="21"/>
                      <w:highlight w:val="none"/>
                      <w:shd w:val="clear" w:color="auto" w:fill="FFFFFF"/>
                      <w14:textFill>
                        <w14:solidFill>
                          <w14:schemeClr w14:val="tx1"/>
                        </w14:solidFill>
                      </w14:textFill>
                    </w:rPr>
                    <w:t>散乱污</w:t>
                  </w:r>
                  <w:r>
                    <w:rPr>
                      <w:rFonts w:hint="default" w:ascii="Times New Roman" w:hAnsi="Times New Roman" w:cs="Times New Roman"/>
                      <w:bCs/>
                      <w:color w:val="000000" w:themeColor="text1"/>
                      <w:kern w:val="0"/>
                      <w:sz w:val="21"/>
                      <w:szCs w:val="21"/>
                      <w:highlight w:val="none"/>
                      <w:shd w:val="clear" w:color="auto" w:fill="FFFFFF"/>
                      <w:lang w:eastAsia="zh-CN"/>
                      <w14:textFill>
                        <w14:solidFill>
                          <w14:schemeClr w14:val="tx1"/>
                        </w14:solidFill>
                      </w14:textFill>
                    </w:rPr>
                    <w:t>”</w:t>
                  </w:r>
                  <w:r>
                    <w:rPr>
                      <w:rFonts w:hint="default" w:ascii="Times New Roman" w:hAnsi="Times New Roman" w:cs="Times New Roman"/>
                      <w:bCs/>
                      <w:color w:val="000000" w:themeColor="text1"/>
                      <w:kern w:val="0"/>
                      <w:sz w:val="21"/>
                      <w:szCs w:val="21"/>
                      <w:highlight w:val="none"/>
                      <w:shd w:val="clear" w:color="auto" w:fill="FFFFFF"/>
                      <w14:textFill>
                        <w14:solidFill>
                          <w14:schemeClr w14:val="tx1"/>
                        </w14:solidFill>
                      </w14:textFill>
                    </w:rPr>
                    <w:t>企业反弹。积极创建绿色工厂、绿色工业园区。推动绿色环保产业健康发展。</w:t>
                  </w:r>
                </w:p>
              </w:tc>
              <w:tc>
                <w:tcPr>
                  <w:tcW w:w="1170" w:type="pct"/>
                  <w:tcBorders>
                    <w:tl2br w:val="nil"/>
                    <w:tr2bl w:val="nil"/>
                  </w:tcBorders>
                  <w:noWrap w:val="0"/>
                  <w:vAlign w:val="center"/>
                </w:tcPr>
                <w:p w14:paraId="6EA757C5">
                  <w:pPr>
                    <w:keepNext w:val="0"/>
                    <w:keepLines w:val="0"/>
                    <w:suppressLineNumbers w:val="0"/>
                    <w:adjustRightInd w:val="0"/>
                    <w:snapToGrid w:val="0"/>
                    <w:spacing w:before="0" w:beforeAutospacing="0" w:after="0" w:afterAutospacing="0" w:line="240" w:lineRule="auto"/>
                    <w:ind w:left="0" w:right="0"/>
                    <w:jc w:val="left"/>
                    <w:rPr>
                      <w:rFonts w:hint="default" w:ascii="Times New Roman" w:hAnsi="Times New Roman" w:cs="Times New Roman"/>
                      <w:bCs/>
                      <w:color w:val="000000" w:themeColor="text1"/>
                      <w:kern w:val="0"/>
                      <w:sz w:val="21"/>
                      <w:szCs w:val="21"/>
                      <w:highlight w:val="none"/>
                      <w14:textFill>
                        <w14:solidFill>
                          <w14:schemeClr w14:val="tx1"/>
                        </w14:solidFill>
                      </w14:textFill>
                    </w:rPr>
                  </w:pPr>
                  <w:r>
                    <w:rPr>
                      <w:rFonts w:hint="default" w:ascii="Times New Roman" w:hAnsi="Times New Roman" w:cs="Times New Roman"/>
                      <w:bCs/>
                      <w:color w:val="000000" w:themeColor="text1"/>
                      <w:kern w:val="0"/>
                      <w:sz w:val="21"/>
                      <w:szCs w:val="21"/>
                      <w:highlight w:val="none"/>
                      <w14:textFill>
                        <w14:solidFill>
                          <w14:schemeClr w14:val="tx1"/>
                        </w14:solidFill>
                      </w14:textFill>
                    </w:rPr>
                    <w:t>本项目为</w:t>
                  </w:r>
                  <w:r>
                    <w:rPr>
                      <w:rFonts w:hint="eastAsia" w:cs="Times New Roman"/>
                      <w:bCs/>
                      <w:color w:val="000000" w:themeColor="text1"/>
                      <w:kern w:val="0"/>
                      <w:sz w:val="21"/>
                      <w:szCs w:val="21"/>
                      <w:highlight w:val="none"/>
                      <w:lang w:val="en-US" w:eastAsia="zh-CN"/>
                      <w14:textFill>
                        <w14:solidFill>
                          <w14:schemeClr w14:val="tx1"/>
                        </w14:solidFill>
                      </w14:textFill>
                    </w:rPr>
                    <w:t>改扩建项目</w:t>
                  </w:r>
                  <w:r>
                    <w:rPr>
                      <w:rFonts w:hint="default" w:ascii="Times New Roman" w:hAnsi="Times New Roman" w:cs="Times New Roman"/>
                      <w:bCs/>
                      <w:color w:val="000000" w:themeColor="text1"/>
                      <w:kern w:val="0"/>
                      <w:sz w:val="21"/>
                      <w:szCs w:val="21"/>
                      <w:highlight w:val="none"/>
                      <w14:textFill>
                        <w14:solidFill>
                          <w14:schemeClr w14:val="tx1"/>
                        </w14:solidFill>
                      </w14:textFill>
                    </w:rPr>
                    <w:t>，符合《产业结构调整指导目录（2024年版）》。</w:t>
                  </w:r>
                </w:p>
              </w:tc>
              <w:tc>
                <w:tcPr>
                  <w:tcW w:w="439" w:type="pct"/>
                  <w:tcBorders>
                    <w:tl2br w:val="nil"/>
                    <w:tr2bl w:val="nil"/>
                  </w:tcBorders>
                  <w:noWrap w:val="0"/>
                  <w:vAlign w:val="center"/>
                </w:tcPr>
                <w:p w14:paraId="548AD01B">
                  <w:pPr>
                    <w:keepNext w:val="0"/>
                    <w:keepLines w:val="0"/>
                    <w:suppressLineNumbers w:val="0"/>
                    <w:snapToGrid w:val="0"/>
                    <w:spacing w:before="0" w:beforeAutospacing="0" w:after="0" w:afterAutospacing="0"/>
                    <w:ind w:left="0" w:right="0"/>
                    <w:jc w:val="center"/>
                    <w:rPr>
                      <w:rFonts w:hint="default" w:ascii="Times New Roman" w:hAnsi="Times New Roman" w:cs="Times New Roman"/>
                      <w:bCs/>
                      <w:color w:val="000000" w:themeColor="text1"/>
                      <w:kern w:val="0"/>
                      <w:sz w:val="21"/>
                      <w:szCs w:val="21"/>
                      <w:highlight w:val="none"/>
                      <w14:textFill>
                        <w14:solidFill>
                          <w14:schemeClr w14:val="tx1"/>
                        </w14:solidFill>
                      </w14:textFill>
                    </w:rPr>
                  </w:pPr>
                  <w:r>
                    <w:rPr>
                      <w:rFonts w:hint="default" w:ascii="Times New Roman" w:hAnsi="Times New Roman" w:cs="Times New Roman"/>
                      <w:bCs/>
                      <w:color w:val="000000" w:themeColor="text1"/>
                      <w:kern w:val="0"/>
                      <w:sz w:val="21"/>
                      <w:szCs w:val="21"/>
                      <w:highlight w:val="none"/>
                      <w14:textFill>
                        <w14:solidFill>
                          <w14:schemeClr w14:val="tx1"/>
                        </w14:solidFill>
                      </w14:textFill>
                    </w:rPr>
                    <w:t>符合</w:t>
                  </w:r>
                </w:p>
              </w:tc>
            </w:tr>
            <w:tr w14:paraId="2C1A5B8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4"/>
                  <w:tcBorders>
                    <w:tl2br w:val="nil"/>
                    <w:tr2bl w:val="nil"/>
                  </w:tcBorders>
                  <w:noWrap w:val="0"/>
                  <w:vAlign w:val="center"/>
                </w:tcPr>
                <w:p w14:paraId="1C9D75A2">
                  <w:pPr>
                    <w:keepNext w:val="0"/>
                    <w:keepLines w:val="0"/>
                    <w:suppressLineNumbers w:val="0"/>
                    <w:snapToGrid w:val="0"/>
                    <w:spacing w:before="0" w:beforeAutospacing="0" w:after="0" w:afterAutospacing="0"/>
                    <w:ind w:left="0" w:right="0"/>
                    <w:jc w:val="center"/>
                    <w:rPr>
                      <w:rFonts w:hint="default" w:ascii="Times New Roman" w:hAnsi="Times New Roman" w:cs="Times New Roman"/>
                      <w:bCs/>
                      <w:color w:val="000000" w:themeColor="text1"/>
                      <w:kern w:val="0"/>
                      <w:sz w:val="21"/>
                      <w:szCs w:val="21"/>
                      <w:highlight w:val="none"/>
                      <w14:textFill>
                        <w14:solidFill>
                          <w14:schemeClr w14:val="tx1"/>
                        </w14:solidFill>
                      </w14:textFill>
                    </w:rPr>
                  </w:pPr>
                  <w:r>
                    <w:rPr>
                      <w:rFonts w:hint="default" w:ascii="Times New Roman" w:hAnsi="Times New Roman" w:cs="Times New Roman"/>
                      <w:bCs/>
                      <w:color w:val="000000" w:themeColor="text1"/>
                      <w:kern w:val="0"/>
                      <w:sz w:val="21"/>
                      <w:szCs w:val="21"/>
                      <w:highlight w:val="none"/>
                      <w14:textFill>
                        <w14:solidFill>
                          <w14:schemeClr w14:val="tx1"/>
                        </w14:solidFill>
                      </w14:textFill>
                    </w:rPr>
                    <w:t>三、优化能源结构，加速能源清洁低碳高效发展</w:t>
                  </w:r>
                </w:p>
              </w:tc>
            </w:tr>
            <w:tr w14:paraId="50CB699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22" w:type="pct"/>
                  <w:tcBorders>
                    <w:tl2br w:val="nil"/>
                    <w:tr2bl w:val="nil"/>
                  </w:tcBorders>
                  <w:noWrap w:val="0"/>
                  <w:vAlign w:val="center"/>
                </w:tcPr>
                <w:p w14:paraId="6613093D">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2</w:t>
                  </w:r>
                </w:p>
              </w:tc>
              <w:tc>
                <w:tcPr>
                  <w:tcW w:w="3067" w:type="pct"/>
                  <w:tcBorders>
                    <w:tl2br w:val="nil"/>
                    <w:tr2bl w:val="nil"/>
                  </w:tcBorders>
                  <w:noWrap w:val="0"/>
                  <w:vAlign w:val="center"/>
                </w:tcPr>
                <w:p w14:paraId="004A7D6A">
                  <w:pPr>
                    <w:keepNext w:val="0"/>
                    <w:keepLines w:val="0"/>
                    <w:suppressLineNumbers w:val="0"/>
                    <w:adjustRightInd w:val="0"/>
                    <w:snapToGrid w:val="0"/>
                    <w:spacing w:before="0" w:beforeAutospacing="0" w:after="0" w:afterAutospacing="0" w:line="240" w:lineRule="auto"/>
                    <w:ind w:left="0" w:right="0"/>
                    <w:jc w:val="left"/>
                    <w:rPr>
                      <w:rFonts w:hint="default" w:ascii="Times New Roman" w:hAnsi="Times New Roman" w:cs="Times New Roman"/>
                      <w:bCs/>
                      <w:color w:val="000000" w:themeColor="text1"/>
                      <w:kern w:val="0"/>
                      <w:sz w:val="21"/>
                      <w:szCs w:val="21"/>
                      <w:highlight w:val="none"/>
                      <w:shd w:val="clear" w:color="auto" w:fill="FFFFFF"/>
                      <w14:textFill>
                        <w14:solidFill>
                          <w14:schemeClr w14:val="tx1"/>
                        </w14:solidFill>
                      </w14:textFill>
                    </w:rPr>
                  </w:pPr>
                  <w:r>
                    <w:rPr>
                      <w:rFonts w:hint="default" w:ascii="Times New Roman" w:hAnsi="Times New Roman" w:cs="Times New Roman"/>
                      <w:bCs/>
                      <w:color w:val="000000" w:themeColor="text1"/>
                      <w:kern w:val="0"/>
                      <w:sz w:val="21"/>
                      <w:szCs w:val="21"/>
                      <w:highlight w:val="none"/>
                      <w:shd w:val="clear" w:color="auto" w:fill="FFFFFF"/>
                      <w14:textFill>
                        <w14:solidFill>
                          <w14:schemeClr w14:val="tx1"/>
                        </w14:solidFill>
                      </w14:textFill>
                    </w:rPr>
                    <w:t>（四）大力发展新能源和清洁能源。原则上不再新增自备燃煤机组，支持自备燃煤机组实施清洁能源替代。到2025年，非化石能源消费比重达到13.7%左右，电能占终端能源消费比重达到15%左右。实施工业炉窑清洁能源替代，有序推进以电代煤，积极稳妥推进以气代煤。</w:t>
                  </w:r>
                </w:p>
              </w:tc>
              <w:tc>
                <w:tcPr>
                  <w:tcW w:w="1170" w:type="pct"/>
                  <w:vMerge w:val="restart"/>
                  <w:tcBorders>
                    <w:tl2br w:val="nil"/>
                    <w:tr2bl w:val="nil"/>
                  </w:tcBorders>
                  <w:noWrap w:val="0"/>
                  <w:vAlign w:val="center"/>
                </w:tcPr>
                <w:p w14:paraId="416EAF4A">
                  <w:pPr>
                    <w:keepNext w:val="0"/>
                    <w:keepLines w:val="0"/>
                    <w:suppressLineNumbers w:val="0"/>
                    <w:adjustRightInd w:val="0"/>
                    <w:snapToGrid w:val="0"/>
                    <w:spacing w:before="0" w:beforeAutospacing="0" w:after="0" w:afterAutospacing="0" w:line="240" w:lineRule="auto"/>
                    <w:ind w:left="0" w:right="0"/>
                    <w:jc w:val="left"/>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本项目</w:t>
                  </w:r>
                  <w:r>
                    <w:rPr>
                      <w:rFonts w:hint="default" w:ascii="Times New Roman" w:hAnsi="Times New Roman" w:cs="Times New Roman"/>
                      <w:bCs/>
                      <w:color w:val="000000" w:themeColor="text1"/>
                      <w:kern w:val="0"/>
                      <w:sz w:val="21"/>
                      <w:szCs w:val="21"/>
                      <w:highlight w:val="none"/>
                      <w14:textFill>
                        <w14:solidFill>
                          <w14:schemeClr w14:val="tx1"/>
                        </w14:solidFill>
                      </w14:textFill>
                    </w:rPr>
                    <w:t>不涉及</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燃煤锅炉。</w:t>
                  </w:r>
                </w:p>
              </w:tc>
              <w:tc>
                <w:tcPr>
                  <w:tcW w:w="439" w:type="pct"/>
                  <w:vMerge w:val="restart"/>
                  <w:tcBorders>
                    <w:tl2br w:val="nil"/>
                    <w:tr2bl w:val="nil"/>
                  </w:tcBorders>
                  <w:noWrap w:val="0"/>
                  <w:vAlign w:val="center"/>
                </w:tcPr>
                <w:p w14:paraId="32144F8A">
                  <w:pPr>
                    <w:keepNext w:val="0"/>
                    <w:keepLines w:val="0"/>
                    <w:suppressLineNumbers w:val="0"/>
                    <w:snapToGrid w:val="0"/>
                    <w:spacing w:before="0" w:beforeAutospacing="0" w:after="0" w:afterAutospacing="0"/>
                    <w:ind w:left="0" w:right="0"/>
                    <w:jc w:val="center"/>
                    <w:rPr>
                      <w:rFonts w:hint="default" w:ascii="Times New Roman" w:hAnsi="Times New Roman" w:cs="Times New Roman"/>
                      <w:bCs/>
                      <w:color w:val="000000" w:themeColor="text1"/>
                      <w:kern w:val="0"/>
                      <w:sz w:val="21"/>
                      <w:szCs w:val="21"/>
                      <w:highlight w:val="none"/>
                      <w14:textFill>
                        <w14:solidFill>
                          <w14:schemeClr w14:val="tx1"/>
                        </w14:solidFill>
                      </w14:textFill>
                    </w:rPr>
                  </w:pPr>
                  <w:r>
                    <w:rPr>
                      <w:rFonts w:hint="default" w:ascii="Times New Roman" w:hAnsi="Times New Roman" w:cs="Times New Roman"/>
                      <w:bCs/>
                      <w:color w:val="000000" w:themeColor="text1"/>
                      <w:kern w:val="0"/>
                      <w:sz w:val="21"/>
                      <w:szCs w:val="21"/>
                      <w:highlight w:val="none"/>
                      <w14:textFill>
                        <w14:solidFill>
                          <w14:schemeClr w14:val="tx1"/>
                        </w14:solidFill>
                      </w14:textFill>
                    </w:rPr>
                    <w:t>不涉及</w:t>
                  </w:r>
                </w:p>
              </w:tc>
            </w:tr>
            <w:tr w14:paraId="724071F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22" w:type="pct"/>
                  <w:tcBorders>
                    <w:tl2br w:val="nil"/>
                    <w:tr2bl w:val="nil"/>
                  </w:tcBorders>
                  <w:noWrap w:val="0"/>
                  <w:vAlign w:val="center"/>
                </w:tcPr>
                <w:p w14:paraId="4C91BC29">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3</w:t>
                  </w:r>
                </w:p>
              </w:tc>
              <w:tc>
                <w:tcPr>
                  <w:tcW w:w="3067" w:type="pct"/>
                  <w:tcBorders>
                    <w:tl2br w:val="nil"/>
                    <w:tr2bl w:val="nil"/>
                  </w:tcBorders>
                  <w:noWrap w:val="0"/>
                  <w:vAlign w:val="center"/>
                </w:tcPr>
                <w:p w14:paraId="208901B0">
                  <w:pPr>
                    <w:keepNext w:val="0"/>
                    <w:keepLines w:val="0"/>
                    <w:suppressLineNumbers w:val="0"/>
                    <w:adjustRightInd w:val="0"/>
                    <w:snapToGrid w:val="0"/>
                    <w:spacing w:before="0" w:beforeAutospacing="0" w:after="0" w:afterAutospacing="0" w:line="240" w:lineRule="auto"/>
                    <w:ind w:left="0" w:right="0"/>
                    <w:jc w:val="left"/>
                    <w:rPr>
                      <w:rFonts w:hint="default" w:ascii="Times New Roman" w:hAnsi="Times New Roman" w:cs="Times New Roman"/>
                      <w:bCs/>
                      <w:color w:val="000000" w:themeColor="text1"/>
                      <w:kern w:val="0"/>
                      <w:sz w:val="21"/>
                      <w:szCs w:val="21"/>
                      <w:highlight w:val="none"/>
                      <w:shd w:val="clear" w:color="auto" w:fill="FFFFFF"/>
                      <w14:textFill>
                        <w14:solidFill>
                          <w14:schemeClr w14:val="tx1"/>
                        </w14:solidFill>
                      </w14:textFill>
                    </w:rPr>
                  </w:pPr>
                  <w:r>
                    <w:rPr>
                      <w:rFonts w:hint="default" w:ascii="Times New Roman" w:hAnsi="Times New Roman" w:cs="Times New Roman"/>
                      <w:bCs/>
                      <w:color w:val="000000" w:themeColor="text1"/>
                      <w:kern w:val="0"/>
                      <w:sz w:val="21"/>
                      <w:szCs w:val="21"/>
                      <w:highlight w:val="none"/>
                      <w:shd w:val="clear" w:color="auto" w:fill="FFFFFF"/>
                      <w14:textFill>
                        <w14:solidFill>
                          <w14:schemeClr w14:val="tx1"/>
                        </w14:solidFill>
                      </w14:textFill>
                    </w:rPr>
                    <w:t>（五）积极开展燃煤锅炉关停整合。县级及以上城市建成区原则上不再新建35蒸吨/小时及以下燃煤锅炉。到2025年，PM</w:t>
                  </w:r>
                  <w:r>
                    <w:rPr>
                      <w:rFonts w:hint="default" w:ascii="Times New Roman" w:hAnsi="Times New Roman" w:cs="Times New Roman"/>
                      <w:bCs/>
                      <w:color w:val="000000" w:themeColor="text1"/>
                      <w:kern w:val="0"/>
                      <w:sz w:val="21"/>
                      <w:szCs w:val="21"/>
                      <w:highlight w:val="none"/>
                      <w:shd w:val="clear" w:color="auto" w:fill="FFFFFF"/>
                      <w:vertAlign w:val="subscript"/>
                      <w14:textFill>
                        <w14:solidFill>
                          <w14:schemeClr w14:val="tx1"/>
                        </w14:solidFill>
                      </w14:textFill>
                    </w:rPr>
                    <w:t>2.5</w:t>
                  </w:r>
                  <w:r>
                    <w:rPr>
                      <w:rFonts w:hint="default" w:ascii="Times New Roman" w:hAnsi="Times New Roman" w:cs="Times New Roman"/>
                      <w:bCs/>
                      <w:color w:val="000000" w:themeColor="text1"/>
                      <w:kern w:val="0"/>
                      <w:sz w:val="21"/>
                      <w:szCs w:val="21"/>
                      <w:highlight w:val="none"/>
                      <w:shd w:val="clear" w:color="auto" w:fill="FFFFFF"/>
                      <w14:textFill>
                        <w14:solidFill>
                          <w14:schemeClr w14:val="tx1"/>
                        </w14:solidFill>
                      </w14:textFill>
                    </w:rPr>
                    <w:t>未达标城市全域基本淘汰10蒸吨/小时及以下燃煤锅炉，所有城市建成区基本淘汰35蒸吨/小时及以下燃煤锅炉。</w:t>
                  </w:r>
                </w:p>
              </w:tc>
              <w:tc>
                <w:tcPr>
                  <w:tcW w:w="1170" w:type="pct"/>
                  <w:vMerge w:val="continue"/>
                  <w:tcBorders>
                    <w:tl2br w:val="nil"/>
                    <w:tr2bl w:val="nil"/>
                  </w:tcBorders>
                  <w:noWrap w:val="0"/>
                  <w:vAlign w:val="center"/>
                </w:tcPr>
                <w:p w14:paraId="2234A55F">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Cs/>
                      <w:color w:val="000000" w:themeColor="text1"/>
                      <w:kern w:val="0"/>
                      <w:sz w:val="21"/>
                      <w:szCs w:val="21"/>
                      <w:highlight w:val="none"/>
                      <w14:textFill>
                        <w14:solidFill>
                          <w14:schemeClr w14:val="tx1"/>
                        </w14:solidFill>
                      </w14:textFill>
                    </w:rPr>
                  </w:pPr>
                </w:p>
              </w:tc>
              <w:tc>
                <w:tcPr>
                  <w:tcW w:w="439" w:type="pct"/>
                  <w:vMerge w:val="continue"/>
                  <w:tcBorders>
                    <w:tl2br w:val="nil"/>
                    <w:tr2bl w:val="nil"/>
                  </w:tcBorders>
                  <w:noWrap w:val="0"/>
                  <w:vAlign w:val="center"/>
                </w:tcPr>
                <w:p w14:paraId="6A5814C1">
                  <w:pPr>
                    <w:keepNext w:val="0"/>
                    <w:keepLines w:val="0"/>
                    <w:suppressLineNumbers w:val="0"/>
                    <w:snapToGrid w:val="0"/>
                    <w:spacing w:before="0" w:beforeAutospacing="0" w:after="0" w:afterAutospacing="0"/>
                    <w:ind w:left="0" w:right="0"/>
                    <w:jc w:val="center"/>
                    <w:rPr>
                      <w:rFonts w:hint="default" w:ascii="Times New Roman" w:hAnsi="Times New Roman" w:cs="Times New Roman"/>
                      <w:bCs/>
                      <w:color w:val="000000" w:themeColor="text1"/>
                      <w:kern w:val="0"/>
                      <w:sz w:val="21"/>
                      <w:szCs w:val="21"/>
                      <w:highlight w:val="none"/>
                      <w14:textFill>
                        <w14:solidFill>
                          <w14:schemeClr w14:val="tx1"/>
                        </w14:solidFill>
                      </w14:textFill>
                    </w:rPr>
                  </w:pPr>
                </w:p>
              </w:tc>
            </w:tr>
            <w:tr w14:paraId="656F304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22" w:type="pct"/>
                  <w:tcBorders>
                    <w:tl2br w:val="nil"/>
                    <w:tr2bl w:val="nil"/>
                  </w:tcBorders>
                  <w:noWrap w:val="0"/>
                  <w:vAlign w:val="center"/>
                </w:tcPr>
                <w:p w14:paraId="34299B16">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4</w:t>
                  </w:r>
                </w:p>
              </w:tc>
              <w:tc>
                <w:tcPr>
                  <w:tcW w:w="3067" w:type="pct"/>
                  <w:tcBorders>
                    <w:tl2br w:val="nil"/>
                    <w:tr2bl w:val="nil"/>
                  </w:tcBorders>
                  <w:noWrap w:val="0"/>
                  <w:vAlign w:val="center"/>
                </w:tcPr>
                <w:p w14:paraId="592A33E6">
                  <w:pPr>
                    <w:keepNext w:val="0"/>
                    <w:keepLines w:val="0"/>
                    <w:suppressLineNumbers w:val="0"/>
                    <w:adjustRightInd w:val="0"/>
                    <w:snapToGrid w:val="0"/>
                    <w:spacing w:before="0" w:beforeAutospacing="0" w:after="0" w:afterAutospacing="0" w:line="240" w:lineRule="auto"/>
                    <w:ind w:left="0" w:right="0"/>
                    <w:jc w:val="left"/>
                    <w:rPr>
                      <w:rFonts w:hint="default" w:ascii="Times New Roman" w:hAnsi="Times New Roman" w:cs="Times New Roman"/>
                      <w:bCs/>
                      <w:color w:val="000000" w:themeColor="text1"/>
                      <w:kern w:val="0"/>
                      <w:sz w:val="21"/>
                      <w:szCs w:val="21"/>
                      <w:highlight w:val="none"/>
                      <w:shd w:val="clear" w:color="auto" w:fill="FFFFFF"/>
                      <w14:textFill>
                        <w14:solidFill>
                          <w14:schemeClr w14:val="tx1"/>
                        </w14:solidFill>
                      </w14:textFill>
                    </w:rPr>
                  </w:pPr>
                  <w:r>
                    <w:rPr>
                      <w:rFonts w:hint="default" w:ascii="Times New Roman" w:hAnsi="Times New Roman" w:cs="Times New Roman"/>
                      <w:bCs/>
                      <w:color w:val="000000" w:themeColor="text1"/>
                      <w:kern w:val="0"/>
                      <w:sz w:val="21"/>
                      <w:szCs w:val="21"/>
                      <w:highlight w:val="none"/>
                      <w:shd w:val="clear" w:color="auto" w:fill="FFFFFF"/>
                      <w14:textFill>
                        <w14:solidFill>
                          <w14:schemeClr w14:val="tx1"/>
                        </w14:solidFill>
                      </w14:textFill>
                    </w:rPr>
                    <w:t>（六）持续推进清洁取暖。因地制宜整村、整屯推进民用、农用散煤替代。纳入中央财政支持北方地区清洁取暖范围的城市，保质保量完成改造任务。2025年底前基本完成沈阳、鞍山、抚顺、锦州、营口、辽阳、铁岭、盘锦、葫芦岛9个重点城市城区（含城中村、城乡结合部）、县城清洁取暖改造。完成散煤替代的城区、县城及村屯必须保障居民生活和清洁取暖用电、用气需求，防止散煤复烧。严厉打击劣质煤销售，依法全面取缔高污染燃料禁燃区内散煤销售网点。</w:t>
                  </w:r>
                </w:p>
              </w:tc>
              <w:tc>
                <w:tcPr>
                  <w:tcW w:w="1170" w:type="pct"/>
                  <w:vMerge w:val="continue"/>
                  <w:tcBorders>
                    <w:tl2br w:val="nil"/>
                    <w:tr2bl w:val="nil"/>
                  </w:tcBorders>
                  <w:noWrap w:val="0"/>
                  <w:vAlign w:val="center"/>
                </w:tcPr>
                <w:p w14:paraId="1E3576E6">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439" w:type="pct"/>
                  <w:vMerge w:val="continue"/>
                  <w:tcBorders>
                    <w:tl2br w:val="nil"/>
                    <w:tr2bl w:val="nil"/>
                  </w:tcBorders>
                  <w:noWrap w:val="0"/>
                  <w:vAlign w:val="center"/>
                </w:tcPr>
                <w:p w14:paraId="5BE8455C">
                  <w:pPr>
                    <w:keepNext w:val="0"/>
                    <w:keepLines w:val="0"/>
                    <w:suppressLineNumbers w:val="0"/>
                    <w:snapToGrid w:val="0"/>
                    <w:spacing w:before="0" w:beforeAutospacing="0" w:after="0" w:afterAutospacing="0"/>
                    <w:ind w:left="0" w:right="0"/>
                    <w:jc w:val="center"/>
                    <w:rPr>
                      <w:rFonts w:hint="default" w:ascii="Times New Roman" w:hAnsi="Times New Roman" w:cs="Times New Roman"/>
                      <w:bCs/>
                      <w:color w:val="000000" w:themeColor="text1"/>
                      <w:kern w:val="0"/>
                      <w:sz w:val="21"/>
                      <w:szCs w:val="21"/>
                      <w:highlight w:val="none"/>
                      <w14:textFill>
                        <w14:solidFill>
                          <w14:schemeClr w14:val="tx1"/>
                        </w14:solidFill>
                      </w14:textFill>
                    </w:rPr>
                  </w:pPr>
                </w:p>
              </w:tc>
            </w:tr>
            <w:tr w14:paraId="0F28334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4"/>
                  <w:tcBorders>
                    <w:tl2br w:val="nil"/>
                    <w:tr2bl w:val="nil"/>
                  </w:tcBorders>
                  <w:noWrap w:val="0"/>
                  <w:vAlign w:val="center"/>
                </w:tcPr>
                <w:p w14:paraId="5C074D19">
                  <w:pPr>
                    <w:keepNext w:val="0"/>
                    <w:keepLines w:val="0"/>
                    <w:widowControl/>
                    <w:suppressLineNumbers w:val="0"/>
                    <w:spacing w:before="0" w:beforeAutospacing="0" w:after="0" w:afterAutospacing="0"/>
                    <w:ind w:left="0" w:right="0"/>
                    <w:jc w:val="center"/>
                    <w:rPr>
                      <w:rFonts w:hint="default" w:ascii="Times New Roman" w:hAnsi="Times New Roman" w:cs="Times New Roman"/>
                      <w:bCs/>
                      <w:color w:val="000000" w:themeColor="text1"/>
                      <w:kern w:val="0"/>
                      <w:sz w:val="21"/>
                      <w:szCs w:val="21"/>
                      <w:highlight w:val="none"/>
                      <w14:textFill>
                        <w14:solidFill>
                          <w14:schemeClr w14:val="tx1"/>
                        </w14:solidFill>
                      </w14:textFill>
                    </w:rPr>
                  </w:pPr>
                  <w:r>
                    <w:rPr>
                      <w:rFonts w:hint="default" w:ascii="Times New Roman" w:hAnsi="Times New Roman" w:eastAsia="CIDFont" w:cs="Times New Roman"/>
                      <w:color w:val="000000" w:themeColor="text1"/>
                      <w:kern w:val="0"/>
                      <w:sz w:val="21"/>
                      <w:szCs w:val="21"/>
                      <w:highlight w:val="none"/>
                      <w:lang w:val="en-US" w:eastAsia="zh-CN" w:bidi="ar"/>
                      <w14:textFill>
                        <w14:solidFill>
                          <w14:schemeClr w14:val="tx1"/>
                        </w14:solidFill>
                      </w14:textFill>
                    </w:rPr>
                    <w:t>四、优化交通结构，大力发展绿色运输体系</w:t>
                  </w:r>
                </w:p>
              </w:tc>
            </w:tr>
            <w:tr w14:paraId="653EB34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22" w:type="pct"/>
                  <w:tcBorders>
                    <w:tl2br w:val="nil"/>
                    <w:tr2bl w:val="nil"/>
                  </w:tcBorders>
                  <w:noWrap w:val="0"/>
                  <w:vAlign w:val="center"/>
                </w:tcPr>
                <w:p w14:paraId="7A4E2B6C">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5</w:t>
                  </w:r>
                </w:p>
              </w:tc>
              <w:tc>
                <w:tcPr>
                  <w:tcW w:w="3067" w:type="pct"/>
                  <w:tcBorders>
                    <w:tl2br w:val="nil"/>
                    <w:tr2bl w:val="nil"/>
                  </w:tcBorders>
                  <w:noWrap w:val="0"/>
                  <w:vAlign w:val="center"/>
                </w:tcPr>
                <w:p w14:paraId="0527F21C">
                  <w:pPr>
                    <w:keepNext w:val="0"/>
                    <w:keepLines w:val="0"/>
                    <w:suppressLineNumbers w:val="0"/>
                    <w:adjustRightInd w:val="0"/>
                    <w:snapToGrid w:val="0"/>
                    <w:spacing w:before="0" w:beforeAutospacing="0" w:after="0" w:afterAutospacing="0" w:line="240" w:lineRule="auto"/>
                    <w:ind w:left="0" w:right="0"/>
                    <w:jc w:val="left"/>
                    <w:rPr>
                      <w:rFonts w:hint="default" w:ascii="Times New Roman" w:hAnsi="Times New Roman" w:cs="Times New Roman"/>
                      <w:bCs/>
                      <w:color w:val="000000" w:themeColor="text1"/>
                      <w:kern w:val="0"/>
                      <w:sz w:val="21"/>
                      <w:szCs w:val="21"/>
                      <w:highlight w:val="none"/>
                      <w:shd w:val="clear" w:color="auto" w:fill="FFFFFF"/>
                      <w14:textFill>
                        <w14:solidFill>
                          <w14:schemeClr w14:val="tx1"/>
                        </w14:solidFill>
                      </w14:textFill>
                    </w:rPr>
                  </w:pPr>
                  <w:r>
                    <w:rPr>
                      <w:rFonts w:hint="default" w:ascii="Times New Roman" w:hAnsi="Times New Roman" w:cs="Times New Roman"/>
                      <w:bCs/>
                      <w:color w:val="000000" w:themeColor="text1"/>
                      <w:kern w:val="0"/>
                      <w:sz w:val="21"/>
                      <w:szCs w:val="21"/>
                      <w:highlight w:val="none"/>
                      <w:shd w:val="clear" w:color="auto" w:fill="FFFFFF"/>
                      <w14:textFill>
                        <w14:solidFill>
                          <w14:schemeClr w14:val="tx1"/>
                        </w14:solidFill>
                      </w14:textFill>
                    </w:rPr>
                    <w:t>（七）持续优化调整货物运输结构。推动公铁、铁水等多式联运，推进大宗货物</w:t>
                  </w:r>
                  <w:r>
                    <w:rPr>
                      <w:rFonts w:hint="default" w:ascii="Times New Roman" w:hAnsi="Times New Roman" w:cs="Times New Roman"/>
                      <w:bCs/>
                      <w:color w:val="000000" w:themeColor="text1"/>
                      <w:kern w:val="0"/>
                      <w:sz w:val="21"/>
                      <w:szCs w:val="21"/>
                      <w:highlight w:val="none"/>
                      <w:shd w:val="clear" w:color="auto" w:fill="FFFFFF"/>
                      <w:lang w:eastAsia="zh-CN"/>
                      <w14:textFill>
                        <w14:solidFill>
                          <w14:schemeClr w14:val="tx1"/>
                        </w14:solidFill>
                      </w14:textFill>
                    </w:rPr>
                    <w:t>“</w:t>
                  </w:r>
                  <w:r>
                    <w:rPr>
                      <w:rFonts w:hint="default" w:ascii="Times New Roman" w:hAnsi="Times New Roman" w:cs="Times New Roman"/>
                      <w:bCs/>
                      <w:color w:val="000000" w:themeColor="text1"/>
                      <w:kern w:val="0"/>
                      <w:sz w:val="21"/>
                      <w:szCs w:val="21"/>
                      <w:highlight w:val="none"/>
                      <w:shd w:val="clear" w:color="auto" w:fill="FFFFFF"/>
                      <w14:textFill>
                        <w14:solidFill>
                          <w14:schemeClr w14:val="tx1"/>
                        </w14:solidFill>
                      </w14:textFill>
                    </w:rPr>
                    <w:t>散改集</w:t>
                  </w:r>
                  <w:r>
                    <w:rPr>
                      <w:rFonts w:hint="default" w:ascii="Times New Roman" w:hAnsi="Times New Roman" w:cs="Times New Roman"/>
                      <w:bCs/>
                      <w:color w:val="000000" w:themeColor="text1"/>
                      <w:kern w:val="0"/>
                      <w:sz w:val="21"/>
                      <w:szCs w:val="21"/>
                      <w:highlight w:val="none"/>
                      <w:shd w:val="clear" w:color="auto" w:fill="FFFFFF"/>
                      <w:lang w:eastAsia="zh-CN"/>
                      <w14:textFill>
                        <w14:solidFill>
                          <w14:schemeClr w14:val="tx1"/>
                        </w14:solidFill>
                      </w14:textFill>
                    </w:rPr>
                    <w:t>”</w:t>
                  </w:r>
                  <w:r>
                    <w:rPr>
                      <w:rFonts w:hint="default" w:ascii="Times New Roman" w:hAnsi="Times New Roman" w:cs="Times New Roman"/>
                      <w:bCs/>
                      <w:color w:val="000000" w:themeColor="text1"/>
                      <w:kern w:val="0"/>
                      <w:sz w:val="21"/>
                      <w:szCs w:val="21"/>
                      <w:highlight w:val="none"/>
                      <w:shd w:val="clear" w:color="auto" w:fill="FFFFFF"/>
                      <w14:textFill>
                        <w14:solidFill>
                          <w14:schemeClr w14:val="tx1"/>
                        </w14:solidFill>
                      </w14:textFill>
                    </w:rPr>
                    <w:t>。到2025年，集装箱海铁联运量占港口集装箱吞吐量比重保持在10%以上，沿海主要港口利用集疏港铁路、水路、封闭式皮带廊道、新能源车船等运输大宗货物比例力争达到80%；铁路货运量比2020年增长10%左右，铁路货运量占比达到15%左右；沿海港口重要港区铁路进港率达到70%以上。</w:t>
                  </w:r>
                </w:p>
              </w:tc>
              <w:tc>
                <w:tcPr>
                  <w:tcW w:w="1170" w:type="pct"/>
                  <w:tcBorders>
                    <w:tl2br w:val="nil"/>
                    <w:tr2bl w:val="nil"/>
                  </w:tcBorders>
                  <w:noWrap w:val="0"/>
                  <w:vAlign w:val="center"/>
                </w:tcPr>
                <w:p w14:paraId="5AB2E82A">
                  <w:pPr>
                    <w:keepNext w:val="0"/>
                    <w:keepLines w:val="0"/>
                    <w:suppressLineNumbers w:val="0"/>
                    <w:adjustRightInd w:val="0"/>
                    <w:snapToGrid w:val="0"/>
                    <w:spacing w:before="0" w:beforeAutospacing="0" w:after="0" w:afterAutospacing="0" w:line="240" w:lineRule="auto"/>
                    <w:ind w:left="0" w:right="0"/>
                    <w:jc w:val="left"/>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本项目原辅材料在周边地区进行采购，均采用汽运。</w:t>
                  </w:r>
                </w:p>
              </w:tc>
              <w:tc>
                <w:tcPr>
                  <w:tcW w:w="439" w:type="pct"/>
                  <w:tcBorders>
                    <w:tl2br w:val="nil"/>
                    <w:tr2bl w:val="nil"/>
                  </w:tcBorders>
                  <w:noWrap w:val="0"/>
                  <w:vAlign w:val="center"/>
                </w:tcPr>
                <w:p w14:paraId="7AC5B3A0">
                  <w:pPr>
                    <w:keepNext w:val="0"/>
                    <w:keepLines w:val="0"/>
                    <w:suppressLineNumbers w:val="0"/>
                    <w:snapToGrid w:val="0"/>
                    <w:spacing w:before="0" w:beforeAutospacing="0" w:after="0" w:afterAutospacing="0"/>
                    <w:ind w:left="0" w:right="0"/>
                    <w:jc w:val="center"/>
                    <w:rPr>
                      <w:rFonts w:hint="default" w:ascii="Times New Roman" w:hAnsi="Times New Roman" w:cs="Times New Roman"/>
                      <w:bCs/>
                      <w:color w:val="000000" w:themeColor="text1"/>
                      <w:kern w:val="0"/>
                      <w:sz w:val="21"/>
                      <w:szCs w:val="21"/>
                      <w:highlight w:val="none"/>
                      <w14:textFill>
                        <w14:solidFill>
                          <w14:schemeClr w14:val="tx1"/>
                        </w14:solidFill>
                      </w14:textFill>
                    </w:rPr>
                  </w:pP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符合</w:t>
                  </w:r>
                </w:p>
              </w:tc>
            </w:tr>
            <w:tr w14:paraId="0941BEA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22" w:type="pct"/>
                  <w:tcBorders>
                    <w:tl2br w:val="nil"/>
                    <w:tr2bl w:val="nil"/>
                  </w:tcBorders>
                  <w:noWrap w:val="0"/>
                  <w:vAlign w:val="center"/>
                </w:tcPr>
                <w:p w14:paraId="28AB4565">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6</w:t>
                  </w:r>
                </w:p>
              </w:tc>
              <w:tc>
                <w:tcPr>
                  <w:tcW w:w="3067" w:type="pct"/>
                  <w:tcBorders>
                    <w:tl2br w:val="nil"/>
                    <w:tr2bl w:val="nil"/>
                  </w:tcBorders>
                  <w:noWrap w:val="0"/>
                  <w:vAlign w:val="center"/>
                </w:tcPr>
                <w:p w14:paraId="08666EB6">
                  <w:pPr>
                    <w:keepNext w:val="0"/>
                    <w:keepLines w:val="0"/>
                    <w:suppressLineNumbers w:val="0"/>
                    <w:adjustRightInd w:val="0"/>
                    <w:snapToGrid w:val="0"/>
                    <w:spacing w:before="0" w:beforeAutospacing="0" w:after="0" w:afterAutospacing="0" w:line="240" w:lineRule="auto"/>
                    <w:ind w:left="0" w:right="0"/>
                    <w:jc w:val="left"/>
                    <w:rPr>
                      <w:rFonts w:hint="default" w:ascii="Times New Roman" w:hAnsi="Times New Roman" w:cs="Times New Roman"/>
                      <w:bCs/>
                      <w:color w:val="000000" w:themeColor="text1"/>
                      <w:kern w:val="0"/>
                      <w:sz w:val="21"/>
                      <w:szCs w:val="21"/>
                      <w:highlight w:val="none"/>
                      <w:shd w:val="clear" w:color="auto" w:fill="FFFFFF"/>
                      <w14:textFill>
                        <w14:solidFill>
                          <w14:schemeClr w14:val="tx1"/>
                        </w14:solidFill>
                      </w14:textFill>
                    </w:rPr>
                  </w:pPr>
                  <w:r>
                    <w:rPr>
                      <w:rFonts w:hint="default" w:ascii="Times New Roman" w:hAnsi="Times New Roman" w:cs="Times New Roman"/>
                      <w:bCs/>
                      <w:color w:val="000000" w:themeColor="text1"/>
                      <w:kern w:val="0"/>
                      <w:sz w:val="21"/>
                      <w:szCs w:val="21"/>
                      <w:highlight w:val="none"/>
                      <w:shd w:val="clear" w:color="auto" w:fill="FFFFFF"/>
                      <w14:textFill>
                        <w14:solidFill>
                          <w14:schemeClr w14:val="tx1"/>
                        </w14:solidFill>
                      </w14:textFill>
                    </w:rPr>
                    <w:t>（八）加快提升机动车清洁化水平。在火电、钢铁、煤炭、焦化、有色等行业和物流园区推广新能源中重型货车，发展零排放货运车队，到2025年，大宗货物清洁方式运输比例达到70%左右。持续推进新能源充换电基础设施建设，到2025年，高速服务区快充站覆盖率不低于60%。</w:t>
                  </w:r>
                </w:p>
              </w:tc>
              <w:tc>
                <w:tcPr>
                  <w:tcW w:w="1170" w:type="pct"/>
                  <w:tcBorders>
                    <w:tl2br w:val="nil"/>
                    <w:tr2bl w:val="nil"/>
                  </w:tcBorders>
                  <w:noWrap w:val="0"/>
                  <w:vAlign w:val="center"/>
                </w:tcPr>
                <w:p w14:paraId="4188AF4B">
                  <w:pPr>
                    <w:keepNext w:val="0"/>
                    <w:keepLines w:val="0"/>
                    <w:suppressLineNumbers w:val="0"/>
                    <w:adjustRightInd w:val="0"/>
                    <w:snapToGrid w:val="0"/>
                    <w:spacing w:before="0" w:beforeAutospacing="0" w:after="0" w:afterAutospacing="0" w:line="240" w:lineRule="auto"/>
                    <w:ind w:left="0" w:right="0"/>
                    <w:jc w:val="left"/>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本项目均采用汽运，采用符合运输标准的汽车进行运输。</w:t>
                  </w:r>
                </w:p>
              </w:tc>
              <w:tc>
                <w:tcPr>
                  <w:tcW w:w="439" w:type="pct"/>
                  <w:tcBorders>
                    <w:tl2br w:val="nil"/>
                    <w:tr2bl w:val="nil"/>
                  </w:tcBorders>
                  <w:noWrap w:val="0"/>
                  <w:vAlign w:val="center"/>
                </w:tcPr>
                <w:p w14:paraId="51F42DDB">
                  <w:pPr>
                    <w:keepNext w:val="0"/>
                    <w:keepLines w:val="0"/>
                    <w:suppressLineNumbers w:val="0"/>
                    <w:snapToGrid w:val="0"/>
                    <w:spacing w:before="0" w:beforeAutospacing="0" w:after="0" w:afterAutospacing="0"/>
                    <w:ind w:left="0" w:right="0"/>
                    <w:jc w:val="center"/>
                    <w:rPr>
                      <w:rFonts w:hint="default" w:ascii="Times New Roman" w:hAnsi="Times New Roman" w:cs="Times New Roman"/>
                      <w:bCs/>
                      <w:color w:val="000000" w:themeColor="text1"/>
                      <w:kern w:val="0"/>
                      <w:sz w:val="21"/>
                      <w:szCs w:val="21"/>
                      <w:highlight w:val="none"/>
                      <w14:textFill>
                        <w14:solidFill>
                          <w14:schemeClr w14:val="tx1"/>
                        </w14:solidFill>
                      </w14:textFill>
                    </w:rPr>
                  </w:pP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符合</w:t>
                  </w:r>
                </w:p>
              </w:tc>
            </w:tr>
            <w:tr w14:paraId="4FFE949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4"/>
                  <w:tcBorders>
                    <w:tl2br w:val="nil"/>
                    <w:tr2bl w:val="nil"/>
                  </w:tcBorders>
                  <w:noWrap w:val="0"/>
                  <w:vAlign w:val="center"/>
                </w:tcPr>
                <w:p w14:paraId="4846C4EF">
                  <w:pPr>
                    <w:keepNext w:val="0"/>
                    <w:keepLines w:val="0"/>
                    <w:suppressLineNumbers w:val="0"/>
                    <w:snapToGrid w:val="0"/>
                    <w:spacing w:before="0" w:beforeAutospacing="0" w:after="0" w:afterAutospacing="0"/>
                    <w:ind w:left="0" w:right="0"/>
                    <w:jc w:val="center"/>
                    <w:rPr>
                      <w:rFonts w:hint="default" w:ascii="Times New Roman" w:hAnsi="Times New Roman" w:cs="Times New Roman"/>
                      <w:bCs/>
                      <w:color w:val="000000" w:themeColor="text1"/>
                      <w:kern w:val="0"/>
                      <w:sz w:val="21"/>
                      <w:szCs w:val="21"/>
                      <w:highlight w:val="none"/>
                      <w14:textFill>
                        <w14:solidFill>
                          <w14:schemeClr w14:val="tx1"/>
                        </w14:solidFill>
                      </w14:textFill>
                    </w:rPr>
                  </w:pPr>
                  <w:r>
                    <w:rPr>
                      <w:rFonts w:hint="default" w:ascii="Times New Roman" w:hAnsi="Times New Roman" w:cs="Times New Roman"/>
                      <w:bCs/>
                      <w:color w:val="000000" w:themeColor="text1"/>
                      <w:kern w:val="0"/>
                      <w:sz w:val="21"/>
                      <w:szCs w:val="21"/>
                      <w:highlight w:val="none"/>
                      <w14:textFill>
                        <w14:solidFill>
                          <w14:schemeClr w14:val="tx1"/>
                        </w14:solidFill>
                      </w14:textFill>
                    </w:rPr>
                    <w:t>五、强化面源污染治理，提升精细化管理水平</w:t>
                  </w:r>
                </w:p>
              </w:tc>
            </w:tr>
            <w:tr w14:paraId="705B7A3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22" w:type="pct"/>
                  <w:tcBorders>
                    <w:tl2br w:val="nil"/>
                    <w:tr2bl w:val="nil"/>
                  </w:tcBorders>
                  <w:noWrap w:val="0"/>
                  <w:vAlign w:val="center"/>
                </w:tcPr>
                <w:p w14:paraId="099E9BC6">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7</w:t>
                  </w:r>
                </w:p>
              </w:tc>
              <w:tc>
                <w:tcPr>
                  <w:tcW w:w="3067" w:type="pct"/>
                  <w:tcBorders>
                    <w:tl2br w:val="nil"/>
                    <w:tr2bl w:val="nil"/>
                  </w:tcBorders>
                  <w:noWrap w:val="0"/>
                  <w:vAlign w:val="center"/>
                </w:tcPr>
                <w:p w14:paraId="5194F2A3">
                  <w:pPr>
                    <w:keepNext w:val="0"/>
                    <w:keepLines w:val="0"/>
                    <w:suppressLineNumbers w:val="0"/>
                    <w:adjustRightInd w:val="0"/>
                    <w:snapToGrid w:val="0"/>
                    <w:spacing w:before="0" w:beforeAutospacing="0" w:after="0" w:afterAutospacing="0" w:line="240" w:lineRule="auto"/>
                    <w:ind w:left="0" w:right="0"/>
                    <w:jc w:val="left"/>
                    <w:rPr>
                      <w:rFonts w:hint="default" w:ascii="Times New Roman" w:hAnsi="Times New Roman" w:cs="Times New Roman"/>
                      <w:bCs/>
                      <w:color w:val="000000" w:themeColor="text1"/>
                      <w:kern w:val="0"/>
                      <w:sz w:val="21"/>
                      <w:szCs w:val="21"/>
                      <w:highlight w:val="none"/>
                      <w:shd w:val="clear" w:color="auto" w:fill="FFFFFF"/>
                      <w14:textFill>
                        <w14:solidFill>
                          <w14:schemeClr w14:val="tx1"/>
                        </w14:solidFill>
                      </w14:textFill>
                    </w:rPr>
                  </w:pPr>
                  <w:r>
                    <w:rPr>
                      <w:rFonts w:hint="default" w:ascii="Times New Roman" w:hAnsi="Times New Roman" w:cs="Times New Roman"/>
                      <w:bCs/>
                      <w:color w:val="000000" w:themeColor="text1"/>
                      <w:kern w:val="0"/>
                      <w:sz w:val="21"/>
                      <w:szCs w:val="21"/>
                      <w:highlight w:val="none"/>
                      <w:shd w:val="clear" w:color="auto" w:fill="FFFFFF"/>
                      <w14:textFill>
                        <w14:solidFill>
                          <w14:schemeClr w14:val="tx1"/>
                        </w14:solidFill>
                      </w14:textFill>
                    </w:rPr>
                    <w:t>（十一）加强工地和道路扬尘污染</w:t>
                  </w:r>
                  <w:r>
                    <w:rPr>
                      <w:rFonts w:hint="default" w:ascii="Times New Roman" w:hAnsi="Times New Roman" w:cs="Times New Roman"/>
                      <w:bCs/>
                      <w:color w:val="000000" w:themeColor="text1"/>
                      <w:kern w:val="0"/>
                      <w:sz w:val="21"/>
                      <w:szCs w:val="21"/>
                      <w:highlight w:val="none"/>
                      <w:shd w:val="clear" w:color="auto" w:fill="FFFFFF"/>
                      <w:lang w:val="en-US" w:eastAsia="zh-CN"/>
                      <w14:textFill>
                        <w14:solidFill>
                          <w14:schemeClr w14:val="tx1"/>
                        </w14:solidFill>
                      </w14:textFill>
                    </w:rPr>
                    <w:t>治</w:t>
                  </w:r>
                  <w:r>
                    <w:rPr>
                      <w:rFonts w:hint="default" w:ascii="Times New Roman" w:hAnsi="Times New Roman" w:cs="Times New Roman"/>
                      <w:bCs/>
                      <w:color w:val="000000" w:themeColor="text1"/>
                      <w:kern w:val="0"/>
                      <w:sz w:val="21"/>
                      <w:szCs w:val="21"/>
                      <w:highlight w:val="none"/>
                      <w:shd w:val="clear" w:color="auto" w:fill="FFFFFF"/>
                      <w14:textFill>
                        <w14:solidFill>
                          <w14:schemeClr w14:val="tx1"/>
                        </w14:solidFill>
                      </w14:textFill>
                    </w:rPr>
                    <w:t>理。持续强化施工场地、工业企业堆场料场和城市道路、裸地扬尘污染治理。将扬尘污染防治费用纳入工程造价。持续推进装配式建筑发展，到2025年，装配式建筑占新建建筑面积比例达到30%。地级及以上城市建成区道路机械化清扫率达到80%左右，县城达到70%左右。</w:t>
                  </w:r>
                </w:p>
              </w:tc>
              <w:tc>
                <w:tcPr>
                  <w:tcW w:w="1170" w:type="pct"/>
                  <w:tcBorders>
                    <w:tl2br w:val="nil"/>
                    <w:tr2bl w:val="nil"/>
                  </w:tcBorders>
                  <w:noWrap w:val="0"/>
                  <w:vAlign w:val="center"/>
                </w:tcPr>
                <w:p w14:paraId="708D16CB">
                  <w:pPr>
                    <w:keepNext w:val="0"/>
                    <w:keepLines w:val="0"/>
                    <w:suppressLineNumbers w:val="0"/>
                    <w:adjustRightInd w:val="0"/>
                    <w:snapToGrid w:val="0"/>
                    <w:spacing w:before="0" w:beforeAutospacing="0" w:after="0" w:afterAutospacing="0" w:line="240" w:lineRule="auto"/>
                    <w:ind w:left="0" w:right="0"/>
                    <w:jc w:val="left"/>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本项目运输道路进行路面硬化，运输车辆加盖苫布，并进行洒水抑尘，严格控制施工扬尘产生，减少对周围大气环境的影响。</w:t>
                  </w:r>
                </w:p>
              </w:tc>
              <w:tc>
                <w:tcPr>
                  <w:tcW w:w="439" w:type="pct"/>
                  <w:tcBorders>
                    <w:tl2br w:val="nil"/>
                    <w:tr2bl w:val="nil"/>
                  </w:tcBorders>
                  <w:noWrap w:val="0"/>
                  <w:vAlign w:val="center"/>
                </w:tcPr>
                <w:p w14:paraId="56D7A817">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符合</w:t>
                  </w:r>
                </w:p>
              </w:tc>
            </w:tr>
            <w:tr w14:paraId="1BB89D5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4"/>
                  <w:tcBorders>
                    <w:tl2br w:val="nil"/>
                    <w:tr2bl w:val="nil"/>
                  </w:tcBorders>
                  <w:noWrap w:val="0"/>
                  <w:vAlign w:val="center"/>
                </w:tcPr>
                <w:p w14:paraId="3BC0F5F8">
                  <w:pPr>
                    <w:keepNext w:val="0"/>
                    <w:keepLines w:val="0"/>
                    <w:suppressLineNumbers w:val="0"/>
                    <w:snapToGrid w:val="0"/>
                    <w:spacing w:before="0" w:beforeAutospacing="0" w:after="0" w:afterAutospacing="0"/>
                    <w:ind w:left="0" w:right="0"/>
                    <w:jc w:val="cente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七、加强机制建设，完善大气环境管理体系</w:t>
                  </w:r>
                </w:p>
              </w:tc>
            </w:tr>
            <w:tr w14:paraId="301FEAC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22" w:type="pct"/>
                  <w:tcBorders>
                    <w:tl2br w:val="nil"/>
                    <w:tr2bl w:val="nil"/>
                  </w:tcBorders>
                  <w:noWrap w:val="0"/>
                  <w:vAlign w:val="center"/>
                </w:tcPr>
                <w:p w14:paraId="7790BACE">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8</w:t>
                  </w:r>
                </w:p>
              </w:tc>
              <w:tc>
                <w:tcPr>
                  <w:tcW w:w="3067" w:type="pct"/>
                  <w:tcBorders>
                    <w:tl2br w:val="nil"/>
                    <w:tr2bl w:val="nil"/>
                  </w:tcBorders>
                  <w:noWrap w:val="0"/>
                  <w:vAlign w:val="center"/>
                </w:tcPr>
                <w:p w14:paraId="1AE4D131">
                  <w:pPr>
                    <w:keepNext w:val="0"/>
                    <w:keepLines w:val="0"/>
                    <w:suppressLineNumbers w:val="0"/>
                    <w:adjustRightInd w:val="0"/>
                    <w:snapToGrid w:val="0"/>
                    <w:spacing w:before="0" w:beforeAutospacing="0" w:after="0" w:afterAutospacing="0" w:line="240" w:lineRule="auto"/>
                    <w:ind w:left="0" w:right="0"/>
                    <w:jc w:val="left"/>
                    <w:rPr>
                      <w:rFonts w:hint="default" w:ascii="Times New Roman" w:hAnsi="Times New Roman" w:cs="Times New Roman"/>
                      <w:bCs/>
                      <w:color w:val="000000" w:themeColor="text1"/>
                      <w:kern w:val="0"/>
                      <w:sz w:val="21"/>
                      <w:szCs w:val="21"/>
                      <w:highlight w:val="none"/>
                      <w:shd w:val="clear" w:color="auto" w:fill="FFFFFF"/>
                      <w14:textFill>
                        <w14:solidFill>
                          <w14:schemeClr w14:val="tx1"/>
                        </w14:solidFill>
                      </w14:textFill>
                    </w:rPr>
                  </w:pPr>
                  <w:r>
                    <w:rPr>
                      <w:rFonts w:hint="default" w:ascii="Times New Roman" w:hAnsi="Times New Roman" w:cs="Times New Roman"/>
                      <w:bCs/>
                      <w:color w:val="000000" w:themeColor="text1"/>
                      <w:kern w:val="0"/>
                      <w:sz w:val="21"/>
                      <w:szCs w:val="21"/>
                      <w:highlight w:val="none"/>
                      <w:shd w:val="clear" w:color="auto" w:fill="FFFFFF"/>
                      <w14:textFill>
                        <w14:solidFill>
                          <w14:schemeClr w14:val="tx1"/>
                        </w14:solidFill>
                      </w14:textFill>
                    </w:rPr>
                    <w:t>（十七）加强城市空气质量达标管理。已达标城市推进空气质量巩固改善。空气质量未达标的设区的市编制实施大气环境质量限期达标规划，明确达标路线图及重点任务，并向社会公开，到2025 年底前实现空气质量达标。</w:t>
                  </w:r>
                </w:p>
              </w:tc>
              <w:tc>
                <w:tcPr>
                  <w:tcW w:w="1170" w:type="pct"/>
                  <w:tcBorders>
                    <w:tl2br w:val="nil"/>
                    <w:tr2bl w:val="nil"/>
                  </w:tcBorders>
                  <w:noWrap w:val="0"/>
                  <w:vAlign w:val="center"/>
                </w:tcPr>
                <w:p w14:paraId="58053A91">
                  <w:pPr>
                    <w:keepNext w:val="0"/>
                    <w:keepLines w:val="0"/>
                    <w:suppressLineNumbers w:val="0"/>
                    <w:adjustRightInd w:val="0"/>
                    <w:snapToGrid w:val="0"/>
                    <w:spacing w:before="0" w:beforeAutospacing="0" w:after="0" w:afterAutospacing="0" w:line="240" w:lineRule="auto"/>
                    <w:ind w:left="0" w:right="0"/>
                    <w:jc w:val="left"/>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本项目废气、废水、噪声均可达标排放；固体废物也可得到合理处置，各污染物达标排放，符合要求。</w:t>
                  </w:r>
                </w:p>
              </w:tc>
              <w:tc>
                <w:tcPr>
                  <w:tcW w:w="439" w:type="pct"/>
                  <w:tcBorders>
                    <w:tl2br w:val="nil"/>
                    <w:tr2bl w:val="nil"/>
                  </w:tcBorders>
                  <w:noWrap w:val="0"/>
                  <w:vAlign w:val="center"/>
                </w:tcPr>
                <w:p w14:paraId="0BDAF805">
                  <w:pPr>
                    <w:keepNext w:val="0"/>
                    <w:keepLines w:val="0"/>
                    <w:suppressLineNumbers w:val="0"/>
                    <w:snapToGrid w:val="0"/>
                    <w:spacing w:before="0" w:beforeAutospacing="0" w:after="0" w:afterAutospacing="0"/>
                    <w:ind w:left="0" w:right="0"/>
                    <w:jc w:val="cente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符合</w:t>
                  </w:r>
                </w:p>
              </w:tc>
            </w:tr>
          </w:tbl>
          <w:p w14:paraId="75412025">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156" w:beforeLines="50" w:beforeAutospacing="0" w:after="0" w:afterAutospacing="0" w:line="360" w:lineRule="auto"/>
              <w:ind w:left="0" w:right="0" w:rightChars="0" w:firstLine="480" w:firstLineChars="200"/>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综上所述，本项目符合《辽宁省空气质量持续改善行动实施方案》中的相关要求。</w:t>
            </w:r>
          </w:p>
          <w:p w14:paraId="2B6DAA66">
            <w:pPr>
              <w:keepNext w:val="0"/>
              <w:keepLines w:val="0"/>
              <w:numPr>
                <w:ilvl w:val="0"/>
                <w:numId w:val="3"/>
              </w:numPr>
              <w:suppressLineNumbers w:val="0"/>
              <w:adjustRightInd w:val="0"/>
              <w:snapToGrid w:val="0"/>
              <w:spacing w:before="156" w:beforeLines="50" w:beforeAutospacing="0" w:after="0" w:afterAutospacing="0" w:line="360" w:lineRule="auto"/>
              <w:ind w:left="0" w:leftChars="0" w:right="0" w:rightChars="0"/>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本项目与《辽宁省深入打好污染防治攻坚战实施方案》 （辽委发〔2022〕8号）相符性分析</w:t>
            </w:r>
          </w:p>
          <w:p w14:paraId="668422D3">
            <w:pPr>
              <w:keepNext w:val="0"/>
              <w:keepLines w:val="0"/>
              <w:numPr>
                <w:ilvl w:val="0"/>
                <w:numId w:val="2"/>
              </w:numPr>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本项目与《辽宁省深入打好污染防治攻坚战实施方案》相符性分析</w:t>
            </w:r>
          </w:p>
          <w:tbl>
            <w:tblPr>
              <w:tblStyle w:val="36"/>
              <w:tblW w:w="5000"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936"/>
              <w:gridCol w:w="1589"/>
              <w:gridCol w:w="929"/>
            </w:tblGrid>
            <w:tr w14:paraId="691C706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5017" w:type="dxa"/>
                  <w:tcBorders>
                    <w:tl2br w:val="nil"/>
                    <w:tr2bl w:val="nil"/>
                  </w:tcBorders>
                  <w:noWrap w:val="0"/>
                  <w:vAlign w:val="center"/>
                </w:tcPr>
                <w:p w14:paraId="75E15C76">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文件要求</w:t>
                  </w:r>
                </w:p>
              </w:tc>
              <w:tc>
                <w:tcPr>
                  <w:tcW w:w="1613" w:type="dxa"/>
                  <w:tcBorders>
                    <w:tl2br w:val="nil"/>
                    <w:tr2bl w:val="nil"/>
                  </w:tcBorders>
                  <w:noWrap w:val="0"/>
                  <w:vAlign w:val="center"/>
                </w:tcPr>
                <w:p w14:paraId="25CBD934">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项目情况</w:t>
                  </w:r>
                </w:p>
              </w:tc>
              <w:tc>
                <w:tcPr>
                  <w:tcW w:w="941" w:type="dxa"/>
                  <w:tcBorders>
                    <w:tl2br w:val="nil"/>
                    <w:tr2bl w:val="nil"/>
                  </w:tcBorders>
                  <w:noWrap w:val="0"/>
                  <w:vAlign w:val="center"/>
                </w:tcPr>
                <w:p w14:paraId="6CBAFB6E">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kern w:val="0"/>
                      <w:sz w:val="21"/>
                      <w:szCs w:val="21"/>
                      <w:highlight w:val="none"/>
                      <w:lang w:val="en-US" w:eastAsia="zh-CN" w:bidi="ar"/>
                      <w14:textFill>
                        <w14:solidFill>
                          <w14:schemeClr w14:val="tx1"/>
                        </w14:solidFill>
                      </w14:textFill>
                    </w:rPr>
                    <w:t>相符性</w:t>
                  </w:r>
                </w:p>
              </w:tc>
            </w:tr>
            <w:tr w14:paraId="3E5376E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71" w:type="dxa"/>
                  <w:gridSpan w:val="3"/>
                  <w:tcBorders>
                    <w:tl2br w:val="nil"/>
                    <w:tr2bl w:val="nil"/>
                  </w:tcBorders>
                  <w:noWrap w:val="0"/>
                  <w:vAlign w:val="center"/>
                </w:tcPr>
                <w:p w14:paraId="0278B6D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一</w:t>
                  </w: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加快推动绿色低碳发展</w:t>
                  </w:r>
                </w:p>
              </w:tc>
            </w:tr>
            <w:tr w14:paraId="3F2F526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5017" w:type="dxa"/>
                  <w:tcBorders>
                    <w:tl2br w:val="nil"/>
                    <w:tr2bl w:val="nil"/>
                  </w:tcBorders>
                  <w:noWrap w:val="0"/>
                  <w:vAlign w:val="center"/>
                </w:tcPr>
                <w:p w14:paraId="4F30A0C7">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坚决遏制高耗能高排放项目盲目发展。对</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两高</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项目实行清单管理、分类处置、动态监控。严格把好新建、扩建钢铁、水泥熟料、平板玻璃、电解铝等高耗能高排放项目准入关。支持符合规定特别是生产国内短缺重要产品、有利于碳达峰碳中和目标实现的项目发展。稳妥做好存量</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两高</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项目管理，合理设置政策过渡期，积极推进有节能减排潜力的项目改造升级。强化常态化监管，坚决停批停建不符合规定的</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两高</w:t>
                  </w: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项目</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p>
              </w:tc>
              <w:tc>
                <w:tcPr>
                  <w:tcW w:w="1613" w:type="dxa"/>
                  <w:tcBorders>
                    <w:tl2br w:val="nil"/>
                    <w:tr2bl w:val="nil"/>
                  </w:tcBorders>
                  <w:noWrap w:val="0"/>
                  <w:vAlign w:val="center"/>
                </w:tcPr>
                <w:p w14:paraId="12089D3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本项目</w:t>
                  </w: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不属于“两高”项目</w:t>
                  </w:r>
                </w:p>
              </w:tc>
              <w:tc>
                <w:tcPr>
                  <w:tcW w:w="941" w:type="dxa"/>
                  <w:tcBorders>
                    <w:tl2br w:val="nil"/>
                    <w:tr2bl w:val="nil"/>
                  </w:tcBorders>
                  <w:noWrap w:val="0"/>
                  <w:vAlign w:val="center"/>
                </w:tcPr>
                <w:p w14:paraId="516A6707">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r w14:paraId="4CD61E6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017" w:type="dxa"/>
                  <w:tcBorders>
                    <w:tl2br w:val="nil"/>
                    <w:tr2bl w:val="nil"/>
                  </w:tcBorders>
                  <w:noWrap w:val="0"/>
                  <w:vAlign w:val="center"/>
                </w:tcPr>
                <w:p w14:paraId="48DDA17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加强生态环境分区管控。围绕构建</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一圈一带两区</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区域发展格局，衔接国土空间规划分区和用途管制要求，推进城市化地区高效集聚发展，促进农产品主产区规模化发展，推动重点生态功能区转型发展，形成主体功能明显、优势互补、高质量发展的国土空间开发保护新格局。严格落实</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三线一单</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生态环境分区管控要求，优化区域生产力布局。健全以环评制度为主体的源头预防体系，严格规划环评审查和项目环评准入。开展重大经济技术政策的生态环境影响分析和重大生态环境政策的社会经济影响评估。</w:t>
                  </w:r>
                </w:p>
              </w:tc>
              <w:tc>
                <w:tcPr>
                  <w:tcW w:w="1613" w:type="dxa"/>
                  <w:tcBorders>
                    <w:tl2br w:val="nil"/>
                    <w:tr2bl w:val="nil"/>
                  </w:tcBorders>
                  <w:noWrap w:val="0"/>
                  <w:vAlign w:val="center"/>
                </w:tcPr>
                <w:p w14:paraId="72182FF0">
                  <w:pPr>
                    <w:keepNext w:val="0"/>
                    <w:keepLines w:val="0"/>
                    <w:pageBreakBefore w:val="0"/>
                    <w:widowControl/>
                    <w:suppressLineNumbers w:val="0"/>
                    <w:kinsoku/>
                    <w:wordWrap w:val="0"/>
                    <w:overflowPunct/>
                    <w:topLinePunct w:val="0"/>
                    <w:autoSpaceDE/>
                    <w:autoSpaceDN/>
                    <w:bidi w:val="0"/>
                    <w:adjustRightInd w:val="0"/>
                    <w:snapToGrid w:val="0"/>
                    <w:spacing w:before="0" w:beforeAutospacing="0" w:after="0" w:afterAutospacing="0"/>
                    <w:ind w:left="0" w:right="0"/>
                    <w:jc w:val="left"/>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本项目位于本溪高新技术产业开发区</w:t>
                  </w:r>
                  <w:r>
                    <w:rPr>
                      <w:rFonts w:hint="default" w:ascii="Times New Roman" w:hAnsi="Times New Roman" w:cs="Times New Roman"/>
                      <w:b w:val="0"/>
                      <w:bCs w:val="0"/>
                      <w:color w:val="000000" w:themeColor="text1"/>
                      <w:kern w:val="0"/>
                      <w:sz w:val="21"/>
                      <w:szCs w:val="21"/>
                      <w:highlight w:val="none"/>
                      <w:lang w:val="en-US" w:eastAsia="zh-CN" w:bidi="en-US"/>
                      <w14:textFill>
                        <w14:solidFill>
                          <w14:schemeClr w14:val="tx1"/>
                        </w14:solidFill>
                      </w14:textFill>
                    </w:rPr>
                    <w:t>（</w:t>
                  </w:r>
                  <w:r>
                    <w:rPr>
                      <w:rFonts w:hint="eastAsia" w:ascii="Times New Roman" w:hAnsi="Times New Roman" w:cs="Times New Roman"/>
                      <w:b w:val="0"/>
                      <w:bCs w:val="0"/>
                      <w:color w:val="000000" w:themeColor="text1"/>
                      <w:kern w:val="0"/>
                      <w:sz w:val="21"/>
                      <w:szCs w:val="21"/>
                      <w:highlight w:val="none"/>
                      <w:lang w:val="en-US" w:eastAsia="zh-CN" w:bidi="en-US"/>
                      <w14:textFill>
                        <w14:solidFill>
                          <w14:schemeClr w14:val="tx1"/>
                        </w14:solidFill>
                      </w14:textFill>
                    </w:rPr>
                    <w:t>ZH21050320002</w:t>
                  </w:r>
                  <w:r>
                    <w:rPr>
                      <w:rFonts w:hint="default" w:ascii="Times New Roman" w:hAnsi="Times New Roman" w:cs="Times New Roman"/>
                      <w:b w:val="0"/>
                      <w:bCs w:val="0"/>
                      <w:color w:val="000000" w:themeColor="text1"/>
                      <w:kern w:val="0"/>
                      <w:sz w:val="21"/>
                      <w:szCs w:val="21"/>
                      <w:highlight w:val="none"/>
                      <w:lang w:val="en-US" w:eastAsia="zh-CN" w:bidi="en-US"/>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，经分析，本项目符合</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三线一单</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生态环境分区管控要求，符合</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总体</w:t>
                  </w:r>
                  <w:r>
                    <w:rPr>
                      <w:rFonts w:hint="default" w:ascii="Times New Roman" w:hAnsi="Times New Roman" w:cs="Times New Roman"/>
                      <w:color w:val="000000" w:themeColor="text1"/>
                      <w:sz w:val="21"/>
                      <w:szCs w:val="21"/>
                      <w:highlight w:val="none"/>
                      <w14:textFill>
                        <w14:solidFill>
                          <w14:schemeClr w14:val="tx1"/>
                        </w14:solidFill>
                      </w14:textFill>
                    </w:rPr>
                    <w:t>规划及规划环评准入要求</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p>
              </w:tc>
              <w:tc>
                <w:tcPr>
                  <w:tcW w:w="941" w:type="dxa"/>
                  <w:tcBorders>
                    <w:tl2br w:val="nil"/>
                    <w:tr2bl w:val="nil"/>
                  </w:tcBorders>
                  <w:noWrap w:val="0"/>
                  <w:vAlign w:val="center"/>
                </w:tcPr>
                <w:p w14:paraId="27A488D2">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r w14:paraId="48FC863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571" w:type="dxa"/>
                  <w:gridSpan w:val="3"/>
                  <w:tcBorders>
                    <w:tl2br w:val="nil"/>
                    <w:tr2bl w:val="nil"/>
                  </w:tcBorders>
                  <w:noWrap w:val="0"/>
                  <w:vAlign w:val="center"/>
                </w:tcPr>
                <w:p w14:paraId="28512B7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二</w:t>
                  </w: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深入打好蓝天保卫战</w:t>
                  </w:r>
                </w:p>
              </w:tc>
            </w:tr>
            <w:tr w14:paraId="2900376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017" w:type="dxa"/>
                  <w:tcBorders>
                    <w:tl2br w:val="nil"/>
                    <w:tr2bl w:val="nil"/>
                  </w:tcBorders>
                  <w:noWrap w:val="0"/>
                  <w:vAlign w:val="center"/>
                </w:tcPr>
                <w:p w14:paraId="42FC0D8F">
                  <w:pPr>
                    <w:keepNext w:val="0"/>
                    <w:keepLines w:val="0"/>
                    <w:suppressLineNumbers w:val="0"/>
                    <w:spacing w:before="0" w:beforeAutospacing="0" w:after="0" w:afterAutospacing="0"/>
                    <w:ind w:left="0" w:right="0"/>
                    <w:jc w:val="left"/>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实施大气减污降碳协同增效行动。推动重点行业落后产能退出，推进钢铁、焦化、有色金属行业技术升级。加快供热区域热网互联互通建设，淘汰管网覆盖范围内的燃煤锅炉和散煤。推进工业炉窑清洁能源替代，以菱镁、陶瓷等行业为重点，开展涉气产业集群排查及分类治理。</w:t>
                  </w:r>
                </w:p>
                <w:p w14:paraId="32E5052A">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实施清洁取暖攻坚行动。充分发挥热电机组和大型热源厂能力，推进燃煤锅炉关停整合。在空气质量未达标的城市城中村、城乡接合部，因地制宜推进供暖清洁化，有序开展农村地区散煤替代工作。到2025年，城市建成区基本淘汰35蒸吨/小时及以下燃煤锅炉。</w:t>
                  </w:r>
                </w:p>
              </w:tc>
              <w:tc>
                <w:tcPr>
                  <w:tcW w:w="1613" w:type="dxa"/>
                  <w:tcBorders>
                    <w:tl2br w:val="nil"/>
                    <w:tr2bl w:val="nil"/>
                  </w:tcBorders>
                  <w:noWrap w:val="0"/>
                  <w:vAlign w:val="center"/>
                </w:tcPr>
                <w:p w14:paraId="0051C1DA">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本项目依托现有燃气锅炉提供蒸汽和供暖，不涉及燃煤。</w:t>
                  </w:r>
                </w:p>
              </w:tc>
              <w:tc>
                <w:tcPr>
                  <w:tcW w:w="941" w:type="dxa"/>
                  <w:tcBorders>
                    <w:tl2br w:val="nil"/>
                    <w:tr2bl w:val="nil"/>
                  </w:tcBorders>
                  <w:noWrap w:val="0"/>
                  <w:vAlign w:val="center"/>
                </w:tcPr>
                <w:p w14:paraId="21915EB3">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符合</w:t>
                  </w:r>
                </w:p>
              </w:tc>
            </w:tr>
            <w:tr w14:paraId="5955BC7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017" w:type="dxa"/>
                  <w:tcBorders>
                    <w:tl2br w:val="nil"/>
                    <w:tr2bl w:val="nil"/>
                  </w:tcBorders>
                  <w:noWrap w:val="0"/>
                  <w:vAlign w:val="center"/>
                </w:tcPr>
                <w:p w14:paraId="282DF87F">
                  <w:pPr>
                    <w:keepNext w:val="0"/>
                    <w:keepLines w:val="0"/>
                    <w:widowControl/>
                    <w:suppressLineNumbers w:val="0"/>
                    <w:spacing w:before="0" w:beforeAutospacing="0" w:after="0" w:afterAutospacing="0"/>
                    <w:ind w:left="0" w:right="0"/>
                    <w:jc w:val="left"/>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实施挥发性有机物原辅材料源头替代行动。完善挥发性有机物产品标准体系，建立低挥发性有机物含量产品标识制度。以汽车整车、</w:t>
                  </w:r>
                  <w:r>
                    <w:rPr>
                      <w:rFonts w:hint="default" w:ascii="Times New Roman" w:hAnsi="Times New Roman" w:cs="Times New Roman"/>
                      <w:color w:val="000000" w:themeColor="text1"/>
                      <w:kern w:val="0"/>
                      <w:sz w:val="21"/>
                      <w:szCs w:val="21"/>
                      <w:highlight w:val="none"/>
                      <w:lang w:eastAsia="zh-CN"/>
                      <w14:textFill>
                        <w14:solidFill>
                          <w14:schemeClr w14:val="tx1"/>
                        </w14:solidFill>
                      </w14:textFill>
                    </w:rPr>
                    <w:t>木制家具</w:t>
                  </w:r>
                  <w:r>
                    <w:rPr>
                      <w:rFonts w:hint="default" w:ascii="Times New Roman" w:hAnsi="Times New Roman" w:cs="Times New Roman"/>
                      <w:color w:val="000000" w:themeColor="text1"/>
                      <w:kern w:val="0"/>
                      <w:sz w:val="21"/>
                      <w:szCs w:val="21"/>
                      <w:highlight w:val="none"/>
                      <w14:textFill>
                        <w14:solidFill>
                          <w14:schemeClr w14:val="tx1"/>
                        </w14:solidFill>
                      </w14:textFill>
                    </w:rPr>
                    <w:t>、汽车零部件、工程机械、钢结构、船舶制造行业为重点，提升低挥发性有机物含量涂料使用比例。开展含挥发性有机物原辅材料达标联合检查，曝光不合格产品并依法追究相关企业责任。</w:t>
                  </w:r>
                </w:p>
                <w:p w14:paraId="14BC31CF">
                  <w:pPr>
                    <w:keepNext w:val="0"/>
                    <w:keepLines w:val="0"/>
                    <w:widowControl/>
                    <w:suppressLineNumbers w:val="0"/>
                    <w:spacing w:before="0" w:beforeAutospacing="0" w:after="0" w:afterAutospacing="0"/>
                    <w:ind w:left="0" w:right="0"/>
                    <w:jc w:val="left"/>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实施挥发性有机物污染治理达标行动。以石化、化工、涂装、医药、包装印刷和油品储运销等行业领域为重点，安全高效推进挥发性有机物综合治理。到2023年，万吨及以上原油成品油码头（及对应的储油库）、现役8000吨以上的油船基本完成油气回收治理。</w:t>
                  </w:r>
                </w:p>
                <w:p w14:paraId="0532CE7F">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实施污染源监管能力提升行动。推动挥发性有机物和氮氧化物排放重点排污单位依法安装自动监测设备，强化治理设施运维和旁路监管，坚决查处违法排污行为。夏季围绕石化、化工、涂装、医药、包装印刷、钢铁、焦化、建材等重点行业，精准开展监督帮扶。</w:t>
                  </w:r>
                </w:p>
              </w:tc>
              <w:tc>
                <w:tcPr>
                  <w:tcW w:w="1613" w:type="dxa"/>
                  <w:tcBorders>
                    <w:tl2br w:val="nil"/>
                    <w:tr2bl w:val="nil"/>
                  </w:tcBorders>
                  <w:noWrap w:val="0"/>
                  <w:vAlign w:val="center"/>
                </w:tcPr>
                <w:p w14:paraId="198DA9F8">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本项目</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不</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涉及涂料</w:t>
                  </w:r>
                </w:p>
              </w:tc>
              <w:tc>
                <w:tcPr>
                  <w:tcW w:w="941" w:type="dxa"/>
                  <w:tcBorders>
                    <w:tl2br w:val="nil"/>
                    <w:tr2bl w:val="nil"/>
                  </w:tcBorders>
                  <w:noWrap w:val="0"/>
                  <w:vAlign w:val="center"/>
                </w:tcPr>
                <w:p w14:paraId="342317E9">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不涉及</w:t>
                  </w:r>
                </w:p>
              </w:tc>
            </w:tr>
            <w:tr w14:paraId="4C97452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7571" w:type="dxa"/>
                  <w:gridSpan w:val="3"/>
                  <w:tcBorders>
                    <w:tl2br w:val="nil"/>
                    <w:tr2bl w:val="nil"/>
                  </w:tcBorders>
                  <w:noWrap w:val="0"/>
                  <w:vAlign w:val="center"/>
                </w:tcPr>
                <w:p w14:paraId="0736118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三</w:t>
                  </w: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深入打好碧水保卫战</w:t>
                  </w:r>
                </w:p>
              </w:tc>
            </w:tr>
            <w:tr w14:paraId="64E97F1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017" w:type="dxa"/>
                  <w:tcBorders>
                    <w:tl2br w:val="nil"/>
                    <w:tr2bl w:val="nil"/>
                  </w:tcBorders>
                  <w:noWrap w:val="0"/>
                  <w:vAlign w:val="center"/>
                </w:tcPr>
                <w:p w14:paraId="229E818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实施工业园区污水整治行动。排查整治工业园区污水集中处理设施进水浓度异常、污水管网老旧破损、混接错接等问题。鼓励工业企业、园区污水处理设施升级改造。到2025年，省级及以上工业园区污水管网质量和污水收集处理效率显著提升。</w:t>
                  </w:r>
                </w:p>
              </w:tc>
              <w:tc>
                <w:tcPr>
                  <w:tcW w:w="1613" w:type="dxa"/>
                  <w:tcBorders>
                    <w:tl2br w:val="nil"/>
                    <w:tr2bl w:val="nil"/>
                  </w:tcBorders>
                  <w:noWrap w:val="0"/>
                  <w:vAlign w:val="center"/>
                </w:tcPr>
                <w:p w14:paraId="0D7D597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本项目不新增员工，不新增生活废水。项目生产废水由厂内污水处理站处理</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达标</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后，经市政管网排放到</w:t>
                  </w:r>
                  <w:r>
                    <w:rPr>
                      <w:rFonts w:hint="eastAsia" w:cs="Times New Roman"/>
                      <w:color w:val="000000" w:themeColor="text1"/>
                      <w:sz w:val="21"/>
                      <w:szCs w:val="21"/>
                      <w:highlight w:val="none"/>
                      <w:lang w:val="en-US" w:eastAsia="zh-CN"/>
                      <w14:textFill>
                        <w14:solidFill>
                          <w14:schemeClr w14:val="tx1"/>
                        </w14:solidFill>
                      </w14:textFill>
                    </w:rPr>
                    <w:t>石桥子污水处理厂</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处理。</w:t>
                  </w:r>
                </w:p>
              </w:tc>
              <w:tc>
                <w:tcPr>
                  <w:tcW w:w="941" w:type="dxa"/>
                  <w:tcBorders>
                    <w:tl2br w:val="nil"/>
                    <w:tr2bl w:val="nil"/>
                  </w:tcBorders>
                  <w:noWrap w:val="0"/>
                  <w:vAlign w:val="center"/>
                </w:tcPr>
                <w:p w14:paraId="072E5A61">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符合</w:t>
                  </w:r>
                </w:p>
              </w:tc>
            </w:tr>
            <w:tr w14:paraId="18EA4EF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7571" w:type="dxa"/>
                  <w:gridSpan w:val="3"/>
                  <w:tcBorders>
                    <w:tl2br w:val="nil"/>
                    <w:tr2bl w:val="nil"/>
                  </w:tcBorders>
                  <w:noWrap w:val="0"/>
                  <w:vAlign w:val="center"/>
                </w:tcPr>
                <w:p w14:paraId="556FB52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四</w:t>
                  </w: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深入打好净土保卫战</w:t>
                  </w:r>
                </w:p>
              </w:tc>
            </w:tr>
            <w:tr w14:paraId="1818A8C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017" w:type="dxa"/>
                  <w:tcBorders>
                    <w:tl2br w:val="nil"/>
                    <w:tr2bl w:val="nil"/>
                  </w:tcBorders>
                  <w:noWrap w:val="0"/>
                  <w:vAlign w:val="center"/>
                </w:tcPr>
                <w:p w14:paraId="01EAEDB1">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有效管控建设用地土壤污染风险。以用途变更为住宅、公共管理与公共服务用地的地块为重点，依法开展土壤污染状况调查和风险评估。未依法完成土壤污染状况调查和风险评估的，以及未达到风险管控和修复目标的地块，不得开工建设与风险管控和修复无关的项目。从严管控农药、化工等行业的重度污染地块规划用途，确需开发利用的，鼓励用于拓展生态空间。推进重点地区危险化学品生产企业搬迁改造腾退地块的风险管控和修复。强化风险管控与修复活动监管，防止二次污染。</w:t>
                  </w:r>
                </w:p>
              </w:tc>
              <w:tc>
                <w:tcPr>
                  <w:tcW w:w="1613" w:type="dxa"/>
                  <w:tcBorders>
                    <w:tl2br w:val="nil"/>
                    <w:tr2bl w:val="nil"/>
                  </w:tcBorders>
                  <w:noWrap w:val="0"/>
                  <w:vAlign w:val="center"/>
                </w:tcPr>
                <w:p w14:paraId="3FE3E5A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本项目厂区采取严格的分区防渗措施</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防止污染物污染土壤和地下水</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p>
              </w:tc>
              <w:tc>
                <w:tcPr>
                  <w:tcW w:w="941" w:type="dxa"/>
                  <w:tcBorders>
                    <w:tl2br w:val="nil"/>
                    <w:tr2bl w:val="nil"/>
                  </w:tcBorders>
                  <w:noWrap w:val="0"/>
                  <w:vAlign w:val="center"/>
                </w:tcPr>
                <w:p w14:paraId="4A0299D9">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符合</w:t>
                  </w:r>
                </w:p>
              </w:tc>
            </w:tr>
          </w:tbl>
          <w:p w14:paraId="701EC552">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156" w:beforeLines="50" w:beforeAutospacing="0" w:after="0" w:afterAutospacing="0" w:line="360" w:lineRule="auto"/>
              <w:ind w:left="0" w:right="0" w:rightChars="0" w:firstLine="480" w:firstLineChars="200"/>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综上所述，本项目符合《辽宁省深入打好污染防治攻坚战实施方案》 （辽委发〔2022〕8号）中的相关要求。</w:t>
            </w:r>
          </w:p>
          <w:p w14:paraId="5C154BBE">
            <w:pPr>
              <w:keepNext w:val="0"/>
              <w:keepLines w:val="0"/>
              <w:numPr>
                <w:ilvl w:val="0"/>
                <w:numId w:val="3"/>
              </w:numPr>
              <w:suppressLineNumbers w:val="0"/>
              <w:adjustRightInd w:val="0"/>
              <w:snapToGrid w:val="0"/>
              <w:spacing w:before="156" w:beforeLines="50" w:beforeAutospacing="0" w:after="0" w:afterAutospacing="0" w:line="360" w:lineRule="auto"/>
              <w:ind w:left="0" w:leftChars="0" w:right="0" w:rightChars="0"/>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本项目与生态环境部《重点行业挥发性有机物综合治理方案》（（环大气〔2019〕53 号））相符性分析</w:t>
            </w:r>
          </w:p>
          <w:p w14:paraId="2F74DB78">
            <w:pPr>
              <w:keepNext w:val="0"/>
              <w:keepLines w:val="0"/>
              <w:numPr>
                <w:ilvl w:val="0"/>
                <w:numId w:val="2"/>
              </w:numPr>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 xml:space="preserve">  本项目与《重点行业挥发性有机物综合治理方案》相符性分析</w:t>
            </w:r>
          </w:p>
          <w:tbl>
            <w:tblPr>
              <w:tblStyle w:val="36"/>
              <w:tblW w:w="4998" w:type="pct"/>
              <w:tblInd w:w="0" w:type="dxa"/>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814"/>
              <w:gridCol w:w="1832"/>
              <w:gridCol w:w="805"/>
            </w:tblGrid>
            <w:tr w14:paraId="65B84C1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3230" w:type="pct"/>
                  <w:tcBorders>
                    <w:tl2br w:val="nil"/>
                    <w:tr2bl w:val="nil"/>
                  </w:tcBorders>
                  <w:noWrap w:val="0"/>
                  <w:vAlign w:val="center"/>
                </w:tcPr>
                <w:p w14:paraId="7DB7FCFB">
                  <w:pPr>
                    <w:pStyle w:val="68"/>
                    <w:keepNext w:val="0"/>
                    <w:keepLines w:val="0"/>
                    <w:suppressLineNumbers w:val="0"/>
                    <w:tabs>
                      <w:tab w:val="left" w:pos="1805"/>
                    </w:tabs>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文件要求</w:t>
                  </w:r>
                </w:p>
              </w:tc>
              <w:tc>
                <w:tcPr>
                  <w:tcW w:w="1229" w:type="pct"/>
                  <w:tcBorders>
                    <w:tl2br w:val="nil"/>
                    <w:tr2bl w:val="nil"/>
                  </w:tcBorders>
                  <w:noWrap w:val="0"/>
                  <w:vAlign w:val="center"/>
                </w:tcPr>
                <w:p w14:paraId="36651542">
                  <w:pPr>
                    <w:pStyle w:val="114"/>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Cs w:val="21"/>
                      <w:highlight w:val="none"/>
                      <w:lang w:val="en-US" w:eastAsia="zh-CN"/>
                      <w14:textFill>
                        <w14:solidFill>
                          <w14:schemeClr w14:val="tx1"/>
                        </w14:solidFill>
                      </w14:textFill>
                    </w:rPr>
                    <w:t>本</w:t>
                  </w:r>
                  <w:r>
                    <w:rPr>
                      <w:rFonts w:hint="default" w:ascii="Times New Roman" w:hAnsi="Times New Roman" w:eastAsia="宋体" w:cs="Times New Roman"/>
                      <w:b/>
                      <w:bCs/>
                      <w:color w:val="000000" w:themeColor="text1"/>
                      <w:szCs w:val="21"/>
                      <w:highlight w:val="none"/>
                      <w14:textFill>
                        <w14:solidFill>
                          <w14:schemeClr w14:val="tx1"/>
                        </w14:solidFill>
                      </w14:textFill>
                    </w:rPr>
                    <w:t>项目情况</w:t>
                  </w:r>
                </w:p>
              </w:tc>
              <w:tc>
                <w:tcPr>
                  <w:tcW w:w="540" w:type="pct"/>
                  <w:tcBorders>
                    <w:tl2br w:val="nil"/>
                    <w:tr2bl w:val="nil"/>
                  </w:tcBorders>
                  <w:noWrap w:val="0"/>
                  <w:tcMar>
                    <w:top w:w="0" w:type="dxa"/>
                    <w:left w:w="57" w:type="dxa"/>
                    <w:bottom w:w="0" w:type="dxa"/>
                    <w:right w:w="51" w:type="dxa"/>
                  </w:tcMar>
                  <w:vAlign w:val="center"/>
                </w:tcPr>
                <w:p w14:paraId="548BD740">
                  <w:pPr>
                    <w:pStyle w:val="114"/>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lang w:val="en-US" w:eastAsia="zh-CN"/>
                      <w14:textFill>
                        <w14:solidFill>
                          <w14:schemeClr w14:val="tx1"/>
                        </w14:solidFill>
                      </w14:textFill>
                    </w:rPr>
                    <w:t>相符性</w:t>
                  </w:r>
                </w:p>
              </w:tc>
            </w:tr>
            <w:tr w14:paraId="340C82B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230" w:type="pct"/>
                  <w:tcBorders>
                    <w:tl2br w:val="nil"/>
                    <w:tr2bl w:val="nil"/>
                  </w:tcBorders>
                  <w:noWrap w:val="0"/>
                  <w:vAlign w:val="center"/>
                </w:tcPr>
                <w:p w14:paraId="17A12F56">
                  <w:pPr>
                    <w:pStyle w:val="68"/>
                    <w:keepNext w:val="0"/>
                    <w:keepLines w:val="0"/>
                    <w:suppressLineNumbers w:val="0"/>
                    <w:adjustRightInd w:val="0"/>
                    <w:snapToGrid w:val="0"/>
                    <w:spacing w:before="0" w:beforeAutospacing="0" w:after="0" w:afterAutospacing="0"/>
                    <w:ind w:left="0" w:right="0"/>
                    <w:jc w:val="left"/>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大</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力推进源头替代。通过使用水性、粉末、高固体分、无溶剂、辐射固化等低VOC</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S</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含量的涂料，水性、辐射固化、植物基等低VOC</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S</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含量的油墨，水基、热熔、无溶剂、辐射固化、改性、生物降解等低VOC</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S</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含量的胶粘剂，以及低VOC</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S</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含量、低反应活性的清洗剂等，替代溶剂型涂料、油墨、胶粘剂、清洗剂等，从源头减少VOC</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S</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产生。工业涂装、包装印刷等行业要加大源头替代力度；化工行业要推广使用低（无）VOC</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S</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含量、低反应活性的原辅材料，加快对芳香烃、含卤素有机化合物的绿色替代。企业应大力推广使用低 VOC</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S</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含量木器涂料、车辆涂料、机械设备涂料、集装箱涂料以及建筑物和构筑物防护涂料等，在技术成熟的行业，推广使用低VOC</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S</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含量油墨和胶粘剂，重点区域到2020年年底前基本完成。鼓励加快低VOC</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S</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含量涂料、油墨、胶粘剂等研发和生产。加强政策引导。企业采用符合国家有关低VOC</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S</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含量产品规定的涂料、油墨、胶粘剂等，排放浓度稳定达标且排放速率、排放绩效等满足相关规定的，相应生产工序可不要求建设末端治理设施。使用的原辅材料 VOC</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S</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含量（质量比）低于10%的工序，可不要求采取无组织排放收集措施。</w:t>
                  </w:r>
                </w:p>
              </w:tc>
              <w:tc>
                <w:tcPr>
                  <w:tcW w:w="1229" w:type="pct"/>
                  <w:tcBorders>
                    <w:tl2br w:val="nil"/>
                    <w:tr2bl w:val="nil"/>
                  </w:tcBorders>
                  <w:noWrap w:val="0"/>
                  <w:vAlign w:val="center"/>
                </w:tcPr>
                <w:p w14:paraId="7F0073F5">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本项目不涉及</w:t>
                  </w:r>
                </w:p>
              </w:tc>
              <w:tc>
                <w:tcPr>
                  <w:tcW w:w="540" w:type="pct"/>
                  <w:tcBorders>
                    <w:tl2br w:val="nil"/>
                    <w:tr2bl w:val="nil"/>
                  </w:tcBorders>
                  <w:noWrap w:val="0"/>
                  <w:vAlign w:val="center"/>
                </w:tcPr>
                <w:p w14:paraId="091A356B">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r w14:paraId="3CA70C0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230" w:type="pct"/>
                  <w:tcBorders>
                    <w:tl2br w:val="nil"/>
                    <w:tr2bl w:val="nil"/>
                  </w:tcBorders>
                  <w:noWrap w:val="0"/>
                  <w:vAlign w:val="center"/>
                </w:tcPr>
                <w:p w14:paraId="182CAA48">
                  <w:pPr>
                    <w:pStyle w:val="68"/>
                    <w:keepNext w:val="0"/>
                    <w:keepLines w:val="0"/>
                    <w:suppressLineNumbers w:val="0"/>
                    <w:adjustRightInd w:val="0"/>
                    <w:snapToGrid w:val="0"/>
                    <w:spacing w:before="0" w:beforeAutospacing="0" w:after="0" w:afterAutospacing="0"/>
                    <w:ind w:left="0" w:right="0"/>
                    <w:jc w:val="left"/>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全面加强无组织排放控制。提高废气收集率。遵循“应收尽收、分质收集”的原则，科学设计废气收集系统，将无组织排放转变为有组织排放进行控制。采用全密闭集气罩或密闭空间的，除行业有特殊要求外，应保持微负压状态，并根据相关规范合理设置通风量。采用局部集气罩的，距集气罩开口面最远处的VOC</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S</w:t>
                  </w:r>
                  <w:r>
                    <w:rPr>
                      <w:rFonts w:hint="default" w:ascii="Times New Roman" w:hAnsi="Times New Roman" w:eastAsia="宋体" w:cs="Times New Roman"/>
                      <w:color w:val="000000" w:themeColor="text1"/>
                      <w:sz w:val="21"/>
                      <w:szCs w:val="21"/>
                      <w:highlight w:val="none"/>
                      <w14:textFill>
                        <w14:solidFill>
                          <w14:schemeClr w14:val="tx1"/>
                        </w14:solidFill>
                      </w14:textFill>
                    </w:rPr>
                    <w:t>无组织排放位置，控制风速应不低于0.3米/秒，有行业要求的按相关规定执行。</w:t>
                  </w:r>
                </w:p>
              </w:tc>
              <w:tc>
                <w:tcPr>
                  <w:tcW w:w="1229" w:type="pct"/>
                  <w:tcBorders>
                    <w:tl2br w:val="nil"/>
                    <w:tr2bl w:val="nil"/>
                  </w:tcBorders>
                  <w:noWrap w:val="0"/>
                  <w:vAlign w:val="center"/>
                </w:tcPr>
                <w:p w14:paraId="672AA296">
                  <w:pPr>
                    <w:pStyle w:val="68"/>
                    <w:keepNext w:val="0"/>
                    <w:keepLines w:val="0"/>
                    <w:suppressLineNumbers w:val="0"/>
                    <w:adjustRightInd w:val="0"/>
                    <w:snapToGrid w:val="0"/>
                    <w:spacing w:before="0" w:beforeAutospacing="0" w:after="0" w:afterAutospacing="0"/>
                    <w:ind w:left="0" w:right="0"/>
                    <w:jc w:val="left"/>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本项目生产车间</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生产中为</w:t>
                  </w:r>
                  <w:r>
                    <w:rPr>
                      <w:rFonts w:hint="eastAsia" w:ascii="Times New Roman" w:hAnsi="Times New Roman" w:cs="Times New Roman"/>
                      <w:color w:val="000000" w:themeColor="text1"/>
                      <w:sz w:val="21"/>
                      <w:szCs w:val="21"/>
                      <w:highlight w:val="none"/>
                      <w:lang w:eastAsia="zh-CN"/>
                      <w14:textFill>
                        <w14:solidFill>
                          <w14:schemeClr w14:val="tx1"/>
                        </w14:solidFill>
                      </w14:textFill>
                    </w:rPr>
                    <w:t>封闭式</w:t>
                  </w:r>
                </w:p>
              </w:tc>
              <w:tc>
                <w:tcPr>
                  <w:tcW w:w="540" w:type="pct"/>
                  <w:tcBorders>
                    <w:tl2br w:val="nil"/>
                    <w:tr2bl w:val="nil"/>
                  </w:tcBorders>
                  <w:noWrap w:val="0"/>
                  <w:vAlign w:val="center"/>
                </w:tcPr>
                <w:p w14:paraId="08EAE840">
                  <w:pPr>
                    <w:pStyle w:val="1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r w14:paraId="72C0536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230" w:type="pct"/>
                  <w:tcBorders>
                    <w:tl2br w:val="nil"/>
                    <w:tr2bl w:val="nil"/>
                  </w:tcBorders>
                  <w:noWrap w:val="0"/>
                  <w:vAlign w:val="center"/>
                </w:tcPr>
                <w:p w14:paraId="2BC045A3">
                  <w:pPr>
                    <w:pStyle w:val="68"/>
                    <w:keepNext w:val="0"/>
                    <w:keepLines w:val="0"/>
                    <w:suppressLineNumbers w:val="0"/>
                    <w:adjustRightInd w:val="0"/>
                    <w:snapToGrid w:val="0"/>
                    <w:spacing w:before="0" w:beforeAutospacing="0" w:after="0" w:afterAutospacing="0"/>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推进建设适宜高效的治污设施。企业新建治污设施或对现有治污设施实施改造，应依据排放废气的浓度、组分、风量，温度、湿度、压力，以及生产工况等，合理选择治理技术。鼓励企业采用多种技术的组合工艺，提高VOC</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S</w:t>
                  </w:r>
                  <w:r>
                    <w:rPr>
                      <w:rFonts w:hint="default" w:ascii="Times New Roman" w:hAnsi="Times New Roman" w:eastAsia="宋体" w:cs="Times New Roman"/>
                      <w:color w:val="000000" w:themeColor="text1"/>
                      <w:sz w:val="21"/>
                      <w:szCs w:val="21"/>
                      <w:highlight w:val="none"/>
                      <w14:textFill>
                        <w14:solidFill>
                          <w14:schemeClr w14:val="tx1"/>
                        </w14:solidFill>
                      </w14:textFill>
                    </w:rPr>
                    <w:t>治理效率。低浓度、大风量废气，宜采用沸石转轮吸附、活性炭吸附、减风增浓等浓缩技术，提高VOC</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S</w:t>
                  </w:r>
                  <w:r>
                    <w:rPr>
                      <w:rFonts w:hint="default" w:ascii="Times New Roman" w:hAnsi="Times New Roman" w:eastAsia="宋体" w:cs="Times New Roman"/>
                      <w:color w:val="000000" w:themeColor="text1"/>
                      <w:sz w:val="21"/>
                      <w:szCs w:val="21"/>
                      <w:highlight w:val="none"/>
                      <w14:textFill>
                        <w14:solidFill>
                          <w14:schemeClr w14:val="tx1"/>
                        </w14:solidFill>
                      </w14:textFill>
                    </w:rPr>
                    <w:t>浓度后净化处理；高浓度废气，优先进行溶剂回收，难以回收的，宜采用高温焚烧、催化燃烧等技术。油气（溶剂）回收宜采用冷凝+吸附、吸附+吸收、膜分离+吸附等技术。低温等离子、光催化、光氧化技术主要适用于恶臭异味等治理；生物法主要适用于低浓度VOC</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S</w:t>
                  </w:r>
                  <w:r>
                    <w:rPr>
                      <w:rFonts w:hint="default" w:ascii="Times New Roman" w:hAnsi="Times New Roman" w:eastAsia="宋体" w:cs="Times New Roman"/>
                      <w:color w:val="000000" w:themeColor="text1"/>
                      <w:sz w:val="21"/>
                      <w:szCs w:val="21"/>
                      <w:highlight w:val="none"/>
                      <w14:textFill>
                        <w14:solidFill>
                          <w14:schemeClr w14:val="tx1"/>
                        </w14:solidFill>
                      </w14:textFill>
                    </w:rPr>
                    <w:t>废气治理和恶臭异味治理。非水溶性的VOC</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S</w:t>
                  </w:r>
                  <w:r>
                    <w:rPr>
                      <w:rFonts w:hint="default" w:ascii="Times New Roman" w:hAnsi="Times New Roman" w:eastAsia="宋体" w:cs="Times New Roman"/>
                      <w:color w:val="000000" w:themeColor="text1"/>
                      <w:sz w:val="21"/>
                      <w:szCs w:val="21"/>
                      <w:highlight w:val="none"/>
                      <w14:textFill>
                        <w14:solidFill>
                          <w14:schemeClr w14:val="tx1"/>
                        </w14:solidFill>
                      </w14:textFill>
                    </w:rPr>
                    <w:t>废气禁止采用水或水溶液喷淋吸收处理。采用一次性活性炭吸附技术的，应定期更换活性炭，废旧活性炭应再生或处理处置。有条件的工业园区和产业集群等，推广集中喷涂、溶剂集中回收、活性炭集中再生等，加强资源共享，提高VOC</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S</w:t>
                  </w:r>
                  <w:r>
                    <w:rPr>
                      <w:rFonts w:hint="default" w:ascii="Times New Roman" w:hAnsi="Times New Roman" w:eastAsia="宋体" w:cs="Times New Roman"/>
                      <w:color w:val="000000" w:themeColor="text1"/>
                      <w:sz w:val="21"/>
                      <w:szCs w:val="21"/>
                      <w:highlight w:val="none"/>
                      <w14:textFill>
                        <w14:solidFill>
                          <w14:schemeClr w14:val="tx1"/>
                        </w14:solidFill>
                      </w14:textFill>
                    </w:rPr>
                    <w:t>治理效率。</w:t>
                  </w:r>
                </w:p>
              </w:tc>
              <w:tc>
                <w:tcPr>
                  <w:tcW w:w="1229" w:type="pct"/>
                  <w:tcBorders>
                    <w:tl2br w:val="nil"/>
                    <w:tr2bl w:val="nil"/>
                  </w:tcBorders>
                  <w:noWrap w:val="0"/>
                  <w:vAlign w:val="center"/>
                </w:tcPr>
                <w:p w14:paraId="7DB9DB7F">
                  <w:pPr>
                    <w:pStyle w:val="68"/>
                    <w:keepNext w:val="0"/>
                    <w:keepLines w:val="0"/>
                    <w:suppressLineNumbers w:val="0"/>
                    <w:adjustRightInd w:val="0"/>
                    <w:snapToGrid w:val="0"/>
                    <w:spacing w:before="0" w:beforeAutospacing="0" w:after="0" w:afterAutospacing="0"/>
                    <w:ind w:left="0" w:right="0"/>
                    <w:jc w:val="left"/>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本项目</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前处理车间炒制工序产生的臭气浓度</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采用</w:t>
                  </w: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二级</w:t>
                  </w:r>
                  <w:r>
                    <w:rPr>
                      <w:rFonts w:hint="eastAsia" w:ascii="Times New Roman" w:hAnsi="Times New Roman" w:cs="Times New Roman"/>
                      <w:bCs/>
                      <w:snapToGrid w:val="0"/>
                      <w:color w:val="000000" w:themeColor="text1"/>
                      <w:kern w:val="0"/>
                      <w:sz w:val="21"/>
                      <w:szCs w:val="21"/>
                      <w:highlight w:val="none"/>
                      <w:lang w:val="en-US" w:eastAsia="zh-CN" w:bidi="ar-SA"/>
                      <w14:textFill>
                        <w14:solidFill>
                          <w14:schemeClr w14:val="tx1"/>
                        </w14:solidFill>
                      </w14:textFill>
                    </w:rPr>
                    <w:t>活性炭吸附设施处理</w:t>
                  </w: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w:t>
                  </w:r>
                </w:p>
              </w:tc>
              <w:tc>
                <w:tcPr>
                  <w:tcW w:w="540" w:type="pct"/>
                  <w:tcBorders>
                    <w:tl2br w:val="nil"/>
                    <w:tr2bl w:val="nil"/>
                  </w:tcBorders>
                  <w:noWrap w:val="0"/>
                  <w:vAlign w:val="center"/>
                </w:tcPr>
                <w:p w14:paraId="7C84A4BC">
                  <w:pPr>
                    <w:pStyle w:val="1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bl>
          <w:p w14:paraId="2A15CFD7">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156" w:beforeLines="50" w:beforeAutospacing="0" w:after="0" w:afterAutospacing="0" w:line="360" w:lineRule="auto"/>
              <w:ind w:left="0" w:right="0" w:rightChars="0" w:firstLine="480" w:firstLineChars="200"/>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综上所述，本项目符合《重点行业挥发性有机物综合治理方案》（环大气〔2019〕53 号）中的相关要求。</w:t>
            </w:r>
          </w:p>
          <w:p w14:paraId="07492FF8">
            <w:pPr>
              <w:keepNext w:val="0"/>
              <w:keepLines w:val="0"/>
              <w:numPr>
                <w:ilvl w:val="0"/>
                <w:numId w:val="3"/>
              </w:numPr>
              <w:suppressLineNumbers w:val="0"/>
              <w:adjustRightInd w:val="0"/>
              <w:snapToGrid w:val="0"/>
              <w:spacing w:before="156" w:beforeLines="50" w:beforeAutospacing="0" w:after="0" w:afterAutospacing="0" w:line="360" w:lineRule="auto"/>
              <w:ind w:left="0" w:leftChars="0" w:right="0" w:rightChars="0"/>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本项目</w:t>
            </w:r>
            <w:r>
              <w:rPr>
                <w:rFonts w:hint="eastAsia" w:cs="Times New Roman"/>
                <w:b/>
                <w:bCs/>
                <w:color w:val="000000" w:themeColor="text1"/>
                <w:sz w:val="24"/>
                <w:szCs w:val="24"/>
                <w:highlight w:val="none"/>
                <w:lang w:val="en-US" w:eastAsia="zh-CN"/>
                <w14:textFill>
                  <w14:solidFill>
                    <w14:schemeClr w14:val="tx1"/>
                  </w14:solidFill>
                </w14:textFill>
              </w:rPr>
              <w:t>与</w:t>
            </w: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《深入打好重污染天气消除、臭氧污染防治和柴油货车污染治理攻坚战行动方案》（环大气〔2022〕68号）相符性分析</w:t>
            </w:r>
          </w:p>
          <w:p w14:paraId="0DD69916">
            <w:pPr>
              <w:keepNext w:val="0"/>
              <w:keepLines w:val="0"/>
              <w:numPr>
                <w:ilvl w:val="0"/>
                <w:numId w:val="2"/>
              </w:numPr>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eastAsia="宋体" w:cs="Times New Roman"/>
                <w:b/>
                <w:bCs/>
                <w:color w:val="000000" w:themeColor="text1"/>
                <w:kern w:val="2"/>
                <w:sz w:val="21"/>
                <w:szCs w:val="21"/>
                <w:highlight w:val="none"/>
                <w:lang w:val="en-US" w:eastAsia="zh-CN" w:bidi="ar-SA"/>
                <w14:textFill>
                  <w14:solidFill>
                    <w14:schemeClr w14:val="tx1"/>
                  </w14:solidFill>
                </w14:textFill>
              </w:rPr>
              <w:t xml:space="preserve">  </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本项目与 《深入打好重污染天气消除、臭氧污染防治和柴油货车污染治理攻坚战行动方案》相符性分析</w:t>
            </w:r>
          </w:p>
          <w:tbl>
            <w:tblPr>
              <w:tblStyle w:val="36"/>
              <w:tblW w:w="5000"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184"/>
              <w:gridCol w:w="2341"/>
              <w:gridCol w:w="929"/>
            </w:tblGrid>
            <w:tr w14:paraId="40A4042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4252" w:type="dxa"/>
                  <w:tcBorders>
                    <w:tl2br w:val="nil"/>
                    <w:tr2bl w:val="nil"/>
                  </w:tcBorders>
                  <w:noWrap w:val="0"/>
                  <w:vAlign w:val="center"/>
                </w:tcPr>
                <w:p w14:paraId="357A82A1">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文件要求</w:t>
                  </w:r>
                </w:p>
              </w:tc>
              <w:tc>
                <w:tcPr>
                  <w:tcW w:w="2378" w:type="dxa"/>
                  <w:tcBorders>
                    <w:tl2br w:val="nil"/>
                    <w:tr2bl w:val="nil"/>
                  </w:tcBorders>
                  <w:noWrap w:val="0"/>
                  <w:vAlign w:val="center"/>
                </w:tcPr>
                <w:p w14:paraId="7FF659BC">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项目情况</w:t>
                  </w:r>
                </w:p>
              </w:tc>
              <w:tc>
                <w:tcPr>
                  <w:tcW w:w="941" w:type="dxa"/>
                  <w:tcBorders>
                    <w:tl2br w:val="nil"/>
                    <w:tr2bl w:val="nil"/>
                  </w:tcBorders>
                  <w:noWrap w:val="0"/>
                  <w:vAlign w:val="center"/>
                </w:tcPr>
                <w:p w14:paraId="2D49E67D">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kern w:val="0"/>
                      <w:sz w:val="21"/>
                      <w:szCs w:val="21"/>
                      <w:highlight w:val="none"/>
                      <w:lang w:val="en-US" w:eastAsia="zh-CN" w:bidi="ar"/>
                      <w14:textFill>
                        <w14:solidFill>
                          <w14:schemeClr w14:val="tx1"/>
                        </w14:solidFill>
                      </w14:textFill>
                    </w:rPr>
                    <w:t>相符性</w:t>
                  </w:r>
                </w:p>
              </w:tc>
            </w:tr>
            <w:tr w14:paraId="2255BC8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7571" w:type="dxa"/>
                  <w:gridSpan w:val="3"/>
                  <w:tcBorders>
                    <w:tl2br w:val="nil"/>
                    <w:tr2bl w:val="nil"/>
                  </w:tcBorders>
                  <w:noWrap w:val="0"/>
                  <w:vAlign w:val="center"/>
                </w:tcPr>
                <w:p w14:paraId="429B3FA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附件1 重污染天气消除攻坚行动方案</w:t>
                  </w:r>
                </w:p>
              </w:tc>
            </w:tr>
            <w:tr w14:paraId="0419F49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4252" w:type="dxa"/>
                  <w:tcBorders>
                    <w:tl2br w:val="nil"/>
                    <w:tr2bl w:val="nil"/>
                  </w:tcBorders>
                  <w:noWrap w:val="0"/>
                  <w:vAlign w:val="center"/>
                </w:tcPr>
                <w:p w14:paraId="4458566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一、总体要求</w:t>
                  </w:r>
                </w:p>
                <w:p w14:paraId="39C7E98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(二)攻坚思路</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：坚持源头防控、系统治理，以钢铁、焦化、建材、有色、石化、化工、工业涂装等行业和居民取暖、柴油货车、秸秆焚烧等领域为重点，全面提升污染治理水平。坚持突出重点、分区施策，聚焦细颗粒物(PM</w:t>
                  </w:r>
                  <w:r>
                    <w:rPr>
                      <w:rFonts w:hint="eastAsia" w:ascii="Times New Roman" w:hAnsi="Times New Roman" w:eastAsia="宋体" w:cs="Times New Roman"/>
                      <w:color w:val="000000" w:themeColor="text1"/>
                      <w:sz w:val="21"/>
                      <w:szCs w:val="21"/>
                      <w:highlight w:val="none"/>
                      <w:vertAlign w:val="subscript"/>
                      <w:lang w:eastAsia="zh-CN"/>
                      <w14:textFill>
                        <w14:solidFill>
                          <w14:schemeClr w14:val="tx1"/>
                        </w14:solidFill>
                      </w14:textFill>
                    </w:rPr>
                    <w:t>2</w:t>
                  </w:r>
                  <w:r>
                    <w:rPr>
                      <w:rFonts w:hint="eastAsia"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.5</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污染，以秋冬季(10月一次年3月)为重点时段，根据京津冀及周边地区、汾渭平原、东北地区、天山北坡城市群等区域不同污染特征，提出针对性攻坚措施。坚持科学研判、协同应对，强化重污染天气应对全过程科技支撑，提升空气质量预测预报能力，强化区域协作机制，完善重点行业绩效分级管理体系，精准有效应对重污染天气。</w:t>
                  </w:r>
                </w:p>
              </w:tc>
              <w:tc>
                <w:tcPr>
                  <w:tcW w:w="2378" w:type="dxa"/>
                  <w:tcBorders>
                    <w:tl2br w:val="nil"/>
                    <w:tr2bl w:val="nil"/>
                  </w:tcBorders>
                  <w:noWrap w:val="0"/>
                  <w:vAlign w:val="center"/>
                </w:tcPr>
                <w:p w14:paraId="7EC0DC4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本项目</w:t>
                  </w: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不属于钢铁、焦化、建材、有色、石化、化工、工业涂装等行业</w:t>
                  </w:r>
                  <w:r>
                    <w:rPr>
                      <w:rFonts w:hint="eastAsia" w:cs="Times New Roman"/>
                      <w:color w:val="000000" w:themeColor="text1"/>
                      <w:kern w:val="0"/>
                      <w:sz w:val="21"/>
                      <w:szCs w:val="21"/>
                      <w:highlight w:val="none"/>
                      <w:lang w:val="en-US" w:eastAsia="zh-CN" w:bidi="ar"/>
                      <w14:textFill>
                        <w14:solidFill>
                          <w14:schemeClr w14:val="tx1"/>
                        </w14:solidFill>
                      </w14:textFill>
                    </w:rPr>
                    <w:t>。</w:t>
                  </w:r>
                </w:p>
              </w:tc>
              <w:tc>
                <w:tcPr>
                  <w:tcW w:w="941" w:type="dxa"/>
                  <w:tcBorders>
                    <w:tl2br w:val="nil"/>
                    <w:tr2bl w:val="nil"/>
                  </w:tcBorders>
                  <w:noWrap w:val="0"/>
                  <w:vAlign w:val="center"/>
                </w:tcPr>
                <w:p w14:paraId="2211AF1A">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r w14:paraId="1A7CDDC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52" w:type="dxa"/>
                  <w:tcBorders>
                    <w:tl2br w:val="nil"/>
                    <w:tr2bl w:val="nil"/>
                  </w:tcBorders>
                  <w:noWrap w:val="0"/>
                  <w:vAlign w:val="center"/>
                </w:tcPr>
                <w:p w14:paraId="7B78C87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二、大气减污降碳协同增效行动</w:t>
                  </w:r>
                </w:p>
                <w:p w14:paraId="55E925F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推动产业结构和布局优化调整。</w:t>
                  </w:r>
                  <w:r>
                    <w:rPr>
                      <w:rFonts w:hint="default" w:ascii="Times New Roman" w:hAnsi="Times New Roman" w:eastAsia="宋体" w:cs="Times New Roman"/>
                      <w:color w:val="000000" w:themeColor="text1"/>
                      <w:sz w:val="21"/>
                      <w:szCs w:val="21"/>
                      <w:highlight w:val="none"/>
                      <w14:textFill>
                        <w14:solidFill>
                          <w14:schemeClr w14:val="tx1"/>
                        </w14:solidFill>
                      </w14:textFill>
                    </w:rPr>
                    <w:t>坚决遏制高耗能、高排放、低水平项目盲目发展，严格落实国家产业规划、产业政策、"三线一单"、规划环评，以及产能置换、煤炭消费减量替代、区域污染物削减等要求，坚决叫停不符合要求的高耗能、高排放、低水平项目。依法依规退出重点行业落后产能，修订</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产业结构调整指导目录</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，将大气污染物排放强度高、治理难度大的工艺和装备纳入淘汰类或限制类名单。</w:t>
                  </w:r>
                </w:p>
              </w:tc>
              <w:tc>
                <w:tcPr>
                  <w:tcW w:w="2378" w:type="dxa"/>
                  <w:tcBorders>
                    <w:tl2br w:val="nil"/>
                    <w:tr2bl w:val="nil"/>
                  </w:tcBorders>
                  <w:noWrap w:val="0"/>
                  <w:vAlign w:val="center"/>
                </w:tcPr>
                <w:p w14:paraId="272F2AE5">
                  <w:pPr>
                    <w:keepNext w:val="0"/>
                    <w:keepLines w:val="0"/>
                    <w:pageBreakBefore w:val="0"/>
                    <w:widowControl/>
                    <w:suppressLineNumbers w:val="0"/>
                    <w:kinsoku/>
                    <w:wordWrap w:val="0"/>
                    <w:overflowPunct/>
                    <w:topLinePunct w:val="0"/>
                    <w:autoSpaceDE/>
                    <w:autoSpaceDN/>
                    <w:bidi w:val="0"/>
                    <w:adjustRightInd w:val="0"/>
                    <w:snapToGrid w:val="0"/>
                    <w:spacing w:before="0" w:beforeAutospacing="0" w:after="0" w:afterAutospacing="0"/>
                    <w:ind w:left="0" w:right="0"/>
                    <w:jc w:val="left"/>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本项目</w:t>
                  </w: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不属于</w:t>
                  </w:r>
                  <w:r>
                    <w:rPr>
                      <w:rFonts w:hint="default" w:ascii="Times New Roman" w:hAnsi="Times New Roman" w:eastAsia="宋体" w:cs="Times New Roman"/>
                      <w:color w:val="000000" w:themeColor="text1"/>
                      <w:sz w:val="21"/>
                      <w:szCs w:val="21"/>
                      <w:highlight w:val="none"/>
                      <w14:textFill>
                        <w14:solidFill>
                          <w14:schemeClr w14:val="tx1"/>
                        </w14:solidFill>
                      </w14:textFill>
                    </w:rPr>
                    <w:t>高耗能、高排放、低水平项目</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项目不属于《产业结构调整指导目录（2024年本）》中“鼓励类”、“限制类”及“淘汰类”项目，为允许类建设项目。</w:t>
                  </w:r>
                </w:p>
              </w:tc>
              <w:tc>
                <w:tcPr>
                  <w:tcW w:w="941" w:type="dxa"/>
                  <w:tcBorders>
                    <w:tl2br w:val="nil"/>
                    <w:tr2bl w:val="nil"/>
                  </w:tcBorders>
                  <w:noWrap w:val="0"/>
                  <w:vAlign w:val="center"/>
                </w:tcPr>
                <w:p w14:paraId="60BBF365">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r w14:paraId="4CC835E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52" w:type="dxa"/>
                  <w:tcBorders>
                    <w:tl2br w:val="nil"/>
                    <w:tr2bl w:val="nil"/>
                  </w:tcBorders>
                  <w:noWrap w:val="0"/>
                  <w:vAlign w:val="center"/>
                </w:tcPr>
                <w:p w14:paraId="432B22D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推动能源绿色低碳转型。</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大力发展新能源和清洁能源，非化石能源逐步成为能源消费增量主体。严控煤炭消费增长，重点区域继续实施煤炭消费总量控制，推动煤炭清洁高效利用。将确保群众安全过冬、温暖过冬放在首位，宜电则电、宜气则气、宜煤则煤、宜热则热，因地制宜稳妥推进北方地区清洁取暖，有序实施民用和农业散煤替代，在推进过程中要坚持以供定需、以气定改、先立后破、不立不破。</w:t>
                  </w:r>
                </w:p>
              </w:tc>
              <w:tc>
                <w:tcPr>
                  <w:tcW w:w="2378" w:type="dxa"/>
                  <w:tcBorders>
                    <w:tl2br w:val="nil"/>
                    <w:tr2bl w:val="nil"/>
                  </w:tcBorders>
                  <w:noWrap w:val="0"/>
                  <w:vAlign w:val="center"/>
                </w:tcPr>
                <w:p w14:paraId="3BA63229">
                  <w:pPr>
                    <w:keepNext w:val="0"/>
                    <w:keepLines w:val="0"/>
                    <w:pageBreakBefore w:val="0"/>
                    <w:widowControl/>
                    <w:suppressLineNumbers w:val="0"/>
                    <w:kinsoku/>
                    <w:wordWrap w:val="0"/>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项目</w:t>
                  </w:r>
                  <w:r>
                    <w:rPr>
                      <w:rFonts w:hint="eastAsia"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不涉及煤炭。</w:t>
                  </w:r>
                </w:p>
              </w:tc>
              <w:tc>
                <w:tcPr>
                  <w:tcW w:w="941" w:type="dxa"/>
                  <w:tcBorders>
                    <w:tl2br w:val="nil"/>
                    <w:tr2bl w:val="nil"/>
                  </w:tcBorders>
                  <w:noWrap w:val="0"/>
                  <w:vAlign w:val="center"/>
                </w:tcPr>
                <w:p w14:paraId="38747107">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r w14:paraId="0B680D5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52" w:type="dxa"/>
                  <w:tcBorders>
                    <w:tl2br w:val="nil"/>
                    <w:tr2bl w:val="nil"/>
                  </w:tcBorders>
                  <w:noWrap w:val="0"/>
                  <w:vAlign w:val="center"/>
                </w:tcPr>
                <w:p w14:paraId="3ED3A3A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开展传统产业集群升级改造。</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开展涉气产业集群排查及分类治理，各地要进一步分析产业发展定位，"一群一策"制定整治提升方案，树立行业标杆，从生产工艺、产品质量、产能规模、能耗水平、燃料类型、原辅材料替代、污染治理和区域环境综合整治等方面明确升级改造标准。</w:t>
                  </w:r>
                </w:p>
              </w:tc>
              <w:tc>
                <w:tcPr>
                  <w:tcW w:w="2378" w:type="dxa"/>
                  <w:tcBorders>
                    <w:tl2br w:val="nil"/>
                    <w:tr2bl w:val="nil"/>
                  </w:tcBorders>
                  <w:noWrap w:val="0"/>
                  <w:vAlign w:val="center"/>
                </w:tcPr>
                <w:p w14:paraId="4E9C1069">
                  <w:pPr>
                    <w:keepNext w:val="0"/>
                    <w:keepLines w:val="0"/>
                    <w:pageBreakBefore w:val="0"/>
                    <w:widowControl/>
                    <w:suppressLineNumbers w:val="0"/>
                    <w:kinsoku/>
                    <w:wordWrap w:val="0"/>
                    <w:overflowPunct/>
                    <w:topLinePunct w:val="0"/>
                    <w:autoSpaceDE/>
                    <w:autoSpaceDN/>
                    <w:bidi w:val="0"/>
                    <w:adjustRightInd w:val="0"/>
                    <w:snapToGrid w:val="0"/>
                    <w:spacing w:before="0" w:beforeAutospacing="0" w:after="0" w:afterAutospacing="0"/>
                    <w:ind w:left="0" w:right="0"/>
                    <w:jc w:val="left"/>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本项目位于</w:t>
                  </w:r>
                  <w:r>
                    <w:rPr>
                      <w:rFonts w:hint="eastAsia" w:cs="Times New Roman"/>
                      <w:color w:val="000000" w:themeColor="text1"/>
                      <w:sz w:val="21"/>
                      <w:szCs w:val="21"/>
                      <w:highlight w:val="none"/>
                      <w:lang w:eastAsia="zh-CN"/>
                      <w14:textFill>
                        <w14:solidFill>
                          <w14:schemeClr w14:val="tx1"/>
                        </w14:solidFill>
                      </w14:textFill>
                    </w:rPr>
                    <w:t>辽宁省本溪经济技术开发区医药园区</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，产品为中成药，符合沈本新城总体规划。</w:t>
                  </w:r>
                </w:p>
              </w:tc>
              <w:tc>
                <w:tcPr>
                  <w:tcW w:w="941" w:type="dxa"/>
                  <w:tcBorders>
                    <w:tl2br w:val="nil"/>
                    <w:tr2bl w:val="nil"/>
                  </w:tcBorders>
                  <w:noWrap w:val="0"/>
                  <w:vAlign w:val="center"/>
                </w:tcPr>
                <w:p w14:paraId="0F99DB0B">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r w14:paraId="46BD63A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52" w:type="dxa"/>
                  <w:tcBorders>
                    <w:tl2br w:val="nil"/>
                    <w:tr2bl w:val="nil"/>
                  </w:tcBorders>
                  <w:noWrap w:val="0"/>
                  <w:vAlign w:val="center"/>
                </w:tcPr>
                <w:p w14:paraId="26AC28F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四、其他区域攻坚行动</w:t>
                  </w:r>
                </w:p>
                <w:p w14:paraId="6309BC0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东北地区、天山北坡城市群加快推进清洁取暖</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。因地制宜、稳妥有序推进生活和冬季取暖散煤替代。打造集中供热"一张网"，充分发挥大型煤电机组供热能力，大力推进燃煤锅炉关停整合</w:t>
                  </w:r>
                  <w:r>
                    <w:rPr>
                      <w:rFonts w:hint="eastAsia" w:ascii="Times New Roman" w:hAnsi="Times New Roman" w:eastAsia="宋体" w:cs="Times New Roman"/>
                      <w:b w:val="0"/>
                      <w:bCs w:val="0"/>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对保留的供暖锅炉全面排查，实施"冬病夏治"，确保采暖期稳定达标排放。生物质锅炉采用专用锅炉，配套布袋等高效除尘设施，氮氧化物排放难以达标的应配套脱硝设施，禁止掺烧煤炭、垃圾等其他物料。</w:t>
                  </w:r>
                </w:p>
              </w:tc>
              <w:tc>
                <w:tcPr>
                  <w:tcW w:w="2378" w:type="dxa"/>
                  <w:tcBorders>
                    <w:tl2br w:val="nil"/>
                    <w:tr2bl w:val="nil"/>
                  </w:tcBorders>
                  <w:noWrap w:val="0"/>
                  <w:vAlign w:val="center"/>
                </w:tcPr>
                <w:p w14:paraId="2D8DDEB9">
                  <w:pPr>
                    <w:keepNext w:val="0"/>
                    <w:keepLines w:val="0"/>
                    <w:pageBreakBefore w:val="0"/>
                    <w:widowControl/>
                    <w:suppressLineNumbers w:val="0"/>
                    <w:kinsoku/>
                    <w:wordWrap w:val="0"/>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项目</w:t>
                  </w:r>
                  <w:r>
                    <w:rPr>
                      <w:rFonts w:hint="eastAsia"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不涉及煤炭。</w:t>
                  </w:r>
                </w:p>
              </w:tc>
              <w:tc>
                <w:tcPr>
                  <w:tcW w:w="941" w:type="dxa"/>
                  <w:tcBorders>
                    <w:tl2br w:val="nil"/>
                    <w:tr2bl w:val="nil"/>
                  </w:tcBorders>
                  <w:noWrap w:val="0"/>
                  <w:vAlign w:val="center"/>
                </w:tcPr>
                <w:p w14:paraId="6345774E">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r w14:paraId="63069AD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52" w:type="dxa"/>
                  <w:tcBorders>
                    <w:tl2br w:val="nil"/>
                    <w:tr2bl w:val="nil"/>
                  </w:tcBorders>
                  <w:noWrap w:val="0"/>
                  <w:vAlign w:val="center"/>
                </w:tcPr>
                <w:p w14:paraId="13E4699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强化应急减排措施清单化管理。</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工业源应急减排措施应落实到具体生产线、生产环节、生产设施，做到可操作、可监测、可核查，企业作为责任主体，应制定"一厂一策"操作方案并落实到位。对工业余热供暖和协同处置企业，应严格执行按需定产。将特殊时段禁止或限制污染物排放要求依法纳入排污许可证。</w:t>
                  </w:r>
                </w:p>
              </w:tc>
              <w:tc>
                <w:tcPr>
                  <w:tcW w:w="2378" w:type="dxa"/>
                  <w:tcBorders>
                    <w:tl2br w:val="nil"/>
                    <w:tr2bl w:val="nil"/>
                  </w:tcBorders>
                  <w:noWrap w:val="0"/>
                  <w:vAlign w:val="center"/>
                </w:tcPr>
                <w:p w14:paraId="5CD9F80F">
                  <w:pPr>
                    <w:keepNext w:val="0"/>
                    <w:keepLines w:val="0"/>
                    <w:pageBreakBefore w:val="0"/>
                    <w:widowControl/>
                    <w:suppressLineNumbers w:val="0"/>
                    <w:kinsoku/>
                    <w:wordWrap w:val="0"/>
                    <w:overflowPunct/>
                    <w:topLinePunct w:val="0"/>
                    <w:autoSpaceDE/>
                    <w:autoSpaceDN/>
                    <w:bidi w:val="0"/>
                    <w:adjustRightInd w:val="0"/>
                    <w:snapToGrid w:val="0"/>
                    <w:spacing w:before="0" w:beforeAutospacing="0" w:after="0" w:afterAutospacing="0"/>
                    <w:ind w:left="0" w:right="0"/>
                    <w:jc w:val="left"/>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本企业按照上级部门要求</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制定"一厂一策"操作方案并落实到位。</w:t>
                  </w:r>
                </w:p>
              </w:tc>
              <w:tc>
                <w:tcPr>
                  <w:tcW w:w="941" w:type="dxa"/>
                  <w:tcBorders>
                    <w:tl2br w:val="nil"/>
                    <w:tr2bl w:val="nil"/>
                  </w:tcBorders>
                  <w:noWrap w:val="0"/>
                  <w:vAlign w:val="center"/>
                </w:tcPr>
                <w:p w14:paraId="47D95891">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r w14:paraId="690C0F8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571" w:type="dxa"/>
                  <w:gridSpan w:val="3"/>
                  <w:tcBorders>
                    <w:tl2br w:val="nil"/>
                    <w:tr2bl w:val="nil"/>
                  </w:tcBorders>
                  <w:noWrap w:val="0"/>
                  <w:vAlign w:val="center"/>
                </w:tcPr>
                <w:p w14:paraId="5547FB7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附件2 </w:t>
                  </w:r>
                  <w:r>
                    <w:rPr>
                      <w:rFonts w:hint="default" w:ascii="Times New Roman" w:hAnsi="Times New Roman" w:eastAsia="宋体" w:cs="Times New Roman"/>
                      <w:color w:val="000000" w:themeColor="text1"/>
                      <w:sz w:val="21"/>
                      <w:szCs w:val="21"/>
                      <w:highlight w:val="none"/>
                      <w14:textFill>
                        <w14:solidFill>
                          <w14:schemeClr w14:val="tx1"/>
                        </w14:solidFill>
                      </w14:textFill>
                    </w:rPr>
                    <w:t>臭氧污染防治攻坚行动方案</w:t>
                  </w:r>
                </w:p>
              </w:tc>
            </w:tr>
            <w:tr w14:paraId="63D2483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52" w:type="dxa"/>
                  <w:tcBorders>
                    <w:tl2br w:val="nil"/>
                    <w:tr2bl w:val="nil"/>
                  </w:tcBorders>
                  <w:noWrap w:val="0"/>
                  <w:vAlign w:val="center"/>
                </w:tcPr>
                <w:p w14:paraId="5F2D8B0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一、总体要求</w:t>
                  </w:r>
                </w:p>
                <w:p w14:paraId="0674CF9B">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(二)攻坚思路</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坚持协同减排、源头防控，聚焦臭氧前体物VOCs和氮氧化物，加快推进含VOCs原辅材料源头替代，实施清洁能源替代，强化石化、化工、工业涂装、包装印刷等重点行业及油品储运销VOCs深度治理，加大锅炉、炉窑、移动源氮氧化物减排力度。</w:t>
                  </w:r>
                </w:p>
              </w:tc>
              <w:tc>
                <w:tcPr>
                  <w:tcW w:w="2378" w:type="dxa"/>
                  <w:tcBorders>
                    <w:tl2br w:val="nil"/>
                    <w:tr2bl w:val="nil"/>
                  </w:tcBorders>
                  <w:noWrap w:val="0"/>
                  <w:vAlign w:val="center"/>
                </w:tcPr>
                <w:p w14:paraId="0BCD766A">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本项目</w:t>
                  </w:r>
                  <w:r>
                    <w:rPr>
                      <w:rFonts w:hint="eastAsia" w:cs="Times New Roman"/>
                      <w:color w:val="000000" w:themeColor="text1"/>
                      <w:sz w:val="21"/>
                      <w:szCs w:val="21"/>
                      <w:highlight w:val="none"/>
                      <w:lang w:val="en-US" w:eastAsia="zh-CN"/>
                      <w14:textFill>
                        <w14:solidFill>
                          <w14:schemeClr w14:val="tx1"/>
                        </w14:solidFill>
                      </w14:textFill>
                    </w:rPr>
                    <w:t>不涉及</w:t>
                  </w:r>
                </w:p>
              </w:tc>
              <w:tc>
                <w:tcPr>
                  <w:tcW w:w="941" w:type="dxa"/>
                  <w:tcBorders>
                    <w:tl2br w:val="nil"/>
                    <w:tr2bl w:val="nil"/>
                  </w:tcBorders>
                  <w:noWrap w:val="0"/>
                  <w:vAlign w:val="center"/>
                </w:tcPr>
                <w:p w14:paraId="4500B66F">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不涉及</w:t>
                  </w:r>
                </w:p>
              </w:tc>
            </w:tr>
            <w:tr w14:paraId="0A5E741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52" w:type="dxa"/>
                  <w:tcBorders>
                    <w:tl2br w:val="nil"/>
                    <w:tr2bl w:val="nil"/>
                  </w:tcBorders>
                  <w:noWrap w:val="0"/>
                  <w:vAlign w:val="center"/>
                </w:tcPr>
                <w:p w14:paraId="5183269D">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二、含VOCs原辅材料源头替代行动</w:t>
                  </w:r>
                </w:p>
                <w:p w14:paraId="185DF6A8">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加快实施低VOCs含量原辅材料替代。</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各地对溶剂型涂料、油墨、胶粘剂、清洗剂使用企业制定低VOCs含量原辅材料替代计划。</w:t>
                  </w:r>
                </w:p>
              </w:tc>
              <w:tc>
                <w:tcPr>
                  <w:tcW w:w="2378" w:type="dxa"/>
                  <w:tcBorders>
                    <w:tl2br w:val="nil"/>
                    <w:tr2bl w:val="nil"/>
                  </w:tcBorders>
                  <w:noWrap w:val="0"/>
                  <w:vAlign w:val="center"/>
                </w:tcPr>
                <w:p w14:paraId="03A7D979">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本项目</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不</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涉及</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溶剂型涂料、油墨、胶粘剂、清洗剂使用</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p>
              </w:tc>
              <w:tc>
                <w:tcPr>
                  <w:tcW w:w="941" w:type="dxa"/>
                  <w:tcBorders>
                    <w:tl2br w:val="nil"/>
                    <w:tr2bl w:val="nil"/>
                  </w:tcBorders>
                  <w:noWrap w:val="0"/>
                  <w:vAlign w:val="center"/>
                </w:tcPr>
                <w:p w14:paraId="445C5991">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不</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涉及</w:t>
                  </w:r>
                </w:p>
              </w:tc>
            </w:tr>
            <w:tr w14:paraId="5951FEA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52" w:type="dxa"/>
                  <w:tcBorders>
                    <w:tl2br w:val="nil"/>
                    <w:tr2bl w:val="nil"/>
                  </w:tcBorders>
                  <w:noWrap w:val="0"/>
                  <w:vAlign w:val="center"/>
                </w:tcPr>
                <w:p w14:paraId="651F0CBF">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t>三、VOCs污染治理达标行动</w:t>
                  </w:r>
                </w:p>
                <w:p w14:paraId="7A2AAF03">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开展简易低效VOCs治理设施清理整治。</w:t>
                  </w:r>
                  <w:r>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t>各地全面梳理VOCs治理设施台账，分析治理技术、处理能力与VOCs废气排放特征、组分等匹配性，对采用单一低温等离子、光氧化、光催化以及非水溶性VOCs废气采用单一喷淋吸收等治理技术且无法稳定达标的，加快推进升级改造，严把工程质量，确保达标排放。</w:t>
                  </w:r>
                </w:p>
              </w:tc>
              <w:tc>
                <w:tcPr>
                  <w:tcW w:w="2378" w:type="dxa"/>
                  <w:tcBorders>
                    <w:tl2br w:val="nil"/>
                    <w:tr2bl w:val="nil"/>
                  </w:tcBorders>
                  <w:noWrap w:val="0"/>
                  <w:vAlign w:val="center"/>
                </w:tcPr>
                <w:p w14:paraId="12452EB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本项目</w:t>
                  </w:r>
                  <w:r>
                    <w:rPr>
                      <w:rFonts w:hint="eastAsia" w:cs="Times New Roman"/>
                      <w:color w:val="000000" w:themeColor="text1"/>
                      <w:sz w:val="21"/>
                      <w:szCs w:val="21"/>
                      <w:highlight w:val="none"/>
                      <w:lang w:val="en-US" w:eastAsia="zh-CN"/>
                      <w14:textFill>
                        <w14:solidFill>
                          <w14:schemeClr w14:val="tx1"/>
                        </w14:solidFill>
                      </w14:textFill>
                    </w:rPr>
                    <w:t>不涉及</w:t>
                  </w:r>
                </w:p>
              </w:tc>
              <w:tc>
                <w:tcPr>
                  <w:tcW w:w="941" w:type="dxa"/>
                  <w:tcBorders>
                    <w:tl2br w:val="nil"/>
                    <w:tr2bl w:val="nil"/>
                  </w:tcBorders>
                  <w:noWrap w:val="0"/>
                  <w:vAlign w:val="center"/>
                </w:tcPr>
                <w:p w14:paraId="6194C8EA">
                  <w:pPr>
                    <w:keepNext w:val="0"/>
                    <w:keepLines w:val="0"/>
                    <w:widowControl/>
                    <w:suppressLineNumbers w:val="0"/>
                    <w:adjustRightInd w:val="0"/>
                    <w:snapToGrid w:val="0"/>
                    <w:spacing w:before="0" w:beforeAutospacing="0" w:after="0" w:afterAutospacing="0"/>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不涉及</w:t>
                  </w:r>
                </w:p>
              </w:tc>
            </w:tr>
            <w:tr w14:paraId="6755396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52" w:type="dxa"/>
                  <w:tcBorders>
                    <w:tl2br w:val="nil"/>
                    <w:tr2bl w:val="nil"/>
                  </w:tcBorders>
                  <w:noWrap w:val="0"/>
                  <w:vAlign w:val="center"/>
                </w:tcPr>
                <w:p w14:paraId="6AEB6903">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强化VOCs无组织排放整治</w:t>
                  </w: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w:t>
                  </w:r>
                  <w:r>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t>各地全面排查含VOCs物料储存、转移和输送、设备与管线组件、敞开液面以及工艺过程等环节无组织排放情况，对达不到相关标准要求的开展整治。</w:t>
                  </w:r>
                </w:p>
              </w:tc>
              <w:tc>
                <w:tcPr>
                  <w:tcW w:w="2378" w:type="dxa"/>
                  <w:tcBorders>
                    <w:tl2br w:val="nil"/>
                    <w:tr2bl w:val="nil"/>
                  </w:tcBorders>
                  <w:noWrap w:val="0"/>
                  <w:vAlign w:val="center"/>
                </w:tcPr>
                <w:p w14:paraId="0EB65DB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本项目</w:t>
                  </w:r>
                  <w:r>
                    <w:rPr>
                      <w:rFonts w:hint="eastAsia" w:cs="Times New Roman"/>
                      <w:color w:val="000000" w:themeColor="text1"/>
                      <w:sz w:val="21"/>
                      <w:szCs w:val="21"/>
                      <w:highlight w:val="none"/>
                      <w:lang w:val="en-US" w:eastAsia="zh-CN"/>
                      <w14:textFill>
                        <w14:solidFill>
                          <w14:schemeClr w14:val="tx1"/>
                        </w14:solidFill>
                      </w14:textFill>
                    </w:rPr>
                    <w:t>不涉及</w:t>
                  </w:r>
                </w:p>
              </w:tc>
              <w:tc>
                <w:tcPr>
                  <w:tcW w:w="941" w:type="dxa"/>
                  <w:tcBorders>
                    <w:tl2br w:val="nil"/>
                    <w:tr2bl w:val="nil"/>
                  </w:tcBorders>
                  <w:noWrap w:val="0"/>
                  <w:vAlign w:val="center"/>
                </w:tcPr>
                <w:p w14:paraId="09E40457">
                  <w:pPr>
                    <w:keepNext w:val="0"/>
                    <w:keepLines w:val="0"/>
                    <w:widowControl/>
                    <w:suppressLineNumbers w:val="0"/>
                    <w:adjustRightInd w:val="0"/>
                    <w:snapToGrid w:val="0"/>
                    <w:spacing w:before="0" w:beforeAutospacing="0" w:after="0" w:afterAutospacing="0"/>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不涉及</w:t>
                  </w:r>
                </w:p>
              </w:tc>
            </w:tr>
            <w:tr w14:paraId="43CC4B4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52" w:type="dxa"/>
                  <w:tcBorders>
                    <w:tl2br w:val="nil"/>
                    <w:tr2bl w:val="nil"/>
                  </w:tcBorders>
                  <w:noWrap w:val="0"/>
                  <w:vAlign w:val="center"/>
                </w:tcPr>
                <w:p w14:paraId="545A0B39">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实施工业锅炉和炉窑提标改造。</w:t>
                  </w:r>
                  <w:r>
                    <w:rPr>
                      <w:rFonts w:hint="default" w:ascii="Times New Roman" w:hAnsi="Times New Roman" w:eastAsia="宋体" w:cs="Times New Roman"/>
                      <w:b w:val="0"/>
                      <w:bCs w:val="0"/>
                      <w:color w:val="000000" w:themeColor="text1"/>
                      <w:kern w:val="0"/>
                      <w:sz w:val="21"/>
                      <w:szCs w:val="21"/>
                      <w:highlight w:val="none"/>
                      <w:lang w:val="en-US" w:eastAsia="zh-CN" w:bidi="ar"/>
                      <w14:textFill>
                        <w14:solidFill>
                          <w14:schemeClr w14:val="tx1"/>
                        </w14:solidFill>
                      </w14:textFill>
                    </w:rPr>
                    <w:t>生物质锅炉氮氧化物排放浓度无法稳定达标的，加装高效脱硝设施。燃气锅炉实施低氮燃烧改造，对低氮燃烧器、烟气再循环系统、分级燃烧系统、燃料及风量调配系统等关键部件要严把质量关，确保低氮燃烧系统稳定运行，2025年底前基本完成。</w:t>
                  </w:r>
                </w:p>
              </w:tc>
              <w:tc>
                <w:tcPr>
                  <w:tcW w:w="2378" w:type="dxa"/>
                  <w:tcBorders>
                    <w:tl2br w:val="nil"/>
                    <w:tr2bl w:val="nil"/>
                  </w:tcBorders>
                  <w:noWrap w:val="0"/>
                  <w:vAlign w:val="center"/>
                </w:tcPr>
                <w:p w14:paraId="7895FAF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本项目</w:t>
                  </w:r>
                  <w:r>
                    <w:rPr>
                      <w:rFonts w:hint="eastAsia" w:cs="Times New Roman"/>
                      <w:color w:val="000000" w:themeColor="text1"/>
                      <w:sz w:val="21"/>
                      <w:szCs w:val="21"/>
                      <w:highlight w:val="none"/>
                      <w:lang w:val="en-US" w:eastAsia="zh-CN"/>
                      <w14:textFill>
                        <w14:solidFill>
                          <w14:schemeClr w14:val="tx1"/>
                        </w14:solidFill>
                      </w14:textFill>
                    </w:rPr>
                    <w:t>不涉及</w:t>
                  </w:r>
                </w:p>
              </w:tc>
              <w:tc>
                <w:tcPr>
                  <w:tcW w:w="941" w:type="dxa"/>
                  <w:tcBorders>
                    <w:tl2br w:val="nil"/>
                    <w:tr2bl w:val="nil"/>
                  </w:tcBorders>
                  <w:noWrap w:val="0"/>
                  <w:vAlign w:val="center"/>
                </w:tcPr>
                <w:p w14:paraId="12B09926">
                  <w:pPr>
                    <w:keepNext w:val="0"/>
                    <w:keepLines w:val="0"/>
                    <w:widowControl/>
                    <w:suppressLineNumbers w:val="0"/>
                    <w:adjustRightInd w:val="0"/>
                    <w:snapToGrid w:val="0"/>
                    <w:spacing w:before="0" w:beforeAutospacing="0" w:after="0" w:afterAutospacing="0"/>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不涉及</w:t>
                  </w:r>
                </w:p>
              </w:tc>
            </w:tr>
            <w:tr w14:paraId="7E2EA4C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7571" w:type="dxa"/>
                  <w:gridSpan w:val="3"/>
                  <w:tcBorders>
                    <w:tl2br w:val="nil"/>
                    <w:tr2bl w:val="nil"/>
                  </w:tcBorders>
                  <w:noWrap w:val="0"/>
                  <w:vAlign w:val="center"/>
                </w:tcPr>
                <w:p w14:paraId="6EC887E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附件3 </w:t>
                  </w:r>
                  <w:r>
                    <w:rPr>
                      <w:rFonts w:hint="default" w:ascii="Times New Roman" w:hAnsi="Times New Roman" w:eastAsia="宋体" w:cs="Times New Roman"/>
                      <w:color w:val="000000" w:themeColor="text1"/>
                      <w:sz w:val="21"/>
                      <w:szCs w:val="21"/>
                      <w:highlight w:val="none"/>
                      <w14:textFill>
                        <w14:solidFill>
                          <w14:schemeClr w14:val="tx1"/>
                        </w14:solidFill>
                      </w14:textFill>
                    </w:rPr>
                    <w:t>柴油货车污染治理攻坚行动方案</w:t>
                  </w:r>
                </w:p>
              </w:tc>
            </w:tr>
            <w:tr w14:paraId="102729D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52" w:type="dxa"/>
                  <w:tcBorders>
                    <w:tl2br w:val="nil"/>
                    <w:tr2bl w:val="nil"/>
                  </w:tcBorders>
                  <w:noWrap w:val="0"/>
                  <w:vAlign w:val="center"/>
                </w:tcPr>
                <w:p w14:paraId="07FB5833">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一、总体要求</w:t>
                  </w:r>
                </w:p>
                <w:p w14:paraId="374FCE0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(二)攻坚思路</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坚持"车、油、路、企"统筹，在保障物流运输通畅前提下，以京津冀及周边地区、长三角地区、汾渭平原相关省(市)以及内蒙古自治区中西部城市为重点，以柴油货车和非道路移动机械为监管重点，聚焦煤炭、焦炭、矿石运输通道以及铁矿石疏港通道，持续深入打好柴油货车污染治理攻坚战。坚持源头防控，加快运输结构调整和车船清洁化推进力度;坚持过程防控，完善设计、生产、销售、使用、检验、维修和报废等全流程管控，突出重点用车企业清洁运输主体责任;坚持协同防控，加强政策系统性、协调性，建立完善信息共享机制，强化部门联合监管和执法。</w:t>
                  </w:r>
                </w:p>
              </w:tc>
              <w:tc>
                <w:tcPr>
                  <w:tcW w:w="2378" w:type="dxa"/>
                  <w:tcBorders>
                    <w:tl2br w:val="nil"/>
                    <w:tr2bl w:val="nil"/>
                  </w:tcBorders>
                  <w:noWrap w:val="0"/>
                  <w:vAlign w:val="center"/>
                </w:tcPr>
                <w:p w14:paraId="6A4B5C86">
                  <w:pPr>
                    <w:keepNext w:val="0"/>
                    <w:keepLines w:val="0"/>
                    <w:suppressLineNumbers w:val="0"/>
                    <w:spacing w:before="0" w:beforeAutospacing="0" w:after="0" w:afterAutospacing="0"/>
                    <w:ind w:left="0" w:right="0"/>
                    <w:jc w:val="left"/>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本项目</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不涉及</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煤炭、焦炭、矿石运输；</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项目原辅材料和产品运输的柴油运输车辆和非道路移动机械要使用符合国家质量标准要求的油品及尿素。</w:t>
                  </w:r>
                </w:p>
              </w:tc>
              <w:tc>
                <w:tcPr>
                  <w:tcW w:w="941" w:type="dxa"/>
                  <w:tcBorders>
                    <w:tl2br w:val="nil"/>
                    <w:tr2bl w:val="nil"/>
                  </w:tcBorders>
                  <w:noWrap w:val="0"/>
                  <w:vAlign w:val="center"/>
                </w:tcPr>
                <w:p w14:paraId="13A6A9A7">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符合</w:t>
                  </w:r>
                </w:p>
              </w:tc>
            </w:tr>
            <w:tr w14:paraId="0C05D86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52" w:type="dxa"/>
                  <w:tcBorders>
                    <w:tl2br w:val="nil"/>
                    <w:tr2bl w:val="nil"/>
                  </w:tcBorders>
                  <w:noWrap w:val="0"/>
                  <w:vAlign w:val="center"/>
                </w:tcPr>
                <w:p w14:paraId="43DE765E">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三、柴油货车清洁化行动</w:t>
                  </w:r>
                </w:p>
                <w:p w14:paraId="002653E8">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推动车辆全面达标排放。</w:t>
                  </w:r>
                  <w:r>
                    <w:rPr>
                      <w:rFonts w:hint="default" w:ascii="Times New Roman" w:hAnsi="Times New Roman" w:eastAsia="宋体" w:cs="Times New Roman"/>
                      <w:color w:val="000000" w:themeColor="text1"/>
                      <w:sz w:val="21"/>
                      <w:szCs w:val="21"/>
                      <w:highlight w:val="none"/>
                      <w14:textFill>
                        <w14:solidFill>
                          <w14:schemeClr w14:val="tx1"/>
                        </w14:solidFill>
                      </w14:textFill>
                    </w:rPr>
                    <w:t>加强对本地生产货车环保达标监管，核查车辆的车载诊断系统(0BD)、污染控制装置、环保信息随车清单、在线监控等，抽测部分车型的道路实际排放情况，基本实现</w:t>
                  </w:r>
                  <w:r>
                    <w:rPr>
                      <w:rFonts w:hint="eastAsia" w:cs="Times New Roman"/>
                      <w:color w:val="000000" w:themeColor="text1"/>
                      <w:sz w:val="21"/>
                      <w:szCs w:val="21"/>
                      <w:highlight w:val="none"/>
                      <w:lang w:eastAsia="zh-CN"/>
                      <w14:textFill>
                        <w14:solidFill>
                          <w14:schemeClr w14:val="tx1"/>
                        </w14:solidFill>
                      </w14:textFill>
                    </w:rPr>
                    <w:t>系统</w:t>
                  </w:r>
                  <w:r>
                    <w:rPr>
                      <w:rFonts w:hint="default" w:ascii="Times New Roman" w:hAnsi="Times New Roman" w:eastAsia="宋体" w:cs="Times New Roman"/>
                      <w:color w:val="000000" w:themeColor="text1"/>
                      <w:sz w:val="21"/>
                      <w:szCs w:val="21"/>
                      <w:highlight w:val="none"/>
                      <w14:textFill>
                        <w14:solidFill>
                          <w14:schemeClr w14:val="tx1"/>
                        </w14:solidFill>
                      </w14:textFill>
                    </w:rPr>
                    <w:t>全覆盖。严厉打击污染控制装置造假、屏蔽0BD功能、尾气排放不达标、不依法公开环保信息等行为，依法依规暂停或撤销相关企业车辆产品公告、油耗公告和强制性产品认证。</w:t>
                  </w:r>
                </w:p>
                <w:p w14:paraId="69B63D5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推进传统汽车清洁化。</w:t>
                  </w:r>
                  <w:r>
                    <w:rPr>
                      <w:rFonts w:hint="default" w:ascii="Times New Roman" w:hAnsi="Times New Roman" w:eastAsia="宋体" w:cs="Times New Roman"/>
                      <w:color w:val="000000" w:themeColor="text1"/>
                      <w:sz w:val="21"/>
                      <w:szCs w:val="21"/>
                      <w:highlight w:val="none"/>
                      <w14:textFill>
                        <w14:solidFill>
                          <w14:schemeClr w14:val="tx1"/>
                        </w14:solidFill>
                      </w14:textFill>
                    </w:rPr>
                    <w:t>2023年7月1日，全国实施轻型车和重型车国6b排放标准。</w:t>
                  </w:r>
                </w:p>
              </w:tc>
              <w:tc>
                <w:tcPr>
                  <w:tcW w:w="2378" w:type="dxa"/>
                  <w:tcBorders>
                    <w:tl2br w:val="nil"/>
                    <w:tr2bl w:val="nil"/>
                  </w:tcBorders>
                  <w:noWrap w:val="0"/>
                  <w:vAlign w:val="center"/>
                </w:tcPr>
                <w:p w14:paraId="7F145CC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本项目原辅材料和产品运输的</w:t>
                  </w:r>
                  <w:r>
                    <w:rPr>
                      <w:rFonts w:hint="default" w:ascii="Times New Roman" w:hAnsi="Times New Roman" w:eastAsia="宋体" w:cs="Times New Roman"/>
                      <w:color w:val="000000" w:themeColor="text1"/>
                      <w:sz w:val="21"/>
                      <w:szCs w:val="21"/>
                      <w:highlight w:val="none"/>
                      <w:shd w:val="clear" w:color="auto" w:fill="FFFFFF"/>
                      <w14:textFill>
                        <w14:solidFill>
                          <w14:schemeClr w14:val="tx1"/>
                        </w14:solidFill>
                      </w14:textFill>
                    </w:rPr>
                    <w:t>柴油运输车辆要达到</w:t>
                  </w:r>
                  <w:r>
                    <w:rPr>
                      <w:rFonts w:hint="default" w:ascii="Times New Roman" w:hAnsi="Times New Roman" w:eastAsia="宋体" w:cs="Times New Roman"/>
                      <w:color w:val="000000" w:themeColor="text1"/>
                      <w:sz w:val="21"/>
                      <w:szCs w:val="21"/>
                      <w:highlight w:val="none"/>
                      <w14:textFill>
                        <w14:solidFill>
                          <w14:schemeClr w14:val="tx1"/>
                        </w14:solidFill>
                      </w14:textFill>
                    </w:rPr>
                    <w:t>国6b排放标准</w:t>
                  </w:r>
                  <w:r>
                    <w:rPr>
                      <w:rFonts w:hint="eastAsia"/>
                      <w:color w:val="000000" w:themeColor="text1"/>
                      <w:sz w:val="21"/>
                      <w:szCs w:val="21"/>
                      <w:highlight w:val="none"/>
                      <w14:textFill>
                        <w14:solidFill>
                          <w14:schemeClr w14:val="tx1"/>
                        </w14:solidFill>
                      </w14:textFill>
                    </w:rPr>
                    <w:t>要求</w:t>
                  </w:r>
                  <w:r>
                    <w:rPr>
                      <w:rFonts w:hint="eastAsia"/>
                      <w:color w:val="000000" w:themeColor="text1"/>
                      <w:sz w:val="21"/>
                      <w:szCs w:val="21"/>
                      <w:highlight w:val="none"/>
                      <w:lang w:eastAsia="zh-CN"/>
                      <w14:textFill>
                        <w14:solidFill>
                          <w14:schemeClr w14:val="tx1"/>
                        </w14:solidFill>
                      </w14:textFill>
                    </w:rPr>
                    <w:t>。</w:t>
                  </w:r>
                </w:p>
              </w:tc>
              <w:tc>
                <w:tcPr>
                  <w:tcW w:w="941" w:type="dxa"/>
                  <w:tcBorders>
                    <w:tl2br w:val="nil"/>
                    <w:tr2bl w:val="nil"/>
                  </w:tcBorders>
                  <w:noWrap w:val="0"/>
                  <w:vAlign w:val="center"/>
                </w:tcPr>
                <w:p w14:paraId="4E88199C">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符合</w:t>
                  </w:r>
                </w:p>
              </w:tc>
            </w:tr>
            <w:tr w14:paraId="37DA144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52" w:type="dxa"/>
                  <w:tcBorders>
                    <w:tl2br w:val="nil"/>
                    <w:tr2bl w:val="nil"/>
                  </w:tcBorders>
                  <w:noWrap w:val="0"/>
                  <w:vAlign w:val="center"/>
                </w:tcPr>
                <w:p w14:paraId="78C2EAAC">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四、非道路移动源综合治理行动</w:t>
                  </w:r>
                </w:p>
                <w:p w14:paraId="5CB5903B">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推进非道路移动机械清洁发展。</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2022年12月1日，实施非道路移动柴油机械第四阶段排放标准。</w:t>
                  </w:r>
                </w:p>
              </w:tc>
              <w:tc>
                <w:tcPr>
                  <w:tcW w:w="2378" w:type="dxa"/>
                  <w:tcBorders>
                    <w:tl2br w:val="nil"/>
                    <w:tr2bl w:val="nil"/>
                  </w:tcBorders>
                  <w:noWrap w:val="0"/>
                  <w:vAlign w:val="center"/>
                </w:tcPr>
                <w:p w14:paraId="3555C63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本项目运营期</w:t>
                  </w:r>
                  <w:r>
                    <w:rPr>
                      <w:rFonts w:hint="default" w:ascii="Times New Roman" w:hAnsi="Times New Roman" w:eastAsia="宋体" w:cs="Times New Roman"/>
                      <w:color w:val="000000" w:themeColor="text1"/>
                      <w:sz w:val="21"/>
                      <w:szCs w:val="21"/>
                      <w:highlight w:val="none"/>
                      <w:shd w:val="clear" w:color="auto" w:fill="FFFFFF"/>
                      <w14:textFill>
                        <w14:solidFill>
                          <w14:schemeClr w14:val="tx1"/>
                        </w14:solidFill>
                      </w14:textFill>
                    </w:rPr>
                    <w:t>所使用</w:t>
                  </w:r>
                  <w:r>
                    <w:rPr>
                      <w:rFonts w:hint="eastAsia" w:ascii="Times New Roman" w:hAnsi="Times New Roman" w:eastAsia="宋体" w:cs="Times New Roman"/>
                      <w:color w:val="000000" w:themeColor="text1"/>
                      <w:sz w:val="21"/>
                      <w:szCs w:val="21"/>
                      <w:highlight w:val="none"/>
                      <w:shd w:val="clear" w:color="auto" w:fill="FFFFFF"/>
                      <w:lang w:eastAsia="zh-CN"/>
                      <w14:textFill>
                        <w14:solidFill>
                          <w14:schemeClr w14:val="tx1"/>
                        </w14:solidFill>
                      </w14:textFill>
                    </w:rPr>
                    <w:t>的</w:t>
                  </w:r>
                  <w:r>
                    <w:rPr>
                      <w:rFonts w:hint="default" w:ascii="Times New Roman" w:hAnsi="Times New Roman" w:eastAsia="宋体" w:cs="Times New Roman"/>
                      <w:color w:val="000000" w:themeColor="text1"/>
                      <w:sz w:val="21"/>
                      <w:szCs w:val="21"/>
                      <w:highlight w:val="none"/>
                      <w:shd w:val="clear" w:color="auto" w:fill="FFFFFF"/>
                      <w14:textFill>
                        <w14:solidFill>
                          <w14:schemeClr w14:val="tx1"/>
                        </w14:solidFill>
                      </w14:textFill>
                    </w:rPr>
                    <w:t>非道路移动</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柴油机械</w:t>
                  </w:r>
                  <w:r>
                    <w:rPr>
                      <w:rFonts w:hint="default" w:ascii="Times New Roman" w:hAnsi="Times New Roman" w:eastAsia="宋体" w:cs="Times New Roman"/>
                      <w:color w:val="000000" w:themeColor="text1"/>
                      <w:sz w:val="21"/>
                      <w:szCs w:val="21"/>
                      <w:highlight w:val="none"/>
                      <w:shd w:val="clear" w:color="auto" w:fill="FFFFFF"/>
                      <w14:textFill>
                        <w14:solidFill>
                          <w14:schemeClr w14:val="tx1"/>
                        </w14:solidFill>
                      </w14:textFill>
                    </w:rPr>
                    <w:t>要达到</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第四阶段排放标准</w:t>
                  </w:r>
                  <w:r>
                    <w:rPr>
                      <w:rFonts w:hint="eastAsia"/>
                      <w:color w:val="000000" w:themeColor="text1"/>
                      <w:sz w:val="21"/>
                      <w:szCs w:val="21"/>
                      <w:highlight w:val="none"/>
                      <w14:textFill>
                        <w14:solidFill>
                          <w14:schemeClr w14:val="tx1"/>
                        </w14:solidFill>
                      </w14:textFill>
                    </w:rPr>
                    <w:t>要求</w:t>
                  </w:r>
                  <w:r>
                    <w:rPr>
                      <w:rFonts w:hint="eastAsia"/>
                      <w:color w:val="000000" w:themeColor="text1"/>
                      <w:sz w:val="21"/>
                      <w:szCs w:val="21"/>
                      <w:highlight w:val="none"/>
                      <w:lang w:eastAsia="zh-CN"/>
                      <w14:textFill>
                        <w14:solidFill>
                          <w14:schemeClr w14:val="tx1"/>
                        </w14:solidFill>
                      </w14:textFill>
                    </w:rPr>
                    <w:t>。</w:t>
                  </w:r>
                </w:p>
              </w:tc>
              <w:tc>
                <w:tcPr>
                  <w:tcW w:w="941" w:type="dxa"/>
                  <w:tcBorders>
                    <w:tl2br w:val="nil"/>
                    <w:tr2bl w:val="nil"/>
                  </w:tcBorders>
                  <w:noWrap w:val="0"/>
                  <w:vAlign w:val="center"/>
                </w:tcPr>
                <w:p w14:paraId="55DF08CD">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符合</w:t>
                  </w:r>
                </w:p>
              </w:tc>
            </w:tr>
          </w:tbl>
          <w:p w14:paraId="7104C302">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156" w:beforeLines="50" w:beforeAutospacing="0" w:after="0" w:afterAutospacing="0" w:line="360" w:lineRule="auto"/>
              <w:ind w:left="0" w:right="0" w:rightChars="0" w:firstLine="480" w:firstLineChars="200"/>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综上所述，本项目符合《深入打好重污染天气消除、臭氧污染防治和柴油货车污染治理攻坚战行动方案》（环大气〔2022〕68号）中的相关要求。</w:t>
            </w:r>
          </w:p>
          <w:p w14:paraId="1F9DF9F6">
            <w:pPr>
              <w:keepNext w:val="0"/>
              <w:keepLines w:val="0"/>
              <w:numPr>
                <w:ilvl w:val="0"/>
                <w:numId w:val="3"/>
              </w:numPr>
              <w:suppressLineNumbers w:val="0"/>
              <w:adjustRightInd w:val="0"/>
              <w:snapToGrid w:val="0"/>
              <w:spacing w:before="156" w:beforeLines="50" w:beforeAutospacing="0" w:after="0" w:afterAutospacing="0" w:line="360" w:lineRule="auto"/>
              <w:ind w:left="0" w:leftChars="0" w:right="0" w:rightChars="0"/>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本项目与</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《制药工业污染防治技术政策》符合性分析</w:t>
            </w:r>
          </w:p>
          <w:p w14:paraId="016DFEFA">
            <w:pPr>
              <w:keepNext w:val="0"/>
              <w:keepLines w:val="0"/>
              <w:numPr>
                <w:ilvl w:val="0"/>
                <w:numId w:val="2"/>
              </w:numPr>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eastAsia="宋体" w:cs="Times New Roman"/>
                <w:b/>
                <w:bCs/>
                <w:color w:val="000000" w:themeColor="text1"/>
                <w:kern w:val="2"/>
                <w:sz w:val="21"/>
                <w:szCs w:val="21"/>
                <w:highlight w:val="none"/>
                <w:lang w:val="en-US" w:eastAsia="zh-CN" w:bidi="ar-SA"/>
                <w14:textFill>
                  <w14:solidFill>
                    <w14:schemeClr w14:val="tx1"/>
                  </w14:solidFill>
                </w14:textFill>
              </w:rPr>
              <w:t xml:space="preserve">  </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本项目与</w:t>
            </w:r>
            <w:bookmarkStart w:id="2" w:name="OLE_LINK2"/>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《制药工业污染防治技术政策》</w:t>
            </w:r>
            <w:bookmarkEnd w:id="2"/>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符合性</w:t>
            </w:r>
          </w:p>
          <w:tbl>
            <w:tblPr>
              <w:tblStyle w:val="36"/>
              <w:tblW w:w="5000" w:type="pct"/>
              <w:jc w:val="center"/>
              <w:tblBorders>
                <w:top w:val="double" w:color="auto" w:sz="4" w:space="0"/>
                <w:left w:val="none" w:color="auto" w:sz="0" w:space="0"/>
                <w:bottom w:val="doub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729"/>
              <w:gridCol w:w="3663"/>
              <w:gridCol w:w="2200"/>
              <w:gridCol w:w="862"/>
            </w:tblGrid>
            <w:tr w14:paraId="493499F6">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30" w:hRule="atLeast"/>
                <w:jc w:val="center"/>
              </w:trPr>
              <w:tc>
                <w:tcPr>
                  <w:tcW w:w="489" w:type="pct"/>
                  <w:tcBorders>
                    <w:tl2br w:val="nil"/>
                    <w:tr2bl w:val="nil"/>
                  </w:tcBorders>
                  <w:noWrap w:val="0"/>
                  <w:vAlign w:val="center"/>
                </w:tcPr>
                <w:p w14:paraId="6E980205">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t>条款</w:t>
                  </w:r>
                </w:p>
              </w:tc>
              <w:tc>
                <w:tcPr>
                  <w:tcW w:w="2456" w:type="pct"/>
                  <w:tcBorders>
                    <w:tl2br w:val="nil"/>
                    <w:tr2bl w:val="nil"/>
                  </w:tcBorders>
                  <w:noWrap w:val="0"/>
                  <w:vAlign w:val="center"/>
                </w:tcPr>
                <w:p w14:paraId="4887AAB0">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t>制药工业污染防治技术政策</w:t>
                  </w:r>
                </w:p>
              </w:tc>
              <w:tc>
                <w:tcPr>
                  <w:tcW w:w="1475" w:type="pct"/>
                  <w:tcBorders>
                    <w:tl2br w:val="nil"/>
                    <w:tr2bl w:val="nil"/>
                  </w:tcBorders>
                  <w:noWrap w:val="0"/>
                  <w:vAlign w:val="center"/>
                </w:tcPr>
                <w:p w14:paraId="475284F7">
                  <w:pPr>
                    <w:pStyle w:val="114"/>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szCs w:val="21"/>
                      <w:highlight w:val="none"/>
                      <w:lang w:val="en-US" w:eastAsia="zh-CN"/>
                      <w14:textFill>
                        <w14:solidFill>
                          <w14:schemeClr w14:val="tx1"/>
                        </w14:solidFill>
                      </w14:textFill>
                    </w:rPr>
                    <w:t>本</w:t>
                  </w:r>
                  <w:r>
                    <w:rPr>
                      <w:rFonts w:hint="default" w:ascii="Times New Roman" w:hAnsi="Times New Roman" w:eastAsia="宋体" w:cs="Times New Roman"/>
                      <w:b/>
                      <w:bCs/>
                      <w:color w:val="000000" w:themeColor="text1"/>
                      <w:szCs w:val="21"/>
                      <w:highlight w:val="none"/>
                      <w14:textFill>
                        <w14:solidFill>
                          <w14:schemeClr w14:val="tx1"/>
                        </w14:solidFill>
                      </w14:textFill>
                    </w:rPr>
                    <w:t>项目情况</w:t>
                  </w:r>
                </w:p>
              </w:tc>
              <w:tc>
                <w:tcPr>
                  <w:tcW w:w="578" w:type="pct"/>
                  <w:tcBorders>
                    <w:tl2br w:val="nil"/>
                    <w:tr2bl w:val="nil"/>
                  </w:tcBorders>
                  <w:noWrap w:val="0"/>
                  <w:vAlign w:val="center"/>
                </w:tcPr>
                <w:p w14:paraId="0A42DD30">
                  <w:pPr>
                    <w:pStyle w:val="114"/>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lang w:val="en-US" w:eastAsia="zh-CN"/>
                      <w14:textFill>
                        <w14:solidFill>
                          <w14:schemeClr w14:val="tx1"/>
                        </w14:solidFill>
                      </w14:textFill>
                    </w:rPr>
                    <w:t>相符性</w:t>
                  </w:r>
                </w:p>
              </w:tc>
            </w:tr>
            <w:tr w14:paraId="7320A018">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489" w:type="pct"/>
                  <w:vMerge w:val="restart"/>
                  <w:tcBorders>
                    <w:tl2br w:val="nil"/>
                    <w:tr2bl w:val="nil"/>
                  </w:tcBorders>
                  <w:noWrap w:val="0"/>
                  <w:vAlign w:val="center"/>
                </w:tcPr>
                <w:p w14:paraId="2F3C8892">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一、</w:t>
                  </w:r>
                </w:p>
                <w:p w14:paraId="1EB711E8">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总则</w:t>
                  </w:r>
                </w:p>
              </w:tc>
              <w:tc>
                <w:tcPr>
                  <w:tcW w:w="2456" w:type="pct"/>
                  <w:tcBorders>
                    <w:tl2br w:val="nil"/>
                    <w:tr2bl w:val="nil"/>
                  </w:tcBorders>
                  <w:noWrap w:val="0"/>
                  <w:vAlign w:val="center"/>
                </w:tcPr>
                <w:p w14:paraId="2250A20F">
                  <w:pPr>
                    <w:pStyle w:val="5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shd w:val="clear" w:color="auto" w:fill="FFFFFF"/>
                      <w14:textFill>
                        <w14:solidFill>
                          <w14:schemeClr w14:val="tx1"/>
                        </w14:solidFill>
                      </w14:textFill>
                    </w:rPr>
                    <w:t>要防止化学原料药生产向环境承载力弱的地区转移；鼓励制药工业园区创建国家新型工业化产业示范基地；新（改、扩）建制药企业选址应符合当地规划和环境功能区划，并根据当地的自然条件和环境敏感区域的方位，确定适宜的厂址。</w:t>
                  </w:r>
                </w:p>
              </w:tc>
              <w:tc>
                <w:tcPr>
                  <w:tcW w:w="1475" w:type="pct"/>
                  <w:tcBorders>
                    <w:tl2br w:val="nil"/>
                    <w:tr2bl w:val="nil"/>
                  </w:tcBorders>
                  <w:noWrap w:val="0"/>
                  <w:vAlign w:val="center"/>
                </w:tcPr>
                <w:p w14:paraId="7175F2A2">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left"/>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shd w:val="clear" w:color="auto" w:fill="FFFFFF"/>
                      <w14:textFill>
                        <w14:solidFill>
                          <w14:schemeClr w14:val="tx1"/>
                        </w14:solidFill>
                      </w14:textFill>
                    </w:rPr>
                    <w:t>项目</w:t>
                  </w:r>
                  <w:r>
                    <w:rPr>
                      <w:rFonts w:hint="default" w:ascii="Times New Roman" w:hAnsi="Times New Roman" w:eastAsia="宋体" w:cs="Times New Roman"/>
                      <w:color w:val="000000" w:themeColor="text1"/>
                      <w:sz w:val="21"/>
                      <w:szCs w:val="21"/>
                      <w:highlight w:val="none"/>
                      <w:shd w:val="clear" w:color="auto" w:fill="FFFFFF"/>
                      <w:lang w:val="en-US" w:eastAsia="zh-CN"/>
                      <w14:textFill>
                        <w14:solidFill>
                          <w14:schemeClr w14:val="tx1"/>
                        </w14:solidFill>
                      </w14:textFill>
                    </w:rPr>
                    <w:t>位于</w:t>
                  </w:r>
                  <w:r>
                    <w:rPr>
                      <w:rFonts w:hint="default" w:ascii="Times New Roman" w:hAnsi="Times New Roman" w:eastAsia="宋体" w:cs="Times New Roman"/>
                      <w:color w:val="000000" w:themeColor="text1"/>
                      <w:sz w:val="21"/>
                      <w:szCs w:val="21"/>
                      <w:highlight w:val="none"/>
                      <w:shd w:val="clear" w:color="auto" w:fill="FFFFFF"/>
                      <w:lang w:eastAsia="zh-CN"/>
                      <w14:textFill>
                        <w14:solidFill>
                          <w14:schemeClr w14:val="tx1"/>
                        </w14:solidFill>
                      </w14:textFill>
                    </w:rPr>
                    <w:t>医药产业基地园区内</w:t>
                  </w:r>
                  <w:r>
                    <w:rPr>
                      <w:rFonts w:hint="default" w:ascii="Times New Roman" w:hAnsi="Times New Roman" w:eastAsia="宋体" w:cs="Times New Roman"/>
                      <w:color w:val="000000" w:themeColor="text1"/>
                      <w:sz w:val="21"/>
                      <w:szCs w:val="21"/>
                      <w:highlight w:val="none"/>
                      <w:shd w:val="clear" w:color="auto" w:fill="FFFFFF"/>
                      <w:lang w:val="en-US" w:eastAsia="zh-CN"/>
                      <w14:textFill>
                        <w14:solidFill>
                          <w14:schemeClr w14:val="tx1"/>
                        </w14:solidFill>
                      </w14:textFill>
                    </w:rPr>
                    <w:t>，且符合沈本新城总体</w:t>
                  </w:r>
                  <w:r>
                    <w:rPr>
                      <w:rFonts w:hint="default" w:ascii="Times New Roman" w:hAnsi="Times New Roman" w:eastAsia="宋体" w:cs="Times New Roman"/>
                      <w:color w:val="000000" w:themeColor="text1"/>
                      <w:sz w:val="21"/>
                      <w:szCs w:val="21"/>
                      <w:highlight w:val="none"/>
                      <w:shd w:val="clear" w:color="auto" w:fill="FFFFFF"/>
                      <w14:textFill>
                        <w14:solidFill>
                          <w14:schemeClr w14:val="tx1"/>
                        </w14:solidFill>
                      </w14:textFill>
                    </w:rPr>
                    <w:t>规划</w:t>
                  </w:r>
                  <w:r>
                    <w:rPr>
                      <w:rFonts w:hint="default" w:ascii="Times New Roman" w:hAnsi="Times New Roman" w:eastAsia="宋体" w:cs="Times New Roman"/>
                      <w:color w:val="000000" w:themeColor="text1"/>
                      <w:sz w:val="21"/>
                      <w:szCs w:val="21"/>
                      <w:highlight w:val="none"/>
                      <w:shd w:val="clear" w:color="auto" w:fill="FFFFFF"/>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shd w:val="clear" w:color="auto" w:fill="FFFFFF"/>
                      <w:lang w:val="en-US" w:eastAsia="zh-CN"/>
                      <w14:textFill>
                        <w14:solidFill>
                          <w14:schemeClr w14:val="tx1"/>
                        </w14:solidFill>
                      </w14:textFill>
                    </w:rPr>
                    <w:t>规划环评及审查意见要求</w:t>
                  </w:r>
                  <w:r>
                    <w:rPr>
                      <w:rFonts w:hint="default" w:ascii="Times New Roman" w:hAnsi="Times New Roman" w:eastAsia="宋体" w:cs="Times New Roman"/>
                      <w:color w:val="000000" w:themeColor="text1"/>
                      <w:sz w:val="21"/>
                      <w:szCs w:val="21"/>
                      <w:highlight w:val="none"/>
                      <w:shd w:val="clear" w:color="auto" w:fill="FFFFFF"/>
                      <w14:textFill>
                        <w14:solidFill>
                          <w14:schemeClr w14:val="tx1"/>
                        </w14:solidFill>
                      </w14:textFill>
                    </w:rPr>
                    <w:t>。</w:t>
                  </w:r>
                </w:p>
              </w:tc>
              <w:tc>
                <w:tcPr>
                  <w:tcW w:w="578" w:type="pct"/>
                  <w:tcBorders>
                    <w:tl2br w:val="nil"/>
                    <w:tr2bl w:val="nil"/>
                  </w:tcBorders>
                  <w:noWrap w:val="0"/>
                  <w:vAlign w:val="center"/>
                </w:tcPr>
                <w:p w14:paraId="2A95F2AE">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符合</w:t>
                  </w:r>
                </w:p>
              </w:tc>
            </w:tr>
            <w:tr w14:paraId="48BD3F08">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489" w:type="pct"/>
                  <w:vMerge w:val="continue"/>
                  <w:tcBorders>
                    <w:tl2br w:val="nil"/>
                    <w:tr2bl w:val="nil"/>
                  </w:tcBorders>
                  <w:noWrap w:val="0"/>
                  <w:vAlign w:val="center"/>
                </w:tcPr>
                <w:p w14:paraId="6BC32C3D">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both"/>
                    <w:textAlignment w:val="auto"/>
                    <w:rPr>
                      <w:rFonts w:hint="default" w:ascii="Times New Roman" w:hAnsi="Times New Roman" w:eastAsia="宋体" w:cs="Times New Roman"/>
                      <w:color w:val="000000" w:themeColor="text1"/>
                      <w:highlight w:val="none"/>
                      <w14:textFill>
                        <w14:solidFill>
                          <w14:schemeClr w14:val="tx1"/>
                        </w14:solidFill>
                      </w14:textFill>
                    </w:rPr>
                  </w:pPr>
                </w:p>
              </w:tc>
              <w:tc>
                <w:tcPr>
                  <w:tcW w:w="2456" w:type="pct"/>
                  <w:tcBorders>
                    <w:tl2br w:val="nil"/>
                    <w:tr2bl w:val="nil"/>
                  </w:tcBorders>
                  <w:noWrap w:val="0"/>
                  <w:vAlign w:val="center"/>
                </w:tcPr>
                <w:p w14:paraId="77069D70">
                  <w:pPr>
                    <w:pStyle w:val="5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shd w:val="clear" w:color="auto" w:fill="FFFFFF"/>
                      <w14:textFill>
                        <w14:solidFill>
                          <w14:schemeClr w14:val="tx1"/>
                        </w14:solidFill>
                      </w14:textFill>
                    </w:rPr>
                    <w:t>限制大宗低附加值、难以完成污染治理目标的原料药生产项目，防止低水平产能的扩张，提高原料药深加工水平，开发下游产品，延伸产品链，鼓励发展新型高端制剂产品。</w:t>
                  </w:r>
                </w:p>
              </w:tc>
              <w:tc>
                <w:tcPr>
                  <w:tcW w:w="1475" w:type="pct"/>
                  <w:tcBorders>
                    <w:tl2br w:val="nil"/>
                    <w:tr2bl w:val="nil"/>
                  </w:tcBorders>
                  <w:noWrap w:val="0"/>
                  <w:vAlign w:val="center"/>
                </w:tcPr>
                <w:p w14:paraId="1031EE95">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shd w:val="clear" w:color="auto" w:fill="FFFFFF"/>
                      <w:lang w:val="en-US" w:eastAsia="zh-CN"/>
                      <w14:textFill>
                        <w14:solidFill>
                          <w14:schemeClr w14:val="tx1"/>
                        </w14:solidFill>
                      </w14:textFill>
                    </w:rPr>
                    <w:t>本项目为中成药生产项目，本次</w:t>
                  </w:r>
                  <w:r>
                    <w:rPr>
                      <w:rFonts w:hint="eastAsia"/>
                      <w:color w:val="000000" w:themeColor="text1"/>
                      <w:highlight w:val="none"/>
                      <w:lang w:val="en-US" w:eastAsia="zh-CN"/>
                      <w14:textFill>
                        <w14:solidFill>
                          <w14:schemeClr w14:val="tx1"/>
                        </w14:solidFill>
                      </w14:textFill>
                    </w:rPr>
                    <w:t>改</w:t>
                  </w:r>
                  <w:r>
                    <w:rPr>
                      <w:rFonts w:hint="default" w:ascii="Times New Roman" w:hAnsi="Times New Roman" w:eastAsia="宋体" w:cs="Times New Roman"/>
                      <w:color w:val="000000" w:themeColor="text1"/>
                      <w:sz w:val="21"/>
                      <w:szCs w:val="21"/>
                      <w:highlight w:val="none"/>
                      <w:shd w:val="clear" w:color="auto" w:fill="FFFFFF"/>
                      <w:lang w:val="en-US" w:eastAsia="zh-CN"/>
                      <w14:textFill>
                        <w14:solidFill>
                          <w14:schemeClr w14:val="tx1"/>
                        </w14:solidFill>
                      </w14:textFill>
                    </w:rPr>
                    <w:t>扩建内容不涉及</w:t>
                  </w:r>
                  <w:r>
                    <w:rPr>
                      <w:rFonts w:hint="default" w:ascii="Times New Roman" w:hAnsi="Times New Roman" w:eastAsia="宋体" w:cs="Times New Roman"/>
                      <w:color w:val="000000" w:themeColor="text1"/>
                      <w:sz w:val="21"/>
                      <w:szCs w:val="21"/>
                      <w:highlight w:val="none"/>
                      <w:shd w:val="clear" w:color="auto" w:fill="FFFFFF"/>
                      <w14:textFill>
                        <w14:solidFill>
                          <w14:schemeClr w14:val="tx1"/>
                        </w14:solidFill>
                      </w14:textFill>
                    </w:rPr>
                    <w:t>原料药生产。</w:t>
                  </w:r>
                </w:p>
              </w:tc>
              <w:tc>
                <w:tcPr>
                  <w:tcW w:w="578" w:type="pct"/>
                  <w:tcBorders>
                    <w:tl2br w:val="nil"/>
                    <w:tr2bl w:val="nil"/>
                  </w:tcBorders>
                  <w:noWrap w:val="0"/>
                  <w:vAlign w:val="center"/>
                </w:tcPr>
                <w:p w14:paraId="34320D6B">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符合</w:t>
                  </w:r>
                </w:p>
              </w:tc>
            </w:tr>
            <w:tr w14:paraId="0B9E631F">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489" w:type="pct"/>
                  <w:vMerge w:val="continue"/>
                  <w:tcBorders>
                    <w:tl2br w:val="nil"/>
                    <w:tr2bl w:val="nil"/>
                  </w:tcBorders>
                  <w:noWrap w:val="0"/>
                  <w:vAlign w:val="center"/>
                </w:tcPr>
                <w:p w14:paraId="2B9227E9">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2456" w:type="pct"/>
                  <w:tcBorders>
                    <w:tl2br w:val="nil"/>
                    <w:tr2bl w:val="nil"/>
                  </w:tcBorders>
                  <w:noWrap w:val="0"/>
                  <w:vAlign w:val="center"/>
                </w:tcPr>
                <w:p w14:paraId="7B62EFD9">
                  <w:pPr>
                    <w:pStyle w:val="5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shd w:val="clear" w:color="auto" w:fill="FFFFFF"/>
                      <w14:textFill>
                        <w14:solidFill>
                          <w14:schemeClr w14:val="tx1"/>
                        </w14:solidFill>
                      </w14:textFill>
                    </w:rPr>
                    <w:t>对制药工业产生的化学需氧量、氨氮、残留药物活性成分、恶臭物质、挥发性有机物、抗生素菌渣等污染物进行重点防治。</w:t>
                  </w:r>
                </w:p>
              </w:tc>
              <w:tc>
                <w:tcPr>
                  <w:tcW w:w="1475" w:type="pct"/>
                  <w:tcBorders>
                    <w:tl2br w:val="nil"/>
                    <w:tr2bl w:val="nil"/>
                  </w:tcBorders>
                  <w:noWrap w:val="0"/>
                  <w:vAlign w:val="center"/>
                </w:tcPr>
                <w:p w14:paraId="0AD3FED0">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shd w:val="clear" w:color="auto" w:fill="FFFFFF"/>
                      <w14:textFill>
                        <w14:solidFill>
                          <w14:schemeClr w14:val="tx1"/>
                        </w14:solidFill>
                      </w14:textFill>
                    </w:rPr>
                    <w:t>本项目</w:t>
                  </w:r>
                  <w:r>
                    <w:rPr>
                      <w:rFonts w:hint="eastAsia" w:ascii="Times New Roman" w:hAnsi="Times New Roman" w:cs="Times New Roman"/>
                      <w:color w:val="000000" w:themeColor="text1"/>
                      <w:sz w:val="21"/>
                      <w:szCs w:val="21"/>
                      <w:highlight w:val="none"/>
                      <w:shd w:val="clear" w:color="auto" w:fill="FFFFFF"/>
                      <w:lang w:eastAsia="zh-CN"/>
                      <w14:textFill>
                        <w14:solidFill>
                          <w14:schemeClr w14:val="tx1"/>
                        </w14:solidFill>
                      </w14:textFill>
                    </w:rPr>
                    <w:t>对</w:t>
                  </w:r>
                  <w:r>
                    <w:rPr>
                      <w:rFonts w:hint="default" w:ascii="Times New Roman" w:hAnsi="Times New Roman" w:eastAsia="宋体" w:cs="Times New Roman"/>
                      <w:color w:val="000000" w:themeColor="text1"/>
                      <w:sz w:val="21"/>
                      <w:szCs w:val="21"/>
                      <w:highlight w:val="none"/>
                      <w:shd w:val="clear" w:color="auto" w:fill="FFFFFF"/>
                      <w:lang w:val="en-US" w:eastAsia="zh-CN"/>
                      <w14:textFill>
                        <w14:solidFill>
                          <w14:schemeClr w14:val="tx1"/>
                        </w14:solidFill>
                      </w14:textFill>
                    </w:rPr>
                    <w:t>生产运行期产生的</w:t>
                  </w:r>
                  <w:r>
                    <w:rPr>
                      <w:rFonts w:hint="default" w:ascii="Times New Roman" w:hAnsi="Times New Roman" w:eastAsia="宋体" w:cs="Times New Roman"/>
                      <w:color w:val="000000" w:themeColor="text1"/>
                      <w:sz w:val="21"/>
                      <w:szCs w:val="21"/>
                      <w:highlight w:val="none"/>
                      <w:shd w:val="clear" w:color="auto" w:fill="FFFFFF"/>
                      <w14:textFill>
                        <w14:solidFill>
                          <w14:schemeClr w14:val="tx1"/>
                        </w14:solidFill>
                      </w14:textFill>
                    </w:rPr>
                    <w:t>废气、废水、固废等</w:t>
                  </w:r>
                  <w:r>
                    <w:rPr>
                      <w:rFonts w:hint="default" w:ascii="Times New Roman" w:hAnsi="Times New Roman" w:eastAsia="宋体" w:cs="Times New Roman"/>
                      <w:color w:val="000000" w:themeColor="text1"/>
                      <w:sz w:val="21"/>
                      <w:szCs w:val="21"/>
                      <w:highlight w:val="none"/>
                      <w:shd w:val="clear" w:color="auto" w:fill="FFFFFF"/>
                      <w:lang w:eastAsia="zh-CN"/>
                      <w14:textFill>
                        <w14:solidFill>
                          <w14:schemeClr w14:val="tx1"/>
                        </w14:solidFill>
                      </w14:textFill>
                    </w:rPr>
                    <w:t>均采取有效的治理措施</w:t>
                  </w:r>
                  <w:r>
                    <w:rPr>
                      <w:rFonts w:hint="default" w:ascii="Times New Roman" w:hAnsi="Times New Roman" w:eastAsia="宋体" w:cs="Times New Roman"/>
                      <w:color w:val="000000" w:themeColor="text1"/>
                      <w:sz w:val="21"/>
                      <w:szCs w:val="21"/>
                      <w:highlight w:val="none"/>
                      <w:shd w:val="clear" w:color="auto" w:fill="FFFFFF"/>
                      <w14:textFill>
                        <w14:solidFill>
                          <w14:schemeClr w14:val="tx1"/>
                        </w14:solidFill>
                      </w14:textFill>
                    </w:rPr>
                    <w:t>，保证</w:t>
                  </w:r>
                  <w:r>
                    <w:rPr>
                      <w:rFonts w:hint="default" w:ascii="Times New Roman" w:hAnsi="Times New Roman" w:eastAsia="宋体" w:cs="Times New Roman"/>
                      <w:color w:val="000000" w:themeColor="text1"/>
                      <w:sz w:val="21"/>
                      <w:szCs w:val="21"/>
                      <w:highlight w:val="none"/>
                      <w:shd w:val="clear" w:color="auto" w:fill="FFFFFF"/>
                      <w:lang w:val="en-US" w:eastAsia="zh-CN"/>
                      <w14:textFill>
                        <w14:solidFill>
                          <w14:schemeClr w14:val="tx1"/>
                        </w14:solidFill>
                      </w14:textFill>
                    </w:rPr>
                    <w:t>各项污染物稳定</w:t>
                  </w:r>
                  <w:r>
                    <w:rPr>
                      <w:rFonts w:hint="default" w:ascii="Times New Roman" w:hAnsi="Times New Roman" w:eastAsia="宋体" w:cs="Times New Roman"/>
                      <w:color w:val="000000" w:themeColor="text1"/>
                      <w:sz w:val="21"/>
                      <w:szCs w:val="21"/>
                      <w:highlight w:val="none"/>
                      <w:shd w:val="clear" w:color="auto" w:fill="FFFFFF"/>
                      <w14:textFill>
                        <w14:solidFill>
                          <w14:schemeClr w14:val="tx1"/>
                        </w14:solidFill>
                      </w14:textFill>
                    </w:rPr>
                    <w:t>达标排放。</w:t>
                  </w:r>
                </w:p>
              </w:tc>
              <w:tc>
                <w:tcPr>
                  <w:tcW w:w="578" w:type="pct"/>
                  <w:tcBorders>
                    <w:tl2br w:val="nil"/>
                    <w:tr2bl w:val="nil"/>
                  </w:tcBorders>
                  <w:noWrap w:val="0"/>
                  <w:vAlign w:val="center"/>
                </w:tcPr>
                <w:p w14:paraId="48B5DD54">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符合</w:t>
                  </w:r>
                </w:p>
              </w:tc>
            </w:tr>
            <w:tr w14:paraId="6B2F93C3">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489" w:type="pct"/>
                  <w:vMerge w:val="continue"/>
                  <w:tcBorders>
                    <w:tl2br w:val="nil"/>
                    <w:tr2bl w:val="nil"/>
                  </w:tcBorders>
                  <w:noWrap w:val="0"/>
                  <w:vAlign w:val="center"/>
                </w:tcPr>
                <w:p w14:paraId="6C81507F">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2456" w:type="pct"/>
                  <w:tcBorders>
                    <w:tl2br w:val="nil"/>
                    <w:tr2bl w:val="nil"/>
                  </w:tcBorders>
                  <w:noWrap w:val="0"/>
                  <w:vAlign w:val="center"/>
                </w:tcPr>
                <w:p w14:paraId="77691E5C">
                  <w:pPr>
                    <w:pStyle w:val="5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shd w:val="clear" w:color="auto" w:fill="FFFFFF"/>
                      <w14:textFill>
                        <w14:solidFill>
                          <w14:schemeClr w14:val="tx1"/>
                        </w14:solidFill>
                      </w14:textFill>
                    </w:rPr>
                    <w:t>制药工业污染防治应遵循清洁生产与末端治理相结合、综合利用与无害化处置相结合的原则；注重源头控污，加强精细化管理，提倡废水分类收集、分质处理，采用先进、成熟的污染防治技术，减少废气排放，提高废物综合利用水平，加强环境风险防范。废水、废气及固体废物的处置应考虑生物安全性因素。</w:t>
                  </w:r>
                </w:p>
              </w:tc>
              <w:tc>
                <w:tcPr>
                  <w:tcW w:w="1475" w:type="pct"/>
                  <w:tcBorders>
                    <w:tl2br w:val="nil"/>
                    <w:tr2bl w:val="nil"/>
                  </w:tcBorders>
                  <w:noWrap w:val="0"/>
                  <w:vAlign w:val="center"/>
                </w:tcPr>
                <w:p w14:paraId="15674CAC">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shd w:val="clear" w:color="auto" w:fill="FFFFFF"/>
                      <w14:textFill>
                        <w14:solidFill>
                          <w14:schemeClr w14:val="tx1"/>
                        </w14:solidFill>
                      </w14:textFill>
                    </w:rPr>
                    <w:t>本项目</w:t>
                  </w:r>
                  <w:r>
                    <w:rPr>
                      <w:rFonts w:hint="eastAsia" w:ascii="Times New Roman" w:hAnsi="Times New Roman" w:cs="Times New Roman"/>
                      <w:color w:val="000000" w:themeColor="text1"/>
                      <w:sz w:val="21"/>
                      <w:szCs w:val="21"/>
                      <w:highlight w:val="none"/>
                      <w:shd w:val="clear" w:color="auto" w:fill="FFFFFF"/>
                      <w:lang w:eastAsia="zh-CN"/>
                      <w14:textFill>
                        <w14:solidFill>
                          <w14:schemeClr w14:val="tx1"/>
                        </w14:solidFill>
                      </w14:textFill>
                    </w:rPr>
                    <w:t>对</w:t>
                  </w:r>
                  <w:r>
                    <w:rPr>
                      <w:rFonts w:hint="default" w:ascii="Times New Roman" w:hAnsi="Times New Roman" w:eastAsia="宋体" w:cs="Times New Roman"/>
                      <w:color w:val="000000" w:themeColor="text1"/>
                      <w:sz w:val="21"/>
                      <w:szCs w:val="21"/>
                      <w:highlight w:val="none"/>
                      <w:shd w:val="clear" w:color="auto" w:fill="FFFFFF"/>
                      <w:lang w:val="en-US" w:eastAsia="zh-CN"/>
                      <w14:textFill>
                        <w14:solidFill>
                          <w14:schemeClr w14:val="tx1"/>
                        </w14:solidFill>
                      </w14:textFill>
                    </w:rPr>
                    <w:t>生产运行期产生的</w:t>
                  </w:r>
                  <w:r>
                    <w:rPr>
                      <w:rFonts w:hint="default" w:ascii="Times New Roman" w:hAnsi="Times New Roman" w:eastAsia="宋体" w:cs="Times New Roman"/>
                      <w:color w:val="000000" w:themeColor="text1"/>
                      <w:sz w:val="21"/>
                      <w:szCs w:val="21"/>
                      <w:highlight w:val="none"/>
                      <w:shd w:val="clear" w:color="auto" w:fill="FFFFFF"/>
                      <w14:textFill>
                        <w14:solidFill>
                          <w14:schemeClr w14:val="tx1"/>
                        </w14:solidFill>
                      </w14:textFill>
                    </w:rPr>
                    <w:t>废气、废水、固废等</w:t>
                  </w:r>
                  <w:r>
                    <w:rPr>
                      <w:rFonts w:hint="default" w:ascii="Times New Roman" w:hAnsi="Times New Roman" w:eastAsia="宋体" w:cs="Times New Roman"/>
                      <w:color w:val="000000" w:themeColor="text1"/>
                      <w:sz w:val="21"/>
                      <w:szCs w:val="21"/>
                      <w:highlight w:val="none"/>
                      <w:shd w:val="clear" w:color="auto" w:fill="FFFFFF"/>
                      <w:lang w:eastAsia="zh-CN"/>
                      <w14:textFill>
                        <w14:solidFill>
                          <w14:schemeClr w14:val="tx1"/>
                        </w14:solidFill>
                      </w14:textFill>
                    </w:rPr>
                    <w:t>均采取有效的治理措施</w:t>
                  </w:r>
                  <w:r>
                    <w:rPr>
                      <w:rFonts w:hint="default" w:ascii="Times New Roman" w:hAnsi="Times New Roman" w:eastAsia="宋体" w:cs="Times New Roman"/>
                      <w:color w:val="000000" w:themeColor="text1"/>
                      <w:sz w:val="21"/>
                      <w:szCs w:val="21"/>
                      <w:highlight w:val="none"/>
                      <w:shd w:val="clear" w:color="auto" w:fill="FFFFFF"/>
                      <w14:textFill>
                        <w14:solidFill>
                          <w14:schemeClr w14:val="tx1"/>
                        </w14:solidFill>
                      </w14:textFill>
                    </w:rPr>
                    <w:t>，保证</w:t>
                  </w:r>
                  <w:r>
                    <w:rPr>
                      <w:rFonts w:hint="default" w:ascii="Times New Roman" w:hAnsi="Times New Roman" w:eastAsia="宋体" w:cs="Times New Roman"/>
                      <w:color w:val="000000" w:themeColor="text1"/>
                      <w:sz w:val="21"/>
                      <w:szCs w:val="21"/>
                      <w:highlight w:val="none"/>
                      <w:shd w:val="clear" w:color="auto" w:fill="FFFFFF"/>
                      <w:lang w:val="en-US" w:eastAsia="zh-CN"/>
                      <w14:textFill>
                        <w14:solidFill>
                          <w14:schemeClr w14:val="tx1"/>
                        </w14:solidFill>
                      </w14:textFill>
                    </w:rPr>
                    <w:t>各项污染物稳定</w:t>
                  </w:r>
                  <w:r>
                    <w:rPr>
                      <w:rFonts w:hint="default" w:ascii="Times New Roman" w:hAnsi="Times New Roman" w:eastAsia="宋体" w:cs="Times New Roman"/>
                      <w:color w:val="000000" w:themeColor="text1"/>
                      <w:sz w:val="21"/>
                      <w:szCs w:val="21"/>
                      <w:highlight w:val="none"/>
                      <w:shd w:val="clear" w:color="auto" w:fill="FFFFFF"/>
                      <w14:textFill>
                        <w14:solidFill>
                          <w14:schemeClr w14:val="tx1"/>
                        </w14:solidFill>
                      </w14:textFill>
                    </w:rPr>
                    <w:t>达标排放。</w:t>
                  </w:r>
                </w:p>
              </w:tc>
              <w:tc>
                <w:tcPr>
                  <w:tcW w:w="578" w:type="pct"/>
                  <w:tcBorders>
                    <w:tl2br w:val="nil"/>
                    <w:tr2bl w:val="nil"/>
                  </w:tcBorders>
                  <w:noWrap w:val="0"/>
                  <w:vAlign w:val="center"/>
                </w:tcPr>
                <w:p w14:paraId="32ACE8E8">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符合</w:t>
                  </w:r>
                </w:p>
              </w:tc>
            </w:tr>
            <w:tr w14:paraId="384C19EF">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489" w:type="pct"/>
                  <w:vMerge w:val="continue"/>
                  <w:tcBorders>
                    <w:tl2br w:val="nil"/>
                    <w:tr2bl w:val="nil"/>
                  </w:tcBorders>
                  <w:noWrap w:val="0"/>
                  <w:vAlign w:val="center"/>
                </w:tcPr>
                <w:p w14:paraId="01F2D9DE">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2456" w:type="pct"/>
                  <w:tcBorders>
                    <w:tl2br w:val="nil"/>
                    <w:tr2bl w:val="nil"/>
                  </w:tcBorders>
                  <w:noWrap w:val="0"/>
                  <w:vAlign w:val="center"/>
                </w:tcPr>
                <w:p w14:paraId="62417D89">
                  <w:pPr>
                    <w:pStyle w:val="5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shd w:val="clear" w:color="auto" w:fill="FFFFFF"/>
                      <w14:textFill>
                        <w14:solidFill>
                          <w14:schemeClr w14:val="tx1"/>
                        </w14:solidFill>
                      </w14:textFill>
                    </w:rPr>
                    <w:t>制药企业应优化产品结构，采用先进的生产工艺和设备，提升污染防治水平；淘汰高耗能、高耗水、高污染、低效率的落后工艺和设备</w:t>
                  </w:r>
                </w:p>
              </w:tc>
              <w:tc>
                <w:tcPr>
                  <w:tcW w:w="1475" w:type="pct"/>
                  <w:tcBorders>
                    <w:tl2br w:val="nil"/>
                    <w:tr2bl w:val="nil"/>
                  </w:tcBorders>
                  <w:noWrap w:val="0"/>
                  <w:vAlign w:val="center"/>
                </w:tcPr>
                <w:p w14:paraId="7E16EE49">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shd w:val="clear" w:color="auto" w:fill="FFFFFF"/>
                      <w14:textFill>
                        <w14:solidFill>
                          <w14:schemeClr w14:val="tx1"/>
                        </w14:solidFill>
                      </w14:textFill>
                    </w:rPr>
                    <w:t>本项目采用先进的生产工艺和设备，</w:t>
                  </w:r>
                  <w:r>
                    <w:rPr>
                      <w:rFonts w:hint="eastAsia" w:ascii="Times New Roman" w:hAnsi="Times New Roman" w:cs="Times New Roman"/>
                      <w:color w:val="000000" w:themeColor="text1"/>
                      <w:sz w:val="21"/>
                      <w:szCs w:val="21"/>
                      <w:highlight w:val="none"/>
                      <w:shd w:val="clear" w:color="auto" w:fill="FFFFFF"/>
                      <w:lang w:eastAsia="zh-CN"/>
                      <w14:textFill>
                        <w14:solidFill>
                          <w14:schemeClr w14:val="tx1"/>
                        </w14:solidFill>
                      </w14:textFill>
                    </w:rPr>
                    <w:t>对</w:t>
                  </w:r>
                  <w:r>
                    <w:rPr>
                      <w:rFonts w:hint="default" w:ascii="Times New Roman" w:hAnsi="Times New Roman" w:eastAsia="宋体" w:cs="Times New Roman"/>
                      <w:color w:val="000000" w:themeColor="text1"/>
                      <w:sz w:val="21"/>
                      <w:szCs w:val="21"/>
                      <w:highlight w:val="none"/>
                      <w:shd w:val="clear" w:color="auto" w:fill="FFFFFF"/>
                      <w:lang w:val="en-US" w:eastAsia="zh-CN"/>
                      <w14:textFill>
                        <w14:solidFill>
                          <w14:schemeClr w14:val="tx1"/>
                        </w14:solidFill>
                      </w14:textFill>
                    </w:rPr>
                    <w:t>生产运行期产生的</w:t>
                  </w:r>
                  <w:r>
                    <w:rPr>
                      <w:rFonts w:hint="default" w:ascii="Times New Roman" w:hAnsi="Times New Roman" w:eastAsia="宋体" w:cs="Times New Roman"/>
                      <w:color w:val="000000" w:themeColor="text1"/>
                      <w:sz w:val="21"/>
                      <w:szCs w:val="21"/>
                      <w:highlight w:val="none"/>
                      <w:shd w:val="clear" w:color="auto" w:fill="FFFFFF"/>
                      <w14:textFill>
                        <w14:solidFill>
                          <w14:schemeClr w14:val="tx1"/>
                        </w14:solidFill>
                      </w14:textFill>
                    </w:rPr>
                    <w:t>废气、废水、固废等</w:t>
                  </w:r>
                  <w:r>
                    <w:rPr>
                      <w:rFonts w:hint="default" w:ascii="Times New Roman" w:hAnsi="Times New Roman" w:eastAsia="宋体" w:cs="Times New Roman"/>
                      <w:color w:val="000000" w:themeColor="text1"/>
                      <w:sz w:val="21"/>
                      <w:szCs w:val="21"/>
                      <w:highlight w:val="none"/>
                      <w:shd w:val="clear" w:color="auto" w:fill="FFFFFF"/>
                      <w:lang w:eastAsia="zh-CN"/>
                      <w14:textFill>
                        <w14:solidFill>
                          <w14:schemeClr w14:val="tx1"/>
                        </w14:solidFill>
                      </w14:textFill>
                    </w:rPr>
                    <w:t>均采取有效的治理措施</w:t>
                  </w:r>
                  <w:r>
                    <w:rPr>
                      <w:rFonts w:hint="default" w:ascii="Times New Roman" w:hAnsi="Times New Roman" w:eastAsia="宋体" w:cs="Times New Roman"/>
                      <w:color w:val="000000" w:themeColor="text1"/>
                      <w:sz w:val="21"/>
                      <w:szCs w:val="21"/>
                      <w:highlight w:val="none"/>
                      <w:shd w:val="clear" w:color="auto" w:fill="FFFFFF"/>
                      <w14:textFill>
                        <w14:solidFill>
                          <w14:schemeClr w14:val="tx1"/>
                        </w14:solidFill>
                      </w14:textFill>
                    </w:rPr>
                    <w:t>，保证</w:t>
                  </w:r>
                  <w:r>
                    <w:rPr>
                      <w:rFonts w:hint="default" w:ascii="Times New Roman" w:hAnsi="Times New Roman" w:eastAsia="宋体" w:cs="Times New Roman"/>
                      <w:color w:val="000000" w:themeColor="text1"/>
                      <w:sz w:val="21"/>
                      <w:szCs w:val="21"/>
                      <w:highlight w:val="none"/>
                      <w:shd w:val="clear" w:color="auto" w:fill="FFFFFF"/>
                      <w:lang w:val="en-US" w:eastAsia="zh-CN"/>
                      <w14:textFill>
                        <w14:solidFill>
                          <w14:schemeClr w14:val="tx1"/>
                        </w14:solidFill>
                      </w14:textFill>
                    </w:rPr>
                    <w:t>各项污染物稳定</w:t>
                  </w:r>
                  <w:r>
                    <w:rPr>
                      <w:rFonts w:hint="default" w:ascii="Times New Roman" w:hAnsi="Times New Roman" w:eastAsia="宋体" w:cs="Times New Roman"/>
                      <w:color w:val="000000" w:themeColor="text1"/>
                      <w:sz w:val="21"/>
                      <w:szCs w:val="21"/>
                      <w:highlight w:val="none"/>
                      <w:shd w:val="clear" w:color="auto" w:fill="FFFFFF"/>
                      <w14:textFill>
                        <w14:solidFill>
                          <w14:schemeClr w14:val="tx1"/>
                        </w14:solidFill>
                      </w14:textFill>
                    </w:rPr>
                    <w:t>达标排放。</w:t>
                  </w:r>
                </w:p>
              </w:tc>
              <w:tc>
                <w:tcPr>
                  <w:tcW w:w="578" w:type="pct"/>
                  <w:tcBorders>
                    <w:tl2br w:val="nil"/>
                    <w:tr2bl w:val="nil"/>
                  </w:tcBorders>
                  <w:noWrap w:val="0"/>
                  <w:vAlign w:val="center"/>
                </w:tcPr>
                <w:p w14:paraId="24EDA88A">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符合</w:t>
                  </w:r>
                </w:p>
              </w:tc>
            </w:tr>
            <w:tr w14:paraId="64BE92D7">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89" w:type="pct"/>
                  <w:tcBorders>
                    <w:tl2br w:val="nil"/>
                    <w:tr2bl w:val="nil"/>
                  </w:tcBorders>
                  <w:noWrap w:val="0"/>
                  <w:vAlign w:val="center"/>
                </w:tcPr>
                <w:p w14:paraId="756ED031">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二、</w:t>
                  </w:r>
                </w:p>
                <w:p w14:paraId="6EBF5811">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清洁生产</w:t>
                  </w:r>
                </w:p>
              </w:tc>
              <w:tc>
                <w:tcPr>
                  <w:tcW w:w="2456" w:type="pct"/>
                  <w:tcBorders>
                    <w:tl2br w:val="nil"/>
                    <w:tr2bl w:val="nil"/>
                  </w:tcBorders>
                  <w:noWrap w:val="0"/>
                  <w:vAlign w:val="center"/>
                </w:tcPr>
                <w:p w14:paraId="3322F082">
                  <w:pPr>
                    <w:pStyle w:val="2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5" w:beforeAutospacing="0" w:after="0" w:afterAutospacing="0" w:line="240" w:lineRule="auto"/>
                    <w:ind w:leftChars="0" w:right="0" w:firstLine="0" w:firstLineChars="0"/>
                    <w:jc w:val="left"/>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（一）鼓励使用无毒、无害或低毒、低害的原辅材料，减少有毒、有害原辅材料的使用。</w:t>
                  </w:r>
                </w:p>
                <w:p w14:paraId="1FC66B48">
                  <w:pPr>
                    <w:pStyle w:val="2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5" w:beforeAutospacing="0" w:after="0" w:afterAutospacing="0" w:line="240" w:lineRule="auto"/>
                    <w:ind w:leftChars="0" w:right="0" w:firstLine="0" w:firstLineChars="0"/>
                    <w:jc w:val="left"/>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（二）鼓励在生产中减少含氮物质的使用。</w:t>
                  </w:r>
                </w:p>
                <w:p w14:paraId="2ED7421C">
                  <w:pPr>
                    <w:pStyle w:val="2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5" w:beforeAutospacing="0" w:after="0" w:afterAutospacing="0" w:line="240" w:lineRule="auto"/>
                    <w:ind w:leftChars="0" w:right="0" w:firstLine="0" w:firstLineChars="0"/>
                    <w:jc w:val="left"/>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（三）鼓励采用动态提取、微波提取、超声提取、双水相萃取、超临界萃取、液膜法、膜分离、大孔树脂吸附、多效浓缩、真空带式干燥、微波干燥、喷雾干燥等提取、分离、纯化、浓缩和干燥技术。</w:t>
                  </w:r>
                </w:p>
                <w:p w14:paraId="6ADEEA75">
                  <w:pPr>
                    <w:pStyle w:val="2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5" w:beforeAutospacing="0" w:after="0" w:afterAutospacing="0" w:line="240" w:lineRule="auto"/>
                    <w:ind w:leftChars="0" w:right="0" w:firstLine="0" w:firstLineChars="0"/>
                    <w:jc w:val="left"/>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（四）鼓励采用酶法、新型结晶、生物转化等原料药生产新技术，鼓励构建新菌种或改造抗生素、维生素、氨基酸等产品的生产菌种，提高产率。</w:t>
                  </w:r>
                </w:p>
                <w:p w14:paraId="32C315DB">
                  <w:pPr>
                    <w:pStyle w:val="2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5" w:beforeAutospacing="0" w:after="0" w:afterAutospacing="0" w:line="240" w:lineRule="auto"/>
                    <w:ind w:leftChars="0" w:right="0" w:firstLine="0" w:firstLineChars="0"/>
                    <w:jc w:val="left"/>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（五）生产过程中应密闭式操作，采用密闭设备、密闭原料输送管道；投料宜采用放料、泵料或压料技术，不宜采用真空抽料，以减少有机溶剂的无组织排放。</w:t>
                  </w:r>
                </w:p>
                <w:p w14:paraId="4C5B87A4">
                  <w:pPr>
                    <w:pStyle w:val="2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5" w:beforeAutospacing="0" w:after="0" w:afterAutospacing="0" w:line="240" w:lineRule="auto"/>
                    <w:ind w:leftChars="0" w:right="0" w:firstLine="0" w:firstLineChars="0"/>
                    <w:jc w:val="left"/>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（六）有机溶剂回收系统应选用密闭、高效的工艺和设备，提高溶剂回收率。</w:t>
                  </w:r>
                </w:p>
                <w:p w14:paraId="5A528523">
                  <w:pPr>
                    <w:pStyle w:val="2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5" w:beforeAutospacing="0" w:after="0" w:afterAutospacing="0" w:line="240" w:lineRule="auto"/>
                    <w:ind w:leftChars="0" w:right="0" w:firstLine="0" w:firstLineChars="0"/>
                    <w:jc w:val="left"/>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（七）鼓励回收利用废水中有用物质、采用膜分离或多效蒸发等技术回收生产中使用的铵盐等盐类物质，减少废水中的氨氮及硫酸盐等盐类物质。</w:t>
                  </w:r>
                </w:p>
                <w:p w14:paraId="06FC259F">
                  <w:pPr>
                    <w:pStyle w:val="2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5" w:beforeAutospacing="0" w:after="0" w:afterAutospacing="0" w:line="240" w:lineRule="auto"/>
                    <w:ind w:leftChars="0" w:right="0" w:firstLine="0" w:firstLineChars="0"/>
                    <w:jc w:val="left"/>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（八）提高制水设备排水、循环水排水、蒸汽凝水、洗瓶水的回收利用率。</w:t>
                  </w:r>
                </w:p>
              </w:tc>
              <w:tc>
                <w:tcPr>
                  <w:tcW w:w="1475" w:type="pct"/>
                  <w:tcBorders>
                    <w:tl2br w:val="nil"/>
                    <w:tr2bl w:val="nil"/>
                  </w:tcBorders>
                  <w:noWrap w:val="0"/>
                  <w:vAlign w:val="center"/>
                </w:tcPr>
                <w:p w14:paraId="3A18DD84">
                  <w:pPr>
                    <w:pStyle w:val="2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5" w:beforeAutospacing="0" w:after="0" w:afterAutospacing="0" w:line="240" w:lineRule="auto"/>
                    <w:ind w:right="0" w:firstLine="0" w:firstLineChars="0"/>
                    <w:jc w:val="left"/>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项目</w:t>
                  </w: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生产不涉及有毒、有害原辅材料、含氮物质；项目生产不涉及有机溶剂回收</w:t>
                  </w: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w:t>
                  </w:r>
                </w:p>
              </w:tc>
              <w:tc>
                <w:tcPr>
                  <w:tcW w:w="578" w:type="pct"/>
                  <w:tcBorders>
                    <w:tl2br w:val="nil"/>
                    <w:tr2bl w:val="nil"/>
                  </w:tcBorders>
                  <w:noWrap w:val="0"/>
                  <w:vAlign w:val="center"/>
                </w:tcPr>
                <w:p w14:paraId="0B08080A">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符合</w:t>
                  </w:r>
                </w:p>
              </w:tc>
            </w:tr>
            <w:tr w14:paraId="4F2DBCB4">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89" w:type="pct"/>
                  <w:tcBorders>
                    <w:tl2br w:val="nil"/>
                    <w:tr2bl w:val="nil"/>
                  </w:tcBorders>
                  <w:noWrap w:val="0"/>
                  <w:vAlign w:val="center"/>
                </w:tcPr>
                <w:p w14:paraId="44A6B0F9">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三、</w:t>
                  </w:r>
                </w:p>
                <w:p w14:paraId="08A8D4D5">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水污染防治</w:t>
                  </w:r>
                </w:p>
              </w:tc>
              <w:tc>
                <w:tcPr>
                  <w:tcW w:w="2456" w:type="pct"/>
                  <w:tcBorders>
                    <w:tl2br w:val="nil"/>
                    <w:tr2bl w:val="nil"/>
                  </w:tcBorders>
                  <w:noWrap w:val="0"/>
                  <w:vAlign w:val="center"/>
                </w:tcPr>
                <w:p w14:paraId="0C35B6BA">
                  <w:pPr>
                    <w:pStyle w:val="2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5" w:beforeAutospacing="0" w:after="0" w:afterAutospacing="0" w:line="240" w:lineRule="auto"/>
                    <w:ind w:leftChars="0" w:right="0" w:firstLine="0" w:firstLineChars="0"/>
                    <w:jc w:val="left"/>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一）废水宜分类收集、分质处理；高浓度废水、含有药物活性成分的废水应进行预处理。企业向工业园区的公共污水处理厂或城镇排水系统排放废水，应进行处理，并按法律规定达到国家或地方规定的排放标准。</w:t>
                  </w:r>
                </w:p>
                <w:p w14:paraId="31B95EC5">
                  <w:pPr>
                    <w:pStyle w:val="2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5" w:beforeAutospacing="0" w:after="0" w:afterAutospacing="0" w:line="240" w:lineRule="auto"/>
                    <w:ind w:leftChars="0" w:right="0" w:firstLine="0" w:firstLineChars="0"/>
                    <w:jc w:val="left"/>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（二）烷基汞、总镉、六价铬、总铅、总镍、总汞、总砷等水污染物应在车间处理达标后，再进入污水处理系统。</w:t>
                  </w:r>
                </w:p>
                <w:p w14:paraId="174307B7">
                  <w:pPr>
                    <w:pStyle w:val="2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5" w:beforeAutospacing="0" w:after="0" w:afterAutospacing="0" w:line="240" w:lineRule="auto"/>
                    <w:ind w:leftChars="0" w:right="0" w:firstLine="0" w:firstLineChars="0"/>
                    <w:jc w:val="left"/>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（三）含有药物活性成分的废水，应进行预处理灭活。</w:t>
                  </w:r>
                </w:p>
                <w:p w14:paraId="68A8EC4E">
                  <w:pPr>
                    <w:pStyle w:val="2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5" w:beforeAutospacing="0" w:after="0" w:afterAutospacing="0" w:line="240" w:lineRule="auto"/>
                    <w:ind w:leftChars="0" w:right="0" w:firstLine="0" w:firstLineChars="0"/>
                    <w:jc w:val="left"/>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四）高含盐废水宜进行除盐处理后，再进入污水处理系统。（五）可生化降解的高浓度废水应进行常规预处理，难生化降解的高浓度废水应进行强化预处理。预处理后的高浓度废水，先经“厌氧生化”处理后，与低浓度废水混合，再进行“好氧生化”处理及深度处理；或预处理后的高浓度废水与低浓度废水混合，进行“厌氧（或水解酸化）－好氧”生化处理及深度处理。</w:t>
                  </w:r>
                </w:p>
                <w:p w14:paraId="1C4D9010">
                  <w:pPr>
                    <w:pStyle w:val="2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5" w:beforeAutospacing="0" w:after="0" w:afterAutospacing="0" w:line="240" w:lineRule="auto"/>
                    <w:ind w:leftChars="0" w:right="0" w:firstLine="0" w:firstLineChars="0"/>
                    <w:jc w:val="left"/>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（六）毒性大、难降解废水应单独收集、单独处理后，再与其他废水混合处理。</w:t>
                  </w:r>
                </w:p>
                <w:p w14:paraId="1C697F37">
                  <w:pPr>
                    <w:pStyle w:val="2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5" w:beforeAutospacing="0" w:after="0" w:afterAutospacing="0" w:line="240" w:lineRule="auto"/>
                    <w:ind w:leftChars="0" w:right="0" w:firstLine="0" w:firstLineChars="0"/>
                    <w:jc w:val="left"/>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（七）含氨氮高的废水宜物化预处理，回收氨氮后再进行生物脱氮。</w:t>
                  </w:r>
                </w:p>
                <w:p w14:paraId="151EF5B1">
                  <w:pPr>
                    <w:pStyle w:val="2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5" w:beforeAutospacing="0" w:after="0" w:afterAutospacing="0" w:line="240" w:lineRule="auto"/>
                    <w:ind w:leftChars="0" w:right="0" w:firstLine="0" w:firstLineChars="0"/>
                    <w:jc w:val="left"/>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（八）接触病毒、活性细菌的生物工程类制药工艺废水应灭菌、灭活后再与其他废水混合，采用“二级生化－消毒”组合工艺进行处理。</w:t>
                  </w:r>
                </w:p>
                <w:p w14:paraId="7CF8CB1C">
                  <w:pPr>
                    <w:pStyle w:val="2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5" w:beforeAutospacing="0" w:after="0" w:afterAutospacing="0" w:line="240" w:lineRule="auto"/>
                    <w:ind w:leftChars="0" w:right="0" w:firstLine="0" w:firstLineChars="0"/>
                    <w:jc w:val="left"/>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（九）实验室废水、动物房废水应单独收集，并进行灭菌、灭活处理，再进入污水处理系统。（十）低浓度有机废水，宜采用“好氧生化”或“水解酸化－好氧生化”工艺进行处理。</w:t>
                  </w:r>
                </w:p>
              </w:tc>
              <w:tc>
                <w:tcPr>
                  <w:tcW w:w="1475" w:type="pct"/>
                  <w:tcBorders>
                    <w:tl2br w:val="nil"/>
                    <w:tr2bl w:val="nil"/>
                  </w:tcBorders>
                  <w:noWrap w:val="0"/>
                  <w:vAlign w:val="center"/>
                </w:tcPr>
                <w:p w14:paraId="7E2407DB">
                  <w:pPr>
                    <w:pStyle w:val="25"/>
                    <w:keepNext w:val="0"/>
                    <w:keepLines w:val="0"/>
                    <w:pageBreakBefore w:val="0"/>
                    <w:widowControl w:val="0"/>
                    <w:numPr>
                      <w:ilvl w:val="0"/>
                      <w:numId w:val="0"/>
                    </w:numPr>
                    <w:suppressLineNumbers w:val="0"/>
                    <w:kinsoku/>
                    <w:wordWrap w:val="0"/>
                    <w:overflowPunct/>
                    <w:topLinePunct w:val="0"/>
                    <w:autoSpaceDE/>
                    <w:autoSpaceDN/>
                    <w:bidi w:val="0"/>
                    <w:adjustRightInd/>
                    <w:snapToGrid/>
                    <w:spacing w:before="5" w:beforeAutospacing="0" w:after="0" w:afterAutospacing="0" w:line="240" w:lineRule="auto"/>
                    <w:ind w:right="0" w:firstLine="0" w:firstLineChars="0"/>
                    <w:jc w:val="left"/>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本项目不新增员工，不新增生活废水。项目生产废水由厂内污水处理站处理后，经市政管网排放到</w:t>
                  </w:r>
                  <w:r>
                    <w:rPr>
                      <w:rFonts w:hint="eastAsia" w:ascii="Times New Roman" w:hAnsi="Times New Roman" w:cs="Times New Roman"/>
                      <w:bCs/>
                      <w:snapToGrid w:val="0"/>
                      <w:color w:val="000000" w:themeColor="text1"/>
                      <w:kern w:val="0"/>
                      <w:sz w:val="21"/>
                      <w:szCs w:val="21"/>
                      <w:highlight w:val="none"/>
                      <w:lang w:val="en-US" w:eastAsia="zh-CN" w:bidi="ar-SA"/>
                      <w14:textFill>
                        <w14:solidFill>
                          <w14:schemeClr w14:val="tx1"/>
                        </w14:solidFill>
                      </w14:textFill>
                    </w:rPr>
                    <w:t>石桥子污水处理厂</w:t>
                  </w: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，厂内污水处理站排放口污染物</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排放浓度满足《污水综合排放标准》（GB8978-1996）表4</w:t>
                  </w:r>
                  <w:r>
                    <w:rPr>
                      <w:rFonts w:hint="eastAsia" w:cs="Times New Roman"/>
                      <w:color w:val="000000" w:themeColor="text1"/>
                      <w:kern w:val="0"/>
                      <w:sz w:val="21"/>
                      <w:szCs w:val="21"/>
                      <w:highlight w:val="none"/>
                      <w:lang w:val="en-US" w:eastAsia="zh-CN" w:bidi="ar-SA"/>
                      <w14:textFill>
                        <w14:solidFill>
                          <w14:schemeClr w14:val="tx1"/>
                        </w14:solidFill>
                      </w14:textFill>
                    </w:rPr>
                    <w:t>和</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《辽宁省污水综合排放标准》（DB21/1627-2008）中表2水污染物最高允许排放浓度标准。</w:t>
                  </w:r>
                </w:p>
              </w:tc>
              <w:tc>
                <w:tcPr>
                  <w:tcW w:w="578" w:type="pct"/>
                  <w:tcBorders>
                    <w:tl2br w:val="nil"/>
                    <w:tr2bl w:val="nil"/>
                  </w:tcBorders>
                  <w:noWrap w:val="0"/>
                  <w:vAlign w:val="center"/>
                </w:tcPr>
                <w:p w14:paraId="65CA92BA">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符合</w:t>
                  </w:r>
                </w:p>
              </w:tc>
            </w:tr>
            <w:tr w14:paraId="0393DF32">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89" w:type="pct"/>
                  <w:tcBorders>
                    <w:tl2br w:val="nil"/>
                    <w:tr2bl w:val="nil"/>
                  </w:tcBorders>
                  <w:noWrap w:val="0"/>
                  <w:vAlign w:val="center"/>
                </w:tcPr>
                <w:p w14:paraId="2F09D521">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四、</w:t>
                  </w:r>
                </w:p>
                <w:p w14:paraId="4811D838">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大气污染防</w:t>
                  </w:r>
                </w:p>
              </w:tc>
              <w:tc>
                <w:tcPr>
                  <w:tcW w:w="2456" w:type="pct"/>
                  <w:tcBorders>
                    <w:tl2br w:val="nil"/>
                    <w:tr2bl w:val="nil"/>
                  </w:tcBorders>
                  <w:noWrap w:val="0"/>
                  <w:vAlign w:val="center"/>
                </w:tcPr>
                <w:p w14:paraId="6231E805">
                  <w:pPr>
                    <w:pStyle w:val="2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5" w:beforeAutospacing="0" w:after="0" w:afterAutospacing="0" w:line="240" w:lineRule="auto"/>
                    <w:ind w:leftChars="0" w:right="0" w:firstLine="0" w:firstLineChars="0"/>
                    <w:jc w:val="left"/>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（一）粉碎、筛分、总混、过滤、干燥、包装等工序产生的含药尘废气，应安装袋式、湿式等高效除尘器捕集。</w:t>
                  </w:r>
                </w:p>
                <w:p w14:paraId="649E0478">
                  <w:pPr>
                    <w:pStyle w:val="2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5" w:beforeAutospacing="0" w:after="0" w:afterAutospacing="0" w:line="240" w:lineRule="auto"/>
                    <w:ind w:leftChars="0" w:right="0" w:firstLine="0" w:firstLineChars="0"/>
                    <w:jc w:val="left"/>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（二）有机溶剂废气优先采用冷凝、吸附－冷凝、离子液吸收等工艺进行回收，不能回收的应采用燃烧法等进行处理。</w:t>
                  </w:r>
                </w:p>
                <w:p w14:paraId="5C742FE6">
                  <w:pPr>
                    <w:pStyle w:val="33"/>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60" w:lineRule="auto"/>
                    <w:ind w:left="0" w:leftChars="0" w:right="113" w:firstLine="0" w:firstLineChars="0"/>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（三）发酵尾气宜采取除臭措施进行处理。</w:t>
                  </w:r>
                </w:p>
                <w:p w14:paraId="3487FAF8">
                  <w:pPr>
                    <w:pStyle w:val="33"/>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60" w:lineRule="auto"/>
                    <w:ind w:left="0" w:leftChars="0" w:right="113" w:firstLine="0" w:firstLineChars="0"/>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（四）含氯化氢等酸性废气应采用水或碱液吸收处理，含氨等碱性废气应采用水或酸吸收处理。</w:t>
                  </w:r>
                </w:p>
                <w:p w14:paraId="633140A6">
                  <w:pPr>
                    <w:pStyle w:val="33"/>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60" w:lineRule="auto"/>
                    <w:ind w:left="0" w:leftChars="0" w:right="113" w:firstLine="0" w:firstLineChars="0"/>
                    <w:jc w:val="both"/>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（五）产生恶臭的生产车间应设置除臭设施；动物房应封闭，设置集中通风、除臭设施。</w:t>
                  </w:r>
                </w:p>
              </w:tc>
              <w:tc>
                <w:tcPr>
                  <w:tcW w:w="1475" w:type="pct"/>
                  <w:tcBorders>
                    <w:tl2br w:val="nil"/>
                    <w:tr2bl w:val="nil"/>
                  </w:tcBorders>
                  <w:noWrap w:val="0"/>
                  <w:vAlign w:val="center"/>
                </w:tcPr>
                <w:p w14:paraId="11D886DE">
                  <w:pPr>
                    <w:pStyle w:val="2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5" w:beforeAutospacing="0" w:after="0" w:afterAutospacing="0" w:line="240" w:lineRule="auto"/>
                    <w:ind w:right="0" w:firstLine="0" w:firstLineChars="0"/>
                    <w:jc w:val="left"/>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本项目</w:t>
                  </w:r>
                  <w:r>
                    <w:rPr>
                      <w:rFonts w:hint="default" w:ascii="Times New Roman" w:hAnsi="Times New Roman" w:eastAsia="宋体" w:cs="Times New Roman"/>
                      <w:color w:val="000000" w:themeColor="text1"/>
                      <w:sz w:val="21"/>
                      <w:szCs w:val="21"/>
                      <w:highlight w:val="none"/>
                      <w14:textFill>
                        <w14:solidFill>
                          <w14:schemeClr w14:val="tx1"/>
                        </w14:solidFill>
                      </w14:textFill>
                    </w:rPr>
                    <w:t>车间</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生产中为</w:t>
                  </w:r>
                  <w:r>
                    <w:rPr>
                      <w:rFonts w:hint="eastAsia" w:ascii="Times New Roman" w:hAnsi="Times New Roman" w:cs="Times New Roman"/>
                      <w:color w:val="000000" w:themeColor="text1"/>
                      <w:sz w:val="21"/>
                      <w:szCs w:val="21"/>
                      <w:highlight w:val="none"/>
                      <w:lang w:eastAsia="zh-CN"/>
                      <w14:textFill>
                        <w14:solidFill>
                          <w14:schemeClr w14:val="tx1"/>
                        </w14:solidFill>
                      </w14:textFill>
                    </w:rPr>
                    <w:t>封闭式</w:t>
                  </w:r>
                  <w:r>
                    <w:rPr>
                      <w:rFonts w:hint="eastAsia" w:cs="Times New Roman"/>
                      <w:color w:val="000000" w:themeColor="text1"/>
                      <w:sz w:val="21"/>
                      <w:szCs w:val="21"/>
                      <w:highlight w:val="none"/>
                      <w:lang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生产中产生的粉尘经除尘器处理后排放；</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前处理车间炒制工序产生的臭气浓度</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采用</w:t>
                  </w: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二级</w:t>
                  </w:r>
                  <w:r>
                    <w:rPr>
                      <w:rFonts w:hint="eastAsia" w:ascii="Times New Roman" w:hAnsi="Times New Roman" w:cs="Times New Roman"/>
                      <w:bCs/>
                      <w:snapToGrid w:val="0"/>
                      <w:color w:val="000000" w:themeColor="text1"/>
                      <w:kern w:val="0"/>
                      <w:sz w:val="21"/>
                      <w:szCs w:val="21"/>
                      <w:highlight w:val="none"/>
                      <w:lang w:val="en-US" w:eastAsia="zh-CN" w:bidi="ar-SA"/>
                      <w14:textFill>
                        <w14:solidFill>
                          <w14:schemeClr w14:val="tx1"/>
                        </w14:solidFill>
                      </w14:textFill>
                    </w:rPr>
                    <w:t>活性炭吸附设施处理</w:t>
                  </w:r>
                  <w:r>
                    <w:rPr>
                      <w:rFonts w:hint="eastAsia" w:cs="Times New Roman"/>
                      <w:bCs/>
                      <w:snapToGrid w:val="0"/>
                      <w:color w:val="000000" w:themeColor="text1"/>
                      <w:kern w:val="0"/>
                      <w:sz w:val="21"/>
                      <w:szCs w:val="21"/>
                      <w:highlight w:val="none"/>
                      <w:lang w:val="en-US" w:eastAsia="zh-CN" w:bidi="ar-SA"/>
                      <w14:textFill>
                        <w14:solidFill>
                          <w14:schemeClr w14:val="tx1"/>
                        </w14:solidFill>
                      </w14:textFill>
                    </w:rPr>
                    <w:t>。</w:t>
                  </w:r>
                </w:p>
              </w:tc>
              <w:tc>
                <w:tcPr>
                  <w:tcW w:w="578" w:type="pct"/>
                  <w:tcBorders>
                    <w:tl2br w:val="nil"/>
                    <w:tr2bl w:val="nil"/>
                  </w:tcBorders>
                  <w:noWrap w:val="0"/>
                  <w:vAlign w:val="center"/>
                </w:tcPr>
                <w:p w14:paraId="3BA2032B">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符合</w:t>
                  </w:r>
                </w:p>
              </w:tc>
            </w:tr>
            <w:tr w14:paraId="0F42EBA6">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89" w:type="pct"/>
                  <w:tcBorders>
                    <w:tl2br w:val="nil"/>
                    <w:tr2bl w:val="nil"/>
                  </w:tcBorders>
                  <w:noWrap w:val="0"/>
                  <w:vAlign w:val="center"/>
                </w:tcPr>
                <w:p w14:paraId="0ED5641D">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五、</w:t>
                  </w:r>
                </w:p>
                <w:p w14:paraId="3952FCDA">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固体废物处置和综合利用</w:t>
                  </w:r>
                </w:p>
              </w:tc>
              <w:tc>
                <w:tcPr>
                  <w:tcW w:w="2456" w:type="pct"/>
                  <w:tcBorders>
                    <w:tl2br w:val="nil"/>
                    <w:tr2bl w:val="nil"/>
                  </w:tcBorders>
                  <w:noWrap w:val="0"/>
                  <w:vAlign w:val="center"/>
                </w:tcPr>
                <w:p w14:paraId="4091F629">
                  <w:pPr>
                    <w:pStyle w:val="33"/>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60" w:lineRule="auto"/>
                    <w:ind w:left="0" w:leftChars="0" w:right="113" w:firstLine="0" w:firstLineChars="0"/>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一）制药工业产生的列入《国家危险废物名录》的废物，应按危险废物处置，包括：高浓度釜残液、基因工程药物过程中的母液、生产抗生素类药物和生物工程类药物产生的菌丝废渣、报废药品、过期原料、废吸附剂、废催化剂和溶剂、含有或者直接沾染危险废物的废包装材料、废滤芯（膜）等。</w:t>
                  </w:r>
                </w:p>
                <w:p w14:paraId="25CDD7A4">
                  <w:pPr>
                    <w:pStyle w:val="33"/>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60" w:lineRule="auto"/>
                    <w:ind w:left="0" w:leftChars="0" w:right="113" w:firstLine="0" w:firstLineChars="0"/>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（二）生产维生素、氨基酸及其他发酵类药物产生的菌丝废渣经鉴别为危险废物的，按照危险废物处置。</w:t>
                  </w:r>
                </w:p>
                <w:p w14:paraId="372994CD">
                  <w:pPr>
                    <w:pStyle w:val="33"/>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60" w:lineRule="auto"/>
                    <w:ind w:left="0" w:leftChars="0" w:right="113" w:firstLine="0" w:firstLineChars="0"/>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三）药物生产过程中产生的废活性炭应优先回收再生利用，未回收利用的按照危险废物处置。实验动物尸体应作为危险废物焚烧处置。（四）中药、提取类药物生产过程中产生的药渣鼓励作有机肥料或燃料利用。</w:t>
                  </w:r>
                </w:p>
              </w:tc>
              <w:tc>
                <w:tcPr>
                  <w:tcW w:w="1475" w:type="pct"/>
                  <w:tcBorders>
                    <w:tl2br w:val="nil"/>
                    <w:tr2bl w:val="nil"/>
                  </w:tcBorders>
                  <w:noWrap w:val="0"/>
                  <w:vAlign w:val="center"/>
                </w:tcPr>
                <w:p w14:paraId="0A2BC4B5">
                  <w:pPr>
                    <w:pStyle w:val="29"/>
                    <w:keepNext w:val="0"/>
                    <w:keepLines w:val="0"/>
                    <w:suppressLineNumbers w:val="0"/>
                    <w:spacing w:beforeAutospacing="0" w:after="0" w:afterAutospacing="0" w:line="240" w:lineRule="auto"/>
                    <w:ind w:left="0" w:leftChars="0" w:right="0" w:firstLine="0" w:firstLineChars="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本</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项目</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产生的危险废物暂存于</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危废贮存</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库</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，定期交由有资质单位进行处置。</w:t>
                  </w:r>
                </w:p>
              </w:tc>
              <w:tc>
                <w:tcPr>
                  <w:tcW w:w="578" w:type="pct"/>
                  <w:tcBorders>
                    <w:tl2br w:val="nil"/>
                    <w:tr2bl w:val="nil"/>
                  </w:tcBorders>
                  <w:noWrap w:val="0"/>
                  <w:vAlign w:val="center"/>
                </w:tcPr>
                <w:p w14:paraId="1E126545">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符合</w:t>
                  </w:r>
                </w:p>
              </w:tc>
            </w:tr>
            <w:tr w14:paraId="5DFC51E3">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89" w:type="pct"/>
                  <w:tcBorders>
                    <w:tl2br w:val="nil"/>
                    <w:tr2bl w:val="nil"/>
                  </w:tcBorders>
                  <w:noWrap w:val="0"/>
                  <w:vAlign w:val="center"/>
                </w:tcPr>
                <w:p w14:paraId="46FB23BF">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六、</w:t>
                  </w:r>
                </w:p>
                <w:p w14:paraId="5AB2B08C">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生物安全性风险防范</w:t>
                  </w:r>
                </w:p>
              </w:tc>
              <w:tc>
                <w:tcPr>
                  <w:tcW w:w="2456" w:type="pct"/>
                  <w:tcBorders>
                    <w:tl2br w:val="nil"/>
                    <w:tr2bl w:val="nil"/>
                  </w:tcBorders>
                  <w:noWrap w:val="0"/>
                  <w:vAlign w:val="center"/>
                </w:tcPr>
                <w:p w14:paraId="4C6D881D">
                  <w:pPr>
                    <w:pStyle w:val="33"/>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60" w:lineRule="auto"/>
                    <w:ind w:left="0" w:leftChars="0" w:right="113" w:firstLine="0" w:firstLineChars="0"/>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（一）生物工程类制药中接触病毒或活性菌种的生产、研发全过程应灭活、灭菌，优先选择高温灭活技术。</w:t>
                  </w:r>
                </w:p>
                <w:p w14:paraId="7DDB67D4">
                  <w:pPr>
                    <w:pStyle w:val="33"/>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60" w:lineRule="auto"/>
                    <w:ind w:left="0" w:leftChars="0" w:right="113" w:firstLine="0" w:firstLineChars="0"/>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（二）存在生物安全性风险的抗生素制药废水，应进行前处理以破坏抗生素分子结构。</w:t>
                  </w:r>
                </w:p>
                <w:p w14:paraId="39A2CD39">
                  <w:pPr>
                    <w:pStyle w:val="33"/>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60" w:lineRule="auto"/>
                    <w:ind w:left="0" w:leftChars="0" w:right="113" w:firstLine="0" w:firstLineChars="0"/>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（三）通过高效过滤器控制颗粒物排放，减少生物气溶胶可能带来的风险。（</w:t>
                  </w:r>
                </w:p>
                <w:p w14:paraId="6339C36B">
                  <w:pPr>
                    <w:pStyle w:val="33"/>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60" w:lineRule="auto"/>
                    <w:ind w:left="0" w:leftChars="0" w:right="113" w:firstLine="0" w:firstLineChars="0"/>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四）涉及生物安全性风险的固体废物应进行无害化处置。</w:t>
                  </w:r>
                </w:p>
              </w:tc>
              <w:tc>
                <w:tcPr>
                  <w:tcW w:w="1475" w:type="pct"/>
                  <w:tcBorders>
                    <w:tl2br w:val="nil"/>
                    <w:tr2bl w:val="nil"/>
                  </w:tcBorders>
                  <w:noWrap w:val="0"/>
                  <w:vAlign w:val="center"/>
                </w:tcPr>
                <w:p w14:paraId="5E94F677">
                  <w:pPr>
                    <w:pStyle w:val="33"/>
                    <w:keepNext w:val="0"/>
                    <w:keepLines w:val="0"/>
                    <w:suppressLineNumbers w:val="0"/>
                    <w:spacing w:beforeAutospacing="0" w:afterAutospacing="0"/>
                    <w:ind w:left="0" w:leftChars="0" w:firstLine="0" w:firstLineChars="0"/>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本</w:t>
                  </w: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项目不涉及生物工程类制药</w:t>
                  </w:r>
                </w:p>
              </w:tc>
              <w:tc>
                <w:tcPr>
                  <w:tcW w:w="578" w:type="pct"/>
                  <w:tcBorders>
                    <w:tl2br w:val="nil"/>
                    <w:tr2bl w:val="nil"/>
                  </w:tcBorders>
                  <w:noWrap w:val="0"/>
                  <w:vAlign w:val="center"/>
                </w:tcPr>
                <w:p w14:paraId="60820EF3">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r w14:paraId="05C78536">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610" w:hRule="atLeast"/>
                <w:jc w:val="center"/>
              </w:trPr>
              <w:tc>
                <w:tcPr>
                  <w:tcW w:w="489" w:type="pct"/>
                  <w:tcBorders>
                    <w:tl2br w:val="nil"/>
                    <w:tr2bl w:val="nil"/>
                  </w:tcBorders>
                  <w:noWrap w:val="0"/>
                  <w:vAlign w:val="center"/>
                </w:tcPr>
                <w:p w14:paraId="7CC39443">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七、</w:t>
                  </w:r>
                </w:p>
                <w:p w14:paraId="6FD5CDD9">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二次污染防治</w:t>
                  </w:r>
                </w:p>
              </w:tc>
              <w:tc>
                <w:tcPr>
                  <w:tcW w:w="2456" w:type="pct"/>
                  <w:tcBorders>
                    <w:tl2br w:val="nil"/>
                    <w:tr2bl w:val="nil"/>
                  </w:tcBorders>
                  <w:noWrap w:val="0"/>
                  <w:vAlign w:val="center"/>
                </w:tcPr>
                <w:p w14:paraId="094DAB32">
                  <w:pPr>
                    <w:pStyle w:val="33"/>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60" w:lineRule="auto"/>
                    <w:ind w:left="0" w:leftChars="0" w:right="113" w:firstLine="0" w:firstLineChars="0"/>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（一）废水厌氧生化处理过程中产生的沼气，宜回收并脱硫后综合利用，不得直接放散。</w:t>
                  </w:r>
                </w:p>
                <w:p w14:paraId="4050E10F">
                  <w:pPr>
                    <w:pStyle w:val="33"/>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60" w:lineRule="auto"/>
                    <w:ind w:left="0" w:leftChars="0" w:right="113" w:firstLine="0" w:firstLineChars="0"/>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（二）废水处理过程中产生的恶臭气体，经收集后采用化学吸收、生物过滤、吸附等方法进行处理。</w:t>
                  </w:r>
                </w:p>
                <w:p w14:paraId="3FABAA73">
                  <w:pPr>
                    <w:pStyle w:val="33"/>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60" w:lineRule="auto"/>
                    <w:ind w:left="0" w:leftChars="0" w:right="113" w:firstLine="0" w:firstLineChars="0"/>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（三）废水处理过程中产生的剩余污泥，应按照《国家危险废物名录》和危险废物鉴别标准进行识别或鉴别，非危险废物可综合利用。</w:t>
                  </w:r>
                </w:p>
                <w:p w14:paraId="353B3901">
                  <w:pPr>
                    <w:pStyle w:val="33"/>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60" w:lineRule="auto"/>
                    <w:ind w:left="0" w:leftChars="0" w:right="113" w:firstLine="0" w:firstLineChars="0"/>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（四）有机溶剂废气处理过程中产生的废活性炭等吸附过滤物及载体，应作为危险废物处置。</w:t>
                  </w:r>
                </w:p>
                <w:p w14:paraId="28652E33">
                  <w:pPr>
                    <w:pStyle w:val="33"/>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60" w:lineRule="auto"/>
                    <w:ind w:left="0" w:leftChars="0" w:right="113" w:firstLine="0" w:firstLineChars="0"/>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（五）除尘设施捕集的不可回收利用的药尘，应作为危险废物处置。</w:t>
                  </w:r>
                </w:p>
              </w:tc>
              <w:tc>
                <w:tcPr>
                  <w:tcW w:w="1475" w:type="pct"/>
                  <w:tcBorders>
                    <w:tl2br w:val="nil"/>
                    <w:tr2bl w:val="nil"/>
                  </w:tcBorders>
                  <w:noWrap w:val="0"/>
                  <w:vAlign w:val="center"/>
                </w:tcPr>
                <w:p w14:paraId="3CECD531">
                  <w:pPr>
                    <w:pStyle w:val="33"/>
                    <w:keepNext w:val="0"/>
                    <w:keepLines w:val="0"/>
                    <w:suppressLineNumbers w:val="0"/>
                    <w:spacing w:beforeAutospacing="0" w:afterAutospacing="0"/>
                    <w:ind w:left="0" w:leftChars="0" w:firstLine="0" w:firstLineChars="0"/>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本项目依托现有厂内污水处理站处理生产废水，污水处理站污水池加盖密封，</w:t>
                  </w: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产生的</w:t>
                  </w: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恶臭</w:t>
                  </w: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气体</w:t>
                  </w: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采取低温等离子除臭装置进行处理后经</w:t>
                  </w: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m高的排气筒排放。</w:t>
                  </w:r>
                </w:p>
              </w:tc>
              <w:tc>
                <w:tcPr>
                  <w:tcW w:w="578" w:type="pct"/>
                  <w:tcBorders>
                    <w:tl2br w:val="nil"/>
                    <w:tr2bl w:val="nil"/>
                  </w:tcBorders>
                  <w:noWrap w:val="0"/>
                  <w:vAlign w:val="center"/>
                </w:tcPr>
                <w:p w14:paraId="06BE6476">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符合</w:t>
                  </w:r>
                </w:p>
              </w:tc>
            </w:tr>
            <w:tr w14:paraId="6822F9B0">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89" w:type="pct"/>
                  <w:tcBorders>
                    <w:tl2br w:val="nil"/>
                    <w:tr2bl w:val="nil"/>
                  </w:tcBorders>
                  <w:noWrap w:val="0"/>
                  <w:vAlign w:val="center"/>
                </w:tcPr>
                <w:p w14:paraId="4562CC53">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八、</w:t>
                  </w:r>
                </w:p>
                <w:p w14:paraId="14704629">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鼓励研发新技术</w:t>
                  </w:r>
                </w:p>
              </w:tc>
              <w:tc>
                <w:tcPr>
                  <w:tcW w:w="2456" w:type="pct"/>
                  <w:tcBorders>
                    <w:tl2br w:val="nil"/>
                    <w:tr2bl w:val="nil"/>
                  </w:tcBorders>
                  <w:noWrap w:val="0"/>
                  <w:vAlign w:val="center"/>
                </w:tcPr>
                <w:p w14:paraId="693641BE">
                  <w:pPr>
                    <w:pStyle w:val="33"/>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60" w:lineRule="auto"/>
                    <w:ind w:left="0" w:leftChars="0" w:right="113" w:firstLine="0" w:firstLineChars="0"/>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鼓励研究、开发、推广以下技术：</w:t>
                  </w:r>
                </w:p>
                <w:p w14:paraId="4ED221EE">
                  <w:pPr>
                    <w:pStyle w:val="33"/>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60" w:lineRule="auto"/>
                    <w:ind w:left="0" w:leftChars="0" w:right="113" w:firstLine="0" w:firstLineChars="0"/>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（一）进行发酵菌种改良和工艺流程优化，提高产率、减少能耗。</w:t>
                  </w:r>
                </w:p>
                <w:p w14:paraId="55D905B0">
                  <w:pPr>
                    <w:pStyle w:val="33"/>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60" w:lineRule="auto"/>
                    <w:ind w:left="0" w:leftChars="0" w:right="113" w:firstLine="0" w:firstLineChars="0"/>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二）连续逆流循环等高效活性物质提取分离技术，研发酶法、生物转化、膜技术、结晶技术等环保、节能的关键共性产业化技术和装备。（三）发酵菌渣生产工艺中的再利用技术、无害化处理技术、综合利用技术，危险废物厂内综合利用技术。</w:t>
                  </w:r>
                </w:p>
              </w:tc>
              <w:tc>
                <w:tcPr>
                  <w:tcW w:w="1475" w:type="pct"/>
                  <w:tcBorders>
                    <w:tl2br w:val="nil"/>
                    <w:tr2bl w:val="nil"/>
                  </w:tcBorders>
                  <w:noWrap w:val="0"/>
                  <w:vAlign w:val="center"/>
                </w:tcPr>
                <w:p w14:paraId="19A2A657">
                  <w:pPr>
                    <w:pStyle w:val="33"/>
                    <w:keepNext w:val="0"/>
                    <w:keepLines w:val="0"/>
                    <w:suppressLineNumbers w:val="0"/>
                    <w:spacing w:beforeAutospacing="0" w:afterAutospacing="0"/>
                    <w:ind w:left="0" w:leftChars="0" w:firstLine="0" w:firstLineChars="0"/>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本项目建成后，继续研究、开发新技术，提高产品收率、减少能耗和污染物排放数量。</w:t>
                  </w:r>
                </w:p>
              </w:tc>
              <w:tc>
                <w:tcPr>
                  <w:tcW w:w="578" w:type="pct"/>
                  <w:tcBorders>
                    <w:tl2br w:val="nil"/>
                    <w:tr2bl w:val="nil"/>
                  </w:tcBorders>
                  <w:noWrap w:val="0"/>
                  <w:vAlign w:val="center"/>
                </w:tcPr>
                <w:p w14:paraId="7720B856">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符合</w:t>
                  </w:r>
                </w:p>
              </w:tc>
            </w:tr>
            <w:tr w14:paraId="027E2C89">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89" w:type="pct"/>
                  <w:tcBorders>
                    <w:tl2br w:val="nil"/>
                    <w:tr2bl w:val="nil"/>
                  </w:tcBorders>
                  <w:noWrap w:val="0"/>
                  <w:vAlign w:val="center"/>
                </w:tcPr>
                <w:p w14:paraId="4A2B20B4">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九、</w:t>
                  </w:r>
                </w:p>
                <w:p w14:paraId="7FE169F7">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运行管理</w:t>
                  </w:r>
                </w:p>
              </w:tc>
              <w:tc>
                <w:tcPr>
                  <w:tcW w:w="2456" w:type="pct"/>
                  <w:tcBorders>
                    <w:tl2br w:val="nil"/>
                    <w:tr2bl w:val="nil"/>
                  </w:tcBorders>
                  <w:noWrap w:val="0"/>
                  <w:vAlign w:val="center"/>
                </w:tcPr>
                <w:p w14:paraId="474C7683">
                  <w:pPr>
                    <w:pStyle w:val="33"/>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60" w:lineRule="auto"/>
                    <w:ind w:left="0" w:leftChars="0" w:right="113" w:firstLine="0" w:firstLineChars="0"/>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（一）企业应按照有关规定，安装COD等主要污染物的在线监测装置，并与环保行政主管部门的污染监控系统联网。</w:t>
                  </w:r>
                </w:p>
                <w:p w14:paraId="47CE8529">
                  <w:pPr>
                    <w:pStyle w:val="33"/>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60" w:lineRule="auto"/>
                    <w:ind w:left="0" w:leftChars="0" w:right="113" w:firstLine="0" w:firstLineChars="0"/>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（二）企业应建立生产装置和污染防治设施运行及检修规程和台账等日常管理制度；建立、完善环境污染事故应急体系，建设危险化学品的事故应急处理设施。</w:t>
                  </w:r>
                </w:p>
                <w:p w14:paraId="0B7A36E9">
                  <w:pPr>
                    <w:pStyle w:val="33"/>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60" w:lineRule="auto"/>
                    <w:ind w:left="0" w:leftChars="0" w:right="113" w:firstLine="0" w:firstLineChars="0"/>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（三）企业应加强厂区环境综合整治，厂区、制药车间、储罐区、污水处理设施地面应采取相应的防渗、防漏和防腐措施；优化企业内部管网布局，实现清污分流、雨污分流和管网防渗、防漏。</w:t>
                  </w:r>
                </w:p>
                <w:p w14:paraId="719FC31F">
                  <w:pPr>
                    <w:pStyle w:val="33"/>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60" w:lineRule="auto"/>
                    <w:ind w:left="0" w:leftChars="0" w:right="113" w:firstLine="0" w:firstLineChars="0"/>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（四）溶剂类物料、易挥发物料（氨、盐酸等）应采用储罐集中供料和储存，储罐呼吸气收集后处理；应加强输料泵、管道、阀门等设备的经常性检查更换，杜绝生产过程中跑、冒、滴、漏现象。</w:t>
                  </w:r>
                </w:p>
                <w:p w14:paraId="65DDE673">
                  <w:pPr>
                    <w:pStyle w:val="33"/>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60" w:lineRule="auto"/>
                    <w:ind w:left="0" w:leftChars="0" w:right="113" w:firstLine="0" w:firstLineChars="0"/>
                    <w:jc w:val="both"/>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（五）鼓励企业委托有相关资质的第三方进行污染治理设施的运行管理。</w:t>
                  </w:r>
                </w:p>
              </w:tc>
              <w:tc>
                <w:tcPr>
                  <w:tcW w:w="1475" w:type="pct"/>
                  <w:tcBorders>
                    <w:tl2br w:val="nil"/>
                    <w:tr2bl w:val="nil"/>
                  </w:tcBorders>
                  <w:noWrap w:val="0"/>
                  <w:vAlign w:val="center"/>
                </w:tcPr>
                <w:p w14:paraId="31270A27">
                  <w:pPr>
                    <w:pStyle w:val="33"/>
                    <w:keepNext w:val="0"/>
                    <w:keepLines w:val="0"/>
                    <w:suppressLineNumbers w:val="0"/>
                    <w:spacing w:beforeAutospacing="0" w:afterAutospacing="0"/>
                    <w:ind w:left="0" w:leftChars="0" w:firstLine="0" w:firstLineChars="0"/>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本项目建成后，完善现有生产装置和污染防治设施运行及检修规程和台账等日常管理制度；完善现有环境污染事故应急体系，修订环境污染事故应急预案。</w:t>
                  </w: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生产</w:t>
                  </w: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车间地面采取相应的防渗、防漏和防腐措施；优化企业内部管网布局，完善清污分流、雨污分流和管网防渗、防漏。加强输料泵、管道、阀门等设备的经常性检查更换，杜绝生产过程中跑、冒、滴、漏现象。</w:t>
                  </w:r>
                </w:p>
              </w:tc>
              <w:tc>
                <w:tcPr>
                  <w:tcW w:w="578" w:type="pct"/>
                  <w:tcBorders>
                    <w:tl2br w:val="nil"/>
                    <w:tr2bl w:val="nil"/>
                  </w:tcBorders>
                  <w:noWrap w:val="0"/>
                  <w:vAlign w:val="center"/>
                </w:tcPr>
                <w:p w14:paraId="28F97A23">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符合</w:t>
                  </w:r>
                </w:p>
              </w:tc>
            </w:tr>
            <w:tr w14:paraId="06B03193">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95" w:hRule="atLeast"/>
                <w:jc w:val="center"/>
              </w:trPr>
              <w:tc>
                <w:tcPr>
                  <w:tcW w:w="489" w:type="pct"/>
                  <w:tcBorders>
                    <w:tl2br w:val="nil"/>
                    <w:tr2bl w:val="nil"/>
                  </w:tcBorders>
                  <w:noWrap w:val="0"/>
                  <w:vAlign w:val="center"/>
                </w:tcPr>
                <w:p w14:paraId="7FE35E5A">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十、</w:t>
                  </w:r>
                </w:p>
                <w:p w14:paraId="54C36DD8">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监督管理</w:t>
                  </w:r>
                </w:p>
              </w:tc>
              <w:tc>
                <w:tcPr>
                  <w:tcW w:w="2456" w:type="pct"/>
                  <w:tcBorders>
                    <w:tl2br w:val="nil"/>
                    <w:tr2bl w:val="nil"/>
                  </w:tcBorders>
                  <w:noWrap w:val="0"/>
                  <w:vAlign w:val="center"/>
                </w:tcPr>
                <w:p w14:paraId="43EDE10E">
                  <w:pPr>
                    <w:pStyle w:val="33"/>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60" w:lineRule="auto"/>
                    <w:ind w:left="0" w:leftChars="0" w:right="113" w:firstLine="0" w:firstLineChars="0"/>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（一）应重点加强对企业废水处理等工序的日常监测、控制与管理，严防偷、漏排行为发生。加强周边地表水、地下水和土壤污染的监控。</w:t>
                  </w:r>
                </w:p>
                <w:p w14:paraId="5BD220FD">
                  <w:pPr>
                    <w:pStyle w:val="33"/>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60" w:lineRule="auto"/>
                    <w:ind w:left="0" w:leftChars="0" w:right="113" w:firstLine="0" w:firstLineChars="0"/>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（二）应按有关规定，开展清洁生产工作，提高污染防治技术水平，确保环境安全。</w:t>
                  </w:r>
                </w:p>
                <w:p w14:paraId="57C260E7">
                  <w:pPr>
                    <w:pStyle w:val="33"/>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60" w:lineRule="auto"/>
                    <w:ind w:left="0" w:leftChars="0" w:right="113" w:firstLine="0" w:firstLineChars="0"/>
                    <w:jc w:val="both"/>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（三）制药企业所在地的环境保护行政主管部门应加强对企业污染治理设施运行和日常污染防治管理制度执行情况的定期检查和监督。</w:t>
                  </w:r>
                </w:p>
              </w:tc>
              <w:tc>
                <w:tcPr>
                  <w:tcW w:w="1475" w:type="pct"/>
                  <w:tcBorders>
                    <w:tl2br w:val="nil"/>
                    <w:tr2bl w:val="nil"/>
                  </w:tcBorders>
                  <w:noWrap w:val="0"/>
                  <w:vAlign w:val="center"/>
                </w:tcPr>
                <w:p w14:paraId="054AC63B">
                  <w:pPr>
                    <w:pStyle w:val="33"/>
                    <w:keepNext w:val="0"/>
                    <w:keepLines w:val="0"/>
                    <w:suppressLineNumbers w:val="0"/>
                    <w:spacing w:beforeAutospacing="0" w:afterAutospacing="0"/>
                    <w:ind w:left="0" w:leftChars="0" w:firstLine="0" w:firstLineChars="0"/>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项目建成投产后进一步开展清洁生产工作，通过对生产技术、生产操作管理以及废物处理与综合利用等方面进行全面审核，在减少污染物排放和废物综合利用等方面提出合理化建议，形成新的清洁生产管理措施。</w:t>
                  </w:r>
                </w:p>
              </w:tc>
              <w:tc>
                <w:tcPr>
                  <w:tcW w:w="578" w:type="pct"/>
                  <w:tcBorders>
                    <w:tl2br w:val="nil"/>
                    <w:tr2bl w:val="nil"/>
                  </w:tcBorders>
                  <w:noWrap w:val="0"/>
                  <w:vAlign w:val="center"/>
                </w:tcPr>
                <w:p w14:paraId="167C70AC">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符合</w:t>
                  </w:r>
                </w:p>
              </w:tc>
            </w:tr>
          </w:tbl>
          <w:p w14:paraId="6B997F7A">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156" w:beforeLines="50" w:beforeAutospacing="0" w:after="0" w:afterAutospacing="0" w:line="360" w:lineRule="auto"/>
              <w:ind w:left="0" w:right="0" w:rightChars="0" w:firstLine="480" w:firstLineChars="200"/>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综上所述，本项目符合《制药工业污染防治技术政策》中的相关要求。</w:t>
            </w:r>
          </w:p>
          <w:p w14:paraId="263D2618">
            <w:pPr>
              <w:keepNext w:val="0"/>
              <w:keepLines w:val="0"/>
              <w:numPr>
                <w:ilvl w:val="0"/>
                <w:numId w:val="3"/>
              </w:numPr>
              <w:suppressLineNumbers w:val="0"/>
              <w:adjustRightInd w:val="0"/>
              <w:snapToGrid w:val="0"/>
              <w:spacing w:before="156" w:beforeLines="50" w:beforeAutospacing="0" w:after="0" w:afterAutospacing="0" w:line="360" w:lineRule="auto"/>
              <w:ind w:left="0" w:leftChars="0" w:right="0" w:rightChars="0"/>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本项目与</w:t>
            </w: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《制药工业挥发性有机物治理实用手册》符合性分析</w:t>
            </w:r>
          </w:p>
          <w:p w14:paraId="2BFD340B">
            <w:pPr>
              <w:keepNext w:val="0"/>
              <w:keepLines w:val="0"/>
              <w:numPr>
                <w:ilvl w:val="0"/>
                <w:numId w:val="2"/>
              </w:numPr>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cs="Times New Roman"/>
                <w:b/>
                <w:bCs/>
                <w:color w:val="000000" w:themeColor="text1"/>
                <w:kern w:val="2"/>
                <w:sz w:val="21"/>
                <w:szCs w:val="21"/>
                <w:highlight w:val="none"/>
                <w:lang w:val="en-US" w:eastAsia="zh-CN" w:bidi="ar-SA"/>
                <w14:textFill>
                  <w14:solidFill>
                    <w14:schemeClr w14:val="tx1"/>
                  </w14:solidFill>
                </w14:textFill>
              </w:rPr>
              <w:t xml:space="preserve">  </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与《制药工业挥发性有机物治理实用手册》符合性分析一览表</w:t>
            </w:r>
          </w:p>
          <w:tbl>
            <w:tblPr>
              <w:tblStyle w:val="36"/>
              <w:tblW w:w="4998" w:type="pct"/>
              <w:jc w:val="center"/>
              <w:tblBorders>
                <w:top w:val="double" w:color="auto" w:sz="4" w:space="0"/>
                <w:left w:val="none" w:color="auto" w:sz="0" w:space="0"/>
                <w:bottom w:val="doub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3900"/>
              <w:gridCol w:w="2692"/>
              <w:gridCol w:w="859"/>
            </w:tblGrid>
            <w:tr w14:paraId="652DB19C">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616" w:type="pct"/>
                  <w:tcBorders>
                    <w:tl2br w:val="nil"/>
                    <w:tr2bl w:val="nil"/>
                  </w:tcBorders>
                  <w:noWrap w:val="0"/>
                  <w:vAlign w:val="center"/>
                </w:tcPr>
                <w:p w14:paraId="394E05F8">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vertAlign w:val="baseline"/>
                      <w:lang w:val="en-US" w:eastAsia="zh-CN" w:bidi="ar-SA"/>
                      <w14:textFill>
                        <w14:solidFill>
                          <w14:schemeClr w14:val="tx1"/>
                        </w14:solidFill>
                      </w14:textFill>
                    </w:rPr>
                    <w:t>技术政策要求</w:t>
                  </w:r>
                </w:p>
              </w:tc>
              <w:tc>
                <w:tcPr>
                  <w:tcW w:w="1806" w:type="pct"/>
                  <w:tcBorders>
                    <w:tl2br w:val="nil"/>
                    <w:tr2bl w:val="nil"/>
                  </w:tcBorders>
                  <w:noWrap w:val="0"/>
                  <w:vAlign w:val="center"/>
                </w:tcPr>
                <w:p w14:paraId="7E8BCD3E">
                  <w:pPr>
                    <w:pStyle w:val="114"/>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szCs w:val="21"/>
                      <w:highlight w:val="none"/>
                      <w:lang w:val="en-US" w:eastAsia="zh-CN"/>
                      <w14:textFill>
                        <w14:solidFill>
                          <w14:schemeClr w14:val="tx1"/>
                        </w14:solidFill>
                      </w14:textFill>
                    </w:rPr>
                    <w:t>本</w:t>
                  </w:r>
                  <w:r>
                    <w:rPr>
                      <w:rFonts w:hint="default" w:ascii="Times New Roman" w:hAnsi="Times New Roman" w:eastAsia="宋体" w:cs="Times New Roman"/>
                      <w:b/>
                      <w:bCs/>
                      <w:color w:val="000000" w:themeColor="text1"/>
                      <w:szCs w:val="21"/>
                      <w:highlight w:val="none"/>
                      <w14:textFill>
                        <w14:solidFill>
                          <w14:schemeClr w14:val="tx1"/>
                        </w14:solidFill>
                      </w14:textFill>
                    </w:rPr>
                    <w:t>项目情况</w:t>
                  </w:r>
                </w:p>
              </w:tc>
              <w:tc>
                <w:tcPr>
                  <w:tcW w:w="576" w:type="pct"/>
                  <w:tcBorders>
                    <w:tl2br w:val="nil"/>
                    <w:tr2bl w:val="nil"/>
                  </w:tcBorders>
                  <w:noWrap w:val="0"/>
                  <w:vAlign w:val="center"/>
                </w:tcPr>
                <w:p w14:paraId="3B474F64">
                  <w:pPr>
                    <w:pStyle w:val="114"/>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lang w:val="en-US" w:eastAsia="zh-CN"/>
                      <w14:textFill>
                        <w14:solidFill>
                          <w14:schemeClr w14:val="tx1"/>
                        </w14:solidFill>
                      </w14:textFill>
                    </w:rPr>
                    <w:t>相符性</w:t>
                  </w:r>
                </w:p>
              </w:tc>
            </w:tr>
            <w:tr w14:paraId="7EAC5E53">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616" w:type="pct"/>
                  <w:tcBorders>
                    <w:tl2br w:val="nil"/>
                    <w:tr2bl w:val="nil"/>
                  </w:tcBorders>
                  <w:noWrap w:val="0"/>
                  <w:vAlign w:val="center"/>
                </w:tcPr>
                <w:p w14:paraId="491A9E6C">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left"/>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源头削减：生产工艺、设备先进性。</w:t>
                  </w:r>
                </w:p>
              </w:tc>
              <w:tc>
                <w:tcPr>
                  <w:tcW w:w="1806" w:type="pct"/>
                  <w:tcBorders>
                    <w:tl2br w:val="nil"/>
                    <w:tr2bl w:val="nil"/>
                  </w:tcBorders>
                  <w:noWrap w:val="0"/>
                  <w:tcMar>
                    <w:top w:w="0" w:type="dxa"/>
                    <w:left w:w="0" w:type="dxa"/>
                    <w:bottom w:w="0" w:type="dxa"/>
                    <w:right w:w="0" w:type="dxa"/>
                  </w:tcMar>
                  <w:vAlign w:val="center"/>
                </w:tcPr>
                <w:p w14:paraId="0DD2C6C0">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left"/>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本项目采用国内较为先进生产工艺、设备</w:t>
                  </w:r>
                </w:p>
              </w:tc>
              <w:tc>
                <w:tcPr>
                  <w:tcW w:w="576" w:type="pct"/>
                  <w:tcBorders>
                    <w:tl2br w:val="nil"/>
                    <w:tr2bl w:val="nil"/>
                  </w:tcBorders>
                  <w:noWrap w:val="0"/>
                  <w:vAlign w:val="center"/>
                </w:tcPr>
                <w:p w14:paraId="1BDF82D6">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符合</w:t>
                  </w:r>
                </w:p>
              </w:tc>
            </w:tr>
            <w:tr w14:paraId="26A905D7">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616" w:type="pct"/>
                  <w:tcBorders>
                    <w:tl2br w:val="nil"/>
                    <w:tr2bl w:val="nil"/>
                  </w:tcBorders>
                  <w:noWrap w:val="0"/>
                  <w:vAlign w:val="center"/>
                </w:tcPr>
                <w:p w14:paraId="0195EC37">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left"/>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储罐：依据储存物料的真实蒸气压选择适宜的储罐类型。</w:t>
                  </w:r>
                </w:p>
              </w:tc>
              <w:tc>
                <w:tcPr>
                  <w:tcW w:w="1806" w:type="pct"/>
                  <w:tcBorders>
                    <w:tl2br w:val="nil"/>
                    <w:tr2bl w:val="nil"/>
                  </w:tcBorders>
                  <w:noWrap w:val="0"/>
                  <w:vAlign w:val="center"/>
                </w:tcPr>
                <w:p w14:paraId="556E59CA">
                  <w:pPr>
                    <w:pStyle w:val="2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5" w:beforeAutospacing="0" w:after="0" w:afterAutospacing="0" w:line="240" w:lineRule="auto"/>
                    <w:ind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本项目不涉及</w:t>
                  </w:r>
                </w:p>
              </w:tc>
              <w:tc>
                <w:tcPr>
                  <w:tcW w:w="576" w:type="pct"/>
                  <w:tcBorders>
                    <w:tl2br w:val="nil"/>
                    <w:tr2bl w:val="nil"/>
                  </w:tcBorders>
                  <w:noWrap w:val="0"/>
                  <w:vAlign w:val="center"/>
                </w:tcPr>
                <w:p w14:paraId="0C68C99C">
                  <w:pPr>
                    <w:pStyle w:val="2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5" w:beforeAutospacing="0" w:after="0" w:afterAutospacing="0" w:line="240" w:lineRule="auto"/>
                    <w:ind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不涉及</w:t>
                  </w:r>
                </w:p>
              </w:tc>
            </w:tr>
            <w:tr w14:paraId="779A1737">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616" w:type="pct"/>
                  <w:tcBorders>
                    <w:tl2br w:val="nil"/>
                    <w:tr2bl w:val="nil"/>
                  </w:tcBorders>
                  <w:noWrap w:val="0"/>
                  <w:vAlign w:val="center"/>
                </w:tcPr>
                <w:p w14:paraId="04794094">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left"/>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过程控制：储存、输送、投料；干燥过程中产生的真空尾气优先冷凝回收物料，不凝气排至VOCs废气收集处理系统。</w:t>
                  </w:r>
                </w:p>
              </w:tc>
              <w:tc>
                <w:tcPr>
                  <w:tcW w:w="2791" w:type="dxa"/>
                  <w:tcBorders>
                    <w:tl2br w:val="nil"/>
                    <w:tr2bl w:val="nil"/>
                  </w:tcBorders>
                  <w:noWrap w:val="0"/>
                  <w:vAlign w:val="center"/>
                </w:tcPr>
                <w:p w14:paraId="116DB903">
                  <w:pPr>
                    <w:pStyle w:val="2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5"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本项目不涉及</w:t>
                  </w:r>
                </w:p>
              </w:tc>
              <w:tc>
                <w:tcPr>
                  <w:tcW w:w="890" w:type="dxa"/>
                  <w:tcBorders>
                    <w:tl2br w:val="nil"/>
                    <w:tr2bl w:val="nil"/>
                  </w:tcBorders>
                  <w:noWrap w:val="0"/>
                  <w:vAlign w:val="center"/>
                </w:tcPr>
                <w:p w14:paraId="64DB65DB">
                  <w:pPr>
                    <w:pStyle w:val="2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5"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不涉及</w:t>
                  </w:r>
                </w:p>
              </w:tc>
            </w:tr>
            <w:tr w14:paraId="6B502F18">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616" w:type="pct"/>
                  <w:tcBorders>
                    <w:tl2br w:val="nil"/>
                    <w:tr2bl w:val="nil"/>
                  </w:tcBorders>
                  <w:noWrap w:val="0"/>
                  <w:vAlign w:val="center"/>
                </w:tcPr>
                <w:p w14:paraId="32B1C1D4">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left"/>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末端治理：配料、反应、分离、提取、精制、干燥、溶剂回收等工艺有机废气收集后，采用冷凝+吸附回收、燃烧、吸附浓缩+燃烧进行处理，或送工艺加热炉、锅炉、焚烧炉燃烧处理（含氯废气除外）。</w:t>
                  </w:r>
                </w:p>
              </w:tc>
              <w:tc>
                <w:tcPr>
                  <w:tcW w:w="2791" w:type="dxa"/>
                  <w:tcBorders>
                    <w:tl2br w:val="nil"/>
                    <w:tr2bl w:val="nil"/>
                  </w:tcBorders>
                  <w:noWrap w:val="0"/>
                  <w:vAlign w:val="center"/>
                </w:tcPr>
                <w:p w14:paraId="490ADCF2">
                  <w:pPr>
                    <w:pStyle w:val="2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5"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本项目不涉及</w:t>
                  </w:r>
                </w:p>
              </w:tc>
              <w:tc>
                <w:tcPr>
                  <w:tcW w:w="890" w:type="dxa"/>
                  <w:tcBorders>
                    <w:tl2br w:val="nil"/>
                    <w:tr2bl w:val="nil"/>
                  </w:tcBorders>
                  <w:noWrap w:val="0"/>
                  <w:vAlign w:val="center"/>
                </w:tcPr>
                <w:p w14:paraId="53274B11">
                  <w:pPr>
                    <w:pStyle w:val="2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5"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不涉及</w:t>
                  </w:r>
                </w:p>
              </w:tc>
            </w:tr>
            <w:tr w14:paraId="3F057BCF">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616" w:type="pct"/>
                  <w:tcBorders>
                    <w:tl2br w:val="nil"/>
                    <w:tr2bl w:val="nil"/>
                  </w:tcBorders>
                  <w:noWrap w:val="0"/>
                  <w:vAlign w:val="center"/>
                </w:tcPr>
                <w:p w14:paraId="3EABF049">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left"/>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排放限值：满足《制药工业大气污染物排放标准》（GB37823—2019）要求，有更严格地方标准的，执行地方标准。</w:t>
                  </w:r>
                </w:p>
              </w:tc>
              <w:tc>
                <w:tcPr>
                  <w:tcW w:w="1806" w:type="pct"/>
                  <w:tcBorders>
                    <w:tl2br w:val="nil"/>
                    <w:tr2bl w:val="nil"/>
                  </w:tcBorders>
                  <w:noWrap w:val="0"/>
                  <w:vAlign w:val="center"/>
                </w:tcPr>
                <w:p w14:paraId="35E353BD">
                  <w:pPr>
                    <w:pStyle w:val="25"/>
                    <w:keepNext w:val="0"/>
                    <w:keepLines w:val="0"/>
                    <w:pageBreakBefore w:val="0"/>
                    <w:widowControl w:val="0"/>
                    <w:numPr>
                      <w:ilvl w:val="0"/>
                      <w:numId w:val="0"/>
                    </w:numPr>
                    <w:suppressLineNumbers w:val="0"/>
                    <w:kinsoku/>
                    <w:wordWrap w:val="0"/>
                    <w:overflowPunct/>
                    <w:topLinePunct w:val="0"/>
                    <w:autoSpaceDE/>
                    <w:autoSpaceDN/>
                    <w:bidi w:val="0"/>
                    <w:adjustRightInd/>
                    <w:snapToGrid/>
                    <w:spacing w:before="5" w:beforeAutospacing="0" w:after="0" w:afterAutospacing="0" w:line="240" w:lineRule="auto"/>
                    <w:ind w:leftChars="0" w:right="0" w:firstLine="0" w:firstLineChars="0"/>
                    <w:jc w:val="left"/>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本项目污染物排放浓度满足《制药工业大气污染物排放标准》（GB37823-2019）要求</w:t>
                  </w:r>
                </w:p>
              </w:tc>
              <w:tc>
                <w:tcPr>
                  <w:tcW w:w="576" w:type="pct"/>
                  <w:tcBorders>
                    <w:tl2br w:val="nil"/>
                    <w:tr2bl w:val="nil"/>
                  </w:tcBorders>
                  <w:noWrap w:val="0"/>
                  <w:vAlign w:val="center"/>
                </w:tcPr>
                <w:p w14:paraId="3BD9C4F2">
                  <w:pPr>
                    <w:pStyle w:val="2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5" w:beforeAutospacing="0" w:after="0" w:afterAutospacing="0" w:line="240" w:lineRule="auto"/>
                    <w:ind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符合</w:t>
                  </w:r>
                </w:p>
              </w:tc>
            </w:tr>
            <w:tr w14:paraId="48261CBA">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616" w:type="pct"/>
                  <w:tcBorders>
                    <w:tl2br w:val="nil"/>
                    <w:tr2bl w:val="nil"/>
                  </w:tcBorders>
                  <w:noWrap w:val="0"/>
                  <w:vAlign w:val="center"/>
                </w:tcPr>
                <w:p w14:paraId="61EE5DFD">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left"/>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监测监控：严格执行《排污单位自行监测技术指南总则》（HJ819-2017）规定的自行监测管理要求。纳入重点排污单位名录的，排污许可证中规定的主要排污口安装自动监控设施。</w:t>
                  </w:r>
                </w:p>
              </w:tc>
              <w:tc>
                <w:tcPr>
                  <w:tcW w:w="1806" w:type="pct"/>
                  <w:tcBorders>
                    <w:tl2br w:val="nil"/>
                    <w:tr2bl w:val="nil"/>
                  </w:tcBorders>
                  <w:noWrap w:val="0"/>
                  <w:vAlign w:val="center"/>
                </w:tcPr>
                <w:p w14:paraId="680D4DA2">
                  <w:pPr>
                    <w:pStyle w:val="25"/>
                    <w:keepNext w:val="0"/>
                    <w:keepLines w:val="0"/>
                    <w:pageBreakBefore w:val="0"/>
                    <w:widowControl w:val="0"/>
                    <w:numPr>
                      <w:ilvl w:val="0"/>
                      <w:numId w:val="0"/>
                    </w:numPr>
                    <w:suppressLineNumbers w:val="0"/>
                    <w:kinsoku/>
                    <w:wordWrap w:val="0"/>
                    <w:overflowPunct/>
                    <w:topLinePunct w:val="0"/>
                    <w:autoSpaceDE/>
                    <w:autoSpaceDN/>
                    <w:bidi w:val="0"/>
                    <w:adjustRightInd/>
                    <w:snapToGrid/>
                    <w:spacing w:before="5" w:beforeAutospacing="0" w:after="0" w:afterAutospacing="0" w:line="240" w:lineRule="auto"/>
                    <w:ind w:leftChars="0" w:right="0" w:firstLine="0" w:firstLineChars="0"/>
                    <w:jc w:val="left"/>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本项目按照《排污单位自行监测技术指南总则》（HJ819-2017）要求制定自行监测方案</w:t>
                  </w:r>
                </w:p>
              </w:tc>
              <w:tc>
                <w:tcPr>
                  <w:tcW w:w="576" w:type="pct"/>
                  <w:tcBorders>
                    <w:tl2br w:val="nil"/>
                    <w:tr2bl w:val="nil"/>
                  </w:tcBorders>
                  <w:noWrap w:val="0"/>
                  <w:vAlign w:val="center"/>
                </w:tcPr>
                <w:p w14:paraId="6897F062">
                  <w:pPr>
                    <w:pStyle w:val="2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5" w:beforeAutospacing="0" w:after="0" w:afterAutospacing="0" w:line="240" w:lineRule="auto"/>
                    <w:ind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符合</w:t>
                  </w:r>
                </w:p>
              </w:tc>
            </w:tr>
            <w:tr w14:paraId="0E304366">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87" w:hRule="atLeast"/>
                <w:jc w:val="center"/>
              </w:trPr>
              <w:tc>
                <w:tcPr>
                  <w:tcW w:w="2616" w:type="pct"/>
                  <w:tcBorders>
                    <w:tl2br w:val="nil"/>
                    <w:tr2bl w:val="nil"/>
                  </w:tcBorders>
                  <w:noWrap w:val="0"/>
                  <w:vAlign w:val="center"/>
                </w:tcPr>
                <w:p w14:paraId="0A168FA1">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left"/>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台账记录：环境管理台账一般按日或按批次进行记录，异常情况应按次记录。记录应保存3年以上。</w:t>
                  </w:r>
                </w:p>
              </w:tc>
              <w:tc>
                <w:tcPr>
                  <w:tcW w:w="1806" w:type="pct"/>
                  <w:tcBorders>
                    <w:tl2br w:val="nil"/>
                    <w:tr2bl w:val="nil"/>
                  </w:tcBorders>
                  <w:noWrap w:val="0"/>
                  <w:vAlign w:val="center"/>
                </w:tcPr>
                <w:p w14:paraId="7F94B699">
                  <w:pPr>
                    <w:pStyle w:val="2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5" w:beforeAutospacing="0" w:after="0" w:afterAutospacing="0" w:line="240" w:lineRule="auto"/>
                    <w:ind w:leftChars="0" w:right="0" w:firstLine="0" w:firstLineChars="0"/>
                    <w:jc w:val="left"/>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本项目原辅材料、生产过程、污染设施运行、泄漏检测与修复等均设有台账记录。记录保存3年以上。</w:t>
                  </w:r>
                </w:p>
              </w:tc>
              <w:tc>
                <w:tcPr>
                  <w:tcW w:w="576" w:type="pct"/>
                  <w:tcBorders>
                    <w:tl2br w:val="nil"/>
                    <w:tr2bl w:val="nil"/>
                  </w:tcBorders>
                  <w:noWrap w:val="0"/>
                  <w:vAlign w:val="center"/>
                </w:tcPr>
                <w:p w14:paraId="34483F8E">
                  <w:pPr>
                    <w:pStyle w:val="2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5" w:beforeAutospacing="0" w:after="0" w:afterAutospacing="0" w:line="240" w:lineRule="auto"/>
                    <w:ind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符合</w:t>
                  </w:r>
                </w:p>
              </w:tc>
            </w:tr>
          </w:tbl>
          <w:p w14:paraId="360FB4EB">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156" w:beforeLines="50" w:beforeAutospacing="0" w:after="0" w:afterAutospacing="0" w:line="360" w:lineRule="auto"/>
              <w:ind w:left="0" w:right="0" w:rightChars="0" w:firstLine="480" w:firstLineChars="200"/>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综上所述，本项目符合《制药工业挥发性有机物治理实用手册》中的相关要求。</w:t>
            </w:r>
          </w:p>
          <w:p w14:paraId="2A1019A3">
            <w:pPr>
              <w:keepNext w:val="0"/>
              <w:keepLines w:val="0"/>
              <w:numPr>
                <w:ilvl w:val="0"/>
                <w:numId w:val="3"/>
              </w:numPr>
              <w:suppressLineNumbers w:val="0"/>
              <w:adjustRightInd w:val="0"/>
              <w:snapToGrid w:val="0"/>
              <w:spacing w:before="156" w:beforeLines="50" w:beforeAutospacing="0" w:after="0" w:afterAutospacing="0" w:line="360" w:lineRule="auto"/>
              <w:ind w:left="0" w:leftChars="0" w:right="0" w:rightChars="0"/>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本项目与《关于优化制药行业建设项目环评工作的意见》的通知（环办环评〔2025〕34号）相符性分析</w:t>
            </w:r>
          </w:p>
          <w:p w14:paraId="5E9E1CC1">
            <w:pPr>
              <w:keepNext w:val="0"/>
              <w:keepLines w:val="0"/>
              <w:numPr>
                <w:ilvl w:val="0"/>
                <w:numId w:val="2"/>
              </w:numPr>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eastAsia="宋体" w:cs="Times New Roman"/>
                <w:b/>
                <w:bCs/>
                <w:color w:val="000000" w:themeColor="text1"/>
                <w:kern w:val="2"/>
                <w:sz w:val="21"/>
                <w:szCs w:val="21"/>
                <w:highlight w:val="none"/>
                <w:lang w:val="en-US" w:eastAsia="zh-CN" w:bidi="ar-SA"/>
                <w14:textFill>
                  <w14:solidFill>
                    <w14:schemeClr w14:val="tx1"/>
                  </w14:solidFill>
                </w14:textFill>
              </w:rPr>
              <w:t xml:space="preserve">  </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与《关于优化制药行业建设项目环评工作的意见》符合性分析一览表</w:t>
            </w:r>
          </w:p>
          <w:tbl>
            <w:tblPr>
              <w:tblStyle w:val="36"/>
              <w:tblW w:w="4998" w:type="pct"/>
              <w:jc w:val="center"/>
              <w:tblBorders>
                <w:top w:val="double" w:color="auto" w:sz="4" w:space="0"/>
                <w:left w:val="none" w:color="auto" w:sz="0" w:space="0"/>
                <w:bottom w:val="doub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861"/>
              <w:gridCol w:w="3140"/>
              <w:gridCol w:w="2591"/>
              <w:gridCol w:w="859"/>
            </w:tblGrid>
            <w:tr w14:paraId="3BD22467">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684" w:type="pct"/>
                  <w:gridSpan w:val="2"/>
                  <w:tcBorders>
                    <w:tl2br w:val="nil"/>
                    <w:tr2bl w:val="nil"/>
                  </w:tcBorders>
                  <w:noWrap w:val="0"/>
                  <w:vAlign w:val="center"/>
                </w:tcPr>
                <w:p w14:paraId="2D995660">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文件要求</w:t>
                  </w:r>
                </w:p>
              </w:tc>
              <w:tc>
                <w:tcPr>
                  <w:tcW w:w="1738" w:type="pct"/>
                  <w:tcBorders>
                    <w:tl2br w:val="nil"/>
                    <w:tr2bl w:val="nil"/>
                  </w:tcBorders>
                  <w:noWrap w:val="0"/>
                  <w:vAlign w:val="center"/>
                </w:tcPr>
                <w:p w14:paraId="7DCF1D72">
                  <w:pPr>
                    <w:pStyle w:val="114"/>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本</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项目情况</w:t>
                  </w:r>
                </w:p>
              </w:tc>
              <w:tc>
                <w:tcPr>
                  <w:tcW w:w="576" w:type="pct"/>
                  <w:tcBorders>
                    <w:tl2br w:val="nil"/>
                    <w:tr2bl w:val="nil"/>
                  </w:tcBorders>
                  <w:noWrap w:val="0"/>
                  <w:vAlign w:val="center"/>
                </w:tcPr>
                <w:p w14:paraId="71CAF029">
                  <w:pPr>
                    <w:pStyle w:val="114"/>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lang w:val="en-US" w:eastAsia="zh-CN"/>
                      <w14:textFill>
                        <w14:solidFill>
                          <w14:schemeClr w14:val="tx1"/>
                        </w14:solidFill>
                      </w14:textFill>
                    </w:rPr>
                    <w:t>相符性</w:t>
                  </w:r>
                </w:p>
              </w:tc>
            </w:tr>
            <w:tr w14:paraId="096D3165">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78" w:type="pct"/>
                  <w:vMerge w:val="restart"/>
                  <w:tcBorders>
                    <w:tl2br w:val="nil"/>
                    <w:tr2bl w:val="nil"/>
                  </w:tcBorders>
                  <w:noWrap w:val="0"/>
                  <w:vAlign w:val="center"/>
                </w:tcPr>
                <w:p w14:paraId="3319F67B">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二、推动制药行业绿色高质量发展</w:t>
                  </w:r>
                </w:p>
              </w:tc>
              <w:tc>
                <w:tcPr>
                  <w:tcW w:w="2105" w:type="pct"/>
                  <w:tcBorders>
                    <w:tl2br w:val="nil"/>
                    <w:tr2bl w:val="nil"/>
                  </w:tcBorders>
                  <w:noWrap w:val="0"/>
                  <w:vAlign w:val="center"/>
                </w:tcPr>
                <w:p w14:paraId="7F3BBBE1">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四）加强制药行业建设项目新污染物环境风险防控。含二氯甲烷、三氯甲烷等有机卤素废气宜采用吸附工艺处理，若采用焚烧处理工艺，应采取有效措施控制二噁英、氯化氢等二次污染物产生及排放。涉及青霉素、β-内酰胺结构类等抗生素类药尘废气应采取高效空气过滤或其他等效措施处理。含抗生素类废水应进行破坏抗生素结构预处理，含有药物活性成分的废水应进行灭活预处理。</w:t>
                  </w:r>
                </w:p>
              </w:tc>
              <w:tc>
                <w:tcPr>
                  <w:tcW w:w="1738" w:type="pct"/>
                  <w:tcBorders>
                    <w:tl2br w:val="nil"/>
                    <w:tr2bl w:val="nil"/>
                  </w:tcBorders>
                  <w:noWrap w:val="0"/>
                  <w:tcMar>
                    <w:top w:w="0" w:type="dxa"/>
                    <w:left w:w="0" w:type="dxa"/>
                    <w:bottom w:w="0" w:type="dxa"/>
                    <w:right w:w="0" w:type="dxa"/>
                  </w:tcMar>
                  <w:vAlign w:val="center"/>
                </w:tcPr>
                <w:p w14:paraId="7249DF47">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Cs/>
                      <w:snapToGrid w:val="0"/>
                      <w:color w:val="000000" w:themeColor="text1"/>
                      <w:kern w:val="0"/>
                      <w:sz w:val="21"/>
                      <w:szCs w:val="21"/>
                      <w:highlight w:val="none"/>
                      <w:lang w:val="en-US" w:eastAsia="zh-CN" w:bidi="ar-SA"/>
                      <w14:textFill>
                        <w14:solidFill>
                          <w14:schemeClr w14:val="tx1"/>
                        </w14:solidFill>
                      </w14:textFill>
                    </w:rPr>
                    <w:t>本项目</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生产废水由厂内污水处理站处理后，经市政管网排放至石桥子污水处理厂。</w:t>
                  </w:r>
                </w:p>
              </w:tc>
              <w:tc>
                <w:tcPr>
                  <w:tcW w:w="576" w:type="pct"/>
                  <w:tcBorders>
                    <w:tl2br w:val="nil"/>
                    <w:tr2bl w:val="nil"/>
                  </w:tcBorders>
                  <w:noWrap w:val="0"/>
                  <w:vAlign w:val="center"/>
                </w:tcPr>
                <w:p w14:paraId="3CE009E5">
                  <w:pPr>
                    <w:pStyle w:val="25"/>
                    <w:keepNext w:val="0"/>
                    <w:keepLines w:val="0"/>
                    <w:pageBreakBefore w:val="0"/>
                    <w:widowControl w:val="0"/>
                    <w:suppressLineNumbers w:val="0"/>
                    <w:kinsoku/>
                    <w:wordWrap/>
                    <w:overflowPunct/>
                    <w:topLinePunct w:val="0"/>
                    <w:autoSpaceDE/>
                    <w:autoSpaceDN/>
                    <w:bidi w:val="0"/>
                    <w:adjustRightInd/>
                    <w:snapToGrid/>
                    <w:spacing w:before="5"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符合</w:t>
                  </w:r>
                </w:p>
              </w:tc>
            </w:tr>
            <w:tr w14:paraId="55A34AD7">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78" w:type="pct"/>
                  <w:vMerge w:val="continue"/>
                  <w:tcBorders>
                    <w:tl2br w:val="nil"/>
                    <w:tr2bl w:val="nil"/>
                  </w:tcBorders>
                  <w:noWrap w:val="0"/>
                  <w:vAlign w:val="center"/>
                </w:tcPr>
                <w:p w14:paraId="7E2F3A65">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2105" w:type="pct"/>
                  <w:tcBorders>
                    <w:tl2br w:val="nil"/>
                    <w:tr2bl w:val="nil"/>
                  </w:tcBorders>
                  <w:noWrap w:val="0"/>
                  <w:vAlign w:val="center"/>
                </w:tcPr>
                <w:p w14:paraId="5DBC4652">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五）严格制药行业建设项目各项污染防治措施。污染防治措施应符合相关政策要求，各类污染物排放应连续稳定达到国家和地方相关标准要求，确保环境风险可控。鼓励新建项目各项环保措施按照环保绩效A级水平要求建设。加强废气、废水分类收集与分质处理，提高收集、输送及治理过程密闭性。鼓励使用清洁低碳能源供热。不得设置除安全应急需要以外的废气旁路，确需保留的应安装流量计等自动监测设备。加强恶臭治理，对周边敏感目标产生异味影响的建设项目，应在确保排放达标基础上，进一步强化恶臭控制措施。强化固体废物特别是危险废物环境管理，严密防控环境风险，利用副产物及利用固体废物生产的产物应按照《固体废物鉴别标准 通则》（GB34330）开展属性鉴别，并根据鉴别结果进行管理。优化厂区平面布置，高噪声源设施设备远离厂界，优先选用低噪声、低振动设备和工艺。土壤和地下水应加强源头控制、分区防控、跟踪监测和环境风险应急措施。对涉及二氯甲烷、三氯甲烷等有毒有害物质的生产装置、设备设施及场所，需采取防腐蚀、防渗漏、防流失、防扬散等土壤污染防治具体措施。合理设置事故池，确保事故废水有效收集和妥善处理。</w:t>
                  </w:r>
                </w:p>
              </w:tc>
              <w:tc>
                <w:tcPr>
                  <w:tcW w:w="1738" w:type="pct"/>
                  <w:tcBorders>
                    <w:tl2br w:val="nil"/>
                    <w:tr2bl w:val="nil"/>
                  </w:tcBorders>
                  <w:noWrap w:val="0"/>
                  <w:vAlign w:val="center"/>
                </w:tcPr>
                <w:p w14:paraId="2A3B3E5D">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本项目</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生产废水由厂内污水处理站处理后，经市政管网排放到石桥子污水处理厂，</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污水处理站产生的恶臭</w:t>
                  </w:r>
                  <w:r>
                    <w:rPr>
                      <w:rFonts w:hint="eastAsia" w:cs="Times New Roman"/>
                      <w:color w:val="000000" w:themeColor="text1"/>
                      <w:sz w:val="21"/>
                      <w:szCs w:val="21"/>
                      <w:highlight w:val="none"/>
                      <w:lang w:val="en-US" w:eastAsia="zh-CN"/>
                      <w14:textFill>
                        <w14:solidFill>
                          <w14:schemeClr w14:val="tx1"/>
                        </w14:solidFill>
                      </w14:textFill>
                    </w:rPr>
                    <w:t>气体</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经</w:t>
                  </w:r>
                  <w:r>
                    <w:rPr>
                      <w:rFonts w:hint="eastAsia"/>
                      <w:color w:val="000000" w:themeColor="text1"/>
                      <w:highlight w:val="none"/>
                      <w:lang w:val="en-US" w:eastAsia="zh-CN"/>
                      <w14:textFill>
                        <w14:solidFill>
                          <w14:schemeClr w14:val="tx1"/>
                        </w14:solidFill>
                      </w14:textFill>
                    </w:rPr>
                    <w:t>低温等离子除臭装置</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处理后由</w:t>
                  </w:r>
                  <w:r>
                    <w:rPr>
                      <w:rFonts w:hint="eastAsia" w:cs="Times New Roman"/>
                      <w:color w:val="000000" w:themeColor="text1"/>
                      <w:sz w:val="21"/>
                      <w:szCs w:val="21"/>
                      <w:highlight w:val="none"/>
                      <w:lang w:val="en-US" w:eastAsia="zh-CN"/>
                      <w14:textFill>
                        <w14:solidFill>
                          <w14:schemeClr w14:val="tx1"/>
                        </w14:solidFill>
                      </w14:textFill>
                    </w:rPr>
                    <w:t>30</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米高排气筒</w:t>
                  </w:r>
                  <w:r>
                    <w:rPr>
                      <w:rFonts w:hint="eastAsia" w:cs="Times New Roman"/>
                      <w:color w:val="000000" w:themeColor="text1"/>
                      <w:sz w:val="21"/>
                      <w:szCs w:val="21"/>
                      <w:highlight w:val="none"/>
                      <w:lang w:val="en-US" w:eastAsia="zh-CN"/>
                      <w14:textFill>
                        <w14:solidFill>
                          <w14:schemeClr w14:val="tx1"/>
                        </w14:solidFill>
                      </w14:textFill>
                    </w:rPr>
                    <w:t>（DA004）</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排放</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；项目设置一般固废暂存间和危废贮存点贮存固废；</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项目采用</w:t>
                  </w:r>
                  <w:r>
                    <w:rPr>
                      <w:rFonts w:hint="default" w:ascii="Times New Roman" w:hAnsi="Times New Roman" w:eastAsia="宋体" w:cs="Times New Roman"/>
                      <w:color w:val="000000" w:themeColor="text1"/>
                      <w:sz w:val="21"/>
                      <w:szCs w:val="21"/>
                      <w:highlight w:val="none"/>
                      <w14:textFill>
                        <w14:solidFill>
                          <w14:schemeClr w14:val="tx1"/>
                        </w14:solidFill>
                      </w14:textFill>
                    </w:rPr>
                    <w:t>低噪音设备</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并采取</w:t>
                  </w:r>
                  <w:r>
                    <w:rPr>
                      <w:rFonts w:hint="default" w:ascii="Times New Roman" w:hAnsi="Times New Roman" w:eastAsia="宋体" w:cs="Times New Roman"/>
                      <w:color w:val="000000" w:themeColor="text1"/>
                      <w:sz w:val="21"/>
                      <w:szCs w:val="21"/>
                      <w:highlight w:val="none"/>
                      <w14:textFill>
                        <w14:solidFill>
                          <w14:schemeClr w14:val="tx1"/>
                        </w14:solidFill>
                      </w14:textFill>
                    </w:rPr>
                    <w:t>厂房隔声、距离衰减</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等措施降低噪声</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项目对事故废水进行三级防控体系管理</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确保事故废水有效收集和妥善处理。</w:t>
                  </w:r>
                </w:p>
              </w:tc>
              <w:tc>
                <w:tcPr>
                  <w:tcW w:w="576" w:type="pct"/>
                  <w:tcBorders>
                    <w:tl2br w:val="nil"/>
                    <w:tr2bl w:val="nil"/>
                  </w:tcBorders>
                  <w:noWrap w:val="0"/>
                  <w:vAlign w:val="center"/>
                </w:tcPr>
                <w:p w14:paraId="781052F7">
                  <w:pPr>
                    <w:pStyle w:val="2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5" w:beforeAutospacing="0" w:after="0" w:afterAutospacing="0" w:line="240" w:lineRule="auto"/>
                    <w:ind w:right="0" w:firstLine="0" w:firstLine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符合</w:t>
                  </w:r>
                </w:p>
              </w:tc>
            </w:tr>
          </w:tbl>
          <w:p w14:paraId="59A8416C">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156" w:beforeLines="50" w:beforeAutospacing="0" w:after="0" w:afterAutospacing="0" w:line="360" w:lineRule="auto"/>
              <w:ind w:left="0" w:right="0" w:rightChars="0" w:firstLine="480" w:firstLineChars="200"/>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综上所述，本项目符合《关于优化制药行业建设项目环评工作的意见》的通知（环办环评〔2025〕34号）中的相关要求。</w:t>
            </w:r>
          </w:p>
          <w:p w14:paraId="6EC446BA">
            <w:pPr>
              <w:keepNext w:val="0"/>
              <w:keepLines w:val="0"/>
              <w:numPr>
                <w:ilvl w:val="0"/>
                <w:numId w:val="3"/>
              </w:numPr>
              <w:suppressLineNumbers w:val="0"/>
              <w:adjustRightInd w:val="0"/>
              <w:snapToGrid w:val="0"/>
              <w:spacing w:before="156" w:beforeLines="50" w:beforeAutospacing="0" w:after="0" w:afterAutospacing="0" w:line="360" w:lineRule="auto"/>
              <w:ind w:left="0" w:leftChars="0" w:right="0" w:rightChars="0"/>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本项目与《“十四五”噪声污染防治行动计划》相符性分析</w:t>
            </w:r>
          </w:p>
          <w:p w14:paraId="2380391E">
            <w:pPr>
              <w:keepNext w:val="0"/>
              <w:keepLines w:val="0"/>
              <w:numPr>
                <w:ilvl w:val="0"/>
                <w:numId w:val="2"/>
              </w:numPr>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本项目与《“十四五”噪声污染防治行动计划》相符性分析</w:t>
            </w:r>
          </w:p>
          <w:tbl>
            <w:tblPr>
              <w:tblStyle w:val="35"/>
              <w:tblW w:w="4995" w:type="pct"/>
              <w:tblInd w:w="0" w:type="dxa"/>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602"/>
              <w:gridCol w:w="2175"/>
              <w:gridCol w:w="670"/>
            </w:tblGrid>
            <w:tr w14:paraId="11CF522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90" w:type="pct"/>
                  <w:tcBorders>
                    <w:tl2br w:val="nil"/>
                    <w:tr2bl w:val="nil"/>
                  </w:tcBorders>
                  <w:noWrap w:val="0"/>
                  <w:vAlign w:val="center"/>
                </w:tcPr>
                <w:p w14:paraId="098D3B7A">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val="0"/>
                      <w:color w:val="000000" w:themeColor="text1"/>
                      <w:kern w:val="0"/>
                      <w:sz w:val="21"/>
                      <w:szCs w:val="21"/>
                      <w:highlight w:val="none"/>
                      <w14:textFill>
                        <w14:solidFill>
                          <w14:schemeClr w14:val="tx1"/>
                        </w14:solidFill>
                      </w14:textFill>
                    </w:rPr>
                  </w:pPr>
                  <w:r>
                    <w:rPr>
                      <w:rFonts w:hint="default" w:ascii="Times New Roman" w:hAnsi="Times New Roman" w:cs="Times New Roman"/>
                      <w:b/>
                      <w:bCs w:val="0"/>
                      <w:color w:val="000000" w:themeColor="text1"/>
                      <w:kern w:val="0"/>
                      <w:sz w:val="21"/>
                      <w:szCs w:val="21"/>
                      <w:highlight w:val="none"/>
                      <w14:textFill>
                        <w14:solidFill>
                          <w14:schemeClr w14:val="tx1"/>
                        </w14:solidFill>
                      </w14:textFill>
                    </w:rPr>
                    <w:t>重点任务要求</w:t>
                  </w:r>
                </w:p>
              </w:tc>
              <w:tc>
                <w:tcPr>
                  <w:tcW w:w="1460" w:type="pct"/>
                  <w:tcBorders>
                    <w:tl2br w:val="nil"/>
                    <w:tr2bl w:val="nil"/>
                  </w:tcBorders>
                  <w:noWrap w:val="0"/>
                  <w:vAlign w:val="center"/>
                </w:tcPr>
                <w:p w14:paraId="336B8570">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val="0"/>
                      <w:color w:val="000000" w:themeColor="text1"/>
                      <w:kern w:val="0"/>
                      <w:sz w:val="21"/>
                      <w:szCs w:val="21"/>
                      <w:highlight w:val="none"/>
                      <w14:textFill>
                        <w14:solidFill>
                          <w14:schemeClr w14:val="tx1"/>
                        </w14:solidFill>
                      </w14:textFill>
                    </w:rPr>
                  </w:pPr>
                  <w:r>
                    <w:rPr>
                      <w:rFonts w:hint="default" w:ascii="Times New Roman" w:hAnsi="Times New Roman" w:cs="Times New Roman"/>
                      <w:b/>
                      <w:bCs w:val="0"/>
                      <w:color w:val="000000" w:themeColor="text1"/>
                      <w:kern w:val="0"/>
                      <w:sz w:val="21"/>
                      <w:szCs w:val="21"/>
                      <w:highlight w:val="none"/>
                      <w14:textFill>
                        <w14:solidFill>
                          <w14:schemeClr w14:val="tx1"/>
                        </w14:solidFill>
                      </w14:textFill>
                    </w:rPr>
                    <w:t>本项目情况</w:t>
                  </w:r>
                </w:p>
              </w:tc>
              <w:tc>
                <w:tcPr>
                  <w:tcW w:w="449" w:type="pct"/>
                  <w:tcBorders>
                    <w:tl2br w:val="nil"/>
                    <w:tr2bl w:val="nil"/>
                  </w:tcBorders>
                  <w:noWrap w:val="0"/>
                  <w:vAlign w:val="center"/>
                </w:tcPr>
                <w:p w14:paraId="631DAA90">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bCs w:val="0"/>
                      <w:color w:val="000000" w:themeColor="text1"/>
                      <w:kern w:val="0"/>
                      <w:sz w:val="21"/>
                      <w:szCs w:val="21"/>
                      <w:highlight w:val="none"/>
                      <w14:textFill>
                        <w14:solidFill>
                          <w14:schemeClr w14:val="tx1"/>
                        </w14:solidFill>
                      </w14:textFill>
                    </w:rPr>
                  </w:pPr>
                  <w:r>
                    <w:rPr>
                      <w:rFonts w:hint="default" w:ascii="Times New Roman" w:hAnsi="Times New Roman" w:cs="Times New Roman"/>
                      <w:b/>
                      <w:bCs w:val="0"/>
                      <w:color w:val="000000" w:themeColor="text1"/>
                      <w:kern w:val="0"/>
                      <w:sz w:val="21"/>
                      <w:szCs w:val="21"/>
                      <w:highlight w:val="none"/>
                      <w:lang w:val="en-US" w:eastAsia="zh-CN" w:bidi="ar"/>
                      <w14:textFill>
                        <w14:solidFill>
                          <w14:schemeClr w14:val="tx1"/>
                        </w14:solidFill>
                      </w14:textFill>
                    </w:rPr>
                    <w:t>相符性</w:t>
                  </w:r>
                </w:p>
              </w:tc>
            </w:tr>
            <w:tr w14:paraId="5E50BB9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3"/>
                  <w:tcBorders>
                    <w:tl2br w:val="nil"/>
                    <w:tr2bl w:val="nil"/>
                  </w:tcBorders>
                  <w:noWrap w:val="0"/>
                  <w:vAlign w:val="center"/>
                </w:tcPr>
                <w:p w14:paraId="0285A167">
                  <w:pPr>
                    <w:keepNext w:val="0"/>
                    <w:keepLines w:val="0"/>
                    <w:suppressLineNumbers w:val="0"/>
                    <w:snapToGrid w:val="0"/>
                    <w:spacing w:before="0" w:beforeAutospacing="0" w:after="0" w:afterAutospacing="0"/>
                    <w:ind w:left="0" w:right="0"/>
                    <w:jc w:val="center"/>
                    <w:rPr>
                      <w:rFonts w:hint="default" w:ascii="Times New Roman" w:hAnsi="Times New Roman" w:cs="Times New Roman"/>
                      <w:bCs/>
                      <w:color w:val="000000" w:themeColor="text1"/>
                      <w:kern w:val="0"/>
                      <w:sz w:val="21"/>
                      <w:szCs w:val="21"/>
                      <w:highlight w:val="none"/>
                      <w14:textFill>
                        <w14:solidFill>
                          <w14:schemeClr w14:val="tx1"/>
                        </w14:solidFill>
                      </w14:textFill>
                    </w:rPr>
                  </w:pPr>
                  <w:r>
                    <w:rPr>
                      <w:rFonts w:hint="default" w:ascii="Times New Roman" w:hAnsi="Times New Roman" w:cs="Times New Roman"/>
                      <w:bCs/>
                      <w:color w:val="000000" w:themeColor="text1"/>
                      <w:kern w:val="0"/>
                      <w:sz w:val="21"/>
                      <w:szCs w:val="21"/>
                      <w:highlight w:val="none"/>
                      <w14:textFill>
                        <w14:solidFill>
                          <w14:schemeClr w14:val="tx1"/>
                        </w14:solidFill>
                      </w14:textFill>
                    </w:rPr>
                    <w:t>(八)严格工业噪声管理</w:t>
                  </w:r>
                </w:p>
              </w:tc>
            </w:tr>
            <w:tr w14:paraId="0719E27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90" w:type="pct"/>
                  <w:tcBorders>
                    <w:tl2br w:val="nil"/>
                    <w:tr2bl w:val="nil"/>
                  </w:tcBorders>
                  <w:noWrap w:val="0"/>
                  <w:vAlign w:val="center"/>
                </w:tcPr>
                <w:p w14:paraId="148AE980">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Cs/>
                      <w:color w:val="000000" w:themeColor="text1"/>
                      <w:kern w:val="0"/>
                      <w:sz w:val="21"/>
                      <w:szCs w:val="21"/>
                      <w:highlight w:val="none"/>
                      <w:shd w:val="clear" w:color="auto" w:fill="FFFFFF"/>
                      <w14:textFill>
                        <w14:solidFill>
                          <w14:schemeClr w14:val="tx1"/>
                        </w14:solidFill>
                      </w14:textFill>
                    </w:rPr>
                  </w:pPr>
                  <w:r>
                    <w:rPr>
                      <w:rFonts w:hint="default" w:ascii="Times New Roman" w:hAnsi="Times New Roman" w:cs="Times New Roman"/>
                      <w:bCs/>
                      <w:color w:val="000000" w:themeColor="text1"/>
                      <w:kern w:val="0"/>
                      <w:sz w:val="21"/>
                      <w:szCs w:val="21"/>
                      <w:highlight w:val="none"/>
                      <w:shd w:val="clear" w:color="auto" w:fill="FFFFFF"/>
                      <w14:textFill>
                        <w14:solidFill>
                          <w14:schemeClr w14:val="tx1"/>
                        </w14:solidFill>
                      </w14:textFill>
                    </w:rPr>
                    <w:t>树立工业噪声污染治理标杆。排放噪声的工业企业应切实采取减振降噪措施，加强厂区内固定设备、运输工具、货物装卸等噪声源管理，同时避免突发噪声扰民。鼓励企业采用先进治理技术，打造行业噪声污染治理示范典型。中央企业要主动承担社会责任，切实发挥模范带头和引领示范作用，创建一批行业标杆。</w:t>
                  </w:r>
                </w:p>
              </w:tc>
              <w:tc>
                <w:tcPr>
                  <w:tcW w:w="1460" w:type="pct"/>
                  <w:tcBorders>
                    <w:tl2br w:val="nil"/>
                    <w:tr2bl w:val="nil"/>
                  </w:tcBorders>
                  <w:noWrap w:val="0"/>
                  <w:vAlign w:val="center"/>
                </w:tcPr>
                <w:p w14:paraId="7A105902">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Cs/>
                      <w:color w:val="000000" w:themeColor="text1"/>
                      <w:kern w:val="0"/>
                      <w:sz w:val="21"/>
                      <w:szCs w:val="21"/>
                      <w:highlight w:val="none"/>
                      <w:lang w:eastAsia="zh-CN"/>
                      <w14:textFill>
                        <w14:solidFill>
                          <w14:schemeClr w14:val="tx1"/>
                        </w14:solidFill>
                      </w14:textFill>
                    </w:rPr>
                  </w:pPr>
                  <w:r>
                    <w:rPr>
                      <w:rFonts w:hint="default" w:ascii="Times New Roman" w:hAnsi="Times New Roman" w:cs="Times New Roman"/>
                      <w:bCs/>
                      <w:color w:val="000000" w:themeColor="text1"/>
                      <w:kern w:val="0"/>
                      <w:sz w:val="21"/>
                      <w:szCs w:val="21"/>
                      <w:highlight w:val="none"/>
                      <w14:textFill>
                        <w14:solidFill>
                          <w14:schemeClr w14:val="tx1"/>
                        </w14:solidFill>
                      </w14:textFill>
                    </w:rPr>
                    <w:t>本项目</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低噪声设备选型、基础减振、建筑隔声</w:t>
                  </w:r>
                  <w:r>
                    <w:rPr>
                      <w:rFonts w:hint="eastAsia" w:cs="Times New Roman"/>
                      <w:color w:val="000000" w:themeColor="text1"/>
                      <w:kern w:val="0"/>
                      <w:sz w:val="21"/>
                      <w:szCs w:val="21"/>
                      <w:highlight w:val="none"/>
                      <w:lang w:eastAsia="zh-CN" w:bidi="ar"/>
                      <w14:textFill>
                        <w14:solidFill>
                          <w14:schemeClr w14:val="tx1"/>
                        </w14:solidFill>
                      </w14:textFill>
                    </w:rPr>
                    <w:t>等措施</w:t>
                  </w:r>
                  <w:r>
                    <w:rPr>
                      <w:rFonts w:hint="default" w:ascii="Times New Roman" w:hAnsi="Times New Roman" w:cs="Times New Roman"/>
                      <w:bCs/>
                      <w:color w:val="000000" w:themeColor="text1"/>
                      <w:kern w:val="0"/>
                      <w:sz w:val="21"/>
                      <w:szCs w:val="21"/>
                      <w:highlight w:val="none"/>
                      <w14:textFill>
                        <w14:solidFill>
                          <w14:schemeClr w14:val="tx1"/>
                        </w14:solidFill>
                      </w14:textFill>
                    </w:rPr>
                    <w:t>降低生产运行过程噪声排放</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w:t>
                  </w:r>
                </w:p>
              </w:tc>
              <w:tc>
                <w:tcPr>
                  <w:tcW w:w="449" w:type="pct"/>
                  <w:tcBorders>
                    <w:tl2br w:val="nil"/>
                    <w:tr2bl w:val="nil"/>
                  </w:tcBorders>
                  <w:noWrap w:val="0"/>
                  <w:vAlign w:val="center"/>
                </w:tcPr>
                <w:p w14:paraId="3B7E471A">
                  <w:pPr>
                    <w:keepNext w:val="0"/>
                    <w:keepLines w:val="0"/>
                    <w:suppressLineNumbers w:val="0"/>
                    <w:snapToGrid w:val="0"/>
                    <w:spacing w:before="0" w:beforeAutospacing="0" w:after="0" w:afterAutospacing="0"/>
                    <w:ind w:left="0" w:right="0"/>
                    <w:jc w:val="center"/>
                    <w:rPr>
                      <w:rFonts w:hint="default" w:ascii="Times New Roman" w:hAnsi="Times New Roman" w:cs="Times New Roman"/>
                      <w:bCs/>
                      <w:color w:val="000000" w:themeColor="text1"/>
                      <w:kern w:val="0"/>
                      <w:sz w:val="21"/>
                      <w:szCs w:val="21"/>
                      <w:highlight w:val="none"/>
                      <w14:textFill>
                        <w14:solidFill>
                          <w14:schemeClr w14:val="tx1"/>
                        </w14:solidFill>
                      </w14:textFill>
                    </w:rPr>
                  </w:pPr>
                  <w:r>
                    <w:rPr>
                      <w:rFonts w:hint="default" w:ascii="Times New Roman" w:hAnsi="Times New Roman" w:cs="Times New Roman"/>
                      <w:bCs/>
                      <w:color w:val="000000" w:themeColor="text1"/>
                      <w:kern w:val="0"/>
                      <w:sz w:val="21"/>
                      <w:szCs w:val="21"/>
                      <w:highlight w:val="none"/>
                      <w14:textFill>
                        <w14:solidFill>
                          <w14:schemeClr w14:val="tx1"/>
                        </w14:solidFill>
                      </w14:textFill>
                    </w:rPr>
                    <w:t>符合</w:t>
                  </w:r>
                </w:p>
              </w:tc>
            </w:tr>
            <w:tr w14:paraId="2B5BD02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3"/>
                  <w:tcBorders>
                    <w:tl2br w:val="nil"/>
                    <w:tr2bl w:val="nil"/>
                  </w:tcBorders>
                  <w:noWrap w:val="0"/>
                  <w:vAlign w:val="center"/>
                </w:tcPr>
                <w:p w14:paraId="6F29D3E8">
                  <w:pPr>
                    <w:keepNext w:val="0"/>
                    <w:keepLines w:val="0"/>
                    <w:suppressLineNumbers w:val="0"/>
                    <w:snapToGrid w:val="0"/>
                    <w:spacing w:before="0" w:beforeAutospacing="0" w:after="0" w:afterAutospacing="0"/>
                    <w:ind w:left="0" w:right="0"/>
                    <w:jc w:val="center"/>
                    <w:rPr>
                      <w:rFonts w:hint="default" w:ascii="Times New Roman" w:hAnsi="Times New Roman" w:cs="Times New Roman"/>
                      <w:bCs/>
                      <w:color w:val="000000" w:themeColor="text1"/>
                      <w:kern w:val="0"/>
                      <w:sz w:val="21"/>
                      <w:szCs w:val="21"/>
                      <w:highlight w:val="none"/>
                      <w14:textFill>
                        <w14:solidFill>
                          <w14:schemeClr w14:val="tx1"/>
                        </w14:solidFill>
                      </w14:textFill>
                    </w:rPr>
                  </w:pPr>
                  <w:r>
                    <w:rPr>
                      <w:rFonts w:hint="default" w:ascii="Times New Roman" w:hAnsi="Times New Roman" w:cs="Times New Roman"/>
                      <w:bCs/>
                      <w:color w:val="000000" w:themeColor="text1"/>
                      <w:kern w:val="0"/>
                      <w:sz w:val="21"/>
                      <w:szCs w:val="21"/>
                      <w:highlight w:val="none"/>
                      <w14:textFill>
                        <w14:solidFill>
                          <w14:schemeClr w14:val="tx1"/>
                        </w14:solidFill>
                      </w14:textFill>
                    </w:rPr>
                    <w:t>(九)实施重点企业监管</w:t>
                  </w:r>
                </w:p>
              </w:tc>
            </w:tr>
            <w:tr w14:paraId="0A40077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90" w:type="pct"/>
                  <w:tcBorders>
                    <w:tl2br w:val="nil"/>
                    <w:tr2bl w:val="nil"/>
                  </w:tcBorders>
                  <w:noWrap w:val="0"/>
                  <w:vAlign w:val="center"/>
                </w:tcPr>
                <w:p w14:paraId="7218C9A4">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Cs/>
                      <w:color w:val="000000" w:themeColor="text1"/>
                      <w:kern w:val="0"/>
                      <w:sz w:val="21"/>
                      <w:szCs w:val="21"/>
                      <w:highlight w:val="none"/>
                      <w:shd w:val="clear" w:color="auto" w:fill="FFFFFF"/>
                      <w14:textFill>
                        <w14:solidFill>
                          <w14:schemeClr w14:val="tx1"/>
                        </w14:solidFill>
                      </w14:textFill>
                    </w:rPr>
                  </w:pPr>
                  <w:r>
                    <w:rPr>
                      <w:rFonts w:hint="default" w:ascii="Times New Roman" w:hAnsi="Times New Roman" w:cs="Times New Roman"/>
                      <w:bCs/>
                      <w:color w:val="000000" w:themeColor="text1"/>
                      <w:kern w:val="0"/>
                      <w:sz w:val="21"/>
                      <w:szCs w:val="21"/>
                      <w:highlight w:val="none"/>
                      <w:shd w:val="clear" w:color="auto" w:fill="FFFFFF"/>
                      <w14:textFill>
                        <w14:solidFill>
                          <w14:schemeClr w14:val="tx1"/>
                        </w14:solidFill>
                      </w14:textFill>
                    </w:rPr>
                    <w:t>推进工业噪声实施排污许可和重点排污单位管理。发布工业噪声排污许可证申请与核发技术规范，依法核发排污许可证或进行排污登记，并加强监管</w:t>
                  </w:r>
                  <w:r>
                    <w:rPr>
                      <w:rFonts w:hint="default" w:ascii="Times New Roman" w:hAnsi="Times New Roman" w:cs="Times New Roman"/>
                      <w:bCs/>
                      <w:color w:val="000000" w:themeColor="text1"/>
                      <w:kern w:val="0"/>
                      <w:sz w:val="21"/>
                      <w:szCs w:val="21"/>
                      <w:highlight w:val="none"/>
                      <w:shd w:val="clear" w:color="auto" w:fill="FFFFFF"/>
                      <w:lang w:eastAsia="zh-CN"/>
                      <w14:textFill>
                        <w14:solidFill>
                          <w14:schemeClr w14:val="tx1"/>
                        </w14:solidFill>
                      </w14:textFill>
                    </w:rPr>
                    <w:t>；</w:t>
                  </w:r>
                  <w:r>
                    <w:rPr>
                      <w:rFonts w:hint="default" w:ascii="Times New Roman" w:hAnsi="Times New Roman" w:cs="Times New Roman"/>
                      <w:bCs/>
                      <w:color w:val="000000" w:themeColor="text1"/>
                      <w:kern w:val="0"/>
                      <w:sz w:val="21"/>
                      <w:szCs w:val="21"/>
                      <w:highlight w:val="none"/>
                      <w:shd w:val="clear" w:color="auto" w:fill="FFFFFF"/>
                      <w14:textFill>
                        <w14:solidFill>
                          <w14:schemeClr w14:val="tx1"/>
                        </w14:solidFill>
                      </w14:textFill>
                    </w:rPr>
                    <w:t>实行排</w:t>
                  </w:r>
                  <w:r>
                    <w:rPr>
                      <w:rFonts w:hint="default" w:ascii="Times New Roman" w:hAnsi="Times New Roman" w:cs="Times New Roman"/>
                      <w:bCs/>
                      <w:color w:val="000000" w:themeColor="text1"/>
                      <w:kern w:val="0"/>
                      <w:sz w:val="21"/>
                      <w:szCs w:val="21"/>
                      <w:highlight w:val="none"/>
                      <w:shd w:val="clear" w:color="auto" w:fill="FFFFFF"/>
                      <w:lang w:eastAsia="zh-CN"/>
                      <w14:textFill>
                        <w14:solidFill>
                          <w14:schemeClr w14:val="tx1"/>
                        </w14:solidFill>
                      </w14:textFill>
                    </w:rPr>
                    <w:t>污</w:t>
                  </w:r>
                  <w:r>
                    <w:rPr>
                      <w:rFonts w:hint="default" w:ascii="Times New Roman" w:hAnsi="Times New Roman" w:cs="Times New Roman"/>
                      <w:bCs/>
                      <w:color w:val="000000" w:themeColor="text1"/>
                      <w:kern w:val="0"/>
                      <w:sz w:val="21"/>
                      <w:szCs w:val="21"/>
                      <w:highlight w:val="none"/>
                      <w:shd w:val="clear" w:color="auto" w:fill="FFFFFF"/>
                      <w14:textFill>
                        <w14:solidFill>
                          <w14:schemeClr w14:val="tx1"/>
                        </w14:solidFill>
                      </w14:textFill>
                    </w:rPr>
                    <w:t>许可管理的单位依证排污，按照规定开展自行监测并向社会公开。依据《环境监管重点单位名录管理办法》，推进设区的市级以上生态环境主管部门编制本行政区域噪声重点排污单位名录，并按要求发布和更新</w:t>
                  </w:r>
                  <w:r>
                    <w:rPr>
                      <w:rFonts w:hint="default" w:ascii="Times New Roman" w:hAnsi="Times New Roman" w:cs="Times New Roman"/>
                      <w:bCs/>
                      <w:color w:val="000000" w:themeColor="text1"/>
                      <w:kern w:val="0"/>
                      <w:sz w:val="21"/>
                      <w:szCs w:val="21"/>
                      <w:highlight w:val="none"/>
                      <w:shd w:val="clear" w:color="auto" w:fill="FFFFFF"/>
                      <w:lang w:eastAsia="zh-CN"/>
                      <w14:textFill>
                        <w14:solidFill>
                          <w14:schemeClr w14:val="tx1"/>
                        </w14:solidFill>
                      </w14:textFill>
                    </w:rPr>
                    <w:t>；</w:t>
                  </w:r>
                  <w:r>
                    <w:rPr>
                      <w:rFonts w:hint="default" w:ascii="Times New Roman" w:hAnsi="Times New Roman" w:cs="Times New Roman"/>
                      <w:bCs/>
                      <w:color w:val="000000" w:themeColor="text1"/>
                      <w:kern w:val="0"/>
                      <w:sz w:val="21"/>
                      <w:szCs w:val="21"/>
                      <w:highlight w:val="none"/>
                      <w:shd w:val="clear" w:color="auto" w:fill="FFFFFF"/>
                      <w14:textFill>
                        <w14:solidFill>
                          <w14:schemeClr w14:val="tx1"/>
                        </w14:solidFill>
                      </w14:textFill>
                    </w:rPr>
                    <w:t>噪声重点排污单位应依法开展噪声自动监测，并及时与生态环境主管部门的监控设备联网。</w:t>
                  </w:r>
                </w:p>
              </w:tc>
              <w:tc>
                <w:tcPr>
                  <w:tcW w:w="1460" w:type="pct"/>
                  <w:tcBorders>
                    <w:tl2br w:val="nil"/>
                    <w:tr2bl w:val="nil"/>
                  </w:tcBorders>
                  <w:noWrap w:val="0"/>
                  <w:vAlign w:val="center"/>
                </w:tcPr>
                <w:p w14:paraId="2822AF34">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Cs/>
                      <w:color w:val="000000" w:themeColor="text1"/>
                      <w:kern w:val="0"/>
                      <w:sz w:val="21"/>
                      <w:szCs w:val="21"/>
                      <w:highlight w:val="none"/>
                      <w14:textFill>
                        <w14:solidFill>
                          <w14:schemeClr w14:val="tx1"/>
                        </w14:solidFill>
                      </w14:textFill>
                    </w:rPr>
                  </w:pP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本项目建成后</w:t>
                  </w:r>
                  <w:r>
                    <w:rPr>
                      <w:rFonts w:hint="eastAsia" w:cs="Times New Roman"/>
                      <w:bCs/>
                      <w:color w:val="000000" w:themeColor="text1"/>
                      <w:kern w:val="0"/>
                      <w:sz w:val="21"/>
                      <w:szCs w:val="21"/>
                      <w:highlight w:val="none"/>
                      <w:lang w:val="en-US" w:eastAsia="zh-CN"/>
                      <w14:textFill>
                        <w14:solidFill>
                          <w14:schemeClr w14:val="tx1"/>
                        </w14:solidFill>
                      </w14:textFill>
                    </w:rPr>
                    <w:t>按照要求</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完成排污许可</w:t>
                  </w:r>
                  <w:r>
                    <w:rPr>
                      <w:rFonts w:hint="eastAsia" w:cs="Times New Roman"/>
                      <w:bCs/>
                      <w:color w:val="000000" w:themeColor="text1"/>
                      <w:kern w:val="0"/>
                      <w:sz w:val="21"/>
                      <w:szCs w:val="21"/>
                      <w:highlight w:val="none"/>
                      <w:lang w:val="en-US" w:eastAsia="zh-CN"/>
                      <w14:textFill>
                        <w14:solidFill>
                          <w14:schemeClr w14:val="tx1"/>
                        </w14:solidFill>
                      </w14:textFill>
                    </w:rPr>
                    <w:t>证重新申请</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工作，</w:t>
                  </w:r>
                  <w:r>
                    <w:rPr>
                      <w:rFonts w:hint="default" w:ascii="Times New Roman" w:hAnsi="Times New Roman" w:cs="Times New Roman"/>
                      <w:bCs/>
                      <w:color w:val="000000" w:themeColor="text1"/>
                      <w:kern w:val="0"/>
                      <w:sz w:val="21"/>
                      <w:szCs w:val="21"/>
                      <w:highlight w:val="none"/>
                      <w14:textFill>
                        <w14:solidFill>
                          <w14:schemeClr w14:val="tx1"/>
                        </w14:solidFill>
                      </w14:textFill>
                    </w:rPr>
                    <w:t>依</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法</w:t>
                  </w:r>
                  <w:r>
                    <w:rPr>
                      <w:rFonts w:hint="default" w:ascii="Times New Roman" w:hAnsi="Times New Roman" w:cs="Times New Roman"/>
                      <w:bCs/>
                      <w:color w:val="000000" w:themeColor="text1"/>
                      <w:kern w:val="0"/>
                      <w:sz w:val="21"/>
                      <w:szCs w:val="21"/>
                      <w:highlight w:val="none"/>
                      <w14:textFill>
                        <w14:solidFill>
                          <w14:schemeClr w14:val="tx1"/>
                        </w14:solidFill>
                      </w14:textFill>
                    </w:rPr>
                    <w:t>排污，按照规定开展自行监测并向社会公开。</w:t>
                  </w:r>
                </w:p>
              </w:tc>
              <w:tc>
                <w:tcPr>
                  <w:tcW w:w="449" w:type="pct"/>
                  <w:tcBorders>
                    <w:tl2br w:val="nil"/>
                    <w:tr2bl w:val="nil"/>
                  </w:tcBorders>
                  <w:noWrap w:val="0"/>
                  <w:vAlign w:val="center"/>
                </w:tcPr>
                <w:p w14:paraId="603D122F">
                  <w:pPr>
                    <w:keepNext w:val="0"/>
                    <w:keepLines w:val="0"/>
                    <w:suppressLineNumbers w:val="0"/>
                    <w:snapToGrid w:val="0"/>
                    <w:spacing w:before="0" w:beforeAutospacing="0" w:after="0" w:afterAutospacing="0"/>
                    <w:ind w:left="0" w:right="0"/>
                    <w:jc w:val="center"/>
                    <w:rPr>
                      <w:rFonts w:hint="default" w:ascii="Times New Roman" w:hAnsi="Times New Roman" w:cs="Times New Roman"/>
                      <w:bCs/>
                      <w:color w:val="000000" w:themeColor="text1"/>
                      <w:kern w:val="0"/>
                      <w:sz w:val="21"/>
                      <w:szCs w:val="21"/>
                      <w:highlight w:val="none"/>
                      <w14:textFill>
                        <w14:solidFill>
                          <w14:schemeClr w14:val="tx1"/>
                        </w14:solidFill>
                      </w14:textFill>
                    </w:rPr>
                  </w:pPr>
                  <w:r>
                    <w:rPr>
                      <w:rFonts w:hint="default" w:ascii="Times New Roman" w:hAnsi="Times New Roman" w:cs="Times New Roman"/>
                      <w:bCs/>
                      <w:color w:val="000000" w:themeColor="text1"/>
                      <w:kern w:val="0"/>
                      <w:sz w:val="21"/>
                      <w:szCs w:val="21"/>
                      <w:highlight w:val="none"/>
                      <w14:textFill>
                        <w14:solidFill>
                          <w14:schemeClr w14:val="tx1"/>
                        </w14:solidFill>
                      </w14:textFill>
                    </w:rPr>
                    <w:t>符合</w:t>
                  </w:r>
                </w:p>
              </w:tc>
            </w:tr>
            <w:tr w14:paraId="27F9391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3"/>
                  <w:tcBorders>
                    <w:tl2br w:val="nil"/>
                    <w:tr2bl w:val="nil"/>
                  </w:tcBorders>
                  <w:noWrap w:val="0"/>
                  <w:vAlign w:val="center"/>
                </w:tcPr>
                <w:p w14:paraId="5004DDC4">
                  <w:pPr>
                    <w:keepNext w:val="0"/>
                    <w:keepLines w:val="0"/>
                    <w:suppressLineNumbers w:val="0"/>
                    <w:snapToGrid w:val="0"/>
                    <w:spacing w:before="0" w:beforeAutospacing="0" w:after="0" w:afterAutospacing="0"/>
                    <w:ind w:left="0" w:right="0"/>
                    <w:jc w:val="center"/>
                    <w:rPr>
                      <w:rFonts w:hint="default" w:ascii="Times New Roman" w:hAnsi="Times New Roman" w:cs="Times New Roman"/>
                      <w:bCs/>
                      <w:color w:val="000000" w:themeColor="text1"/>
                      <w:kern w:val="0"/>
                      <w:sz w:val="21"/>
                      <w:szCs w:val="21"/>
                      <w:highlight w:val="none"/>
                      <w14:textFill>
                        <w14:solidFill>
                          <w14:schemeClr w14:val="tx1"/>
                        </w14:solidFill>
                      </w14:textFill>
                    </w:rPr>
                  </w:pPr>
                  <w:r>
                    <w:rPr>
                      <w:rFonts w:hint="default" w:ascii="Times New Roman" w:hAnsi="Times New Roman" w:cs="Times New Roman"/>
                      <w:bCs/>
                      <w:color w:val="000000" w:themeColor="text1"/>
                      <w:kern w:val="0"/>
                      <w:sz w:val="21"/>
                      <w:szCs w:val="21"/>
                      <w:highlight w:val="none"/>
                      <w14:textFill>
                        <w14:solidFill>
                          <w14:schemeClr w14:val="tx1"/>
                        </w14:solidFill>
                      </w14:textFill>
                    </w:rPr>
                    <w:t>(十)细化施工管理措施</w:t>
                  </w:r>
                </w:p>
              </w:tc>
            </w:tr>
            <w:tr w14:paraId="669CCD5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90" w:type="pct"/>
                  <w:tcBorders>
                    <w:tl2br w:val="nil"/>
                    <w:tr2bl w:val="nil"/>
                  </w:tcBorders>
                  <w:noWrap w:val="0"/>
                  <w:vAlign w:val="center"/>
                </w:tcPr>
                <w:p w14:paraId="5D8746A8">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Cs/>
                      <w:color w:val="000000" w:themeColor="text1"/>
                      <w:kern w:val="0"/>
                      <w:sz w:val="21"/>
                      <w:szCs w:val="21"/>
                      <w:highlight w:val="none"/>
                      <w:shd w:val="clear" w:color="auto" w:fill="FFFFFF"/>
                      <w14:textFill>
                        <w14:solidFill>
                          <w14:schemeClr w14:val="tx1"/>
                        </w14:solidFill>
                      </w14:textFill>
                    </w:rPr>
                  </w:pPr>
                  <w:r>
                    <w:rPr>
                      <w:rFonts w:hint="default" w:ascii="Times New Roman" w:hAnsi="Times New Roman" w:cs="Times New Roman"/>
                      <w:bCs/>
                      <w:color w:val="000000" w:themeColor="text1"/>
                      <w:kern w:val="0"/>
                      <w:sz w:val="21"/>
                      <w:szCs w:val="21"/>
                      <w:highlight w:val="none"/>
                      <w:shd w:val="clear" w:color="auto" w:fill="FFFFFF"/>
                      <w14:textFill>
                        <w14:solidFill>
                          <w14:schemeClr w14:val="tx1"/>
                        </w14:solidFill>
                      </w14:textFill>
                    </w:rPr>
                    <w:t>推广低噪声施工设备。制定房屋建筑和市政基础设施工程禁止和限制使用技术目录，限制或禁用易产生噪声污染的落后施工工艺和设备。2023年5月底前，发布低噪声施工设备指导目录。</w:t>
                  </w:r>
                </w:p>
              </w:tc>
              <w:tc>
                <w:tcPr>
                  <w:tcW w:w="1460" w:type="pct"/>
                  <w:tcBorders>
                    <w:tl2br w:val="nil"/>
                    <w:tr2bl w:val="nil"/>
                  </w:tcBorders>
                  <w:noWrap w:val="0"/>
                  <w:vAlign w:val="center"/>
                </w:tcPr>
                <w:p w14:paraId="05B57F3C">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Cs/>
                      <w:color w:val="000000" w:themeColor="text1"/>
                      <w:kern w:val="0"/>
                      <w:sz w:val="21"/>
                      <w:szCs w:val="21"/>
                      <w:highlight w:val="none"/>
                      <w:lang w:eastAsia="zh-CN"/>
                      <w14:textFill>
                        <w14:solidFill>
                          <w14:schemeClr w14:val="tx1"/>
                        </w14:solidFill>
                      </w14:textFill>
                    </w:rPr>
                  </w:pPr>
                  <w:r>
                    <w:rPr>
                      <w:rFonts w:hint="default" w:ascii="Times New Roman" w:hAnsi="Times New Roman" w:cs="Times New Roman"/>
                      <w:bCs/>
                      <w:color w:val="000000" w:themeColor="text1"/>
                      <w:kern w:val="0"/>
                      <w:sz w:val="21"/>
                      <w:szCs w:val="21"/>
                      <w:highlight w:val="none"/>
                      <w14:textFill>
                        <w14:solidFill>
                          <w14:schemeClr w14:val="tx1"/>
                        </w14:solidFill>
                      </w14:textFill>
                    </w:rPr>
                    <w:t>本项目施工期优先使用低噪声施工设备，不使用房屋建筑和市政基础设施工程禁止和限制使用技术目录中的易产生噪声污染</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的落</w:t>
                  </w:r>
                  <w:r>
                    <w:rPr>
                      <w:rFonts w:hint="default" w:ascii="Times New Roman" w:hAnsi="Times New Roman" w:cs="Times New Roman"/>
                      <w:bCs/>
                      <w:color w:val="000000" w:themeColor="text1"/>
                      <w:kern w:val="0"/>
                      <w:sz w:val="21"/>
                      <w:szCs w:val="21"/>
                      <w:highlight w:val="none"/>
                      <w14:textFill>
                        <w14:solidFill>
                          <w14:schemeClr w14:val="tx1"/>
                        </w14:solidFill>
                      </w14:textFill>
                    </w:rPr>
                    <w:t>后施工工艺和设备</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w:t>
                  </w:r>
                </w:p>
              </w:tc>
              <w:tc>
                <w:tcPr>
                  <w:tcW w:w="449" w:type="pct"/>
                  <w:tcBorders>
                    <w:tl2br w:val="nil"/>
                    <w:tr2bl w:val="nil"/>
                  </w:tcBorders>
                  <w:noWrap w:val="0"/>
                  <w:vAlign w:val="center"/>
                </w:tcPr>
                <w:p w14:paraId="03AE4DA1">
                  <w:pPr>
                    <w:keepNext w:val="0"/>
                    <w:keepLines w:val="0"/>
                    <w:suppressLineNumbers w:val="0"/>
                    <w:snapToGrid w:val="0"/>
                    <w:spacing w:before="0" w:beforeAutospacing="0" w:after="0" w:afterAutospacing="0"/>
                    <w:ind w:left="0" w:right="0"/>
                    <w:jc w:val="center"/>
                    <w:rPr>
                      <w:rFonts w:hint="default" w:ascii="Times New Roman" w:hAnsi="Times New Roman" w:cs="Times New Roman"/>
                      <w:bCs/>
                      <w:color w:val="000000" w:themeColor="text1"/>
                      <w:kern w:val="0"/>
                      <w:sz w:val="21"/>
                      <w:szCs w:val="21"/>
                      <w:highlight w:val="none"/>
                      <w14:textFill>
                        <w14:solidFill>
                          <w14:schemeClr w14:val="tx1"/>
                        </w14:solidFill>
                      </w14:textFill>
                    </w:rPr>
                  </w:pPr>
                  <w:r>
                    <w:rPr>
                      <w:rFonts w:hint="default" w:ascii="Times New Roman" w:hAnsi="Times New Roman" w:cs="Times New Roman"/>
                      <w:bCs/>
                      <w:color w:val="000000" w:themeColor="text1"/>
                      <w:kern w:val="0"/>
                      <w:sz w:val="21"/>
                      <w:szCs w:val="21"/>
                      <w:highlight w:val="none"/>
                      <w14:textFill>
                        <w14:solidFill>
                          <w14:schemeClr w14:val="tx1"/>
                        </w14:solidFill>
                      </w14:textFill>
                    </w:rPr>
                    <w:t>符合</w:t>
                  </w:r>
                </w:p>
              </w:tc>
            </w:tr>
            <w:tr w14:paraId="66C40A3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90" w:type="pct"/>
                  <w:tcBorders>
                    <w:tl2br w:val="nil"/>
                    <w:tr2bl w:val="nil"/>
                  </w:tcBorders>
                  <w:noWrap w:val="0"/>
                  <w:vAlign w:val="center"/>
                </w:tcPr>
                <w:p w14:paraId="525246DB">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Cs/>
                      <w:color w:val="000000" w:themeColor="text1"/>
                      <w:kern w:val="0"/>
                      <w:sz w:val="21"/>
                      <w:szCs w:val="21"/>
                      <w:highlight w:val="none"/>
                      <w:shd w:val="clear" w:color="auto" w:fill="FFFFFF"/>
                      <w14:textFill>
                        <w14:solidFill>
                          <w14:schemeClr w14:val="tx1"/>
                        </w14:solidFill>
                      </w14:textFill>
                    </w:rPr>
                  </w:pPr>
                  <w:r>
                    <w:rPr>
                      <w:rFonts w:hint="default" w:ascii="Times New Roman" w:hAnsi="Times New Roman" w:cs="Times New Roman"/>
                      <w:bCs/>
                      <w:color w:val="000000" w:themeColor="text1"/>
                      <w:kern w:val="0"/>
                      <w:sz w:val="21"/>
                      <w:szCs w:val="21"/>
                      <w:highlight w:val="none"/>
                      <w:shd w:val="clear" w:color="auto" w:fill="FFFFFF"/>
                      <w14:textFill>
                        <w14:solidFill>
                          <w14:schemeClr w14:val="tx1"/>
                        </w14:solidFill>
                      </w14:textFill>
                    </w:rPr>
                    <w:t>落实管控责任。修订建设工程施工合同示范文本，明确建设单位、施工单位噪声污染防治责任和任务措施等要求。施工单位编制并落实噪声污染防治工作方案，采取有效隔声降噪设备、设施或施工工艺。鼓励噪声污染防治示范工地分类分级管理，探索从评优评先、资金补贴等方面，推动建筑施工企业加强噪声污染防治。</w:t>
                  </w:r>
                </w:p>
              </w:tc>
              <w:tc>
                <w:tcPr>
                  <w:tcW w:w="1460" w:type="pct"/>
                  <w:tcBorders>
                    <w:tl2br w:val="nil"/>
                    <w:tr2bl w:val="nil"/>
                  </w:tcBorders>
                  <w:noWrap w:val="0"/>
                  <w:vAlign w:val="center"/>
                </w:tcPr>
                <w:p w14:paraId="7AE17D82">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Cs/>
                      <w:color w:val="000000" w:themeColor="text1"/>
                      <w:kern w:val="0"/>
                      <w:sz w:val="21"/>
                      <w:szCs w:val="21"/>
                      <w:highlight w:val="none"/>
                      <w:lang w:eastAsia="zh-CN"/>
                      <w14:textFill>
                        <w14:solidFill>
                          <w14:schemeClr w14:val="tx1"/>
                        </w14:solidFill>
                      </w14:textFill>
                    </w:rPr>
                  </w:pPr>
                  <w:r>
                    <w:rPr>
                      <w:rFonts w:hint="default" w:ascii="Times New Roman" w:hAnsi="Times New Roman" w:cs="Times New Roman"/>
                      <w:bCs/>
                      <w:color w:val="000000" w:themeColor="text1"/>
                      <w:kern w:val="0"/>
                      <w:sz w:val="21"/>
                      <w:szCs w:val="21"/>
                      <w:highlight w:val="none"/>
                      <w14:textFill>
                        <w14:solidFill>
                          <w14:schemeClr w14:val="tx1"/>
                        </w14:solidFill>
                      </w14:textFill>
                    </w:rPr>
                    <w:t>本项目建设工程施工合同将建设单位、施工单位噪声污染防治责任和任务措施等要求作为内容之一，并要求施工单位编制并落实噪声污染防治工作方案，加强噪声污染防治</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w:t>
                  </w:r>
                </w:p>
              </w:tc>
              <w:tc>
                <w:tcPr>
                  <w:tcW w:w="449" w:type="pct"/>
                  <w:tcBorders>
                    <w:tl2br w:val="nil"/>
                    <w:tr2bl w:val="nil"/>
                  </w:tcBorders>
                  <w:noWrap w:val="0"/>
                  <w:vAlign w:val="center"/>
                </w:tcPr>
                <w:p w14:paraId="40DFE257">
                  <w:pPr>
                    <w:keepNext w:val="0"/>
                    <w:keepLines w:val="0"/>
                    <w:suppressLineNumbers w:val="0"/>
                    <w:snapToGrid w:val="0"/>
                    <w:spacing w:before="0" w:beforeAutospacing="0" w:after="0" w:afterAutospacing="0"/>
                    <w:ind w:left="0" w:right="0"/>
                    <w:jc w:val="center"/>
                    <w:rPr>
                      <w:rFonts w:hint="default" w:ascii="Times New Roman" w:hAnsi="Times New Roman" w:cs="Times New Roman"/>
                      <w:bCs/>
                      <w:color w:val="000000" w:themeColor="text1"/>
                      <w:kern w:val="0"/>
                      <w:sz w:val="21"/>
                      <w:szCs w:val="21"/>
                      <w:highlight w:val="none"/>
                      <w14:textFill>
                        <w14:solidFill>
                          <w14:schemeClr w14:val="tx1"/>
                        </w14:solidFill>
                      </w14:textFill>
                    </w:rPr>
                  </w:pPr>
                  <w:r>
                    <w:rPr>
                      <w:rFonts w:hint="default" w:ascii="Times New Roman" w:hAnsi="Times New Roman" w:cs="Times New Roman"/>
                      <w:bCs/>
                      <w:color w:val="000000" w:themeColor="text1"/>
                      <w:kern w:val="0"/>
                      <w:sz w:val="21"/>
                      <w:szCs w:val="21"/>
                      <w:highlight w:val="none"/>
                      <w14:textFill>
                        <w14:solidFill>
                          <w14:schemeClr w14:val="tx1"/>
                        </w14:solidFill>
                      </w14:textFill>
                    </w:rPr>
                    <w:t>符合</w:t>
                  </w:r>
                </w:p>
              </w:tc>
            </w:tr>
            <w:tr w14:paraId="52B11D1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3"/>
                  <w:tcBorders>
                    <w:tl2br w:val="nil"/>
                    <w:tr2bl w:val="nil"/>
                  </w:tcBorders>
                  <w:noWrap w:val="0"/>
                  <w:vAlign w:val="center"/>
                </w:tcPr>
                <w:p w14:paraId="18854A0B">
                  <w:pPr>
                    <w:keepNext w:val="0"/>
                    <w:keepLines w:val="0"/>
                    <w:suppressLineNumbers w:val="0"/>
                    <w:snapToGrid w:val="0"/>
                    <w:spacing w:before="0" w:beforeAutospacing="0" w:after="0" w:afterAutospacing="0"/>
                    <w:ind w:left="0" w:right="0"/>
                    <w:jc w:val="center"/>
                    <w:rPr>
                      <w:rFonts w:hint="default" w:ascii="Times New Roman" w:hAnsi="Times New Roman" w:cs="Times New Roman"/>
                      <w:bCs/>
                      <w:color w:val="000000" w:themeColor="text1"/>
                      <w:kern w:val="0"/>
                      <w:sz w:val="21"/>
                      <w:szCs w:val="21"/>
                      <w:highlight w:val="none"/>
                      <w14:textFill>
                        <w14:solidFill>
                          <w14:schemeClr w14:val="tx1"/>
                        </w14:solidFill>
                      </w14:textFill>
                    </w:rPr>
                  </w:pP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w:t>
                  </w:r>
                  <w:r>
                    <w:rPr>
                      <w:rFonts w:hint="default" w:ascii="Times New Roman" w:hAnsi="Times New Roman" w:cs="Times New Roman"/>
                      <w:bCs/>
                      <w:color w:val="000000" w:themeColor="text1"/>
                      <w:kern w:val="0"/>
                      <w:sz w:val="21"/>
                      <w:szCs w:val="21"/>
                      <w:highlight w:val="none"/>
                      <w14:textFill>
                        <w14:solidFill>
                          <w14:schemeClr w14:val="tx1"/>
                        </w14:solidFill>
                      </w14:textFill>
                    </w:rPr>
                    <w:t>十一)聚焦建筑施工管理重点</w:t>
                  </w:r>
                </w:p>
              </w:tc>
            </w:tr>
            <w:tr w14:paraId="18AAD64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90" w:type="pct"/>
                  <w:tcBorders>
                    <w:tl2br w:val="nil"/>
                    <w:tr2bl w:val="nil"/>
                  </w:tcBorders>
                  <w:noWrap w:val="0"/>
                  <w:vAlign w:val="center"/>
                </w:tcPr>
                <w:p w14:paraId="10D3220B">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Cs/>
                      <w:color w:val="000000" w:themeColor="text1"/>
                      <w:kern w:val="0"/>
                      <w:sz w:val="21"/>
                      <w:szCs w:val="21"/>
                      <w:highlight w:val="none"/>
                      <w:shd w:val="clear" w:color="auto" w:fill="FFFFFF"/>
                      <w14:textFill>
                        <w14:solidFill>
                          <w14:schemeClr w14:val="tx1"/>
                        </w14:solidFill>
                      </w14:textFill>
                    </w:rPr>
                  </w:pPr>
                  <w:r>
                    <w:rPr>
                      <w:rFonts w:hint="default" w:ascii="Times New Roman" w:hAnsi="Times New Roman" w:cs="Times New Roman"/>
                      <w:bCs/>
                      <w:color w:val="000000" w:themeColor="text1"/>
                      <w:kern w:val="0"/>
                      <w:sz w:val="21"/>
                      <w:szCs w:val="21"/>
                      <w:highlight w:val="none"/>
                      <w:shd w:val="clear" w:color="auto" w:fill="FFFFFF"/>
                      <w14:textFill>
                        <w14:solidFill>
                          <w14:schemeClr w14:val="tx1"/>
                        </w14:solidFill>
                      </w14:textFill>
                    </w:rPr>
                    <w:t>加严噪声敏感建筑物集中区域施工要求。噪声敏感建筑物集中区域的施工场地应优先使用低噪声施工工艺和设备，采取减振降噪措施，加强进出场地运输车辆管理</w:t>
                  </w:r>
                  <w:r>
                    <w:rPr>
                      <w:rFonts w:hint="default" w:ascii="Times New Roman" w:hAnsi="Times New Roman" w:cs="Times New Roman"/>
                      <w:bCs/>
                      <w:color w:val="000000" w:themeColor="text1"/>
                      <w:kern w:val="0"/>
                      <w:sz w:val="21"/>
                      <w:szCs w:val="21"/>
                      <w:highlight w:val="none"/>
                      <w:shd w:val="clear" w:color="auto" w:fill="FFFFFF"/>
                      <w:lang w:eastAsia="zh-CN"/>
                      <w14:textFill>
                        <w14:solidFill>
                          <w14:schemeClr w14:val="tx1"/>
                        </w14:solidFill>
                      </w14:textFill>
                    </w:rPr>
                    <w:t>；</w:t>
                  </w:r>
                  <w:r>
                    <w:rPr>
                      <w:rFonts w:hint="default" w:ascii="Times New Roman" w:hAnsi="Times New Roman" w:cs="Times New Roman"/>
                      <w:bCs/>
                      <w:color w:val="000000" w:themeColor="text1"/>
                      <w:kern w:val="0"/>
                      <w:sz w:val="21"/>
                      <w:szCs w:val="21"/>
                      <w:highlight w:val="none"/>
                      <w:shd w:val="clear" w:color="auto" w:fill="FFFFFF"/>
                      <w14:textFill>
                        <w14:solidFill>
                          <w14:schemeClr w14:val="tx1"/>
                        </w14:solidFill>
                      </w14:textFill>
                    </w:rPr>
                    <w:t>建设单位应根据国家规定设置噪声自动监测系统，与监督管理部门联网。推动地方完善噪声敏感建筑物集中区域夜间施工证明的申报、审核、时限以及施工管理等要求，严格规范夜间施工证明发放。夜间施工单位应依法进行公示公告。</w:t>
                  </w:r>
                </w:p>
              </w:tc>
              <w:tc>
                <w:tcPr>
                  <w:tcW w:w="1460" w:type="pct"/>
                  <w:tcBorders>
                    <w:tl2br w:val="nil"/>
                    <w:tr2bl w:val="nil"/>
                  </w:tcBorders>
                  <w:noWrap w:val="0"/>
                  <w:vAlign w:val="center"/>
                </w:tcPr>
                <w:p w14:paraId="2CDDD186">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Cs/>
                      <w:color w:val="000000" w:themeColor="text1"/>
                      <w:kern w:val="0"/>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本项目</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施工期优先使用低噪声施工工艺和设备，尽量使物料运输路线远离人口集中区。</w:t>
                  </w:r>
                  <w:r>
                    <w:rPr>
                      <w:rFonts w:hint="eastAsia" w:cs="Times New Roman"/>
                      <w:bCs/>
                      <w:color w:val="000000" w:themeColor="text1"/>
                      <w:kern w:val="0"/>
                      <w:sz w:val="21"/>
                      <w:szCs w:val="21"/>
                      <w:highlight w:val="none"/>
                      <w:lang w:eastAsia="zh-CN"/>
                      <w14:textFill>
                        <w14:solidFill>
                          <w14:schemeClr w14:val="tx1"/>
                        </w14:solidFill>
                      </w14:textFill>
                    </w:rPr>
                    <w:t>途经</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人口集中区路段采取低速行驶，减少鸣笛的方式控制噪</w:t>
                  </w:r>
                  <w:r>
                    <w:rPr>
                      <w:rFonts w:hint="eastAsia" w:cs="Times New Roman"/>
                      <w:bCs/>
                      <w:color w:val="000000" w:themeColor="text1"/>
                      <w:kern w:val="0"/>
                      <w:sz w:val="21"/>
                      <w:szCs w:val="21"/>
                      <w:highlight w:val="none"/>
                      <w:lang w:val="en-US" w:eastAsia="zh-CN"/>
                      <w14:textFill>
                        <w14:solidFill>
                          <w14:schemeClr w14:val="tx1"/>
                        </w14:solidFill>
                      </w14:textFill>
                    </w:rPr>
                    <w:t>声</w:t>
                  </w:r>
                  <w:r>
                    <w:rPr>
                      <w:rFonts w:hint="default" w:ascii="Times New Roman" w:hAnsi="Times New Roman" w:cs="Times New Roman"/>
                      <w:bCs/>
                      <w:color w:val="000000" w:themeColor="text1"/>
                      <w:kern w:val="0"/>
                      <w:sz w:val="21"/>
                      <w:szCs w:val="21"/>
                      <w:highlight w:val="none"/>
                      <w:lang w:eastAsia="zh-CN"/>
                      <w14:textFill>
                        <w14:solidFill>
                          <w14:schemeClr w14:val="tx1"/>
                        </w14:solidFill>
                      </w14:textFill>
                    </w:rPr>
                    <w:t>。</w:t>
                  </w:r>
                </w:p>
              </w:tc>
              <w:tc>
                <w:tcPr>
                  <w:tcW w:w="449" w:type="pct"/>
                  <w:tcBorders>
                    <w:tl2br w:val="nil"/>
                    <w:tr2bl w:val="nil"/>
                  </w:tcBorders>
                  <w:noWrap w:val="0"/>
                  <w:vAlign w:val="center"/>
                </w:tcPr>
                <w:p w14:paraId="5E31D9A7">
                  <w:pPr>
                    <w:keepNext w:val="0"/>
                    <w:keepLines w:val="0"/>
                    <w:suppressLineNumbers w:val="0"/>
                    <w:snapToGrid w:val="0"/>
                    <w:spacing w:before="0" w:beforeAutospacing="0" w:after="0" w:afterAutospacing="0"/>
                    <w:ind w:left="0" w:right="0"/>
                    <w:jc w:val="center"/>
                    <w:rPr>
                      <w:rFonts w:hint="default" w:ascii="Times New Roman" w:hAnsi="Times New Roman" w:cs="Times New Roman"/>
                      <w:bCs/>
                      <w:color w:val="000000" w:themeColor="text1"/>
                      <w:kern w:val="0"/>
                      <w:sz w:val="21"/>
                      <w:szCs w:val="21"/>
                      <w:highlight w:val="none"/>
                      <w14:textFill>
                        <w14:solidFill>
                          <w14:schemeClr w14:val="tx1"/>
                        </w14:solidFill>
                      </w14:textFill>
                    </w:rPr>
                  </w:pPr>
                  <w:r>
                    <w:rPr>
                      <w:rFonts w:hint="default" w:ascii="Times New Roman" w:hAnsi="Times New Roman" w:cs="Times New Roman"/>
                      <w:bCs/>
                      <w:color w:val="000000" w:themeColor="text1"/>
                      <w:kern w:val="0"/>
                      <w:sz w:val="21"/>
                      <w:szCs w:val="21"/>
                      <w:highlight w:val="none"/>
                      <w14:textFill>
                        <w14:solidFill>
                          <w14:schemeClr w14:val="tx1"/>
                        </w14:solidFill>
                      </w14:textFill>
                    </w:rPr>
                    <w:t>符合</w:t>
                  </w:r>
                </w:p>
              </w:tc>
            </w:tr>
          </w:tbl>
          <w:p w14:paraId="6114B1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综上所述，本项目符合《“十四五”噪声污染防治行动计划》中的相关要求。</w:t>
            </w:r>
          </w:p>
          <w:p w14:paraId="22EF84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textAlignment w:val="auto"/>
              <w:rPr>
                <w:rFonts w:hint="default"/>
                <w:color w:val="000000" w:themeColor="text1"/>
                <w:highlight w:val="none"/>
                <w:lang w:val="en-US" w:eastAsia="zh-CN"/>
                <w14:textFill>
                  <w14:solidFill>
                    <w14:schemeClr w14:val="tx1"/>
                  </w14:solidFill>
                </w14:textFill>
              </w:rPr>
            </w:pPr>
          </w:p>
        </w:tc>
      </w:tr>
    </w:tbl>
    <w:p w14:paraId="6775FC50">
      <w:pPr>
        <w:rPr>
          <w:rFonts w:ascii="黑体" w:hAnsi="黑体" w:eastAsia="黑体"/>
          <w:snapToGrid w:val="0"/>
          <w:color w:val="000000" w:themeColor="text1"/>
          <w:sz w:val="30"/>
          <w:szCs w:val="30"/>
          <w:highlight w:val="none"/>
          <w14:textFill>
            <w14:solidFill>
              <w14:schemeClr w14:val="tx1"/>
            </w14:solidFill>
          </w14:textFill>
        </w:rPr>
      </w:pPr>
      <w:r>
        <w:rPr>
          <w:rFonts w:hint="eastAsia" w:ascii="黑体" w:hAnsi="黑体" w:eastAsia="黑体"/>
          <w:snapToGrid w:val="0"/>
          <w:color w:val="000000" w:themeColor="text1"/>
          <w:sz w:val="30"/>
          <w:szCs w:val="30"/>
          <w:highlight w:val="none"/>
          <w14:textFill>
            <w14:solidFill>
              <w14:schemeClr w14:val="tx1"/>
            </w14:solidFill>
          </w14:textFill>
        </w:rPr>
        <w:br w:type="page"/>
      </w:r>
    </w:p>
    <w:p w14:paraId="16F7DE09">
      <w:pPr>
        <w:pStyle w:val="8"/>
        <w:jc w:val="center"/>
        <w:outlineLvl w:val="0"/>
        <w:rPr>
          <w:rFonts w:ascii="黑体" w:hAnsi="黑体" w:eastAsia="黑体"/>
          <w:snapToGrid w:val="0"/>
          <w:color w:val="000000" w:themeColor="text1"/>
          <w:sz w:val="30"/>
          <w:szCs w:val="30"/>
          <w:highlight w:val="none"/>
          <w14:textFill>
            <w14:solidFill>
              <w14:schemeClr w14:val="tx1"/>
            </w14:solidFill>
          </w14:textFill>
        </w:rPr>
      </w:pPr>
      <w:r>
        <w:rPr>
          <w:rFonts w:hint="eastAsia" w:ascii="黑体" w:hAnsi="黑体" w:eastAsia="黑体"/>
          <w:snapToGrid w:val="0"/>
          <w:color w:val="000000" w:themeColor="text1"/>
          <w:sz w:val="30"/>
          <w:szCs w:val="30"/>
          <w:highlight w:val="none"/>
          <w14:textFill>
            <w14:solidFill>
              <w14:schemeClr w14:val="tx1"/>
            </w14:solidFill>
          </w14:textFill>
        </w:rPr>
        <w:t>二、建设项目工程分析</w:t>
      </w:r>
    </w:p>
    <w:tbl>
      <w:tblPr>
        <w:tblStyle w:val="35"/>
        <w:tblW w:w="898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9"/>
        <w:gridCol w:w="8525"/>
      </w:tblGrid>
      <w:tr w14:paraId="0EE2B4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9" w:type="dxa"/>
            <w:vAlign w:val="center"/>
          </w:tcPr>
          <w:p w14:paraId="5719222F">
            <w:pPr>
              <w:pStyle w:val="8"/>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建设内容</w:t>
            </w:r>
          </w:p>
        </w:tc>
        <w:tc>
          <w:tcPr>
            <w:tcW w:w="8525" w:type="dxa"/>
            <w:vAlign w:val="center"/>
          </w:tcPr>
          <w:p w14:paraId="1EAC3B36">
            <w:pPr>
              <w:keepNext w:val="0"/>
              <w:keepLines w:val="0"/>
              <w:widowControl/>
              <w:numPr>
                <w:ilvl w:val="0"/>
                <w:numId w:val="4"/>
              </w:numPr>
              <w:suppressLineNumbers w:val="0"/>
              <w:adjustRightInd w:val="0"/>
              <w:snapToGrid w:val="0"/>
              <w:spacing w:before="93" w:beforeLines="30" w:beforeAutospacing="0" w:after="93" w:afterLines="30" w:afterAutospacing="0" w:line="360" w:lineRule="auto"/>
              <w:ind w:left="0" w:right="0"/>
              <w:jc w:val="left"/>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t>项目由来</w:t>
            </w:r>
          </w:p>
          <w:p w14:paraId="4BFB4B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cs="Times New Roman"/>
                <w:b w:val="0"/>
                <w:bCs w:val="0"/>
                <w:color w:val="000000" w:themeColor="text1"/>
                <w:kern w:val="0"/>
                <w:sz w:val="24"/>
                <w:szCs w:val="24"/>
                <w:highlight w:val="none"/>
                <w:lang w:val="en-US" w:eastAsia="zh-CN" w:bidi="en-US"/>
                <w14:textFill>
                  <w14:solidFill>
                    <w14:schemeClr w14:val="tx1"/>
                  </w14:solidFill>
                </w14:textFill>
              </w:rPr>
              <w:t>辽宁华润本溪三药有限公司（曾用名称：辽宁华源本溪三药有限公司、辽宁本溪三药有限公司，详见附件2）</w:t>
            </w:r>
            <w:r>
              <w:rPr>
                <w:rFonts w:hint="default" w:ascii="Times New Roman" w:hAnsi="Times New Roman" w:cs="Times New Roman"/>
                <w:b w:val="0"/>
                <w:bCs w:val="0"/>
                <w:color w:val="000000" w:themeColor="text1"/>
                <w:kern w:val="0"/>
                <w:sz w:val="24"/>
                <w:szCs w:val="24"/>
                <w:highlight w:val="none"/>
                <w:lang w:val="en-US" w:eastAsia="zh-CN" w:bidi="en-US"/>
                <w14:textFill>
                  <w14:solidFill>
                    <w14:schemeClr w14:val="tx1"/>
                  </w14:solidFill>
                </w14:textFill>
              </w:rPr>
              <w:t>成立于2001年09月29日，</w:t>
            </w:r>
            <w:r>
              <w:rPr>
                <w:rFonts w:hint="eastAsia" w:cs="Times New Roman"/>
                <w:b w:val="0"/>
                <w:bCs w:val="0"/>
                <w:color w:val="000000" w:themeColor="text1"/>
                <w:kern w:val="0"/>
                <w:sz w:val="24"/>
                <w:szCs w:val="24"/>
                <w:highlight w:val="none"/>
                <w:lang w:val="en-US" w:eastAsia="zh-CN" w:bidi="en-US"/>
                <w14:textFill>
                  <w14:solidFill>
                    <w14:schemeClr w14:val="tx1"/>
                  </w14:solidFill>
                </w14:textFill>
              </w:rPr>
              <w:t>为华润三九医药股份有限公司的子公司，</w:t>
            </w:r>
            <w:r>
              <w:rPr>
                <w:rFonts w:hint="default" w:ascii="Times New Roman" w:hAnsi="Times New Roman" w:cs="Times New Roman"/>
                <w:b w:val="0"/>
                <w:bCs w:val="0"/>
                <w:color w:val="000000" w:themeColor="text1"/>
                <w:kern w:val="0"/>
                <w:sz w:val="24"/>
                <w:szCs w:val="24"/>
                <w:highlight w:val="none"/>
                <w:lang w:val="en-US" w:eastAsia="zh-CN" w:bidi="en-US"/>
                <w14:textFill>
                  <w14:solidFill>
                    <w14:schemeClr w14:val="tx1"/>
                  </w14:solidFill>
                </w14:textFill>
              </w:rPr>
              <w:t>位于</w:t>
            </w:r>
            <w:r>
              <w:rPr>
                <w:rFonts w:hint="eastAsia" w:cs="Times New Roman"/>
                <w:b w:val="0"/>
                <w:bCs w:val="0"/>
                <w:color w:val="000000" w:themeColor="text1"/>
                <w:kern w:val="0"/>
                <w:sz w:val="24"/>
                <w:szCs w:val="24"/>
                <w:highlight w:val="none"/>
                <w:lang w:val="en-US" w:eastAsia="zh-CN" w:bidi="en-US"/>
                <w14:textFill>
                  <w14:solidFill>
                    <w14:schemeClr w14:val="tx1"/>
                  </w14:solidFill>
                </w14:textFill>
              </w:rPr>
              <w:t>辽宁省本溪经济技术开发区医药园区。</w:t>
            </w:r>
          </w:p>
          <w:p w14:paraId="33C12E1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cs="Times New Roman"/>
                <w:color w:val="000000" w:themeColor="text1"/>
                <w:kern w:val="2"/>
                <w:sz w:val="24"/>
                <w:szCs w:val="24"/>
                <w:highlight w:val="none"/>
                <w:lang w:val="en-US" w:eastAsia="zh-CN" w:bidi="ar-SA"/>
                <w14:textFill>
                  <w14:solidFill>
                    <w14:schemeClr w14:val="tx1"/>
                  </w14:solidFill>
                </w14:textFill>
              </w:rPr>
              <w:t>2002年</w:t>
            </w:r>
            <w:r>
              <w:rPr>
                <w:rFonts w:hint="eastAsia" w:eastAsia="宋体" w:cs="Times New Roman"/>
                <w:color w:val="000000" w:themeColor="text1"/>
                <w:kern w:val="2"/>
                <w:sz w:val="24"/>
                <w:szCs w:val="24"/>
                <w:highlight w:val="none"/>
                <w:lang w:val="en-US" w:eastAsia="zh-CN" w:bidi="ar-SA"/>
                <w14:textFill>
                  <w14:solidFill>
                    <w14:schemeClr w14:val="tx1"/>
                  </w14:solidFill>
                </w14:textFill>
              </w:rPr>
              <w:t>本企业</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投资建设了</w:t>
            </w:r>
            <w:r>
              <w:rPr>
                <w:rFonts w:hint="eastAsia" w:cs="Times New Roman"/>
                <w:b w:val="0"/>
                <w:bCs w:val="0"/>
                <w:color w:val="000000" w:themeColor="text1"/>
                <w:kern w:val="0"/>
                <w:sz w:val="24"/>
                <w:szCs w:val="24"/>
                <w:highlight w:val="none"/>
                <w:lang w:val="en-US" w:eastAsia="zh-CN" w:bidi="en-US"/>
                <w14:textFill>
                  <w14:solidFill>
                    <w14:schemeClr w14:val="tx1"/>
                  </w14:solidFill>
                </w14:textFill>
              </w:rPr>
              <w:t>辽宁华源本溪三药有限公司GMP整体改造工程，厂区自北向南分别为锅炉房、污水处理站、提取车间、危废库、办公楼、变电所、综合仓库、综合制剂车间、颗粒制剂车间等。总占地面积约102000m</w:t>
            </w:r>
            <w:r>
              <w:rPr>
                <w:rFonts w:hint="eastAsia" w:cs="Times New Roman"/>
                <w:b w:val="0"/>
                <w:bCs w:val="0"/>
                <w:color w:val="000000" w:themeColor="text1"/>
                <w:kern w:val="0"/>
                <w:sz w:val="24"/>
                <w:szCs w:val="24"/>
                <w:highlight w:val="none"/>
                <w:vertAlign w:val="superscript"/>
                <w:lang w:val="en-US" w:eastAsia="zh-CN" w:bidi="en-US"/>
                <w14:textFill>
                  <w14:solidFill>
                    <w14:schemeClr w14:val="tx1"/>
                  </w14:solidFill>
                </w14:textFill>
              </w:rPr>
              <w:t>2</w:t>
            </w:r>
            <w:r>
              <w:rPr>
                <w:rFonts w:hint="eastAsia" w:cs="Times New Roman"/>
                <w:b w:val="0"/>
                <w:bCs w:val="0"/>
                <w:color w:val="000000" w:themeColor="text1"/>
                <w:kern w:val="0"/>
                <w:sz w:val="24"/>
                <w:szCs w:val="24"/>
                <w:highlight w:val="none"/>
                <w:lang w:val="en-US" w:eastAsia="zh-CN" w:bidi="en-US"/>
                <w14:textFill>
                  <w14:solidFill>
                    <w14:schemeClr w14:val="tx1"/>
                  </w14:solidFill>
                </w14:textFill>
              </w:rPr>
              <w:t>，总建筑面积约15081m</w:t>
            </w:r>
            <w:r>
              <w:rPr>
                <w:rFonts w:hint="eastAsia" w:cs="Times New Roman"/>
                <w:b w:val="0"/>
                <w:bCs w:val="0"/>
                <w:color w:val="000000" w:themeColor="text1"/>
                <w:kern w:val="0"/>
                <w:sz w:val="24"/>
                <w:szCs w:val="24"/>
                <w:highlight w:val="none"/>
                <w:vertAlign w:val="superscript"/>
                <w:lang w:val="en-US" w:eastAsia="zh-CN" w:bidi="en-US"/>
                <w14:textFill>
                  <w14:solidFill>
                    <w14:schemeClr w14:val="tx1"/>
                  </w14:solidFill>
                </w14:textFill>
              </w:rPr>
              <w:t>2</w:t>
            </w:r>
            <w:r>
              <w:rPr>
                <w:rFonts w:hint="eastAsia" w:cs="Times New Roman"/>
                <w:b w:val="0"/>
                <w:bCs w:val="0"/>
                <w:color w:val="000000" w:themeColor="text1"/>
                <w:kern w:val="0"/>
                <w:sz w:val="24"/>
                <w:szCs w:val="24"/>
                <w:highlight w:val="none"/>
                <w:lang w:val="en-US" w:eastAsia="zh-CN" w:bidi="en-US"/>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生产规模为气滞胃</w:t>
            </w:r>
            <w:r>
              <w:rPr>
                <w:rFonts w:hint="eastAsia" w:eastAsia="宋体" w:cs="Times New Roman"/>
                <w:color w:val="000000" w:themeColor="text1"/>
                <w:kern w:val="2"/>
                <w:sz w:val="24"/>
                <w:szCs w:val="24"/>
                <w:highlight w:val="none"/>
                <w:lang w:val="en-US" w:eastAsia="zh-CN" w:bidi="ar-SA"/>
                <w14:textFill>
                  <w14:solidFill>
                    <w14:schemeClr w14:val="tx1"/>
                  </w14:solidFill>
                </w14:textFill>
              </w:rPr>
              <w:t>痛片为</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2亿片/</w:t>
            </w:r>
            <w:r>
              <w:rPr>
                <w:rFonts w:hint="eastAsia" w:cs="Times New Roman"/>
                <w:color w:val="000000" w:themeColor="text1"/>
                <w:kern w:val="2"/>
                <w:sz w:val="24"/>
                <w:szCs w:val="24"/>
                <w:highlight w:val="none"/>
                <w:lang w:val="en-US" w:eastAsia="zh-CN" w:bidi="ar-SA"/>
                <w14:textFill>
                  <w14:solidFill>
                    <w14:schemeClr w14:val="tx1"/>
                  </w14:solidFill>
                </w14:textFill>
              </w:rPr>
              <w:t>a</w:t>
            </w:r>
            <w:r>
              <w:rPr>
                <w:rFonts w:hint="eastAsia" w:eastAsia="宋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气滞胃</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痛</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冲剂</w:t>
            </w:r>
            <w:r>
              <w:rPr>
                <w:rFonts w:hint="eastAsia" w:eastAsia="宋体" w:cs="Times New Roman"/>
                <w:color w:val="000000" w:themeColor="text1"/>
                <w:kern w:val="2"/>
                <w:sz w:val="24"/>
                <w:szCs w:val="24"/>
                <w:highlight w:val="none"/>
                <w:lang w:val="en-US" w:eastAsia="zh-CN" w:bidi="ar-SA"/>
                <w14:textFill>
                  <w14:solidFill>
                    <w14:schemeClr w14:val="tx1"/>
                  </w14:solidFill>
                </w14:textFill>
              </w:rPr>
              <w:t>为3亿袋/a；骨友灵搽剂为500万瓶/a；表虚感冒胶囊、气滞胃痛胶囊为4亿粒/a。</w:t>
            </w:r>
          </w:p>
          <w:p w14:paraId="2F59B29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cs="Times New Roman"/>
                <w:color w:val="000000" w:themeColor="text1"/>
                <w:kern w:val="2"/>
                <w:sz w:val="24"/>
                <w:szCs w:val="24"/>
                <w:highlight w:val="none"/>
                <w:lang w:val="en-US" w:eastAsia="zh-CN" w:bidi="ar-SA"/>
                <w14:textFill>
                  <w14:solidFill>
                    <w14:schemeClr w14:val="tx1"/>
                  </w14:solidFill>
                </w14:textFill>
              </w:rPr>
            </w:pPr>
            <w:r>
              <w:rPr>
                <w:rFonts w:hint="eastAsia" w:cs="Times New Roman"/>
                <w:color w:val="000000" w:themeColor="text1"/>
                <w:kern w:val="2"/>
                <w:sz w:val="24"/>
                <w:szCs w:val="24"/>
                <w:highlight w:val="none"/>
                <w:lang w:val="en-US" w:eastAsia="zh-CN" w:bidi="ar-SA"/>
                <w14:textFill>
                  <w14:solidFill>
                    <w14:schemeClr w14:val="tx1"/>
                  </w14:solidFill>
                </w14:textFill>
              </w:rPr>
              <w:t>2012年</w:t>
            </w:r>
            <w:r>
              <w:rPr>
                <w:rFonts w:hint="eastAsia" w:eastAsia="宋体" w:cs="Times New Roman"/>
                <w:color w:val="000000" w:themeColor="text1"/>
                <w:kern w:val="2"/>
                <w:sz w:val="24"/>
                <w:szCs w:val="24"/>
                <w:highlight w:val="none"/>
                <w:lang w:val="en-US" w:eastAsia="zh-CN" w:bidi="ar-SA"/>
                <w14:textFill>
                  <w14:solidFill>
                    <w14:schemeClr w14:val="tx1"/>
                  </w14:solidFill>
                </w14:textFill>
              </w:rPr>
              <w:t>本企业</w:t>
            </w:r>
            <w:r>
              <w:rPr>
                <w:rFonts w:hint="eastAsia" w:cs="Times New Roman"/>
                <w:color w:val="000000" w:themeColor="text1"/>
                <w:kern w:val="2"/>
                <w:sz w:val="24"/>
                <w:szCs w:val="24"/>
                <w:highlight w:val="none"/>
                <w:lang w:val="en-US" w:eastAsia="zh-CN" w:bidi="ar-SA"/>
                <w14:textFill>
                  <w14:solidFill>
                    <w14:schemeClr w14:val="tx1"/>
                  </w14:solidFill>
                </w14:textFill>
              </w:rPr>
              <w:t>气滞胃痛颗粒新版GMP标准及产能提升，锅炉房新建两台15t/h燃气锅炉代替原有两台10t/h的燃煤锅炉，新设净化空调机、燃气调压站、改造厂区污水处理站为800t/d，新增气滞胃痛颗粒产能3</w:t>
            </w:r>
            <w:r>
              <w:rPr>
                <w:rFonts w:hint="eastAsia" w:eastAsia="宋体" w:cs="Times New Roman"/>
                <w:color w:val="000000" w:themeColor="text1"/>
                <w:kern w:val="2"/>
                <w:sz w:val="24"/>
                <w:szCs w:val="24"/>
                <w:highlight w:val="none"/>
                <w:lang w:val="en-US" w:eastAsia="zh-CN" w:bidi="ar-SA"/>
                <w14:textFill>
                  <w14:solidFill>
                    <w14:schemeClr w14:val="tx1"/>
                  </w14:solidFill>
                </w14:textFill>
              </w:rPr>
              <w:t>亿袋/a。</w:t>
            </w:r>
          </w:p>
          <w:p w14:paraId="6284B7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cs="Times New Roman"/>
                <w:color w:val="000000" w:themeColor="text1"/>
                <w:kern w:val="2"/>
                <w:sz w:val="24"/>
                <w:szCs w:val="24"/>
                <w:highlight w:val="none"/>
                <w:lang w:val="en-US" w:eastAsia="zh-CN" w:bidi="ar-SA"/>
                <w14:textFill>
                  <w14:solidFill>
                    <w14:schemeClr w14:val="tx1"/>
                  </w14:solidFill>
                </w14:textFill>
              </w:rPr>
            </w:pPr>
            <w:r>
              <w:rPr>
                <w:rFonts w:hint="eastAsia" w:cs="Times New Roman"/>
                <w:color w:val="000000" w:themeColor="text1"/>
                <w:kern w:val="2"/>
                <w:sz w:val="24"/>
                <w:szCs w:val="24"/>
                <w:highlight w:val="none"/>
                <w:lang w:val="en-US" w:eastAsia="zh-CN" w:bidi="ar-SA"/>
                <w14:textFill>
                  <w14:solidFill>
                    <w14:schemeClr w14:val="tx1"/>
                  </w14:solidFill>
                </w14:textFill>
              </w:rPr>
              <w:t>2013年</w:t>
            </w:r>
            <w:r>
              <w:rPr>
                <w:rFonts w:hint="eastAsia" w:eastAsia="宋体" w:cs="Times New Roman"/>
                <w:color w:val="000000" w:themeColor="text1"/>
                <w:kern w:val="2"/>
                <w:sz w:val="24"/>
                <w:szCs w:val="24"/>
                <w:highlight w:val="none"/>
                <w:lang w:val="en-US" w:eastAsia="zh-CN" w:bidi="ar-SA"/>
                <w14:textFill>
                  <w14:solidFill>
                    <w14:schemeClr w14:val="tx1"/>
                  </w14:solidFill>
                </w14:textFill>
              </w:rPr>
              <w:t>本企业</w:t>
            </w:r>
            <w:r>
              <w:rPr>
                <w:rFonts w:hint="eastAsia" w:cs="Times New Roman"/>
                <w:color w:val="000000" w:themeColor="text1"/>
                <w:kern w:val="2"/>
                <w:sz w:val="24"/>
                <w:szCs w:val="24"/>
                <w:highlight w:val="none"/>
                <w:lang w:val="en-US" w:eastAsia="zh-CN" w:bidi="ar-SA"/>
                <w14:textFill>
                  <w14:solidFill>
                    <w14:schemeClr w14:val="tx1"/>
                  </w14:solidFill>
                </w14:textFill>
              </w:rPr>
              <w:t>对现有前处理提取车间中的提取车间、制剂车间进行设备更新，共22台套，提高净化系统的洁净度，并新建综合办公楼5700m</w:t>
            </w:r>
            <w:r>
              <w:rPr>
                <w:rFonts w:hint="eastAsia" w:cs="Times New Roman"/>
                <w:color w:val="000000" w:themeColor="text1"/>
                <w:kern w:val="2"/>
                <w:sz w:val="24"/>
                <w:szCs w:val="24"/>
                <w:highlight w:val="none"/>
                <w:vertAlign w:val="superscript"/>
                <w:lang w:val="en-US" w:eastAsia="zh-CN" w:bidi="ar-SA"/>
                <w14:textFill>
                  <w14:solidFill>
                    <w14:schemeClr w14:val="tx1"/>
                  </w14:solidFill>
                </w14:textFill>
              </w:rPr>
              <w:t>2</w:t>
            </w:r>
            <w:r>
              <w:rPr>
                <w:rFonts w:hint="eastAsia" w:cs="Times New Roman"/>
                <w:color w:val="000000" w:themeColor="text1"/>
                <w:kern w:val="2"/>
                <w:sz w:val="24"/>
                <w:szCs w:val="24"/>
                <w:highlight w:val="none"/>
                <w:lang w:val="en-US" w:eastAsia="zh-CN" w:bidi="ar-SA"/>
                <w14:textFill>
                  <w14:solidFill>
                    <w14:schemeClr w14:val="tx1"/>
                  </w14:solidFill>
                </w14:textFill>
              </w:rPr>
              <w:t>、综合仓库4200m</w:t>
            </w:r>
            <w:r>
              <w:rPr>
                <w:rFonts w:hint="eastAsia" w:cs="Times New Roman"/>
                <w:color w:val="000000" w:themeColor="text1"/>
                <w:kern w:val="2"/>
                <w:sz w:val="24"/>
                <w:szCs w:val="24"/>
                <w:highlight w:val="none"/>
                <w:vertAlign w:val="superscript"/>
                <w:lang w:val="en-US" w:eastAsia="zh-CN" w:bidi="ar-SA"/>
                <w14:textFill>
                  <w14:solidFill>
                    <w14:schemeClr w14:val="tx1"/>
                  </w14:solidFill>
                </w14:textFill>
              </w:rPr>
              <w:t>2</w:t>
            </w:r>
            <w:r>
              <w:rPr>
                <w:rFonts w:hint="eastAsia" w:cs="Times New Roman"/>
                <w:color w:val="000000" w:themeColor="text1"/>
                <w:kern w:val="2"/>
                <w:sz w:val="24"/>
                <w:szCs w:val="24"/>
                <w:highlight w:val="none"/>
                <w:lang w:val="en-US" w:eastAsia="zh-CN" w:bidi="ar-SA"/>
                <w14:textFill>
                  <w14:solidFill>
                    <w14:schemeClr w14:val="tx1"/>
                  </w14:solidFill>
                </w14:textFill>
              </w:rPr>
              <w:t>、临时仓库5000m</w:t>
            </w:r>
            <w:r>
              <w:rPr>
                <w:rFonts w:hint="eastAsia" w:cs="Times New Roman"/>
                <w:color w:val="000000" w:themeColor="text1"/>
                <w:kern w:val="2"/>
                <w:sz w:val="24"/>
                <w:szCs w:val="24"/>
                <w:highlight w:val="none"/>
                <w:vertAlign w:val="superscript"/>
                <w:lang w:val="en-US" w:eastAsia="zh-CN" w:bidi="ar-SA"/>
                <w14:textFill>
                  <w14:solidFill>
                    <w14:schemeClr w14:val="tx1"/>
                  </w14:solidFill>
                </w14:textFill>
              </w:rPr>
              <w:t>2</w:t>
            </w:r>
            <w:r>
              <w:rPr>
                <w:rFonts w:hint="eastAsia" w:cs="Times New Roman"/>
                <w:color w:val="000000" w:themeColor="text1"/>
                <w:kern w:val="2"/>
                <w:sz w:val="24"/>
                <w:szCs w:val="24"/>
                <w:highlight w:val="none"/>
                <w:lang w:val="en-US" w:eastAsia="zh-CN" w:bidi="ar-SA"/>
                <w14:textFill>
                  <w14:solidFill>
                    <w14:schemeClr w14:val="tx1"/>
                  </w14:solidFill>
                </w14:textFill>
              </w:rPr>
              <w:t>、门卫室100m</w:t>
            </w:r>
            <w:r>
              <w:rPr>
                <w:rFonts w:hint="eastAsia" w:cs="Times New Roman"/>
                <w:color w:val="000000" w:themeColor="text1"/>
                <w:kern w:val="2"/>
                <w:sz w:val="24"/>
                <w:szCs w:val="24"/>
                <w:highlight w:val="none"/>
                <w:vertAlign w:val="superscript"/>
                <w:lang w:val="en-US" w:eastAsia="zh-CN" w:bidi="ar-SA"/>
                <w14:textFill>
                  <w14:solidFill>
                    <w14:schemeClr w14:val="tx1"/>
                  </w14:solidFill>
                </w14:textFill>
              </w:rPr>
              <w:t>2</w:t>
            </w:r>
            <w:r>
              <w:rPr>
                <w:rFonts w:hint="eastAsia" w:cs="Times New Roman"/>
                <w:color w:val="000000" w:themeColor="text1"/>
                <w:kern w:val="2"/>
                <w:sz w:val="24"/>
                <w:szCs w:val="24"/>
                <w:highlight w:val="none"/>
                <w:lang w:val="en-US" w:eastAsia="zh-CN" w:bidi="ar-SA"/>
                <w14:textFill>
                  <w14:solidFill>
                    <w14:schemeClr w14:val="tx1"/>
                  </w14:solidFill>
                </w14:textFill>
              </w:rPr>
              <w:t>，产品工艺、产能不变化。</w:t>
            </w:r>
          </w:p>
          <w:p w14:paraId="0194BC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cs="Times New Roman"/>
                <w:color w:val="000000" w:themeColor="text1"/>
                <w:kern w:val="2"/>
                <w:sz w:val="24"/>
                <w:szCs w:val="24"/>
                <w:highlight w:val="none"/>
                <w:lang w:val="en-US" w:eastAsia="zh-CN" w:bidi="ar-SA"/>
                <w14:textFill>
                  <w14:solidFill>
                    <w14:schemeClr w14:val="tx1"/>
                  </w14:solidFill>
                </w14:textFill>
              </w:rPr>
            </w:pPr>
            <w:r>
              <w:rPr>
                <w:rFonts w:hint="eastAsia" w:cs="Times New Roman"/>
                <w:color w:val="000000" w:themeColor="text1"/>
                <w:kern w:val="2"/>
                <w:sz w:val="24"/>
                <w:szCs w:val="24"/>
                <w:highlight w:val="none"/>
                <w:lang w:val="en-US" w:eastAsia="zh-CN" w:bidi="ar-SA"/>
                <w14:textFill>
                  <w14:solidFill>
                    <w14:schemeClr w14:val="tx1"/>
                  </w14:solidFill>
                </w14:textFill>
              </w:rPr>
              <w:t>2022年</w:t>
            </w:r>
            <w:r>
              <w:rPr>
                <w:rFonts w:hint="eastAsia" w:eastAsia="宋体" w:cs="Times New Roman"/>
                <w:color w:val="000000" w:themeColor="text1"/>
                <w:kern w:val="2"/>
                <w:sz w:val="24"/>
                <w:szCs w:val="24"/>
                <w:highlight w:val="none"/>
                <w:lang w:val="en-US" w:eastAsia="zh-CN" w:bidi="ar-SA"/>
                <w14:textFill>
                  <w14:solidFill>
                    <w14:schemeClr w14:val="tx1"/>
                  </w14:solidFill>
                </w14:textFill>
              </w:rPr>
              <w:t>本企业</w:t>
            </w:r>
            <w:r>
              <w:rPr>
                <w:rFonts w:hint="eastAsia" w:cs="Times New Roman"/>
                <w:color w:val="000000" w:themeColor="text1"/>
                <w:kern w:val="2"/>
                <w:sz w:val="24"/>
                <w:szCs w:val="24"/>
                <w:highlight w:val="none"/>
                <w:lang w:val="en-US" w:eastAsia="zh-CN" w:bidi="ar-SA"/>
                <w14:textFill>
                  <w14:solidFill>
                    <w14:schemeClr w14:val="tx1"/>
                  </w14:solidFill>
                </w14:textFill>
              </w:rPr>
              <w:t>拆除原有1台15t/h的燃气锅炉，保留1台15t/h的燃气锅炉作为备用锅炉，新建1台10t/h配备低氮燃烧器的燃气锅炉和1台6t/h的燃气锅炉，其中10t/h燃气锅炉作为常用锅炉。原有综合制剂车间进行改造，对原工程的三条生产线的产品进行种类及生产规模的调整，调整后的产能为胶囊剂为4亿粒/a、片剂为2亿片/a、颗粒剂为5亿袋/a，调整后的产品种类详见现有项目产品方案情况。</w:t>
            </w:r>
          </w:p>
          <w:p w14:paraId="27D846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cs="Times New Roman"/>
                <w:color w:val="000000" w:themeColor="text1"/>
                <w:kern w:val="2"/>
                <w:sz w:val="24"/>
                <w:szCs w:val="24"/>
                <w:highlight w:val="none"/>
                <w:lang w:val="en-US" w:eastAsia="zh-CN" w:bidi="ar-SA"/>
                <w14:textFill>
                  <w14:solidFill>
                    <w14:schemeClr w14:val="tx1"/>
                  </w14:solidFill>
                </w14:textFill>
              </w:rPr>
            </w:pPr>
            <w:r>
              <w:rPr>
                <w:rFonts w:hint="eastAsia" w:cs="Times New Roman"/>
                <w:color w:val="000000" w:themeColor="text1"/>
                <w:kern w:val="2"/>
                <w:sz w:val="24"/>
                <w:szCs w:val="24"/>
                <w:highlight w:val="none"/>
                <w:lang w:val="en-US" w:eastAsia="zh-CN" w:bidi="ar-SA"/>
                <w14:textFill>
                  <w14:solidFill>
                    <w14:schemeClr w14:val="tx1"/>
                  </w14:solidFill>
                </w14:textFill>
              </w:rPr>
              <w:t>2024年</w:t>
            </w:r>
            <w:r>
              <w:rPr>
                <w:rFonts w:hint="eastAsia" w:eastAsia="宋体" w:cs="Times New Roman"/>
                <w:color w:val="000000" w:themeColor="text1"/>
                <w:kern w:val="2"/>
                <w:sz w:val="24"/>
                <w:szCs w:val="24"/>
                <w:highlight w:val="none"/>
                <w:lang w:val="en-US" w:eastAsia="zh-CN" w:bidi="ar-SA"/>
                <w14:textFill>
                  <w14:solidFill>
                    <w14:schemeClr w14:val="tx1"/>
                  </w14:solidFill>
                </w14:textFill>
              </w:rPr>
              <w:t>本企业</w:t>
            </w:r>
            <w:r>
              <w:rPr>
                <w:rFonts w:hint="eastAsia" w:cs="Times New Roman"/>
                <w:color w:val="000000" w:themeColor="text1"/>
                <w:kern w:val="2"/>
                <w:sz w:val="24"/>
                <w:szCs w:val="24"/>
                <w:highlight w:val="none"/>
                <w:lang w:val="en-US" w:eastAsia="zh-CN" w:bidi="ar-SA"/>
                <w14:textFill>
                  <w14:solidFill>
                    <w14:schemeClr w14:val="tx1"/>
                  </w14:solidFill>
                </w14:textFill>
              </w:rPr>
              <w:t>新建危废库1座（建筑面积80.29m</w:t>
            </w:r>
            <w:r>
              <w:rPr>
                <w:rFonts w:hint="eastAsia" w:cs="Times New Roman"/>
                <w:color w:val="000000" w:themeColor="text1"/>
                <w:kern w:val="2"/>
                <w:sz w:val="24"/>
                <w:szCs w:val="24"/>
                <w:highlight w:val="none"/>
                <w:vertAlign w:val="superscript"/>
                <w:lang w:val="en-US" w:eastAsia="zh-CN" w:bidi="ar-SA"/>
                <w14:textFill>
                  <w14:solidFill>
                    <w14:schemeClr w14:val="tx1"/>
                  </w14:solidFill>
                </w14:textFill>
              </w:rPr>
              <w:t>2</w:t>
            </w:r>
            <w:r>
              <w:rPr>
                <w:rFonts w:hint="eastAsia" w:cs="Times New Roman"/>
                <w:color w:val="000000" w:themeColor="text1"/>
                <w:kern w:val="2"/>
                <w:sz w:val="24"/>
                <w:szCs w:val="24"/>
                <w:highlight w:val="none"/>
                <w:lang w:val="en-US" w:eastAsia="zh-CN" w:bidi="ar-SA"/>
                <w14:textFill>
                  <w14:solidFill>
                    <w14:schemeClr w14:val="tx1"/>
                  </w14:solidFill>
                </w14:textFill>
              </w:rPr>
              <w:t>），地埋式乙醇储罐2座及其配套泵房（泵房建筑面积10.8m</w:t>
            </w:r>
            <w:r>
              <w:rPr>
                <w:rFonts w:hint="eastAsia" w:cs="Times New Roman"/>
                <w:color w:val="000000" w:themeColor="text1"/>
                <w:kern w:val="2"/>
                <w:sz w:val="24"/>
                <w:szCs w:val="24"/>
                <w:highlight w:val="none"/>
                <w:vertAlign w:val="superscript"/>
                <w:lang w:val="en-US" w:eastAsia="zh-CN" w:bidi="ar-SA"/>
                <w14:textFill>
                  <w14:solidFill>
                    <w14:schemeClr w14:val="tx1"/>
                  </w14:solidFill>
                </w14:textFill>
              </w:rPr>
              <w:t>2</w:t>
            </w:r>
            <w:r>
              <w:rPr>
                <w:rFonts w:hint="eastAsia" w:cs="Times New Roman"/>
                <w:color w:val="000000" w:themeColor="text1"/>
                <w:kern w:val="2"/>
                <w:sz w:val="24"/>
                <w:szCs w:val="24"/>
                <w:highlight w:val="none"/>
                <w:lang w:val="en-US" w:eastAsia="zh-CN" w:bidi="ar-SA"/>
                <w14:textFill>
                  <w14:solidFill>
                    <w14:schemeClr w14:val="tx1"/>
                  </w14:solidFill>
                </w14:textFill>
              </w:rPr>
              <w:t>），改造原有闲置库房为片碱库1座（建筑面积50m</w:t>
            </w:r>
            <w:r>
              <w:rPr>
                <w:rFonts w:hint="eastAsia" w:cs="Times New Roman"/>
                <w:color w:val="000000" w:themeColor="text1"/>
                <w:kern w:val="2"/>
                <w:sz w:val="24"/>
                <w:szCs w:val="24"/>
                <w:highlight w:val="none"/>
                <w:vertAlign w:val="superscript"/>
                <w:lang w:val="en-US" w:eastAsia="zh-CN" w:bidi="ar-SA"/>
                <w14:textFill>
                  <w14:solidFill>
                    <w14:schemeClr w14:val="tx1"/>
                  </w14:solidFill>
                </w14:textFill>
              </w:rPr>
              <w:t>2</w:t>
            </w:r>
            <w:r>
              <w:rPr>
                <w:rFonts w:hint="eastAsia" w:cs="Times New Roman"/>
                <w:color w:val="000000" w:themeColor="text1"/>
                <w:kern w:val="2"/>
                <w:sz w:val="24"/>
                <w:szCs w:val="24"/>
                <w:highlight w:val="none"/>
                <w:lang w:val="en-US" w:eastAsia="zh-CN" w:bidi="ar-SA"/>
                <w14:textFill>
                  <w14:solidFill>
                    <w14:schemeClr w14:val="tx1"/>
                  </w14:solidFill>
                </w14:textFill>
              </w:rPr>
              <w:t>），产品种类和产能不变。</w:t>
            </w:r>
          </w:p>
          <w:p w14:paraId="5DDD0216">
            <w:pPr>
              <w:keepNext w:val="0"/>
              <w:keepLines w:val="0"/>
              <w:pageBreakBefore w:val="0"/>
              <w:widowControl/>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cs="Times New Roman"/>
                <w:color w:val="000000" w:themeColor="text1"/>
                <w:kern w:val="2"/>
                <w:sz w:val="24"/>
                <w:szCs w:val="24"/>
                <w:highlight w:val="none"/>
                <w:lang w:val="en-US" w:eastAsia="zh-CN" w:bidi="ar-SA"/>
                <w14:textFill>
                  <w14:solidFill>
                    <w14:schemeClr w14:val="tx1"/>
                  </w14:solidFill>
                </w14:textFill>
              </w:rPr>
            </w:pPr>
            <w:r>
              <w:rPr>
                <w:rFonts w:hint="eastAsia" w:cs="Times New Roman"/>
                <w:color w:val="000000" w:themeColor="text1"/>
                <w:kern w:val="2"/>
                <w:sz w:val="24"/>
                <w:szCs w:val="24"/>
                <w:highlight w:val="none"/>
                <w:lang w:val="en-US" w:eastAsia="zh-CN" w:bidi="ar-SA"/>
                <w14:textFill>
                  <w14:solidFill>
                    <w14:schemeClr w14:val="tx1"/>
                  </w14:solidFill>
                </w14:textFill>
              </w:rPr>
              <w:t>现企业为适应市场发展需要，对前处理车间进行改建，使</w:t>
            </w:r>
            <w:r>
              <w:rPr>
                <w:rFonts w:hint="eastAsia" w:ascii="Times New Roman" w:hAnsi="Times New Roman" w:cs="Times New Roman"/>
                <w:color w:val="000000" w:themeColor="text1"/>
                <w:kern w:val="0"/>
                <w:sz w:val="24"/>
                <w:szCs w:val="24"/>
                <w:highlight w:val="none"/>
                <w:u w:val="none"/>
                <w:lang w:val="en-US" w:eastAsia="zh-CN"/>
                <w14:textFill>
                  <w14:solidFill>
                    <w14:schemeClr w14:val="tx1"/>
                  </w14:solidFill>
                </w14:textFill>
              </w:rPr>
              <w:t>前处理车间初步具备拣选、净制、润制、蒸制、切制、炒制、压扁、捣碎、搓碎、破碎、粉碎、去壳等中药炮制和前处理能力</w:t>
            </w:r>
            <w:r>
              <w:rPr>
                <w:rFonts w:hint="eastAsia" w:cs="Times New Roman"/>
                <w:color w:val="000000" w:themeColor="text1"/>
                <w:kern w:val="0"/>
                <w:sz w:val="24"/>
                <w:szCs w:val="24"/>
                <w:highlight w:val="none"/>
                <w:u w:val="none"/>
                <w:lang w:val="en-US" w:eastAsia="zh-CN"/>
                <w14:textFill>
                  <w14:solidFill>
                    <w14:schemeClr w14:val="tx1"/>
                  </w14:solidFill>
                </w14:textFill>
              </w:rPr>
              <w:t>，增加药材炮制产品：经典配方1产量为28.5t/a、经典配方2产量为28.5t/a、经典配方3产量为28.5t/a、经典配方4产量为28.5t/a、经典配方5产量为28.5t/a，总产量为142.5t/a，新增前处理炮制废气排放口1（DA002）和前处理炮制废气排放口2（DA016）；企业</w:t>
            </w:r>
            <w:r>
              <w:rPr>
                <w:rFonts w:hint="eastAsia" w:cs="Times New Roman"/>
                <w:color w:val="000000" w:themeColor="text1"/>
                <w:kern w:val="2"/>
                <w:sz w:val="24"/>
                <w:szCs w:val="24"/>
                <w:highlight w:val="none"/>
                <w:lang w:val="en-US" w:eastAsia="zh-CN" w:bidi="ar-SA"/>
                <w14:textFill>
                  <w14:solidFill>
                    <w14:schemeClr w14:val="tx1"/>
                  </w14:solidFill>
                </w14:textFill>
              </w:rPr>
              <w:t>通过对</w:t>
            </w:r>
            <w:r>
              <w:rPr>
                <w:rFonts w:hint="eastAsia" w:cs="Times New Roman"/>
                <w:color w:val="000000" w:themeColor="text1"/>
                <w:kern w:val="0"/>
                <w:sz w:val="24"/>
                <w:szCs w:val="24"/>
                <w:highlight w:val="none"/>
                <w:u w:val="none"/>
                <w:lang w:val="en-US" w:eastAsia="zh-CN"/>
                <w14:textFill>
                  <w14:solidFill>
                    <w14:schemeClr w14:val="tx1"/>
                  </w14:solidFill>
                </w14:textFill>
              </w:rPr>
              <w:t>提取车间和综合制剂车间的</w:t>
            </w:r>
            <w:r>
              <w:rPr>
                <w:rFonts w:hint="eastAsia" w:cs="Times New Roman"/>
                <w:color w:val="000000" w:themeColor="text1"/>
                <w:kern w:val="2"/>
                <w:sz w:val="24"/>
                <w:szCs w:val="24"/>
                <w:highlight w:val="none"/>
                <w:lang w:val="en-US" w:eastAsia="zh-CN" w:bidi="ar-SA"/>
                <w14:textFill>
                  <w14:solidFill>
                    <w14:schemeClr w14:val="tx1"/>
                  </w14:solidFill>
                </w14:textFill>
              </w:rPr>
              <w:t>设备产能提升和优化非工艺时间增加片剂和胶囊剂产品产能，片剂增加4亿片/a、胶囊剂增加1亿粒/a</w:t>
            </w:r>
            <w:r>
              <w:rPr>
                <w:rFonts w:hint="eastAsia" w:cs="Times New Roman"/>
                <w:color w:val="000000" w:themeColor="text1"/>
                <w:kern w:val="0"/>
                <w:sz w:val="24"/>
                <w:szCs w:val="24"/>
                <w:highlight w:val="none"/>
                <w:u w:val="none"/>
                <w:lang w:val="en-US" w:eastAsia="zh-CN"/>
                <w14:textFill>
                  <w14:solidFill>
                    <w14:schemeClr w14:val="tx1"/>
                  </w14:solidFill>
                </w14:textFill>
              </w:rPr>
              <w:t>，并对综合制剂车间现有9个制剂废气排气筒（DA005~DA013）进行改建为8个排气筒（DA006~DA013），排气筒高度不低于15m；</w:t>
            </w:r>
            <w:r>
              <w:rPr>
                <w:rFonts w:hint="eastAsia" w:ascii="Times New Roman" w:hAnsi="Times New Roman" w:cs="Times New Roman"/>
                <w:color w:val="000000" w:themeColor="text1"/>
                <w:kern w:val="0"/>
                <w:sz w:val="24"/>
                <w:szCs w:val="24"/>
                <w:highlight w:val="none"/>
                <w:u w:val="none"/>
                <w:lang w:val="en-US" w:eastAsia="zh-CN"/>
                <w14:textFill>
                  <w14:solidFill>
                    <w14:schemeClr w14:val="tx1"/>
                  </w14:solidFill>
                </w14:textFill>
              </w:rPr>
              <w:t>同时在综合制剂车间二层新建创新制剂车间</w:t>
            </w:r>
            <w:r>
              <w:rPr>
                <w:rFonts w:hint="eastAsia" w:cs="Times New Roman"/>
                <w:color w:val="000000" w:themeColor="text1"/>
                <w:kern w:val="0"/>
                <w:sz w:val="24"/>
                <w:szCs w:val="24"/>
                <w:highlight w:val="none"/>
                <w:u w:val="none"/>
                <w:lang w:val="en-US" w:eastAsia="zh-CN"/>
                <w14:textFill>
                  <w14:solidFill>
                    <w14:schemeClr w14:val="tx1"/>
                  </w14:solidFill>
                </w14:textFill>
              </w:rPr>
              <w:t>和创新制剂废气排放口（DA005），</w:t>
            </w:r>
            <w:r>
              <w:rPr>
                <w:rFonts w:hint="eastAsia" w:ascii="Times New Roman" w:hAnsi="Times New Roman" w:cs="Times New Roman"/>
                <w:color w:val="000000" w:themeColor="text1"/>
                <w:kern w:val="0"/>
                <w:sz w:val="24"/>
                <w:szCs w:val="24"/>
                <w:highlight w:val="none"/>
                <w:u w:val="none"/>
                <w:lang w:val="en-US" w:eastAsia="zh-CN"/>
                <w14:textFill>
                  <w14:solidFill>
                    <w14:schemeClr w14:val="tx1"/>
                  </w14:solidFill>
                </w14:textFill>
              </w:rPr>
              <w:t>负责创新品种的研发与产业化转化、内制剂开发与产业化转化、经典名方的研发与生产、小品种的柔性生产与培育等</w:t>
            </w:r>
            <w:r>
              <w:rPr>
                <w:rFonts w:hint="eastAsia" w:cs="Times New Roman"/>
                <w:color w:val="000000" w:themeColor="text1"/>
                <w:kern w:val="0"/>
                <w:sz w:val="24"/>
                <w:szCs w:val="24"/>
                <w:highlight w:val="none"/>
                <w:u w:val="none"/>
                <w:lang w:val="en-US" w:eastAsia="zh-CN"/>
                <w14:textFill>
                  <w14:solidFill>
                    <w14:schemeClr w14:val="tx1"/>
                  </w14:solidFill>
                </w14:textFill>
              </w:rPr>
              <w:t>，总产能10.5t/a</w:t>
            </w:r>
            <w:r>
              <w:rPr>
                <w:rFonts w:hint="eastAsia"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cs="Times New Roman"/>
                <w:color w:val="000000" w:themeColor="text1"/>
                <w:kern w:val="0"/>
                <w:sz w:val="24"/>
                <w:szCs w:val="24"/>
                <w:highlight w:val="none"/>
                <w:u w:val="none"/>
                <w:lang w:val="en-US" w:eastAsia="zh-CN"/>
                <w14:textFill>
                  <w14:solidFill>
                    <w14:schemeClr w14:val="tx1"/>
                  </w14:solidFill>
                </w14:textFill>
              </w:rPr>
              <w:t>新建成品库，</w:t>
            </w:r>
            <w:r>
              <w:rPr>
                <w:rFonts w:hint="eastAsia" w:cs="Times New Roman"/>
                <w:color w:val="000000" w:themeColor="text1"/>
                <w:sz w:val="24"/>
                <w:szCs w:val="24"/>
                <w:highlight w:val="none"/>
                <w:lang w:val="en-US" w:eastAsia="zh-CN"/>
                <w14:textFill>
                  <w14:solidFill>
                    <w14:schemeClr w14:val="tx1"/>
                  </w14:solidFill>
                </w14:textFill>
              </w:rPr>
              <w:t>占地面积14100m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，建筑面积13139.89m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kern w:val="2"/>
                <w:sz w:val="24"/>
                <w:szCs w:val="24"/>
                <w:highlight w:val="none"/>
                <w:lang w:val="en-US" w:eastAsia="zh-CN" w:bidi="ar-SA"/>
                <w14:textFill>
                  <w14:solidFill>
                    <w14:schemeClr w14:val="tx1"/>
                  </w14:solidFill>
                </w14:textFill>
              </w:rPr>
              <w:t>，最大贮存能力约32万件，内部配备柴油发电机组2台，用于应急供电。</w:t>
            </w:r>
          </w:p>
          <w:p w14:paraId="5FB38975">
            <w:pPr>
              <w:keepNext w:val="0"/>
              <w:keepLines w:val="0"/>
              <w:widowControl/>
              <w:numPr>
                <w:ilvl w:val="0"/>
                <w:numId w:val="4"/>
              </w:numPr>
              <w:suppressLineNumbers w:val="0"/>
              <w:adjustRightInd w:val="0"/>
              <w:snapToGrid w:val="0"/>
              <w:spacing w:before="93" w:beforeLines="30" w:beforeAutospacing="0" w:after="93" w:afterLines="30" w:afterAutospacing="0" w:line="360" w:lineRule="auto"/>
              <w:ind w:left="0" w:right="0"/>
              <w:jc w:val="left"/>
              <w:rPr>
                <w:rFonts w:hint="default"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t>编制依据</w:t>
            </w:r>
          </w:p>
          <w:p w14:paraId="240B86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cs="Times New Roman"/>
                <w:b w:val="0"/>
                <w:bCs w:val="0"/>
                <w:color w:val="000000" w:themeColor="text1"/>
                <w:kern w:val="0"/>
                <w:sz w:val="24"/>
                <w:szCs w:val="24"/>
                <w:highlight w:val="none"/>
                <w:lang w:val="en-US" w:eastAsia="zh-CN" w:bidi="en-US"/>
                <w14:textFill>
                  <w14:solidFill>
                    <w14:schemeClr w14:val="tx1"/>
                  </w14:solidFill>
                </w14:textFill>
              </w:rPr>
            </w:pPr>
            <w:r>
              <w:rPr>
                <w:rFonts w:hint="default" w:ascii="Times New Roman" w:hAnsi="Times New Roman" w:cs="Times New Roman"/>
                <w:b w:val="0"/>
                <w:bCs w:val="0"/>
                <w:color w:val="000000" w:themeColor="text1"/>
                <w:kern w:val="0"/>
                <w:sz w:val="24"/>
                <w:szCs w:val="24"/>
                <w:highlight w:val="none"/>
                <w:lang w:val="en-US" w:eastAsia="zh-CN" w:bidi="en-US"/>
                <w14:textFill>
                  <w14:solidFill>
                    <w14:schemeClr w14:val="tx1"/>
                  </w14:solidFill>
                </w14:textFill>
              </w:rPr>
              <w:t>根据《建设项目环境保护管理条例》（国务院第682号令）及《中华人民共和国生态环境法典》中有关规定，本项目需进行环境影响评价，依据生态环境部《建设项目环境影响评价分类管理名录（2021年版）》中规定，本项目属于</w:t>
            </w:r>
            <w:r>
              <w:rPr>
                <w:rFonts w:hint="eastAsia" w:cs="Times New Roman"/>
                <w:color w:val="000000" w:themeColor="text1"/>
                <w:sz w:val="24"/>
                <w:szCs w:val="24"/>
                <w:highlight w:val="none"/>
                <w:lang w:eastAsia="zh-CN"/>
                <w14:textFill>
                  <w14:solidFill>
                    <w14:schemeClr w14:val="tx1"/>
                  </w14:solidFill>
                </w14:textFill>
              </w:rPr>
              <w:t>“二十四、医药制造业27-48中成药生产274-其他”</w:t>
            </w:r>
            <w:r>
              <w:rPr>
                <w:rFonts w:hint="default" w:ascii="Times New Roman" w:hAnsi="Times New Roman" w:cs="Times New Roman"/>
                <w:b w:val="0"/>
                <w:bCs w:val="0"/>
                <w:color w:val="000000" w:themeColor="text1"/>
                <w:kern w:val="0"/>
                <w:sz w:val="24"/>
                <w:szCs w:val="24"/>
                <w:highlight w:val="none"/>
                <w:lang w:val="en-US" w:eastAsia="zh-CN" w:bidi="en-US"/>
                <w14:textFill>
                  <w14:solidFill>
                    <w14:schemeClr w14:val="tx1"/>
                  </w14:solidFill>
                </w14:textFill>
              </w:rPr>
              <w:t>，应编制环境影响评价报告表。按照《中华人民共和国生态环境法典》的有关规定，</w:t>
            </w:r>
            <w:r>
              <w:rPr>
                <w:rFonts w:hint="eastAsia" w:cs="Times New Roman"/>
                <w:color w:val="000000" w:themeColor="text1"/>
                <w:sz w:val="24"/>
                <w:szCs w:val="24"/>
                <w:highlight w:val="none"/>
                <w:lang w:val="en-US" w:eastAsia="zh-CN"/>
                <w14:textFill>
                  <w14:solidFill>
                    <w14:schemeClr w14:val="tx1"/>
                  </w14:solidFill>
                </w14:textFill>
              </w:rPr>
              <w:t>辽宁华润本溪三药有限公司</w:t>
            </w:r>
            <w:r>
              <w:rPr>
                <w:rFonts w:hint="default" w:ascii="Times New Roman" w:hAnsi="Times New Roman" w:cs="Times New Roman"/>
                <w:b w:val="0"/>
                <w:bCs w:val="0"/>
                <w:color w:val="000000" w:themeColor="text1"/>
                <w:kern w:val="0"/>
                <w:sz w:val="24"/>
                <w:szCs w:val="24"/>
                <w:highlight w:val="none"/>
                <w:lang w:val="en-US" w:eastAsia="zh-CN" w:bidi="en-US"/>
                <w14:textFill>
                  <w14:solidFill>
                    <w14:schemeClr w14:val="tx1"/>
                  </w14:solidFill>
                </w14:textFill>
              </w:rPr>
              <w:t>委托蓝凌（辽宁）生态环保工程有限公司开展环境影响评价工作。</w:t>
            </w:r>
          </w:p>
          <w:p w14:paraId="79358E37">
            <w:pPr>
              <w:keepNext w:val="0"/>
              <w:keepLines w:val="0"/>
              <w:widowControl/>
              <w:suppressLineNumbers w:val="0"/>
              <w:adjustRightInd w:val="0"/>
              <w:snapToGrid w:val="0"/>
              <w:spacing w:before="93" w:beforeLines="30" w:beforeAutospacing="0" w:after="93" w:afterLines="30" w:afterAutospacing="0" w:line="360" w:lineRule="auto"/>
              <w:ind w:left="0" w:right="0"/>
              <w:jc w:val="left"/>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t>3</w:t>
            </w:r>
            <w:r>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t>、建设内容</w:t>
            </w:r>
          </w:p>
          <w:p w14:paraId="1C8C1E9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000000" w:themeColor="text1"/>
                <w:kern w:val="0"/>
                <w:sz w:val="24"/>
                <w:szCs w:val="24"/>
                <w:highlight w:val="none"/>
                <w:lang w:val="en-US" w:eastAsia="zh-CN" w:bidi="en-US"/>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3.1</w:t>
            </w:r>
            <w:r>
              <w:rPr>
                <w:rFonts w:hint="default" w:ascii="Times New Roman" w:hAnsi="Times New Roman" w:eastAsia="宋体" w:cs="Times New Roman"/>
                <w:b/>
                <w:bCs/>
                <w:color w:val="000000" w:themeColor="text1"/>
                <w:kern w:val="0"/>
                <w:sz w:val="24"/>
                <w:szCs w:val="24"/>
                <w:highlight w:val="none"/>
                <w:lang w:val="en-US" w:eastAsia="zh-CN" w:bidi="en-US"/>
                <w14:textFill>
                  <w14:solidFill>
                    <w14:schemeClr w14:val="tx1"/>
                  </w14:solidFill>
                </w14:textFill>
              </w:rPr>
              <w:t>基本情况</w:t>
            </w:r>
          </w:p>
          <w:p w14:paraId="42F3C9E8">
            <w:pPr>
              <w:keepNext w:val="0"/>
              <w:keepLines w:val="0"/>
              <w:suppressLineNumbers w:val="0"/>
              <w:wordWrap/>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（1）项</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目名称：</w:t>
            </w:r>
            <w:r>
              <w:rPr>
                <w:rFonts w:hint="eastAsia" w:cs="Times New Roman"/>
                <w:color w:val="000000" w:themeColor="text1"/>
                <w:kern w:val="0"/>
                <w:sz w:val="24"/>
                <w:szCs w:val="24"/>
                <w:highlight w:val="none"/>
                <w:lang w:eastAsia="zh-CN" w:bidi="en-US"/>
                <w14:textFill>
                  <w14:solidFill>
                    <w14:schemeClr w14:val="tx1"/>
                  </w14:solidFill>
                </w14:textFill>
              </w:rPr>
              <w:t>辽宁华润本溪三药有限公司改扩建项目</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4E976C61">
            <w:pPr>
              <w:keepNext w:val="0"/>
              <w:keepLines w:val="0"/>
              <w:suppressLineNumbers w:val="0"/>
              <w:wordWrap/>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（2）建设单位：</w:t>
            </w:r>
            <w:r>
              <w:rPr>
                <w:rFonts w:hint="eastAsia" w:cs="Times New Roman"/>
                <w:color w:val="000000" w:themeColor="text1"/>
                <w:kern w:val="0"/>
                <w:sz w:val="24"/>
                <w:szCs w:val="24"/>
                <w:highlight w:val="none"/>
                <w:lang w:eastAsia="zh-CN" w:bidi="en-US"/>
                <w14:textFill>
                  <w14:solidFill>
                    <w14:schemeClr w14:val="tx1"/>
                  </w14:solidFill>
                </w14:textFill>
              </w:rPr>
              <w:t>辽宁华润本溪三药有限公司</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41A49DFB">
            <w:pPr>
              <w:keepNext w:val="0"/>
              <w:keepLines w:val="0"/>
              <w:suppressLineNumbers w:val="0"/>
              <w:wordWrap/>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（3）建设地点：</w:t>
            </w:r>
            <w:r>
              <w:rPr>
                <w:rFonts w:hint="eastAsia" w:cs="Times New Roman"/>
                <w:color w:val="000000" w:themeColor="text1"/>
                <w:sz w:val="24"/>
                <w:szCs w:val="24"/>
                <w:highlight w:val="none"/>
                <w:lang w:val="en-US" w:eastAsia="zh-CN"/>
                <w14:textFill>
                  <w14:solidFill>
                    <w14:schemeClr w14:val="tx1"/>
                  </w14:solidFill>
                </w14:textFill>
              </w:rPr>
              <w:t>辽宁省本溪经济技术开发区医药园区</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（地理位置图见附图</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5A197AA3">
            <w:pPr>
              <w:keepNext w:val="0"/>
              <w:keepLines w:val="0"/>
              <w:suppressLineNumbers w:val="0"/>
              <w:wordWrap/>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（4）建设性质：</w:t>
            </w:r>
            <w:r>
              <w:rPr>
                <w:rFonts w:hint="eastAsia" w:cs="Times New Roman"/>
                <w:color w:val="000000" w:themeColor="text1"/>
                <w:sz w:val="24"/>
                <w:szCs w:val="24"/>
                <w:highlight w:val="none"/>
                <w:lang w:val="en-US" w:eastAsia="zh-CN"/>
                <w14:textFill>
                  <w14:solidFill>
                    <w14:schemeClr w14:val="tx1"/>
                  </w14:solidFill>
                </w14:textFill>
              </w:rPr>
              <w:t>改扩建</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7A60CDE8">
            <w:pPr>
              <w:keepNext w:val="0"/>
              <w:keepLines w:val="0"/>
              <w:widowControl/>
              <w:suppressLineNumbers w:val="0"/>
              <w:wordWrap/>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000000" w:themeColor="text1"/>
                <w:kern w:val="0"/>
                <w:sz w:val="24"/>
                <w:szCs w:val="24"/>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（5）项目投资：总投资</w:t>
            </w:r>
            <w:r>
              <w:rPr>
                <w:rFonts w:hint="eastAsia" w:cs="Times New Roman"/>
                <w:color w:val="000000" w:themeColor="text1"/>
                <w:kern w:val="0"/>
                <w:sz w:val="24"/>
                <w:szCs w:val="24"/>
                <w:highlight w:val="none"/>
                <w:lang w:val="en-US" w:eastAsia="zh-CN"/>
                <w14:textFill>
                  <w14:solidFill>
                    <w14:schemeClr w14:val="tx1"/>
                  </w14:solidFill>
                </w14:textFill>
              </w:rPr>
              <w:t>193.5</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万元</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其中环保投资</w:t>
            </w:r>
            <w:r>
              <w:rPr>
                <w:rFonts w:hint="eastAsia" w:cs="Times New Roman"/>
                <w:color w:val="000000" w:themeColor="text1"/>
                <w:kern w:val="0"/>
                <w:sz w:val="24"/>
                <w:szCs w:val="24"/>
                <w:highlight w:val="none"/>
                <w:lang w:val="en-US" w:eastAsia="zh-CN"/>
                <w14:textFill>
                  <w14:solidFill>
                    <w14:schemeClr w14:val="tx1"/>
                  </w14:solidFill>
                </w14:textFill>
              </w:rPr>
              <w:t>16.2</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万</w:t>
            </w:r>
            <w:r>
              <w:rPr>
                <w:rFonts w:hint="eastAsia"/>
                <w:color w:val="000000" w:themeColor="text1"/>
                <w:highlight w:val="none"/>
                <w:lang w:val="en-US" w:eastAsia="zh-CN"/>
                <w14:textFill>
                  <w14:solidFill>
                    <w14:schemeClr w14:val="tx1"/>
                  </w14:solidFill>
                </w14:textFill>
              </w:rPr>
              <w:t>元</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w:t>
            </w:r>
          </w:p>
          <w:p w14:paraId="18634D9F">
            <w:pPr>
              <w:keepNext w:val="0"/>
              <w:keepLines w:val="0"/>
              <w:widowControl/>
              <w:suppressLineNumbers w:val="0"/>
              <w:wordWrap/>
              <w:adjustRightInd/>
              <w:snapToGrid/>
              <w:spacing w:before="0" w:beforeAutospacing="0" w:after="0" w:afterAutospacing="0" w:line="360" w:lineRule="auto"/>
              <w:ind w:left="0" w:right="0" w:firstLine="480" w:firstLineChars="200"/>
              <w:jc w:val="left"/>
              <w:textAlignment w:val="auto"/>
              <w:rPr>
                <w:rFonts w:hint="eastAsia" w:ascii="Times New Roman" w:hAnsi="Times New Roman" w:cs="Times New Roman"/>
                <w:b w:val="0"/>
                <w:bCs w:val="0"/>
                <w:color w:val="000000" w:themeColor="text1"/>
                <w:kern w:val="0"/>
                <w:sz w:val="24"/>
                <w:szCs w:val="24"/>
                <w:highlight w:val="none"/>
                <w:lang w:val="en-US" w:eastAsia="zh-CN" w:bidi="en-US"/>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（6）占地面积：</w:t>
            </w:r>
            <w:r>
              <w:rPr>
                <w:rFonts w:hint="eastAsia" w:cs="Times New Roman"/>
                <w:color w:val="000000" w:themeColor="text1"/>
                <w:sz w:val="24"/>
                <w:szCs w:val="24"/>
                <w:highlight w:val="none"/>
                <w:lang w:val="en-US" w:eastAsia="zh-CN"/>
                <w14:textFill>
                  <w14:solidFill>
                    <w14:schemeClr w14:val="tx1"/>
                  </w14:solidFill>
                </w14:textFill>
              </w:rPr>
              <w:t>现有厂区</w:t>
            </w:r>
            <w:r>
              <w:rPr>
                <w:rFonts w:hint="eastAsia" w:cs="Times New Roman"/>
                <w:b w:val="0"/>
                <w:bCs w:val="0"/>
                <w:color w:val="000000" w:themeColor="text1"/>
                <w:kern w:val="0"/>
                <w:sz w:val="24"/>
                <w:szCs w:val="24"/>
                <w:highlight w:val="none"/>
                <w:lang w:val="en-US" w:eastAsia="zh-CN" w:bidi="en-US"/>
                <w14:textFill>
                  <w14:solidFill>
                    <w14:schemeClr w14:val="tx1"/>
                  </w14:solidFill>
                </w14:textFill>
              </w:rPr>
              <w:t>占地面积</w:t>
            </w:r>
            <w:r>
              <w:rPr>
                <w:rFonts w:hint="eastAsia" w:cs="Times New Roman"/>
                <w:color w:val="000000" w:themeColor="text1"/>
                <w:sz w:val="24"/>
                <w:szCs w:val="24"/>
                <w:highlight w:val="none"/>
                <w:lang w:val="en-US" w:eastAsia="zh-CN"/>
                <w14:textFill>
                  <w14:solidFill>
                    <w14:schemeClr w14:val="tx1"/>
                  </w14:solidFill>
                </w14:textFill>
              </w:rPr>
              <w:t>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113177.50</w:t>
            </w:r>
            <w:r>
              <w:rPr>
                <w:rFonts w:hint="eastAsia" w:cs="Times New Roman"/>
                <w:color w:val="000000" w:themeColor="text1"/>
                <w:sz w:val="24"/>
                <w:szCs w:val="24"/>
                <w:highlight w:val="none"/>
                <w:lang w:val="en-US" w:eastAsia="zh-CN"/>
                <w14:textFill>
                  <w14:solidFill>
                    <w14:schemeClr w14:val="tx1"/>
                  </w14:solidFill>
                </w14:textFill>
              </w:rPr>
              <w:t>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b w:val="0"/>
                <w:bCs w:val="0"/>
                <w:color w:val="000000" w:themeColor="text1"/>
                <w:kern w:val="0"/>
                <w:sz w:val="24"/>
                <w:szCs w:val="24"/>
                <w:highlight w:val="none"/>
                <w:lang w:val="en-US" w:eastAsia="zh-CN" w:bidi="en-US"/>
                <w14:textFill>
                  <w14:solidFill>
                    <w14:schemeClr w14:val="tx1"/>
                  </w14:solidFill>
                </w14:textFill>
              </w:rPr>
              <w:t>，本项目新增占地面积为</w:t>
            </w:r>
            <w:r>
              <w:rPr>
                <w:rFonts w:hint="eastAsia" w:cs="Times New Roman"/>
                <w:color w:val="000000" w:themeColor="text1"/>
                <w:sz w:val="24"/>
                <w:szCs w:val="24"/>
                <w:highlight w:val="none"/>
                <w:lang w:val="en-US" w:eastAsia="zh-CN"/>
                <w14:textFill>
                  <w14:solidFill>
                    <w14:schemeClr w14:val="tx1"/>
                  </w14:solidFill>
                </w14:textFill>
              </w:rPr>
              <w:t>6996.72m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，共计占地面积为120174.22m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cs="Times New Roman"/>
                <w:color w:val="000000" w:themeColor="text1"/>
                <w:sz w:val="24"/>
                <w:szCs w:val="24"/>
                <w:highlight w:val="none"/>
                <w:vertAlign w:val="baseline"/>
                <w:lang w:val="en-US" w:eastAsia="zh-CN"/>
                <w14:textFill>
                  <w14:solidFill>
                    <w14:schemeClr w14:val="tx1"/>
                  </w14:solidFill>
                </w14:textFill>
              </w:rPr>
              <w:t>。</w:t>
            </w:r>
          </w:p>
          <w:p w14:paraId="26D1C62C">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3.</w:t>
            </w:r>
            <w:r>
              <w:rPr>
                <w:rFonts w:hint="eastAsia" w:cs="Times New Roman"/>
                <w:b/>
                <w:bCs/>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项目组成</w:t>
            </w:r>
          </w:p>
          <w:p w14:paraId="1691628F">
            <w:pPr>
              <w:keepNext w:val="0"/>
              <w:keepLines w:val="0"/>
              <w:widowControl/>
              <w:suppressLineNumbers w:val="0"/>
              <w:adjustRightInd w:val="0"/>
              <w:snapToGrid w:val="0"/>
              <w:spacing w:before="0" w:beforeAutospacing="0" w:after="0" w:afterAutospacing="0" w:line="360" w:lineRule="auto"/>
              <w:ind w:left="0" w:right="0" w:firstLine="480" w:firstLineChars="200"/>
              <w:jc w:val="left"/>
              <w:rPr>
                <w:rFonts w:hint="default" w:ascii="Times New Roman" w:hAnsi="Times New Roman" w:cs="Times New Roman"/>
                <w:color w:val="000000" w:themeColor="text1"/>
                <w:kern w:val="0"/>
                <w:sz w:val="24"/>
                <w:szCs w:val="24"/>
                <w:highlight w:val="none"/>
                <w:lang w:eastAsia="zh-CN" w:bidi="en-US"/>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本项目工程主要由主体工程、辅助工程</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储运工程</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lang w:bidi="ar"/>
                <w14:textFill>
                  <w14:solidFill>
                    <w14:schemeClr w14:val="tx1"/>
                  </w14:solidFill>
                </w14:textFill>
              </w:rPr>
              <w:t>公用工程</w:t>
            </w:r>
            <w:r>
              <w:rPr>
                <w:rFonts w:hint="default" w:ascii="Times New Roman" w:hAnsi="Times New Roman" w:cs="Times New Roman"/>
                <w:color w:val="000000" w:themeColor="text1"/>
                <w:sz w:val="24"/>
                <w:szCs w:val="24"/>
                <w:highlight w:val="none"/>
                <w14:textFill>
                  <w14:solidFill>
                    <w14:schemeClr w14:val="tx1"/>
                  </w14:solidFill>
                </w14:textFill>
              </w:rPr>
              <w:t>和环保工程组成，</w:t>
            </w:r>
            <w:r>
              <w:rPr>
                <w:rFonts w:hint="default" w:ascii="Times New Roman" w:hAnsi="Times New Roman" w:cs="Times New Roman"/>
                <w:color w:val="000000" w:themeColor="text1"/>
                <w:kern w:val="0"/>
                <w:sz w:val="24"/>
                <w:szCs w:val="24"/>
                <w:highlight w:val="none"/>
                <w:lang w:bidi="en-US"/>
                <w14:textFill>
                  <w14:solidFill>
                    <w14:schemeClr w14:val="tx1"/>
                  </w14:solidFill>
                </w14:textFill>
              </w:rPr>
              <w:t>主要建设内容见</w:t>
            </w:r>
            <w:r>
              <w:rPr>
                <w:rFonts w:hint="default" w:ascii="Times New Roman" w:hAnsi="Times New Roman" w:cs="Times New Roman"/>
                <w:color w:val="000000" w:themeColor="text1"/>
                <w:kern w:val="0"/>
                <w:sz w:val="24"/>
                <w:szCs w:val="24"/>
                <w:highlight w:val="none"/>
                <w:lang w:val="en-US" w:eastAsia="zh-CN" w:bidi="en-US"/>
                <w14:textFill>
                  <w14:solidFill>
                    <w14:schemeClr w14:val="tx1"/>
                  </w14:solidFill>
                </w14:textFill>
              </w:rPr>
              <w:t>下</w:t>
            </w:r>
            <w:r>
              <w:rPr>
                <w:rFonts w:hint="default" w:ascii="Times New Roman" w:hAnsi="Times New Roman" w:cs="Times New Roman"/>
                <w:color w:val="000000" w:themeColor="text1"/>
                <w:kern w:val="0"/>
                <w:sz w:val="24"/>
                <w:szCs w:val="24"/>
                <w:highlight w:val="none"/>
                <w:lang w:bidi="en-US"/>
                <w14:textFill>
                  <w14:solidFill>
                    <w14:schemeClr w14:val="tx1"/>
                  </w14:solidFill>
                </w14:textFill>
              </w:rPr>
              <w:t>表</w:t>
            </w:r>
            <w:r>
              <w:rPr>
                <w:rFonts w:hint="default" w:ascii="Times New Roman" w:hAnsi="Times New Roman" w:cs="Times New Roman"/>
                <w:color w:val="000000" w:themeColor="text1"/>
                <w:kern w:val="0"/>
                <w:sz w:val="24"/>
                <w:szCs w:val="24"/>
                <w:highlight w:val="none"/>
                <w:lang w:eastAsia="zh-CN" w:bidi="en-US"/>
                <w14:textFill>
                  <w14:solidFill>
                    <w14:schemeClr w14:val="tx1"/>
                  </w14:solidFill>
                </w14:textFill>
              </w:rPr>
              <w:t>：</w:t>
            </w:r>
          </w:p>
          <w:p w14:paraId="2E11AB28">
            <w:pPr>
              <w:keepNext w:val="0"/>
              <w:keepLines w:val="0"/>
              <w:numPr>
                <w:ilvl w:val="0"/>
                <w:numId w:val="5"/>
              </w:numPr>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宋体" w:cs="Times New Roman"/>
                <w:b/>
                <w:bCs/>
                <w:color w:val="000000" w:themeColor="text1"/>
                <w:sz w:val="21"/>
                <w:szCs w:val="21"/>
                <w:highlight w:val="none"/>
                <w:lang w:val="zh-CN" w:eastAsia="en-US"/>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zh-CN" w:eastAsia="en-US"/>
                <w14:textFill>
                  <w14:solidFill>
                    <w14:schemeClr w14:val="tx1"/>
                  </w14:solidFill>
                </w14:textFill>
              </w:rPr>
              <w:t xml:space="preserve">  </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本项目</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工程</w:t>
            </w:r>
            <w:r>
              <w:rPr>
                <w:rFonts w:hint="default" w:ascii="Times New Roman" w:hAnsi="Times New Roman" w:eastAsia="宋体" w:cs="Times New Roman"/>
                <w:b/>
                <w:bCs/>
                <w:color w:val="000000" w:themeColor="text1"/>
                <w:sz w:val="21"/>
                <w:szCs w:val="21"/>
                <w:highlight w:val="none"/>
                <w:lang w:val="zh-CN" w:eastAsia="en-US"/>
                <w14:textFill>
                  <w14:solidFill>
                    <w14:schemeClr w14:val="tx1"/>
                  </w14:solidFill>
                </w14:textFill>
              </w:rPr>
              <w:t>组成</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一览</w:t>
            </w:r>
            <w:r>
              <w:rPr>
                <w:rFonts w:hint="default" w:ascii="Times New Roman" w:hAnsi="Times New Roman" w:eastAsia="宋体" w:cs="Times New Roman"/>
                <w:b/>
                <w:bCs/>
                <w:color w:val="000000" w:themeColor="text1"/>
                <w:sz w:val="21"/>
                <w:szCs w:val="21"/>
                <w:highlight w:val="none"/>
                <w:lang w:val="zh-CN" w:eastAsia="en-US"/>
                <w14:textFill>
                  <w14:solidFill>
                    <w14:schemeClr w14:val="tx1"/>
                  </w14:solidFill>
                </w14:textFill>
              </w:rPr>
              <w:t>表</w:t>
            </w:r>
          </w:p>
          <w:tbl>
            <w:tblPr>
              <w:tblStyle w:val="35"/>
              <w:tblW w:w="4998" w:type="pct"/>
              <w:tblInd w:w="0" w:type="dxa"/>
              <w:tblBorders>
                <w:top w:val="double" w:color="000000" w:sz="4" w:space="0"/>
                <w:left w:val="none" w:color="auto" w:sz="0" w:space="0"/>
                <w:bottom w:val="double" w:color="000000" w:sz="4" w:space="0"/>
                <w:right w:val="none" w:color="auto" w:sz="0" w:space="0"/>
                <w:insideH w:val="single" w:color="000000" w:sz="4" w:space="0"/>
                <w:insideV w:val="single" w:color="000000" w:sz="8" w:space="0"/>
              </w:tblBorders>
              <w:tblLayout w:type="autofit"/>
              <w:tblCellMar>
                <w:top w:w="0" w:type="dxa"/>
                <w:left w:w="0" w:type="dxa"/>
                <w:bottom w:w="0" w:type="dxa"/>
                <w:right w:w="0" w:type="dxa"/>
              </w:tblCellMar>
            </w:tblPr>
            <w:tblGrid>
              <w:gridCol w:w="695"/>
              <w:gridCol w:w="590"/>
              <w:gridCol w:w="319"/>
              <w:gridCol w:w="1871"/>
              <w:gridCol w:w="2164"/>
              <w:gridCol w:w="2059"/>
              <w:gridCol w:w="608"/>
            </w:tblGrid>
            <w:tr w14:paraId="6E420E8E">
              <w:tblPrEx>
                <w:tblBorders>
                  <w:top w:val="double" w:color="000000" w:sz="4" w:space="0"/>
                  <w:left w:val="none" w:color="auto" w:sz="0" w:space="0"/>
                  <w:bottom w:val="double" w:color="000000" w:sz="4" w:space="0"/>
                  <w:right w:val="none" w:color="auto" w:sz="0" w:space="0"/>
                  <w:insideH w:val="single" w:color="000000" w:sz="4" w:space="0"/>
                  <w:insideV w:val="single" w:color="000000" w:sz="8" w:space="0"/>
                </w:tblBorders>
                <w:tblCellMar>
                  <w:top w:w="0" w:type="dxa"/>
                  <w:left w:w="0" w:type="dxa"/>
                  <w:bottom w:w="0" w:type="dxa"/>
                  <w:right w:w="0" w:type="dxa"/>
                </w:tblCellMar>
              </w:tblPrEx>
              <w:trPr>
                <w:trHeight w:val="340" w:hRule="atLeast"/>
              </w:trPr>
              <w:tc>
                <w:tcPr>
                  <w:tcW w:w="418" w:type="pct"/>
                  <w:tcBorders>
                    <w:tl2br w:val="nil"/>
                    <w:tr2bl w:val="nil"/>
                  </w:tcBorders>
                  <w:tcMar>
                    <w:top w:w="15" w:type="dxa"/>
                    <w:left w:w="15" w:type="dxa"/>
                    <w:right w:w="15" w:type="dxa"/>
                  </w:tcMar>
                  <w:vAlign w:val="center"/>
                </w:tcPr>
                <w:p w14:paraId="5797FB89">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lang w:bidi="ar"/>
                      <w14:textFill>
                        <w14:solidFill>
                          <w14:schemeClr w14:val="tx1"/>
                        </w14:solidFill>
                      </w14:textFill>
                    </w:rPr>
                    <w:t>工程类别</w:t>
                  </w:r>
                </w:p>
              </w:tc>
              <w:tc>
                <w:tcPr>
                  <w:tcW w:w="547" w:type="pct"/>
                  <w:gridSpan w:val="2"/>
                  <w:tcBorders>
                    <w:tl2br w:val="nil"/>
                    <w:tr2bl w:val="nil"/>
                  </w:tcBorders>
                  <w:tcMar>
                    <w:top w:w="15" w:type="dxa"/>
                    <w:left w:w="15" w:type="dxa"/>
                    <w:right w:w="15" w:type="dxa"/>
                  </w:tcMar>
                  <w:vAlign w:val="center"/>
                </w:tcPr>
                <w:p w14:paraId="4CD7023A">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lang w:bidi="ar"/>
                      <w14:textFill>
                        <w14:solidFill>
                          <w14:schemeClr w14:val="tx1"/>
                        </w14:solidFill>
                      </w14:textFill>
                    </w:rPr>
                    <w:t>工程名称</w:t>
                  </w:r>
                </w:p>
              </w:tc>
              <w:tc>
                <w:tcPr>
                  <w:tcW w:w="1126" w:type="pct"/>
                  <w:tcBorders>
                    <w:tl2br w:val="nil"/>
                    <w:tr2bl w:val="nil"/>
                  </w:tcBorders>
                  <w:tcMar>
                    <w:top w:w="15" w:type="dxa"/>
                    <w:left w:w="15" w:type="dxa"/>
                    <w:right w:w="15" w:type="dxa"/>
                  </w:tcMar>
                  <w:vAlign w:val="center"/>
                </w:tcPr>
                <w:p w14:paraId="0142DABD">
                  <w:pPr>
                    <w:keepNext w:val="0"/>
                    <w:keepLines w:val="0"/>
                    <w:pageBreakBefore w:val="0"/>
                    <w:suppressLineNumbers w:val="0"/>
                    <w:kinsoku/>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现有</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项目</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建设内容</w:t>
                  </w:r>
                </w:p>
              </w:tc>
              <w:tc>
                <w:tcPr>
                  <w:tcW w:w="1302" w:type="pct"/>
                  <w:tcBorders>
                    <w:tl2br w:val="nil"/>
                    <w:tr2bl w:val="nil"/>
                  </w:tcBorders>
                  <w:tcMar>
                    <w:top w:w="15" w:type="dxa"/>
                    <w:left w:w="15" w:type="dxa"/>
                    <w:right w:w="15" w:type="dxa"/>
                  </w:tcMar>
                  <w:vAlign w:val="center"/>
                </w:tcPr>
                <w:p w14:paraId="0AC44722">
                  <w:pPr>
                    <w:keepNext w:val="0"/>
                    <w:keepLines w:val="0"/>
                    <w:pageBreakBefore w:val="0"/>
                    <w:suppressLineNumbers w:val="0"/>
                    <w:kinsoku/>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本</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项目建设内容</w:t>
                  </w:r>
                </w:p>
              </w:tc>
              <w:tc>
                <w:tcPr>
                  <w:tcW w:w="1239" w:type="pct"/>
                  <w:tcBorders>
                    <w:tl2br w:val="nil"/>
                    <w:tr2bl w:val="nil"/>
                  </w:tcBorders>
                  <w:tcMar>
                    <w:top w:w="15" w:type="dxa"/>
                    <w:left w:w="15" w:type="dxa"/>
                    <w:right w:w="15" w:type="dxa"/>
                  </w:tcMar>
                  <w:vAlign w:val="center"/>
                </w:tcPr>
                <w:p w14:paraId="3767780F">
                  <w:pPr>
                    <w:keepNext w:val="0"/>
                    <w:keepLines w:val="0"/>
                    <w:pageBreakBefore w:val="0"/>
                    <w:suppressLineNumbers w:val="0"/>
                    <w:kinsoku/>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全厂建设内容</w:t>
                  </w:r>
                </w:p>
              </w:tc>
              <w:tc>
                <w:tcPr>
                  <w:tcW w:w="366" w:type="pct"/>
                  <w:tcBorders>
                    <w:tl2br w:val="nil"/>
                    <w:tr2bl w:val="nil"/>
                  </w:tcBorders>
                  <w:tcMar>
                    <w:top w:w="15" w:type="dxa"/>
                    <w:left w:w="15" w:type="dxa"/>
                    <w:right w:w="15" w:type="dxa"/>
                  </w:tcMar>
                  <w:vAlign w:val="center"/>
                </w:tcPr>
                <w:p w14:paraId="78DC8D69">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lang w:bidi="ar"/>
                      <w14:textFill>
                        <w14:solidFill>
                          <w14:schemeClr w14:val="tx1"/>
                        </w14:solidFill>
                      </w14:textFill>
                    </w:rPr>
                    <w:t>备注</w:t>
                  </w:r>
                </w:p>
              </w:tc>
            </w:tr>
            <w:tr w14:paraId="4591FB24">
              <w:tblPrEx>
                <w:tblBorders>
                  <w:top w:val="double" w:color="000000" w:sz="4" w:space="0"/>
                  <w:left w:val="none" w:color="auto" w:sz="0" w:space="0"/>
                  <w:bottom w:val="double" w:color="000000" w:sz="4" w:space="0"/>
                  <w:right w:val="none" w:color="auto" w:sz="0" w:space="0"/>
                  <w:insideH w:val="single" w:color="000000" w:sz="4" w:space="0"/>
                  <w:insideV w:val="single" w:color="000000" w:sz="8" w:space="0"/>
                </w:tblBorders>
                <w:tblCellMar>
                  <w:top w:w="0" w:type="dxa"/>
                  <w:left w:w="0" w:type="dxa"/>
                  <w:bottom w:w="0" w:type="dxa"/>
                  <w:right w:w="0" w:type="dxa"/>
                </w:tblCellMar>
              </w:tblPrEx>
              <w:trPr>
                <w:trHeight w:val="566" w:hRule="atLeast"/>
              </w:trPr>
              <w:tc>
                <w:tcPr>
                  <w:tcW w:w="418" w:type="pct"/>
                  <w:vMerge w:val="restart"/>
                  <w:tcBorders>
                    <w:tl2br w:val="nil"/>
                    <w:tr2bl w:val="nil"/>
                  </w:tcBorders>
                  <w:tcMar>
                    <w:top w:w="15" w:type="dxa"/>
                    <w:left w:w="15" w:type="dxa"/>
                    <w:right w:w="15" w:type="dxa"/>
                  </w:tcMar>
                  <w:vAlign w:val="center"/>
                </w:tcPr>
                <w:p w14:paraId="49C025DD">
                  <w:pPr>
                    <w:keepNext w:val="0"/>
                    <w:keepLines w:val="0"/>
                    <w:pageBreakBefore w:val="0"/>
                    <w:suppressLineNumbers w:val="0"/>
                    <w:kinsoku/>
                    <w:overflowPunct/>
                    <w:topLinePunct w:val="0"/>
                    <w:autoSpaceDE/>
                    <w:autoSpaceDN/>
                    <w:bidi w:val="0"/>
                    <w:adjustRightInd/>
                    <w:snapToGrid/>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主体工程</w:t>
                  </w:r>
                </w:p>
              </w:tc>
              <w:tc>
                <w:tcPr>
                  <w:tcW w:w="547" w:type="pct"/>
                  <w:gridSpan w:val="2"/>
                  <w:tcBorders>
                    <w:tl2br w:val="nil"/>
                    <w:tr2bl w:val="nil"/>
                  </w:tcBorders>
                  <w:tcMar>
                    <w:top w:w="15" w:type="dxa"/>
                    <w:left w:w="15" w:type="dxa"/>
                    <w:right w:w="15" w:type="dxa"/>
                  </w:tcMar>
                  <w:vAlign w:val="center"/>
                </w:tcPr>
                <w:p w14:paraId="54662C7B">
                  <w:pPr>
                    <w:keepNext w:val="0"/>
                    <w:keepLines w:val="0"/>
                    <w:pageBreakBefore w:val="0"/>
                    <w:widowControl w:val="0"/>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前处理车间</w:t>
                  </w:r>
                </w:p>
              </w:tc>
              <w:tc>
                <w:tcPr>
                  <w:tcW w:w="1126" w:type="pct"/>
                  <w:tcBorders>
                    <w:tl2br w:val="nil"/>
                    <w:tr2bl w:val="nil"/>
                  </w:tcBorders>
                  <w:tcMar>
                    <w:top w:w="15" w:type="dxa"/>
                    <w:left w:w="15" w:type="dxa"/>
                    <w:right w:w="15" w:type="dxa"/>
                  </w:tcMar>
                  <w:vAlign w:val="center"/>
                </w:tcPr>
                <w:p w14:paraId="5E94BBF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rightChars="0"/>
                    <w:jc w:val="left"/>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位于厂区</w:t>
                  </w:r>
                  <w:r>
                    <w:rPr>
                      <w:rFonts w:hint="eastAsia" w:cs="Times New Roman"/>
                      <w:color w:val="000000" w:themeColor="text1"/>
                      <w:sz w:val="21"/>
                      <w:szCs w:val="21"/>
                      <w:highlight w:val="none"/>
                      <w:lang w:val="en-US" w:eastAsia="zh-CN"/>
                      <w14:textFill>
                        <w14:solidFill>
                          <w14:schemeClr w14:val="tx1"/>
                        </w14:solidFill>
                      </w14:textFill>
                    </w:rPr>
                    <w:t>东北，3层</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，占地面积</w:t>
                  </w:r>
                  <w:r>
                    <w:rPr>
                      <w:rFonts w:hint="eastAsia" w:cs="Times New Roman"/>
                      <w:color w:val="000000" w:themeColor="text1"/>
                      <w:sz w:val="21"/>
                      <w:szCs w:val="21"/>
                      <w:highlight w:val="none"/>
                      <w:lang w:val="en-US" w:eastAsia="zh-CN"/>
                      <w14:textFill>
                        <w14:solidFill>
                          <w14:schemeClr w14:val="tx1"/>
                        </w14:solidFill>
                      </w14:textFill>
                    </w:rPr>
                    <w:t>1224</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建筑面积</w:t>
                  </w:r>
                  <w:r>
                    <w:rPr>
                      <w:rFonts w:hint="eastAsia" w:cs="Times New Roman"/>
                      <w:color w:val="000000" w:themeColor="text1"/>
                      <w:sz w:val="21"/>
                      <w:szCs w:val="21"/>
                      <w:highlight w:val="none"/>
                      <w:lang w:val="en-US" w:eastAsia="zh-CN"/>
                      <w14:textFill>
                        <w14:solidFill>
                          <w14:schemeClr w14:val="tx1"/>
                        </w14:solidFill>
                      </w14:textFill>
                    </w:rPr>
                    <w:t>3672</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。现有</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数控往复式切药机</w:t>
                  </w:r>
                  <w:r>
                    <w:rPr>
                      <w:rFonts w:hint="eastAsia"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风</w:t>
                  </w:r>
                  <w:r>
                    <w:rPr>
                      <w:rFonts w:hint="default" w:ascii="Times New Roman" w:hAnsi="Times New Roman" w:eastAsia="宋体" w:cs="Times New Roman"/>
                      <w:color w:val="000000" w:themeColor="text1"/>
                      <w:kern w:val="0"/>
                      <w:szCs w:val="21"/>
                      <w:highlight w:val="none"/>
                      <w:lang w:eastAsia="zh-TW"/>
                      <w14:textFill>
                        <w14:solidFill>
                          <w14:schemeClr w14:val="tx1"/>
                        </w14:solidFill>
                      </w14:textFill>
                    </w:rPr>
                    <w:t>循环烘箱</w:t>
                  </w:r>
                  <w:r>
                    <w:rPr>
                      <w:rFonts w:hint="eastAsia" w:cs="Times New Roman"/>
                      <w:color w:val="000000" w:themeColor="text1"/>
                      <w:sz w:val="21"/>
                      <w:szCs w:val="21"/>
                      <w:highlight w:val="none"/>
                      <w:lang w:val="en-US" w:eastAsia="zh-CN"/>
                      <w14:textFill>
                        <w14:solidFill>
                          <w14:schemeClr w14:val="tx1"/>
                        </w14:solidFill>
                      </w14:textFill>
                    </w:rPr>
                    <w:t>、粗碎机、</w:t>
                  </w: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炒药机</w:t>
                  </w:r>
                  <w:r>
                    <w:rPr>
                      <w:rFonts w:hint="eastAsia"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压扁机</w:t>
                  </w:r>
                  <w:r>
                    <w:rPr>
                      <w:rFonts w:hint="eastAsia" w:cs="Times New Roman"/>
                      <w:color w:val="000000" w:themeColor="text1"/>
                      <w:sz w:val="21"/>
                      <w:szCs w:val="21"/>
                      <w:highlight w:val="none"/>
                      <w:lang w:val="en-US" w:eastAsia="zh-CN"/>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螺杆空压机</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双螺杆空压机</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直线振动筛</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枳壳加工生产线</w:t>
                  </w:r>
                  <w:r>
                    <w:rPr>
                      <w:rFonts w:hint="eastAsia" w:cs="Times New Roman"/>
                      <w:color w:val="000000" w:themeColor="text1"/>
                      <w:sz w:val="21"/>
                      <w:szCs w:val="21"/>
                      <w:highlight w:val="none"/>
                      <w:lang w:val="en-US" w:eastAsia="zh-CN"/>
                      <w14:textFill>
                        <w14:solidFill>
                          <w14:schemeClr w14:val="tx1"/>
                        </w14:solidFill>
                      </w14:textFill>
                    </w:rPr>
                    <w:t>。处理能力为中药材1600t/a。</w:t>
                  </w:r>
                </w:p>
              </w:tc>
              <w:tc>
                <w:tcPr>
                  <w:tcW w:w="1302" w:type="pct"/>
                  <w:tcBorders>
                    <w:tl2br w:val="nil"/>
                    <w:tr2bl w:val="nil"/>
                  </w:tcBorders>
                  <w:tcMar>
                    <w:top w:w="15" w:type="dxa"/>
                    <w:left w:w="15" w:type="dxa"/>
                    <w:right w:w="15" w:type="dxa"/>
                  </w:tcMar>
                  <w:vAlign w:val="center"/>
                </w:tcPr>
                <w:p w14:paraId="5DBC2E9E">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left"/>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对前处理车间进行改造，使前处理车间初步具备拣选、净制、润制、蒸制、切制、炒制、压扁、捣碎、搓碎、破碎、粉碎、去壳等中药炮制和前处理能力</w:t>
                  </w:r>
                  <w:r>
                    <w:rPr>
                      <w:rFonts w:hint="eastAsia" w:cs="Times New Roman"/>
                      <w:color w:val="000000" w:themeColor="text1"/>
                      <w:sz w:val="21"/>
                      <w:szCs w:val="21"/>
                      <w:highlight w:val="none"/>
                      <w:lang w:val="en-US" w:eastAsia="zh-CN"/>
                      <w14:textFill>
                        <w14:solidFill>
                          <w14:schemeClr w14:val="tx1"/>
                        </w14:solidFill>
                      </w14:textFill>
                    </w:rPr>
                    <w:t>。增加药材炮制产品：经典配方1产量为28.5t/a、经典配方2产量为28.5t/a、经典配方3产量为28.5t/a、经典配方4产量为28.5t/a、经典配方5产量为28.5t/a，总产量为142.5t/a。</w:t>
                  </w:r>
                </w:p>
              </w:tc>
              <w:tc>
                <w:tcPr>
                  <w:tcW w:w="1239" w:type="pct"/>
                  <w:tcBorders>
                    <w:tl2br w:val="nil"/>
                    <w:tr2bl w:val="nil"/>
                  </w:tcBorders>
                  <w:tcMar>
                    <w:top w:w="15" w:type="dxa"/>
                    <w:left w:w="15" w:type="dxa"/>
                    <w:right w:w="15" w:type="dxa"/>
                  </w:tcMar>
                  <w:vAlign w:val="center"/>
                </w:tcPr>
                <w:p w14:paraId="6F3513B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rightChars="0"/>
                    <w:jc w:val="left"/>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位于厂区</w:t>
                  </w:r>
                  <w:r>
                    <w:rPr>
                      <w:rFonts w:hint="eastAsia" w:cs="Times New Roman"/>
                      <w:color w:val="000000" w:themeColor="text1"/>
                      <w:sz w:val="21"/>
                      <w:szCs w:val="21"/>
                      <w:highlight w:val="none"/>
                      <w:lang w:val="en-US" w:eastAsia="zh-CN"/>
                      <w14:textFill>
                        <w14:solidFill>
                          <w14:schemeClr w14:val="tx1"/>
                        </w14:solidFill>
                      </w14:textFill>
                    </w:rPr>
                    <w:t>东北，3层</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，占地面积</w:t>
                  </w:r>
                  <w:r>
                    <w:rPr>
                      <w:rFonts w:hint="eastAsia" w:cs="Times New Roman"/>
                      <w:color w:val="000000" w:themeColor="text1"/>
                      <w:sz w:val="21"/>
                      <w:szCs w:val="21"/>
                      <w:highlight w:val="none"/>
                      <w:lang w:val="en-US" w:eastAsia="zh-CN"/>
                      <w14:textFill>
                        <w14:solidFill>
                          <w14:schemeClr w14:val="tx1"/>
                        </w14:solidFill>
                      </w14:textFill>
                    </w:rPr>
                    <w:t>1224</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建筑面积</w:t>
                  </w:r>
                  <w:r>
                    <w:rPr>
                      <w:rFonts w:hint="eastAsia" w:cs="Times New Roman"/>
                      <w:color w:val="000000" w:themeColor="text1"/>
                      <w:sz w:val="21"/>
                      <w:szCs w:val="21"/>
                      <w:highlight w:val="none"/>
                      <w:lang w:val="en-US" w:eastAsia="zh-CN"/>
                      <w14:textFill>
                        <w14:solidFill>
                          <w14:schemeClr w14:val="tx1"/>
                        </w14:solidFill>
                      </w14:textFill>
                    </w:rPr>
                    <w:t>3672</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。处理能力为中药材1600t/a。</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对前处理车间进行改造，使前处理车间初步具备拣选、净制、润制、蒸制、切制、炒制、压扁、捣碎、搓碎、破碎、粉碎、去壳等中药炮制和前处理能力</w:t>
                  </w:r>
                  <w:r>
                    <w:rPr>
                      <w:rFonts w:hint="eastAsia" w:cs="Times New Roman"/>
                      <w:color w:val="000000" w:themeColor="text1"/>
                      <w:sz w:val="21"/>
                      <w:szCs w:val="21"/>
                      <w:highlight w:val="none"/>
                      <w:lang w:val="en-US" w:eastAsia="zh-CN"/>
                      <w14:textFill>
                        <w14:solidFill>
                          <w14:schemeClr w14:val="tx1"/>
                        </w14:solidFill>
                      </w14:textFill>
                    </w:rPr>
                    <w:t>。增加药材炮制产品：经典配方1产量为28.5t/a、经典配方2产量为28.5t/a、经典配方3产量为28.5t/a、经典配方4产量为28.5t/a、经典配方5产量为28.5t/a，总产量为142.5t/a。</w:t>
                  </w:r>
                </w:p>
              </w:tc>
              <w:tc>
                <w:tcPr>
                  <w:tcW w:w="366" w:type="pct"/>
                  <w:tcBorders>
                    <w:tl2br w:val="nil"/>
                    <w:tr2bl w:val="nil"/>
                  </w:tcBorders>
                  <w:tcMar>
                    <w:top w:w="15" w:type="dxa"/>
                    <w:left w:w="15" w:type="dxa"/>
                    <w:right w:w="15" w:type="dxa"/>
                  </w:tcMar>
                  <w:vAlign w:val="center"/>
                </w:tcPr>
                <w:p w14:paraId="160B15D8">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改建</w:t>
                  </w:r>
                </w:p>
              </w:tc>
            </w:tr>
            <w:tr w14:paraId="2BA8A45C">
              <w:tblPrEx>
                <w:tblBorders>
                  <w:top w:val="double" w:color="000000" w:sz="4" w:space="0"/>
                  <w:left w:val="none" w:color="auto" w:sz="0" w:space="0"/>
                  <w:bottom w:val="double" w:color="000000" w:sz="4" w:space="0"/>
                  <w:right w:val="none" w:color="auto" w:sz="0" w:space="0"/>
                  <w:insideH w:val="single" w:color="000000" w:sz="4" w:space="0"/>
                  <w:insideV w:val="single" w:color="000000" w:sz="8" w:space="0"/>
                </w:tblBorders>
                <w:tblCellMar>
                  <w:top w:w="0" w:type="dxa"/>
                  <w:left w:w="0" w:type="dxa"/>
                  <w:bottom w:w="0" w:type="dxa"/>
                  <w:right w:w="0" w:type="dxa"/>
                </w:tblCellMar>
              </w:tblPrEx>
              <w:trPr>
                <w:trHeight w:val="566" w:hRule="atLeast"/>
              </w:trPr>
              <w:tc>
                <w:tcPr>
                  <w:tcW w:w="418" w:type="pct"/>
                  <w:vMerge w:val="continue"/>
                  <w:tcBorders>
                    <w:tl2br w:val="nil"/>
                    <w:tr2bl w:val="nil"/>
                  </w:tcBorders>
                  <w:tcMar>
                    <w:top w:w="15" w:type="dxa"/>
                    <w:left w:w="15" w:type="dxa"/>
                    <w:right w:w="15" w:type="dxa"/>
                  </w:tcMar>
                  <w:vAlign w:val="center"/>
                </w:tcPr>
                <w:p w14:paraId="61762172">
                  <w:pPr>
                    <w:keepNext w:val="0"/>
                    <w:keepLines w:val="0"/>
                    <w:pageBreakBefore w:val="0"/>
                    <w:suppressLineNumbers w:val="0"/>
                    <w:kinsoku/>
                    <w:overflowPunct/>
                    <w:topLinePunct w:val="0"/>
                    <w:autoSpaceDE/>
                    <w:autoSpaceDN/>
                    <w:bidi w:val="0"/>
                    <w:adjustRightInd/>
                    <w:snapToGrid/>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547" w:type="pct"/>
                  <w:gridSpan w:val="2"/>
                  <w:tcBorders>
                    <w:tl2br w:val="nil"/>
                    <w:tr2bl w:val="nil"/>
                  </w:tcBorders>
                  <w:tcMar>
                    <w:top w:w="15" w:type="dxa"/>
                    <w:left w:w="15" w:type="dxa"/>
                    <w:right w:w="15" w:type="dxa"/>
                  </w:tcMar>
                  <w:vAlign w:val="center"/>
                </w:tcPr>
                <w:p w14:paraId="7E320867">
                  <w:pPr>
                    <w:keepNext w:val="0"/>
                    <w:keepLines w:val="0"/>
                    <w:pageBreakBefore w:val="0"/>
                    <w:widowControl w:val="0"/>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提取车间</w:t>
                  </w:r>
                </w:p>
              </w:tc>
              <w:tc>
                <w:tcPr>
                  <w:tcW w:w="1126" w:type="pct"/>
                  <w:tcBorders>
                    <w:tl2br w:val="nil"/>
                    <w:tr2bl w:val="nil"/>
                  </w:tcBorders>
                  <w:tcMar>
                    <w:top w:w="15" w:type="dxa"/>
                    <w:left w:w="15" w:type="dxa"/>
                    <w:right w:w="15" w:type="dxa"/>
                  </w:tcMar>
                  <w:vAlign w:val="center"/>
                </w:tcPr>
                <w:p w14:paraId="03ACA16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rightChars="0"/>
                    <w:jc w:val="left"/>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位于厂区</w:t>
                  </w:r>
                  <w:r>
                    <w:rPr>
                      <w:rFonts w:hint="eastAsia" w:cs="Times New Roman"/>
                      <w:color w:val="000000" w:themeColor="text1"/>
                      <w:sz w:val="21"/>
                      <w:szCs w:val="21"/>
                      <w:highlight w:val="none"/>
                      <w:lang w:val="en-US" w:eastAsia="zh-CN"/>
                      <w14:textFill>
                        <w14:solidFill>
                          <w14:schemeClr w14:val="tx1"/>
                        </w14:solidFill>
                      </w14:textFill>
                    </w:rPr>
                    <w:t>西北，4层，局部2层</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，占地面积</w:t>
                  </w:r>
                  <w:r>
                    <w:rPr>
                      <w:rFonts w:hint="eastAsia" w:cs="Times New Roman"/>
                      <w:color w:val="000000" w:themeColor="text1"/>
                      <w:sz w:val="21"/>
                      <w:szCs w:val="21"/>
                      <w:highlight w:val="none"/>
                      <w:lang w:val="en-US" w:eastAsia="zh-CN"/>
                      <w14:textFill>
                        <w14:solidFill>
                          <w14:schemeClr w14:val="tx1"/>
                        </w14:solidFill>
                      </w14:textFill>
                    </w:rPr>
                    <w:t>593.061</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建筑面积</w:t>
                  </w:r>
                  <w:r>
                    <w:rPr>
                      <w:rFonts w:hint="eastAsia" w:cs="Times New Roman"/>
                      <w:color w:val="000000" w:themeColor="text1"/>
                      <w:sz w:val="21"/>
                      <w:szCs w:val="21"/>
                      <w:highlight w:val="none"/>
                      <w:lang w:val="en-US" w:eastAsia="zh-CN"/>
                      <w14:textFill>
                        <w14:solidFill>
                          <w14:schemeClr w14:val="tx1"/>
                        </w14:solidFill>
                      </w14:textFill>
                    </w:rPr>
                    <w:t>2033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。现有水提取生产线。</w:t>
                  </w:r>
                </w:p>
              </w:tc>
              <w:tc>
                <w:tcPr>
                  <w:tcW w:w="1302" w:type="pct"/>
                  <w:tcBorders>
                    <w:tl2br w:val="nil"/>
                    <w:tr2bl w:val="nil"/>
                  </w:tcBorders>
                  <w:tcMar>
                    <w:top w:w="15" w:type="dxa"/>
                    <w:left w:w="15" w:type="dxa"/>
                    <w:right w:w="15" w:type="dxa"/>
                  </w:tcMar>
                  <w:vAlign w:val="center"/>
                </w:tcPr>
                <w:p w14:paraId="422E1F8A">
                  <w:pPr>
                    <w:keepNext w:val="0"/>
                    <w:keepLines w:val="0"/>
                    <w:pageBreakBefore w:val="0"/>
                    <w:suppressLineNumbers w:val="0"/>
                    <w:kinsoku/>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本项目依托提取车间对车间的设备产能提升和优化非工艺时间增加片剂和胶囊剂产品产能</w:t>
                  </w:r>
                </w:p>
              </w:tc>
              <w:tc>
                <w:tcPr>
                  <w:tcW w:w="1239" w:type="pct"/>
                  <w:tcBorders>
                    <w:tl2br w:val="nil"/>
                    <w:tr2bl w:val="nil"/>
                  </w:tcBorders>
                  <w:tcMar>
                    <w:top w:w="15" w:type="dxa"/>
                    <w:left w:w="15" w:type="dxa"/>
                    <w:right w:w="15" w:type="dxa"/>
                  </w:tcMar>
                  <w:vAlign w:val="center"/>
                </w:tcPr>
                <w:p w14:paraId="697D778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rightChars="0"/>
                    <w:jc w:val="left"/>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位于厂区</w:t>
                  </w:r>
                  <w:r>
                    <w:rPr>
                      <w:rFonts w:hint="eastAsia" w:cs="Times New Roman"/>
                      <w:color w:val="000000" w:themeColor="text1"/>
                      <w:sz w:val="21"/>
                      <w:szCs w:val="21"/>
                      <w:highlight w:val="none"/>
                      <w:lang w:val="en-US" w:eastAsia="zh-CN"/>
                      <w14:textFill>
                        <w14:solidFill>
                          <w14:schemeClr w14:val="tx1"/>
                        </w14:solidFill>
                      </w14:textFill>
                    </w:rPr>
                    <w:t>西北，4层</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，占地面积</w:t>
                  </w:r>
                  <w:r>
                    <w:rPr>
                      <w:rFonts w:hint="eastAsia" w:cs="Times New Roman"/>
                      <w:color w:val="000000" w:themeColor="text1"/>
                      <w:sz w:val="21"/>
                      <w:szCs w:val="21"/>
                      <w:highlight w:val="none"/>
                      <w:lang w:val="en-US" w:eastAsia="zh-CN"/>
                      <w14:textFill>
                        <w14:solidFill>
                          <w14:schemeClr w14:val="tx1"/>
                        </w14:solidFill>
                      </w14:textFill>
                    </w:rPr>
                    <w:t>593.061</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建筑面积</w:t>
                  </w:r>
                  <w:r>
                    <w:rPr>
                      <w:rFonts w:hint="eastAsia" w:cs="Times New Roman"/>
                      <w:color w:val="000000" w:themeColor="text1"/>
                      <w:sz w:val="21"/>
                      <w:szCs w:val="21"/>
                      <w:highlight w:val="none"/>
                      <w:lang w:val="en-US" w:eastAsia="zh-CN"/>
                      <w14:textFill>
                        <w14:solidFill>
                          <w14:schemeClr w14:val="tx1"/>
                        </w14:solidFill>
                      </w14:textFill>
                    </w:rPr>
                    <w:t>2033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。现有水提取生产线。</w:t>
                  </w:r>
                </w:p>
              </w:tc>
              <w:tc>
                <w:tcPr>
                  <w:tcW w:w="366" w:type="pct"/>
                  <w:tcBorders>
                    <w:tl2br w:val="nil"/>
                    <w:tr2bl w:val="nil"/>
                  </w:tcBorders>
                  <w:tcMar>
                    <w:top w:w="15" w:type="dxa"/>
                    <w:left w:w="15" w:type="dxa"/>
                    <w:right w:w="15" w:type="dxa"/>
                  </w:tcMar>
                  <w:vAlign w:val="center"/>
                </w:tcPr>
                <w:p w14:paraId="76C023D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eastAsia"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依托</w:t>
                  </w:r>
                  <w:r>
                    <w:rPr>
                      <w:rFonts w:hint="eastAsia" w:cs="Times New Roman"/>
                      <w:color w:val="000000" w:themeColor="text1"/>
                      <w:kern w:val="0"/>
                      <w:sz w:val="21"/>
                      <w:szCs w:val="21"/>
                      <w:highlight w:val="none"/>
                      <w:lang w:val="en-US" w:eastAsia="zh-CN" w:bidi="ar"/>
                      <w14:textFill>
                        <w14:solidFill>
                          <w14:schemeClr w14:val="tx1"/>
                        </w14:solidFill>
                      </w14:textFill>
                    </w:rPr>
                    <w:t>现有，不变</w:t>
                  </w:r>
                </w:p>
              </w:tc>
            </w:tr>
            <w:tr w14:paraId="19771B08">
              <w:tblPrEx>
                <w:tblBorders>
                  <w:top w:val="double" w:color="000000" w:sz="4" w:space="0"/>
                  <w:left w:val="none" w:color="auto" w:sz="0" w:space="0"/>
                  <w:bottom w:val="double" w:color="000000" w:sz="4" w:space="0"/>
                  <w:right w:val="none" w:color="auto" w:sz="0" w:space="0"/>
                  <w:insideH w:val="single" w:color="000000" w:sz="4" w:space="0"/>
                  <w:insideV w:val="single" w:color="000000" w:sz="8" w:space="0"/>
                </w:tblBorders>
                <w:tblCellMar>
                  <w:top w:w="0" w:type="dxa"/>
                  <w:left w:w="0" w:type="dxa"/>
                  <w:bottom w:w="0" w:type="dxa"/>
                  <w:right w:w="0" w:type="dxa"/>
                </w:tblCellMar>
              </w:tblPrEx>
              <w:trPr>
                <w:trHeight w:val="619" w:hRule="atLeast"/>
              </w:trPr>
              <w:tc>
                <w:tcPr>
                  <w:tcW w:w="418" w:type="pct"/>
                  <w:vMerge w:val="continue"/>
                  <w:tcBorders>
                    <w:tl2br w:val="nil"/>
                    <w:tr2bl w:val="nil"/>
                  </w:tcBorders>
                  <w:tcMar>
                    <w:top w:w="15" w:type="dxa"/>
                    <w:left w:w="15" w:type="dxa"/>
                    <w:right w:w="15" w:type="dxa"/>
                  </w:tcMar>
                  <w:vAlign w:val="center"/>
                </w:tcPr>
                <w:p w14:paraId="795ABFC3">
                  <w:pPr>
                    <w:keepNext w:val="0"/>
                    <w:keepLines w:val="0"/>
                    <w:pageBreakBefore w:val="0"/>
                    <w:suppressLineNumbers w:val="0"/>
                    <w:kinsoku/>
                    <w:overflowPunct/>
                    <w:topLinePunct w:val="0"/>
                    <w:autoSpaceDE/>
                    <w:autoSpaceDN/>
                    <w:bidi w:val="0"/>
                    <w:adjustRightInd/>
                    <w:snapToGrid/>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547" w:type="pct"/>
                  <w:gridSpan w:val="2"/>
                  <w:tcBorders>
                    <w:tl2br w:val="nil"/>
                    <w:tr2bl w:val="nil"/>
                  </w:tcBorders>
                  <w:tcMar>
                    <w:top w:w="15" w:type="dxa"/>
                    <w:left w:w="15" w:type="dxa"/>
                    <w:right w:w="15" w:type="dxa"/>
                  </w:tcMar>
                  <w:vAlign w:val="center"/>
                </w:tcPr>
                <w:p w14:paraId="7E56FFB3">
                  <w:pPr>
                    <w:keepNext w:val="0"/>
                    <w:keepLines w:val="0"/>
                    <w:pageBreakBefore w:val="0"/>
                    <w:widowControl w:val="0"/>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综合制剂车间</w:t>
                  </w:r>
                </w:p>
              </w:tc>
              <w:tc>
                <w:tcPr>
                  <w:tcW w:w="1126" w:type="pct"/>
                  <w:tcBorders>
                    <w:tl2br w:val="nil"/>
                    <w:tr2bl w:val="nil"/>
                  </w:tcBorders>
                  <w:tcMar>
                    <w:top w:w="15" w:type="dxa"/>
                    <w:left w:w="15" w:type="dxa"/>
                    <w:right w:w="15" w:type="dxa"/>
                  </w:tcMar>
                  <w:vAlign w:val="center"/>
                </w:tcPr>
                <w:p w14:paraId="024985F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rightChars="0"/>
                    <w:jc w:val="left"/>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位于厂区</w:t>
                  </w:r>
                  <w:r>
                    <w:rPr>
                      <w:rFonts w:hint="eastAsia" w:cs="Times New Roman"/>
                      <w:color w:val="000000" w:themeColor="text1"/>
                      <w:sz w:val="21"/>
                      <w:szCs w:val="21"/>
                      <w:highlight w:val="none"/>
                      <w:lang w:val="en-US" w:eastAsia="zh-CN"/>
                      <w14:textFill>
                        <w14:solidFill>
                          <w14:schemeClr w14:val="tx1"/>
                        </w14:solidFill>
                      </w14:textFill>
                    </w:rPr>
                    <w:t>南侧，4层</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，占地面积</w:t>
                  </w:r>
                  <w:r>
                    <w:rPr>
                      <w:rFonts w:hint="eastAsia" w:cs="Times New Roman"/>
                      <w:color w:val="000000" w:themeColor="text1"/>
                      <w:sz w:val="21"/>
                      <w:szCs w:val="21"/>
                      <w:highlight w:val="none"/>
                      <w:lang w:val="en-US" w:eastAsia="zh-CN"/>
                      <w14:textFill>
                        <w14:solidFill>
                          <w14:schemeClr w14:val="tx1"/>
                        </w14:solidFill>
                      </w14:textFill>
                    </w:rPr>
                    <w:t>3012.7328</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建筑面积</w:t>
                  </w:r>
                  <w:r>
                    <w:rPr>
                      <w:rFonts w:hint="eastAsia" w:cs="Times New Roman"/>
                      <w:color w:val="000000" w:themeColor="text1"/>
                      <w:sz w:val="21"/>
                      <w:szCs w:val="21"/>
                      <w:highlight w:val="none"/>
                      <w:lang w:val="en-US" w:eastAsia="zh-CN"/>
                      <w14:textFill>
                        <w14:solidFill>
                          <w14:schemeClr w14:val="tx1"/>
                        </w14:solidFill>
                      </w14:textFill>
                    </w:rPr>
                    <w:t>9395.90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。现有片剂、胶囊生产线。</w:t>
                  </w:r>
                </w:p>
              </w:tc>
              <w:tc>
                <w:tcPr>
                  <w:tcW w:w="1302" w:type="pct"/>
                  <w:tcBorders>
                    <w:tl2br w:val="nil"/>
                    <w:tr2bl w:val="nil"/>
                  </w:tcBorders>
                  <w:tcMar>
                    <w:top w:w="15" w:type="dxa"/>
                    <w:left w:w="15" w:type="dxa"/>
                    <w:right w:w="15" w:type="dxa"/>
                  </w:tcMar>
                  <w:vAlign w:val="center"/>
                </w:tcPr>
                <w:p w14:paraId="355E2A0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jc w:val="left"/>
                    <w:textAlignment w:val="auto"/>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本项目</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对综合制剂车间现有9个制剂废气排气筒（DA005~DA013）进行改造为8个排气筒（DA006~DA013），排气筒高度不低于15m</w:t>
                  </w:r>
                  <w:r>
                    <w:rPr>
                      <w:rFonts w:hint="eastAsia" w:cs="Times New Roman"/>
                      <w:color w:val="000000" w:themeColor="text1"/>
                      <w:sz w:val="21"/>
                      <w:szCs w:val="21"/>
                      <w:highlight w:val="none"/>
                      <w:lang w:val="en-US" w:eastAsia="zh-CN"/>
                      <w14:textFill>
                        <w14:solidFill>
                          <w14:schemeClr w14:val="tx1"/>
                        </w14:solidFill>
                      </w14:textFill>
                    </w:rPr>
                    <w:t>；项目依托</w:t>
                  </w:r>
                  <w:r>
                    <w:rPr>
                      <w:rFonts w:hint="eastAsia" w:cs="Times New Roman"/>
                      <w:color w:val="000000" w:themeColor="text1"/>
                      <w:sz w:val="21"/>
                      <w:szCs w:val="21"/>
                      <w:highlight w:val="none"/>
                      <w:vertAlign w:val="baseline"/>
                      <w:lang w:val="en-US" w:eastAsia="zh-CN"/>
                      <w14:textFill>
                        <w14:solidFill>
                          <w14:schemeClr w14:val="tx1"/>
                        </w14:solidFill>
                      </w14:textFill>
                    </w:rPr>
                    <w:t>综合制剂车间</w:t>
                  </w:r>
                  <w:r>
                    <w:rPr>
                      <w:rFonts w:hint="eastAsia" w:cs="Times New Roman"/>
                      <w:color w:val="000000" w:themeColor="text1"/>
                      <w:sz w:val="21"/>
                      <w:szCs w:val="21"/>
                      <w:highlight w:val="none"/>
                      <w:lang w:val="en-US" w:eastAsia="zh-CN"/>
                      <w14:textFill>
                        <w14:solidFill>
                          <w14:schemeClr w14:val="tx1"/>
                        </w14:solidFill>
                      </w14:textFill>
                    </w:rPr>
                    <w:t>对车间的设备产能提升和优化非工艺时间增加片剂和胶囊剂产品产能</w:t>
                  </w:r>
                </w:p>
                <w:p w14:paraId="1F174886">
                  <w:pPr>
                    <w:pStyle w:val="25"/>
                    <w:keepNext w:val="0"/>
                    <w:keepLines w:val="0"/>
                    <w:suppressLineNumbers w:val="0"/>
                    <w:spacing w:before="0" w:beforeAutospacing="0" w:afterAutospacing="0"/>
                    <w:ind w:right="0"/>
                    <w:rPr>
                      <w:rFonts w:hint="default"/>
                      <w:color w:val="000000" w:themeColor="text1"/>
                      <w:highlight w:val="none"/>
                      <w:lang w:val="en-US" w:eastAsia="zh-CN"/>
                      <w14:textFill>
                        <w14:solidFill>
                          <w14:schemeClr w14:val="tx1"/>
                        </w14:solidFill>
                      </w14:textFill>
                    </w:rPr>
                  </w:pPr>
                </w:p>
              </w:tc>
              <w:tc>
                <w:tcPr>
                  <w:tcW w:w="1239" w:type="pct"/>
                  <w:tcBorders>
                    <w:tl2br w:val="nil"/>
                    <w:tr2bl w:val="nil"/>
                  </w:tcBorders>
                  <w:shd w:val="clear" w:color="auto" w:fill="auto"/>
                  <w:tcMar>
                    <w:top w:w="15" w:type="dxa"/>
                    <w:left w:w="15" w:type="dxa"/>
                    <w:right w:w="15" w:type="dxa"/>
                  </w:tcMar>
                  <w:vAlign w:val="center"/>
                </w:tcPr>
                <w:p w14:paraId="7D9566C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rightChars="0"/>
                    <w:jc w:val="left"/>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位于厂区</w:t>
                  </w:r>
                  <w:r>
                    <w:rPr>
                      <w:rFonts w:hint="eastAsia" w:cs="Times New Roman"/>
                      <w:color w:val="000000" w:themeColor="text1"/>
                      <w:sz w:val="21"/>
                      <w:szCs w:val="21"/>
                      <w:highlight w:val="none"/>
                      <w:lang w:val="en-US" w:eastAsia="zh-CN"/>
                      <w14:textFill>
                        <w14:solidFill>
                          <w14:schemeClr w14:val="tx1"/>
                        </w14:solidFill>
                      </w14:textFill>
                    </w:rPr>
                    <w:t>南侧，4层</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，占地面积</w:t>
                  </w:r>
                  <w:r>
                    <w:rPr>
                      <w:rFonts w:hint="eastAsia" w:cs="Times New Roman"/>
                      <w:color w:val="000000" w:themeColor="text1"/>
                      <w:sz w:val="21"/>
                      <w:szCs w:val="21"/>
                      <w:highlight w:val="none"/>
                      <w:lang w:val="en-US" w:eastAsia="zh-CN"/>
                      <w14:textFill>
                        <w14:solidFill>
                          <w14:schemeClr w14:val="tx1"/>
                        </w14:solidFill>
                      </w14:textFill>
                    </w:rPr>
                    <w:t>3012.7328</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建筑面积</w:t>
                  </w:r>
                  <w:r>
                    <w:rPr>
                      <w:rFonts w:hint="eastAsia" w:cs="Times New Roman"/>
                      <w:color w:val="000000" w:themeColor="text1"/>
                      <w:sz w:val="21"/>
                      <w:szCs w:val="21"/>
                      <w:highlight w:val="none"/>
                      <w:lang w:val="en-US" w:eastAsia="zh-CN"/>
                      <w14:textFill>
                        <w14:solidFill>
                          <w14:schemeClr w14:val="tx1"/>
                        </w14:solidFill>
                      </w14:textFill>
                    </w:rPr>
                    <w:t>9395.90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。现有片剂、胶囊生产线，排气筒数量为8个</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（DA006~DA013），排气筒高度不低于15m</w:t>
                  </w:r>
                  <w:r>
                    <w:rPr>
                      <w:rFonts w:hint="eastAsia" w:cs="Times New Roman"/>
                      <w:color w:val="000000" w:themeColor="text1"/>
                      <w:sz w:val="21"/>
                      <w:szCs w:val="21"/>
                      <w:highlight w:val="none"/>
                      <w:lang w:val="en-US" w:eastAsia="zh-CN"/>
                      <w14:textFill>
                        <w14:solidFill>
                          <w14:schemeClr w14:val="tx1"/>
                        </w14:solidFill>
                      </w14:textFill>
                    </w:rPr>
                    <w:t>。</w:t>
                  </w:r>
                </w:p>
              </w:tc>
              <w:tc>
                <w:tcPr>
                  <w:tcW w:w="366" w:type="pct"/>
                  <w:tcBorders>
                    <w:tl2br w:val="nil"/>
                    <w:tr2bl w:val="nil"/>
                  </w:tcBorders>
                  <w:tcMar>
                    <w:top w:w="15" w:type="dxa"/>
                    <w:left w:w="15" w:type="dxa"/>
                    <w:right w:w="15" w:type="dxa"/>
                  </w:tcMar>
                  <w:vAlign w:val="center"/>
                </w:tcPr>
                <w:p w14:paraId="7C2F62F6">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改建</w:t>
                  </w:r>
                </w:p>
              </w:tc>
            </w:tr>
            <w:tr w14:paraId="49CCF5F7">
              <w:tblPrEx>
                <w:tblBorders>
                  <w:top w:val="double" w:color="000000" w:sz="4" w:space="0"/>
                  <w:left w:val="none" w:color="auto" w:sz="0" w:space="0"/>
                  <w:bottom w:val="double" w:color="000000" w:sz="4" w:space="0"/>
                  <w:right w:val="none" w:color="auto" w:sz="0" w:space="0"/>
                  <w:insideH w:val="single" w:color="000000" w:sz="4" w:space="0"/>
                  <w:insideV w:val="single" w:color="000000" w:sz="8" w:space="0"/>
                </w:tblBorders>
                <w:tblCellMar>
                  <w:top w:w="0" w:type="dxa"/>
                  <w:left w:w="0" w:type="dxa"/>
                  <w:bottom w:w="0" w:type="dxa"/>
                  <w:right w:w="0" w:type="dxa"/>
                </w:tblCellMar>
              </w:tblPrEx>
              <w:trPr>
                <w:trHeight w:val="619" w:hRule="atLeast"/>
              </w:trPr>
              <w:tc>
                <w:tcPr>
                  <w:tcW w:w="418" w:type="pct"/>
                  <w:vMerge w:val="continue"/>
                  <w:tcBorders>
                    <w:tl2br w:val="nil"/>
                    <w:tr2bl w:val="nil"/>
                  </w:tcBorders>
                  <w:tcMar>
                    <w:top w:w="15" w:type="dxa"/>
                    <w:left w:w="15" w:type="dxa"/>
                    <w:right w:w="15" w:type="dxa"/>
                  </w:tcMar>
                  <w:vAlign w:val="center"/>
                </w:tcPr>
                <w:p w14:paraId="666A3CF9">
                  <w:pPr>
                    <w:keepNext w:val="0"/>
                    <w:keepLines w:val="0"/>
                    <w:pageBreakBefore w:val="0"/>
                    <w:suppressLineNumbers w:val="0"/>
                    <w:kinsoku/>
                    <w:overflowPunct/>
                    <w:topLinePunct w:val="0"/>
                    <w:autoSpaceDE/>
                    <w:autoSpaceDN/>
                    <w:bidi w:val="0"/>
                    <w:adjustRightInd/>
                    <w:snapToGrid/>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547" w:type="pct"/>
                  <w:gridSpan w:val="2"/>
                  <w:tcBorders>
                    <w:tl2br w:val="nil"/>
                    <w:tr2bl w:val="nil"/>
                  </w:tcBorders>
                  <w:tcMar>
                    <w:top w:w="15" w:type="dxa"/>
                    <w:left w:w="15" w:type="dxa"/>
                    <w:right w:w="15" w:type="dxa"/>
                  </w:tcMar>
                  <w:vAlign w:val="center"/>
                </w:tcPr>
                <w:p w14:paraId="1E61DF91">
                  <w:pPr>
                    <w:keepNext w:val="0"/>
                    <w:keepLines w:val="0"/>
                    <w:pageBreakBefore w:val="0"/>
                    <w:widowControl w:val="0"/>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创新制剂车间</w:t>
                  </w:r>
                </w:p>
              </w:tc>
              <w:tc>
                <w:tcPr>
                  <w:tcW w:w="1126" w:type="pct"/>
                  <w:tcBorders>
                    <w:tl2br w:val="nil"/>
                    <w:tr2bl w:val="nil"/>
                  </w:tcBorders>
                  <w:tcMar>
                    <w:top w:w="15" w:type="dxa"/>
                    <w:left w:w="15" w:type="dxa"/>
                    <w:right w:w="15" w:type="dxa"/>
                  </w:tcMar>
                  <w:vAlign w:val="center"/>
                </w:tcPr>
                <w:p w14:paraId="2CE67A8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302" w:type="pct"/>
                  <w:tcBorders>
                    <w:tl2br w:val="nil"/>
                    <w:tr2bl w:val="nil"/>
                  </w:tcBorders>
                  <w:tcMar>
                    <w:top w:w="15" w:type="dxa"/>
                    <w:left w:w="15" w:type="dxa"/>
                    <w:right w:w="15" w:type="dxa"/>
                  </w:tcMar>
                  <w:vAlign w:val="center"/>
                </w:tcPr>
                <w:p w14:paraId="52112E5C">
                  <w:pPr>
                    <w:keepNext w:val="0"/>
                    <w:keepLines w:val="0"/>
                    <w:pageBreakBefore w:val="0"/>
                    <w:suppressLineNumbers w:val="0"/>
                    <w:kinsoku/>
                    <w:overflowPunct/>
                    <w:topLinePunct w:val="0"/>
                    <w:autoSpaceDE/>
                    <w:autoSpaceDN/>
                    <w:bidi w:val="0"/>
                    <w:adjustRightInd/>
                    <w:snapToGrid/>
                    <w:spacing w:before="0" w:beforeAutospacing="0" w:after="0" w:afterAutospacing="0" w:line="240" w:lineRule="auto"/>
                    <w:ind w:left="0" w:right="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依托综合制剂车间2层部分闲置区域新建创新制剂车间和创新制剂废气排放口（DA005），建筑面积980m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vertAlign w:val="baseline"/>
                      <w:lang w:val="en-US" w:eastAsia="zh-CN"/>
                      <w14:textFill>
                        <w14:solidFill>
                          <w14:schemeClr w14:val="tx1"/>
                        </w14:solidFill>
                      </w14:textFill>
                    </w:rPr>
                    <w:t>，包括称量室、粉碎室、制粒室、配浆室、包衣室、压片室、胶囊填充室、颗粒包装室、器具存放室、中间站、总混室、原辅料暂存室、预留室、消毒室、中控室和更衣室等。</w:t>
                  </w:r>
                  <w:r>
                    <w:rPr>
                      <w:rFonts w:hint="eastAsia"/>
                      <w:color w:val="000000" w:themeColor="text1"/>
                      <w:highlight w:val="none"/>
                      <w:lang w:val="en-US" w:eastAsia="zh-CN"/>
                      <w14:textFill>
                        <w14:solidFill>
                          <w14:schemeClr w14:val="tx1"/>
                        </w14:solidFill>
                      </w14:textFill>
                    </w:rPr>
                    <w:t>增加</w:t>
                  </w:r>
                  <w:r>
                    <w:rPr>
                      <w:rFonts w:hint="eastAsia" w:ascii="Times New Roman" w:hAnsi="Times New Roman" w:eastAsia="宋体" w:cs="Times New Roman"/>
                      <w:color w:val="000000" w:themeColor="text1"/>
                      <w:szCs w:val="21"/>
                      <w:highlight w:val="none"/>
                      <w14:textFill>
                        <w14:solidFill>
                          <w14:schemeClr w14:val="tx1"/>
                        </w14:solidFill>
                      </w14:textFill>
                    </w:rPr>
                    <w:t>参百灵颗粒1.5t/a</w:t>
                  </w:r>
                  <w:r>
                    <w:rPr>
                      <w:rFonts w:hint="eastAsia" w:cs="Times New Roman"/>
                      <w:color w:val="000000" w:themeColor="text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zCs w:val="21"/>
                      <w:highlight w:val="none"/>
                      <w14:textFill>
                        <w14:solidFill>
                          <w14:schemeClr w14:val="tx1"/>
                        </w14:solidFill>
                      </w14:textFill>
                    </w:rPr>
                    <w:t>表实感冒颗粒</w:t>
                  </w:r>
                  <w:r>
                    <w:rPr>
                      <w:rFonts w:hint="eastAsia" w:cs="Times New Roman"/>
                      <w:color w:val="000000" w:themeColor="text1"/>
                      <w:szCs w:val="21"/>
                      <w:highlight w:val="none"/>
                      <w:lang w:val="en-US" w:eastAsia="zh-CN"/>
                      <w14:textFill>
                        <w14:solidFill>
                          <w14:schemeClr w14:val="tx1"/>
                        </w14:solidFill>
                      </w14:textFill>
                    </w:rPr>
                    <w:t>0.5</w:t>
                  </w:r>
                  <w:r>
                    <w:rPr>
                      <w:rFonts w:hint="eastAsia" w:ascii="Times New Roman" w:hAnsi="Times New Roman" w:eastAsia="宋体" w:cs="Times New Roman"/>
                      <w:color w:val="000000" w:themeColor="text1"/>
                      <w:szCs w:val="21"/>
                      <w:highlight w:val="none"/>
                      <w14:textFill>
                        <w14:solidFill>
                          <w14:schemeClr w14:val="tx1"/>
                        </w14:solidFill>
                      </w14:textFill>
                    </w:rPr>
                    <w:t>t/a</w:t>
                  </w:r>
                  <w:r>
                    <w:rPr>
                      <w:rFonts w:hint="eastAsia" w:cs="Times New Roman"/>
                      <w:color w:val="000000" w:themeColor="text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zCs w:val="21"/>
                      <w:highlight w:val="none"/>
                      <w14:textFill>
                        <w14:solidFill>
                          <w14:schemeClr w14:val="tx1"/>
                        </w14:solidFill>
                      </w14:textFill>
                    </w:rPr>
                    <w:t>暑湿感冒颗粒0.5t/a</w:t>
                  </w:r>
                  <w:r>
                    <w:rPr>
                      <w:rFonts w:hint="eastAsia" w:cs="Times New Roman"/>
                      <w:color w:val="000000" w:themeColor="text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zCs w:val="21"/>
                      <w:highlight w:val="none"/>
                      <w14:textFill>
                        <w14:solidFill>
                          <w14:schemeClr w14:val="tx1"/>
                        </w14:solidFill>
                      </w14:textFill>
                    </w:rPr>
                    <w:t>散痈解毒颗粒0.5t/a</w:t>
                  </w:r>
                  <w:r>
                    <w:rPr>
                      <w:rFonts w:hint="eastAsia" w:cs="Times New Roman"/>
                      <w:color w:val="000000" w:themeColor="text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zCs w:val="21"/>
                      <w:highlight w:val="none"/>
                      <w14:textFill>
                        <w14:solidFill>
                          <w14:schemeClr w14:val="tx1"/>
                        </w14:solidFill>
                      </w14:textFill>
                    </w:rPr>
                    <w:t>经典名方颗粒</w:t>
                  </w:r>
                  <w:r>
                    <w:rPr>
                      <w:rFonts w:hint="eastAsia" w:cs="Times New Roman"/>
                      <w:color w:val="000000" w:themeColor="text1"/>
                      <w:szCs w:val="21"/>
                      <w:highlight w:val="none"/>
                      <w:lang w:val="en-US" w:eastAsia="zh-CN"/>
                      <w14:textFill>
                        <w14:solidFill>
                          <w14:schemeClr w14:val="tx1"/>
                        </w14:solidFill>
                      </w14:textFill>
                    </w:rPr>
                    <w:t>2.0</w:t>
                  </w:r>
                  <w:r>
                    <w:rPr>
                      <w:rFonts w:hint="eastAsia" w:ascii="Times New Roman" w:hAnsi="Times New Roman" w:eastAsia="宋体" w:cs="Times New Roman"/>
                      <w:color w:val="000000" w:themeColor="text1"/>
                      <w:szCs w:val="21"/>
                      <w:highlight w:val="none"/>
                      <w14:textFill>
                        <w14:solidFill>
                          <w14:schemeClr w14:val="tx1"/>
                        </w14:solidFill>
                      </w14:textFill>
                    </w:rPr>
                    <w:t>t/a</w:t>
                  </w:r>
                  <w:r>
                    <w:rPr>
                      <w:rFonts w:hint="eastAsia" w:cs="Times New Roman"/>
                      <w:color w:val="000000" w:themeColor="text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zCs w:val="21"/>
                      <w:highlight w:val="none"/>
                      <w14:textFill>
                        <w14:solidFill>
                          <w14:schemeClr w14:val="tx1"/>
                        </w14:solidFill>
                      </w14:textFill>
                    </w:rPr>
                    <w:t>气滞胃痛片</w:t>
                  </w:r>
                  <w:r>
                    <w:rPr>
                      <w:rFonts w:hint="eastAsia" w:cs="Times New Roman"/>
                      <w:color w:val="000000" w:themeColor="text1"/>
                      <w:szCs w:val="21"/>
                      <w:highlight w:val="none"/>
                      <w:lang w:val="en-US" w:eastAsia="zh-CN"/>
                      <w14:textFill>
                        <w14:solidFill>
                          <w14:schemeClr w14:val="tx1"/>
                        </w14:solidFill>
                      </w14:textFill>
                    </w:rPr>
                    <w:t>1.0</w:t>
                  </w:r>
                  <w:r>
                    <w:rPr>
                      <w:rFonts w:hint="eastAsia" w:ascii="Times New Roman" w:hAnsi="Times New Roman" w:eastAsia="宋体" w:cs="Times New Roman"/>
                      <w:color w:val="000000" w:themeColor="text1"/>
                      <w:szCs w:val="21"/>
                      <w:highlight w:val="none"/>
                      <w14:textFill>
                        <w14:solidFill>
                          <w14:schemeClr w14:val="tx1"/>
                        </w14:solidFill>
                      </w14:textFill>
                    </w:rPr>
                    <w:t>t/a</w:t>
                  </w:r>
                  <w:r>
                    <w:rPr>
                      <w:rFonts w:hint="eastAsia" w:cs="Times New Roman"/>
                      <w:color w:val="000000" w:themeColor="text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zCs w:val="21"/>
                      <w:highlight w:val="none"/>
                      <w14:textFill>
                        <w14:solidFill>
                          <w14:schemeClr w14:val="tx1"/>
                        </w14:solidFill>
                      </w14:textFill>
                    </w:rPr>
                    <w:t>阴虚胃痛片</w:t>
                  </w:r>
                  <w:r>
                    <w:rPr>
                      <w:rFonts w:hint="eastAsia" w:cs="Times New Roman"/>
                      <w:color w:val="000000" w:themeColor="text1"/>
                      <w:szCs w:val="21"/>
                      <w:highlight w:val="none"/>
                      <w:lang w:val="en-US" w:eastAsia="zh-CN"/>
                      <w14:textFill>
                        <w14:solidFill>
                          <w14:schemeClr w14:val="tx1"/>
                        </w14:solidFill>
                      </w14:textFill>
                    </w:rPr>
                    <w:t>1.0</w:t>
                  </w:r>
                  <w:r>
                    <w:rPr>
                      <w:rFonts w:hint="eastAsia" w:ascii="Times New Roman" w:hAnsi="Times New Roman" w:eastAsia="宋体" w:cs="Times New Roman"/>
                      <w:color w:val="000000" w:themeColor="text1"/>
                      <w:szCs w:val="21"/>
                      <w:highlight w:val="none"/>
                      <w14:textFill>
                        <w14:solidFill>
                          <w14:schemeClr w14:val="tx1"/>
                        </w14:solidFill>
                      </w14:textFill>
                    </w:rPr>
                    <w:t>t/a</w:t>
                  </w:r>
                  <w:r>
                    <w:rPr>
                      <w:rFonts w:hint="eastAsia" w:cs="Times New Roman"/>
                      <w:color w:val="000000" w:themeColor="text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zCs w:val="21"/>
                      <w:highlight w:val="none"/>
                      <w14:textFill>
                        <w14:solidFill>
                          <w14:schemeClr w14:val="tx1"/>
                        </w14:solidFill>
                      </w14:textFill>
                    </w:rPr>
                    <w:t>阴虚胃痛胶囊0.8t/a</w:t>
                  </w:r>
                  <w:r>
                    <w:rPr>
                      <w:rFonts w:hint="eastAsia" w:cs="Times New Roman"/>
                      <w:color w:val="000000" w:themeColor="text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zCs w:val="21"/>
                      <w:highlight w:val="none"/>
                      <w14:textFill>
                        <w14:solidFill>
                          <w14:schemeClr w14:val="tx1"/>
                        </w14:solidFill>
                      </w14:textFill>
                    </w:rPr>
                    <w:t>寒湿痹胶囊</w:t>
                  </w:r>
                  <w:r>
                    <w:rPr>
                      <w:rFonts w:hint="eastAsia" w:cs="Times New Roman"/>
                      <w:color w:val="000000" w:themeColor="text1"/>
                      <w:szCs w:val="21"/>
                      <w:highlight w:val="none"/>
                      <w:lang w:val="en-US" w:eastAsia="zh-CN"/>
                      <w14:textFill>
                        <w14:solidFill>
                          <w14:schemeClr w14:val="tx1"/>
                        </w14:solidFill>
                      </w14:textFill>
                    </w:rPr>
                    <w:t>1.0</w:t>
                  </w:r>
                  <w:r>
                    <w:rPr>
                      <w:rFonts w:hint="eastAsia" w:ascii="Times New Roman" w:hAnsi="Times New Roman" w:eastAsia="宋体" w:cs="Times New Roman"/>
                      <w:color w:val="000000" w:themeColor="text1"/>
                      <w:szCs w:val="21"/>
                      <w:highlight w:val="none"/>
                      <w14:textFill>
                        <w14:solidFill>
                          <w14:schemeClr w14:val="tx1"/>
                        </w14:solidFill>
                      </w14:textFill>
                    </w:rPr>
                    <w:t>t/a</w:t>
                  </w:r>
                  <w:r>
                    <w:rPr>
                      <w:rFonts w:hint="eastAsia" w:cs="Times New Roman"/>
                      <w:color w:val="000000" w:themeColor="text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zCs w:val="21"/>
                      <w:highlight w:val="none"/>
                      <w14:textFill>
                        <w14:solidFill>
                          <w14:schemeClr w14:val="tx1"/>
                        </w14:solidFill>
                      </w14:textFill>
                    </w:rPr>
                    <w:t>尪痹胶囊1.7t/a</w:t>
                  </w:r>
                  <w:r>
                    <w:rPr>
                      <w:rFonts w:hint="eastAsia" w:cs="Times New Roman"/>
                      <w:color w:val="000000" w:themeColor="text1"/>
                      <w:szCs w:val="21"/>
                      <w:highlight w:val="none"/>
                      <w:lang w:eastAsia="zh-CN"/>
                      <w14:textFill>
                        <w14:solidFill>
                          <w14:schemeClr w14:val="tx1"/>
                        </w14:solidFill>
                      </w14:textFill>
                    </w:rPr>
                    <w:t>，</w:t>
                  </w:r>
                  <w:r>
                    <w:rPr>
                      <w:rFonts w:hint="eastAsia" w:cs="Times New Roman"/>
                      <w:color w:val="000000" w:themeColor="text1"/>
                      <w:szCs w:val="21"/>
                      <w:highlight w:val="none"/>
                      <w:lang w:val="en-US" w:eastAsia="zh-CN"/>
                      <w14:textFill>
                        <w14:solidFill>
                          <w14:schemeClr w14:val="tx1"/>
                        </w14:solidFill>
                      </w14:textFill>
                    </w:rPr>
                    <w:t>总产能为10.5</w:t>
                  </w:r>
                  <w:r>
                    <w:rPr>
                      <w:rFonts w:hint="eastAsia" w:ascii="Times New Roman" w:hAnsi="Times New Roman" w:eastAsia="宋体" w:cs="Times New Roman"/>
                      <w:color w:val="000000" w:themeColor="text1"/>
                      <w:szCs w:val="21"/>
                      <w:highlight w:val="none"/>
                      <w14:textFill>
                        <w14:solidFill>
                          <w14:schemeClr w14:val="tx1"/>
                        </w14:solidFill>
                      </w14:textFill>
                    </w:rPr>
                    <w:t>t/a</w:t>
                  </w:r>
                  <w:r>
                    <w:rPr>
                      <w:rFonts w:hint="eastAsia" w:cs="Times New Roman"/>
                      <w:color w:val="000000" w:themeColor="text1"/>
                      <w:szCs w:val="21"/>
                      <w:highlight w:val="none"/>
                      <w:lang w:eastAsia="zh-CN"/>
                      <w14:textFill>
                        <w14:solidFill>
                          <w14:schemeClr w14:val="tx1"/>
                        </w14:solidFill>
                      </w14:textFill>
                    </w:rPr>
                    <w:t>。</w:t>
                  </w:r>
                </w:p>
              </w:tc>
              <w:tc>
                <w:tcPr>
                  <w:tcW w:w="1239" w:type="pct"/>
                  <w:tcBorders>
                    <w:tl2br w:val="nil"/>
                    <w:tr2bl w:val="nil"/>
                  </w:tcBorders>
                  <w:shd w:val="clear" w:color="auto" w:fill="auto"/>
                  <w:tcMar>
                    <w:top w:w="15" w:type="dxa"/>
                    <w:left w:w="15" w:type="dxa"/>
                    <w:right w:w="15" w:type="dxa"/>
                  </w:tcMar>
                  <w:vAlign w:val="center"/>
                </w:tcPr>
                <w:p w14:paraId="7699A40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left"/>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依托综合制剂车间2层部分闲置区域新建创新制剂车间和创新制剂废气排放口（DA005），建筑面积980m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vertAlign w:val="baseline"/>
                      <w:lang w:val="en-US" w:eastAsia="zh-CN"/>
                      <w14:textFill>
                        <w14:solidFill>
                          <w14:schemeClr w14:val="tx1"/>
                        </w14:solidFill>
                      </w14:textFill>
                    </w:rPr>
                    <w:t>，包括称量室、粉碎室、制粒室、配浆室、包衣室、压片室、胶囊填充室、颗粒包装室、器具存放室、中间站、总混室、原辅料暂存室、预留室、消毒室、中控室和更衣室等。</w:t>
                  </w:r>
                  <w:r>
                    <w:rPr>
                      <w:rFonts w:hint="eastAsia"/>
                      <w:color w:val="000000" w:themeColor="text1"/>
                      <w:highlight w:val="none"/>
                      <w:lang w:val="en-US" w:eastAsia="zh-CN"/>
                      <w14:textFill>
                        <w14:solidFill>
                          <w14:schemeClr w14:val="tx1"/>
                        </w14:solidFill>
                      </w14:textFill>
                    </w:rPr>
                    <w:t>增加</w:t>
                  </w:r>
                  <w:r>
                    <w:rPr>
                      <w:rFonts w:hint="eastAsia" w:ascii="Times New Roman" w:hAnsi="Times New Roman" w:eastAsia="宋体" w:cs="Times New Roman"/>
                      <w:color w:val="000000" w:themeColor="text1"/>
                      <w:szCs w:val="21"/>
                      <w:highlight w:val="none"/>
                      <w14:textFill>
                        <w14:solidFill>
                          <w14:schemeClr w14:val="tx1"/>
                        </w14:solidFill>
                      </w14:textFill>
                    </w:rPr>
                    <w:t>参百灵颗粒1.5t/a</w:t>
                  </w:r>
                  <w:r>
                    <w:rPr>
                      <w:rFonts w:hint="eastAsia" w:cs="Times New Roman"/>
                      <w:color w:val="000000" w:themeColor="text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zCs w:val="21"/>
                      <w:highlight w:val="none"/>
                      <w14:textFill>
                        <w14:solidFill>
                          <w14:schemeClr w14:val="tx1"/>
                        </w14:solidFill>
                      </w14:textFill>
                    </w:rPr>
                    <w:t>表实感冒颗粒</w:t>
                  </w:r>
                  <w:r>
                    <w:rPr>
                      <w:rFonts w:hint="eastAsia" w:cs="Times New Roman"/>
                      <w:color w:val="000000" w:themeColor="text1"/>
                      <w:szCs w:val="21"/>
                      <w:highlight w:val="none"/>
                      <w:lang w:val="en-US" w:eastAsia="zh-CN"/>
                      <w14:textFill>
                        <w14:solidFill>
                          <w14:schemeClr w14:val="tx1"/>
                        </w14:solidFill>
                      </w14:textFill>
                    </w:rPr>
                    <w:t>0.5</w:t>
                  </w:r>
                  <w:r>
                    <w:rPr>
                      <w:rFonts w:hint="eastAsia" w:ascii="Times New Roman" w:hAnsi="Times New Roman" w:eastAsia="宋体" w:cs="Times New Roman"/>
                      <w:color w:val="000000" w:themeColor="text1"/>
                      <w:szCs w:val="21"/>
                      <w:highlight w:val="none"/>
                      <w14:textFill>
                        <w14:solidFill>
                          <w14:schemeClr w14:val="tx1"/>
                        </w14:solidFill>
                      </w14:textFill>
                    </w:rPr>
                    <w:t>t/a</w:t>
                  </w:r>
                  <w:r>
                    <w:rPr>
                      <w:rFonts w:hint="eastAsia" w:cs="Times New Roman"/>
                      <w:color w:val="000000" w:themeColor="text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zCs w:val="21"/>
                      <w:highlight w:val="none"/>
                      <w14:textFill>
                        <w14:solidFill>
                          <w14:schemeClr w14:val="tx1"/>
                        </w14:solidFill>
                      </w14:textFill>
                    </w:rPr>
                    <w:t>暑湿感冒颗粒0.5t/a</w:t>
                  </w:r>
                  <w:r>
                    <w:rPr>
                      <w:rFonts w:hint="eastAsia" w:cs="Times New Roman"/>
                      <w:color w:val="000000" w:themeColor="text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zCs w:val="21"/>
                      <w:highlight w:val="none"/>
                      <w14:textFill>
                        <w14:solidFill>
                          <w14:schemeClr w14:val="tx1"/>
                        </w14:solidFill>
                      </w14:textFill>
                    </w:rPr>
                    <w:t>散痈解毒颗粒0.5t/a</w:t>
                  </w:r>
                  <w:r>
                    <w:rPr>
                      <w:rFonts w:hint="eastAsia" w:cs="Times New Roman"/>
                      <w:color w:val="000000" w:themeColor="text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zCs w:val="21"/>
                      <w:highlight w:val="none"/>
                      <w14:textFill>
                        <w14:solidFill>
                          <w14:schemeClr w14:val="tx1"/>
                        </w14:solidFill>
                      </w14:textFill>
                    </w:rPr>
                    <w:t>经典名方颗粒</w:t>
                  </w:r>
                  <w:r>
                    <w:rPr>
                      <w:rFonts w:hint="eastAsia" w:cs="Times New Roman"/>
                      <w:color w:val="000000" w:themeColor="text1"/>
                      <w:szCs w:val="21"/>
                      <w:highlight w:val="none"/>
                      <w:lang w:val="en-US" w:eastAsia="zh-CN"/>
                      <w14:textFill>
                        <w14:solidFill>
                          <w14:schemeClr w14:val="tx1"/>
                        </w14:solidFill>
                      </w14:textFill>
                    </w:rPr>
                    <w:t>2.0</w:t>
                  </w:r>
                  <w:r>
                    <w:rPr>
                      <w:rFonts w:hint="eastAsia" w:ascii="Times New Roman" w:hAnsi="Times New Roman" w:eastAsia="宋体" w:cs="Times New Roman"/>
                      <w:color w:val="000000" w:themeColor="text1"/>
                      <w:szCs w:val="21"/>
                      <w:highlight w:val="none"/>
                      <w14:textFill>
                        <w14:solidFill>
                          <w14:schemeClr w14:val="tx1"/>
                        </w14:solidFill>
                      </w14:textFill>
                    </w:rPr>
                    <w:t>t/a</w:t>
                  </w:r>
                  <w:r>
                    <w:rPr>
                      <w:rFonts w:hint="eastAsia" w:cs="Times New Roman"/>
                      <w:color w:val="000000" w:themeColor="text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zCs w:val="21"/>
                      <w:highlight w:val="none"/>
                      <w14:textFill>
                        <w14:solidFill>
                          <w14:schemeClr w14:val="tx1"/>
                        </w14:solidFill>
                      </w14:textFill>
                    </w:rPr>
                    <w:t>气滞胃痛片</w:t>
                  </w:r>
                  <w:r>
                    <w:rPr>
                      <w:rFonts w:hint="eastAsia" w:cs="Times New Roman"/>
                      <w:color w:val="000000" w:themeColor="text1"/>
                      <w:szCs w:val="21"/>
                      <w:highlight w:val="none"/>
                      <w:lang w:val="en-US" w:eastAsia="zh-CN"/>
                      <w14:textFill>
                        <w14:solidFill>
                          <w14:schemeClr w14:val="tx1"/>
                        </w14:solidFill>
                      </w14:textFill>
                    </w:rPr>
                    <w:t>1.0</w:t>
                  </w:r>
                  <w:r>
                    <w:rPr>
                      <w:rFonts w:hint="eastAsia" w:ascii="Times New Roman" w:hAnsi="Times New Roman" w:eastAsia="宋体" w:cs="Times New Roman"/>
                      <w:color w:val="000000" w:themeColor="text1"/>
                      <w:szCs w:val="21"/>
                      <w:highlight w:val="none"/>
                      <w14:textFill>
                        <w14:solidFill>
                          <w14:schemeClr w14:val="tx1"/>
                        </w14:solidFill>
                      </w14:textFill>
                    </w:rPr>
                    <w:t>t/a</w:t>
                  </w:r>
                  <w:r>
                    <w:rPr>
                      <w:rFonts w:hint="eastAsia" w:cs="Times New Roman"/>
                      <w:color w:val="000000" w:themeColor="text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zCs w:val="21"/>
                      <w:highlight w:val="none"/>
                      <w14:textFill>
                        <w14:solidFill>
                          <w14:schemeClr w14:val="tx1"/>
                        </w14:solidFill>
                      </w14:textFill>
                    </w:rPr>
                    <w:t>阴虚胃痛片</w:t>
                  </w:r>
                  <w:r>
                    <w:rPr>
                      <w:rFonts w:hint="eastAsia" w:cs="Times New Roman"/>
                      <w:color w:val="000000" w:themeColor="text1"/>
                      <w:szCs w:val="21"/>
                      <w:highlight w:val="none"/>
                      <w:lang w:val="en-US" w:eastAsia="zh-CN"/>
                      <w14:textFill>
                        <w14:solidFill>
                          <w14:schemeClr w14:val="tx1"/>
                        </w14:solidFill>
                      </w14:textFill>
                    </w:rPr>
                    <w:t>1.0</w:t>
                  </w:r>
                  <w:r>
                    <w:rPr>
                      <w:rFonts w:hint="eastAsia" w:ascii="Times New Roman" w:hAnsi="Times New Roman" w:eastAsia="宋体" w:cs="Times New Roman"/>
                      <w:color w:val="000000" w:themeColor="text1"/>
                      <w:szCs w:val="21"/>
                      <w:highlight w:val="none"/>
                      <w14:textFill>
                        <w14:solidFill>
                          <w14:schemeClr w14:val="tx1"/>
                        </w14:solidFill>
                      </w14:textFill>
                    </w:rPr>
                    <w:t>t/a</w:t>
                  </w:r>
                  <w:r>
                    <w:rPr>
                      <w:rFonts w:hint="eastAsia" w:cs="Times New Roman"/>
                      <w:color w:val="000000" w:themeColor="text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zCs w:val="21"/>
                      <w:highlight w:val="none"/>
                      <w14:textFill>
                        <w14:solidFill>
                          <w14:schemeClr w14:val="tx1"/>
                        </w14:solidFill>
                      </w14:textFill>
                    </w:rPr>
                    <w:t>阴虚胃痛胶囊0.8t/a</w:t>
                  </w:r>
                  <w:r>
                    <w:rPr>
                      <w:rFonts w:hint="eastAsia" w:cs="Times New Roman"/>
                      <w:color w:val="000000" w:themeColor="text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zCs w:val="21"/>
                      <w:highlight w:val="none"/>
                      <w14:textFill>
                        <w14:solidFill>
                          <w14:schemeClr w14:val="tx1"/>
                        </w14:solidFill>
                      </w14:textFill>
                    </w:rPr>
                    <w:t>寒湿痹胶囊</w:t>
                  </w:r>
                  <w:r>
                    <w:rPr>
                      <w:rFonts w:hint="eastAsia" w:cs="Times New Roman"/>
                      <w:color w:val="000000" w:themeColor="text1"/>
                      <w:szCs w:val="21"/>
                      <w:highlight w:val="none"/>
                      <w:lang w:val="en-US" w:eastAsia="zh-CN"/>
                      <w14:textFill>
                        <w14:solidFill>
                          <w14:schemeClr w14:val="tx1"/>
                        </w14:solidFill>
                      </w14:textFill>
                    </w:rPr>
                    <w:t>1.0</w:t>
                  </w:r>
                  <w:r>
                    <w:rPr>
                      <w:rFonts w:hint="eastAsia" w:ascii="Times New Roman" w:hAnsi="Times New Roman" w:eastAsia="宋体" w:cs="Times New Roman"/>
                      <w:color w:val="000000" w:themeColor="text1"/>
                      <w:szCs w:val="21"/>
                      <w:highlight w:val="none"/>
                      <w14:textFill>
                        <w14:solidFill>
                          <w14:schemeClr w14:val="tx1"/>
                        </w14:solidFill>
                      </w14:textFill>
                    </w:rPr>
                    <w:t>t/a</w:t>
                  </w:r>
                  <w:r>
                    <w:rPr>
                      <w:rFonts w:hint="eastAsia" w:cs="Times New Roman"/>
                      <w:color w:val="000000" w:themeColor="text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zCs w:val="21"/>
                      <w:highlight w:val="none"/>
                      <w14:textFill>
                        <w14:solidFill>
                          <w14:schemeClr w14:val="tx1"/>
                        </w14:solidFill>
                      </w14:textFill>
                    </w:rPr>
                    <w:t>尪痹胶囊1.7t/a</w:t>
                  </w:r>
                  <w:r>
                    <w:rPr>
                      <w:rFonts w:hint="eastAsia" w:cs="Times New Roman"/>
                      <w:color w:val="000000" w:themeColor="text1"/>
                      <w:szCs w:val="21"/>
                      <w:highlight w:val="none"/>
                      <w:lang w:eastAsia="zh-CN"/>
                      <w14:textFill>
                        <w14:solidFill>
                          <w14:schemeClr w14:val="tx1"/>
                        </w14:solidFill>
                      </w14:textFill>
                    </w:rPr>
                    <w:t>，</w:t>
                  </w:r>
                  <w:r>
                    <w:rPr>
                      <w:rFonts w:hint="eastAsia" w:cs="Times New Roman"/>
                      <w:color w:val="000000" w:themeColor="text1"/>
                      <w:szCs w:val="21"/>
                      <w:highlight w:val="none"/>
                      <w:lang w:val="en-US" w:eastAsia="zh-CN"/>
                      <w14:textFill>
                        <w14:solidFill>
                          <w14:schemeClr w14:val="tx1"/>
                        </w14:solidFill>
                      </w14:textFill>
                    </w:rPr>
                    <w:t>总产能为10.5</w:t>
                  </w:r>
                  <w:r>
                    <w:rPr>
                      <w:rFonts w:hint="eastAsia" w:ascii="Times New Roman" w:hAnsi="Times New Roman" w:eastAsia="宋体" w:cs="Times New Roman"/>
                      <w:color w:val="000000" w:themeColor="text1"/>
                      <w:szCs w:val="21"/>
                      <w:highlight w:val="none"/>
                      <w14:textFill>
                        <w14:solidFill>
                          <w14:schemeClr w14:val="tx1"/>
                        </w14:solidFill>
                      </w14:textFill>
                    </w:rPr>
                    <w:t>t/a</w:t>
                  </w:r>
                  <w:r>
                    <w:rPr>
                      <w:rFonts w:hint="eastAsia" w:cs="Times New Roman"/>
                      <w:color w:val="000000" w:themeColor="text1"/>
                      <w:szCs w:val="21"/>
                      <w:highlight w:val="none"/>
                      <w:lang w:eastAsia="zh-CN"/>
                      <w14:textFill>
                        <w14:solidFill>
                          <w14:schemeClr w14:val="tx1"/>
                        </w14:solidFill>
                      </w14:textFill>
                    </w:rPr>
                    <w:t>。</w:t>
                  </w:r>
                </w:p>
              </w:tc>
              <w:tc>
                <w:tcPr>
                  <w:tcW w:w="366" w:type="pct"/>
                  <w:tcBorders>
                    <w:tl2br w:val="nil"/>
                    <w:tr2bl w:val="nil"/>
                  </w:tcBorders>
                  <w:tcMar>
                    <w:top w:w="15" w:type="dxa"/>
                    <w:left w:w="15" w:type="dxa"/>
                    <w:right w:w="15" w:type="dxa"/>
                  </w:tcMar>
                  <w:vAlign w:val="center"/>
                </w:tcPr>
                <w:p w14:paraId="206B11C1">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新建</w:t>
                  </w:r>
                </w:p>
              </w:tc>
            </w:tr>
            <w:tr w14:paraId="1C48448E">
              <w:tblPrEx>
                <w:tblBorders>
                  <w:top w:val="double" w:color="000000" w:sz="4" w:space="0"/>
                  <w:left w:val="none" w:color="auto" w:sz="0" w:space="0"/>
                  <w:bottom w:val="double" w:color="000000" w:sz="4" w:space="0"/>
                  <w:right w:val="none" w:color="auto" w:sz="0" w:space="0"/>
                  <w:insideH w:val="single" w:color="000000" w:sz="4" w:space="0"/>
                  <w:insideV w:val="single" w:color="000000" w:sz="8" w:space="0"/>
                </w:tblBorders>
                <w:tblCellMar>
                  <w:top w:w="0" w:type="dxa"/>
                  <w:left w:w="0" w:type="dxa"/>
                  <w:bottom w:w="0" w:type="dxa"/>
                  <w:right w:w="0" w:type="dxa"/>
                </w:tblCellMar>
              </w:tblPrEx>
              <w:trPr>
                <w:trHeight w:val="454" w:hRule="atLeast"/>
              </w:trPr>
              <w:tc>
                <w:tcPr>
                  <w:tcW w:w="418" w:type="pct"/>
                  <w:vMerge w:val="restart"/>
                  <w:tcBorders>
                    <w:tl2br w:val="nil"/>
                    <w:tr2bl w:val="nil"/>
                  </w:tcBorders>
                  <w:tcMar>
                    <w:top w:w="15" w:type="dxa"/>
                    <w:left w:w="15" w:type="dxa"/>
                    <w:right w:w="15" w:type="dxa"/>
                  </w:tcMar>
                  <w:vAlign w:val="center"/>
                </w:tcPr>
                <w:p w14:paraId="7DD1C45D">
                  <w:pPr>
                    <w:keepNext w:val="0"/>
                    <w:keepLines w:val="0"/>
                    <w:pageBreakBefore w:val="0"/>
                    <w:suppressLineNumbers w:val="0"/>
                    <w:kinsoku/>
                    <w:overflowPunct/>
                    <w:topLinePunct w:val="0"/>
                    <w:autoSpaceDE/>
                    <w:autoSpaceDN/>
                    <w:bidi w:val="0"/>
                    <w:adjustRightInd/>
                    <w:snapToGrid/>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辅助工程</w:t>
                  </w:r>
                </w:p>
              </w:tc>
              <w:tc>
                <w:tcPr>
                  <w:tcW w:w="547" w:type="pct"/>
                  <w:gridSpan w:val="2"/>
                  <w:tcBorders>
                    <w:tl2br w:val="nil"/>
                    <w:tr2bl w:val="nil"/>
                  </w:tcBorders>
                  <w:tcMar>
                    <w:top w:w="15" w:type="dxa"/>
                    <w:left w:w="15" w:type="dxa"/>
                    <w:right w:w="15" w:type="dxa"/>
                  </w:tcMar>
                  <w:vAlign w:val="center"/>
                </w:tcPr>
                <w:p w14:paraId="71E2969C">
                  <w:pPr>
                    <w:keepNext w:val="0"/>
                    <w:keepLines w:val="0"/>
                    <w:pageBreakBefore w:val="0"/>
                    <w:widowControl w:val="0"/>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综合楼</w:t>
                  </w:r>
                </w:p>
              </w:tc>
              <w:tc>
                <w:tcPr>
                  <w:tcW w:w="1126" w:type="pct"/>
                  <w:tcBorders>
                    <w:tl2br w:val="nil"/>
                    <w:tr2bl w:val="nil"/>
                  </w:tcBorders>
                  <w:tcMar>
                    <w:top w:w="15" w:type="dxa"/>
                    <w:left w:w="15" w:type="dxa"/>
                    <w:right w:w="15" w:type="dxa"/>
                  </w:tcMar>
                  <w:vAlign w:val="center"/>
                </w:tcPr>
                <w:p w14:paraId="087CD05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位于厂区中部，办公部分为4层，食堂部分为3层，占地面积1074.465m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，建筑面积3705.48m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，主要用于企业日常办公、食堂等。</w:t>
                  </w:r>
                </w:p>
              </w:tc>
              <w:tc>
                <w:tcPr>
                  <w:tcW w:w="1302" w:type="pct"/>
                  <w:tcBorders>
                    <w:tl2br w:val="nil"/>
                    <w:tr2bl w:val="nil"/>
                  </w:tcBorders>
                  <w:tcMar>
                    <w:top w:w="15" w:type="dxa"/>
                    <w:left w:w="15" w:type="dxa"/>
                    <w:right w:w="15" w:type="dxa"/>
                  </w:tcMar>
                  <w:vAlign w:val="center"/>
                </w:tcPr>
                <w:p w14:paraId="372D2C15">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依托</w:t>
                  </w:r>
                  <w:r>
                    <w:rPr>
                      <w:rFonts w:hint="eastAsia" w:cs="Times New Roman"/>
                      <w:color w:val="000000" w:themeColor="text1"/>
                      <w:kern w:val="0"/>
                      <w:sz w:val="21"/>
                      <w:szCs w:val="21"/>
                      <w:highlight w:val="none"/>
                      <w:lang w:val="en-US" w:eastAsia="zh-CN" w:bidi="ar"/>
                      <w14:textFill>
                        <w14:solidFill>
                          <w14:schemeClr w14:val="tx1"/>
                        </w14:solidFill>
                      </w14:textFill>
                    </w:rPr>
                    <w:t>现有，不变</w:t>
                  </w:r>
                </w:p>
              </w:tc>
              <w:tc>
                <w:tcPr>
                  <w:tcW w:w="1239" w:type="pct"/>
                  <w:tcBorders>
                    <w:tl2br w:val="nil"/>
                    <w:tr2bl w:val="nil"/>
                  </w:tcBorders>
                  <w:shd w:val="clear" w:color="auto" w:fill="auto"/>
                  <w:tcMar>
                    <w:top w:w="15" w:type="dxa"/>
                    <w:left w:w="15" w:type="dxa"/>
                    <w:right w:w="15" w:type="dxa"/>
                  </w:tcMar>
                  <w:vAlign w:val="center"/>
                </w:tcPr>
                <w:p w14:paraId="76550A4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位于厂区中部，办公部分为4层，食堂部分为3层，占地面积1074.465m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，建筑面积3705.48m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，主要用于企业日常办公、食堂等。</w:t>
                  </w:r>
                </w:p>
              </w:tc>
              <w:tc>
                <w:tcPr>
                  <w:tcW w:w="366" w:type="pct"/>
                  <w:tcBorders>
                    <w:tl2br w:val="nil"/>
                    <w:tr2bl w:val="nil"/>
                  </w:tcBorders>
                  <w:tcMar>
                    <w:top w:w="15" w:type="dxa"/>
                    <w:left w:w="15" w:type="dxa"/>
                    <w:right w:w="15" w:type="dxa"/>
                  </w:tcMar>
                  <w:vAlign w:val="center"/>
                </w:tcPr>
                <w:p w14:paraId="3C80794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eastAsia"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依托</w:t>
                  </w:r>
                  <w:r>
                    <w:rPr>
                      <w:rFonts w:hint="eastAsia" w:cs="Times New Roman"/>
                      <w:color w:val="000000" w:themeColor="text1"/>
                      <w:kern w:val="0"/>
                      <w:sz w:val="21"/>
                      <w:szCs w:val="21"/>
                      <w:highlight w:val="none"/>
                      <w:lang w:val="en-US" w:eastAsia="zh-CN" w:bidi="ar"/>
                      <w14:textFill>
                        <w14:solidFill>
                          <w14:schemeClr w14:val="tx1"/>
                        </w14:solidFill>
                      </w14:textFill>
                    </w:rPr>
                    <w:t>现有，不变</w:t>
                  </w:r>
                </w:p>
              </w:tc>
            </w:tr>
            <w:tr w14:paraId="3F545222">
              <w:tblPrEx>
                <w:tblBorders>
                  <w:top w:val="double" w:color="000000" w:sz="4" w:space="0"/>
                  <w:left w:val="none" w:color="auto" w:sz="0" w:space="0"/>
                  <w:bottom w:val="double" w:color="000000" w:sz="4" w:space="0"/>
                  <w:right w:val="none" w:color="auto" w:sz="0" w:space="0"/>
                  <w:insideH w:val="single" w:color="000000" w:sz="4" w:space="0"/>
                  <w:insideV w:val="single" w:color="000000" w:sz="8" w:space="0"/>
                </w:tblBorders>
                <w:tblCellMar>
                  <w:top w:w="0" w:type="dxa"/>
                  <w:left w:w="0" w:type="dxa"/>
                  <w:bottom w:w="0" w:type="dxa"/>
                  <w:right w:w="0" w:type="dxa"/>
                </w:tblCellMar>
              </w:tblPrEx>
              <w:trPr>
                <w:trHeight w:val="454" w:hRule="atLeast"/>
              </w:trPr>
              <w:tc>
                <w:tcPr>
                  <w:tcW w:w="418" w:type="pct"/>
                  <w:vMerge w:val="continue"/>
                  <w:tcBorders>
                    <w:tl2br w:val="nil"/>
                    <w:tr2bl w:val="nil"/>
                  </w:tcBorders>
                  <w:tcMar>
                    <w:top w:w="15" w:type="dxa"/>
                    <w:left w:w="15" w:type="dxa"/>
                    <w:right w:w="15" w:type="dxa"/>
                  </w:tcMar>
                  <w:vAlign w:val="center"/>
                </w:tcPr>
                <w:p w14:paraId="10432642">
                  <w:pPr>
                    <w:keepNext w:val="0"/>
                    <w:keepLines w:val="0"/>
                    <w:pageBreakBefore w:val="0"/>
                    <w:suppressLineNumbers w:val="0"/>
                    <w:kinsoku/>
                    <w:overflowPunct/>
                    <w:topLinePunct w:val="0"/>
                    <w:autoSpaceDE/>
                    <w:autoSpaceDN/>
                    <w:bidi w:val="0"/>
                    <w:adjustRightInd/>
                    <w:snapToGrid/>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p>
              </w:tc>
              <w:tc>
                <w:tcPr>
                  <w:tcW w:w="547" w:type="pct"/>
                  <w:gridSpan w:val="2"/>
                  <w:tcBorders>
                    <w:tl2br w:val="nil"/>
                    <w:tr2bl w:val="nil"/>
                  </w:tcBorders>
                  <w:tcMar>
                    <w:top w:w="15" w:type="dxa"/>
                    <w:left w:w="15" w:type="dxa"/>
                    <w:right w:w="15" w:type="dxa"/>
                  </w:tcMar>
                  <w:vAlign w:val="center"/>
                </w:tcPr>
                <w:p w14:paraId="5021F0D8">
                  <w:pPr>
                    <w:keepNext w:val="0"/>
                    <w:keepLines w:val="0"/>
                    <w:pageBreakBefore w:val="0"/>
                    <w:widowControl w:val="0"/>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锅炉房</w:t>
                  </w:r>
                </w:p>
              </w:tc>
              <w:tc>
                <w:tcPr>
                  <w:tcW w:w="1126" w:type="pct"/>
                  <w:tcBorders>
                    <w:tl2br w:val="nil"/>
                    <w:tr2bl w:val="nil"/>
                  </w:tcBorders>
                  <w:tcMar>
                    <w:top w:w="15" w:type="dxa"/>
                    <w:left w:w="15" w:type="dxa"/>
                    <w:right w:w="15" w:type="dxa"/>
                  </w:tcMar>
                  <w:vAlign w:val="center"/>
                </w:tcPr>
                <w:p w14:paraId="76D694B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位于厂区北部，4层，部分为2层，占地面积994.333m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，建筑面积2493.0m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，现有1台10t/h和6t/h燃气锅炉用于供热，1台15t/h燃气锅炉为备用锅炉。</w:t>
                  </w:r>
                </w:p>
              </w:tc>
              <w:tc>
                <w:tcPr>
                  <w:tcW w:w="1302" w:type="pct"/>
                  <w:tcBorders>
                    <w:tl2br w:val="nil"/>
                    <w:tr2bl w:val="nil"/>
                  </w:tcBorders>
                  <w:tcMar>
                    <w:top w:w="15" w:type="dxa"/>
                    <w:left w:w="15" w:type="dxa"/>
                    <w:right w:w="15" w:type="dxa"/>
                  </w:tcMar>
                  <w:vAlign w:val="center"/>
                </w:tcPr>
                <w:p w14:paraId="3A1ABF5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本项目生产用热依托现有1台10t/h和6t/h燃气锅炉</w:t>
                  </w:r>
                </w:p>
              </w:tc>
              <w:tc>
                <w:tcPr>
                  <w:tcW w:w="1239" w:type="pct"/>
                  <w:tcBorders>
                    <w:tl2br w:val="nil"/>
                    <w:tr2bl w:val="nil"/>
                  </w:tcBorders>
                  <w:tcMar>
                    <w:top w:w="15" w:type="dxa"/>
                    <w:left w:w="15" w:type="dxa"/>
                    <w:right w:w="15" w:type="dxa"/>
                  </w:tcMar>
                  <w:vAlign w:val="center"/>
                </w:tcPr>
                <w:p w14:paraId="57BB4A3A">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位于厂区北部，4层，部分为2层，占地面积994.333m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，建筑面积2493.0m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，现有1台10t/h和6t/h燃气锅炉用于供热，1台15t/h燃气锅炉为备用锅炉。本项目生产用热依托现有1台10t/h和6t/h燃气锅炉。</w:t>
                  </w:r>
                </w:p>
              </w:tc>
              <w:tc>
                <w:tcPr>
                  <w:tcW w:w="366" w:type="pct"/>
                  <w:tcBorders>
                    <w:tl2br w:val="nil"/>
                    <w:tr2bl w:val="nil"/>
                  </w:tcBorders>
                  <w:tcMar>
                    <w:top w:w="15" w:type="dxa"/>
                    <w:left w:w="15" w:type="dxa"/>
                    <w:right w:w="15" w:type="dxa"/>
                  </w:tcMar>
                  <w:vAlign w:val="center"/>
                </w:tcPr>
                <w:p w14:paraId="662DB436">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依托</w:t>
                  </w:r>
                  <w:r>
                    <w:rPr>
                      <w:rFonts w:hint="eastAsia" w:cs="Times New Roman"/>
                      <w:color w:val="000000" w:themeColor="text1"/>
                      <w:kern w:val="0"/>
                      <w:sz w:val="21"/>
                      <w:szCs w:val="21"/>
                      <w:highlight w:val="none"/>
                      <w:lang w:val="en-US" w:eastAsia="zh-CN" w:bidi="ar"/>
                      <w14:textFill>
                        <w14:solidFill>
                          <w14:schemeClr w14:val="tx1"/>
                        </w14:solidFill>
                      </w14:textFill>
                    </w:rPr>
                    <w:t>现有，不变</w:t>
                  </w:r>
                </w:p>
              </w:tc>
            </w:tr>
            <w:tr w14:paraId="73BA4D47">
              <w:tblPrEx>
                <w:tblBorders>
                  <w:top w:val="double" w:color="000000" w:sz="4" w:space="0"/>
                  <w:left w:val="none" w:color="auto" w:sz="0" w:space="0"/>
                  <w:bottom w:val="double" w:color="000000" w:sz="4" w:space="0"/>
                  <w:right w:val="none" w:color="auto" w:sz="0" w:space="0"/>
                  <w:insideH w:val="single" w:color="000000" w:sz="4" w:space="0"/>
                  <w:insideV w:val="single" w:color="000000" w:sz="8" w:space="0"/>
                </w:tblBorders>
                <w:tblCellMar>
                  <w:top w:w="0" w:type="dxa"/>
                  <w:left w:w="0" w:type="dxa"/>
                  <w:bottom w:w="0" w:type="dxa"/>
                  <w:right w:w="0" w:type="dxa"/>
                </w:tblCellMar>
              </w:tblPrEx>
              <w:trPr>
                <w:trHeight w:val="454" w:hRule="atLeast"/>
              </w:trPr>
              <w:tc>
                <w:tcPr>
                  <w:tcW w:w="418" w:type="pct"/>
                  <w:vMerge w:val="continue"/>
                  <w:tcBorders>
                    <w:tl2br w:val="nil"/>
                    <w:tr2bl w:val="nil"/>
                  </w:tcBorders>
                  <w:tcMar>
                    <w:top w:w="15" w:type="dxa"/>
                    <w:left w:w="15" w:type="dxa"/>
                    <w:right w:w="15" w:type="dxa"/>
                  </w:tcMar>
                  <w:vAlign w:val="center"/>
                </w:tcPr>
                <w:p w14:paraId="3D2A3018">
                  <w:pPr>
                    <w:keepNext w:val="0"/>
                    <w:keepLines w:val="0"/>
                    <w:pageBreakBefore w:val="0"/>
                    <w:suppressLineNumbers w:val="0"/>
                    <w:kinsoku/>
                    <w:overflowPunct/>
                    <w:topLinePunct w:val="0"/>
                    <w:autoSpaceDE/>
                    <w:autoSpaceDN/>
                    <w:bidi w:val="0"/>
                    <w:adjustRightInd/>
                    <w:snapToGrid/>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p>
              </w:tc>
              <w:tc>
                <w:tcPr>
                  <w:tcW w:w="547" w:type="pct"/>
                  <w:gridSpan w:val="2"/>
                  <w:tcBorders>
                    <w:tl2br w:val="nil"/>
                    <w:tr2bl w:val="nil"/>
                  </w:tcBorders>
                  <w:tcMar>
                    <w:top w:w="15" w:type="dxa"/>
                    <w:left w:w="15" w:type="dxa"/>
                    <w:right w:w="15" w:type="dxa"/>
                  </w:tcMar>
                  <w:vAlign w:val="center"/>
                </w:tcPr>
                <w:p w14:paraId="7FFA116D">
                  <w:pPr>
                    <w:keepNext w:val="0"/>
                    <w:keepLines w:val="0"/>
                    <w:pageBreakBefore w:val="0"/>
                    <w:widowControl w:val="0"/>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实验楼</w:t>
                  </w:r>
                </w:p>
              </w:tc>
              <w:tc>
                <w:tcPr>
                  <w:tcW w:w="1126" w:type="pct"/>
                  <w:tcBorders>
                    <w:tl2br w:val="nil"/>
                    <w:tr2bl w:val="nil"/>
                  </w:tcBorders>
                  <w:tcMar>
                    <w:top w:w="15" w:type="dxa"/>
                    <w:left w:w="15" w:type="dxa"/>
                    <w:right w:w="15" w:type="dxa"/>
                  </w:tcMar>
                  <w:vAlign w:val="center"/>
                </w:tcPr>
                <w:p w14:paraId="7BFAF53E">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位于厂区西部，5层，占地面积2600m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，建筑面积13000m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，主要用于生产过程检验等。</w:t>
                  </w:r>
                </w:p>
              </w:tc>
              <w:tc>
                <w:tcPr>
                  <w:tcW w:w="1302" w:type="pct"/>
                  <w:tcBorders>
                    <w:tl2br w:val="nil"/>
                    <w:tr2bl w:val="nil"/>
                  </w:tcBorders>
                  <w:tcMar>
                    <w:top w:w="15" w:type="dxa"/>
                    <w:left w:w="15" w:type="dxa"/>
                    <w:right w:w="15" w:type="dxa"/>
                  </w:tcMar>
                  <w:vAlign w:val="center"/>
                </w:tcPr>
                <w:p w14:paraId="6A5D049F">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本项目生产过程检验依托实验楼现有检测设备和仪器等</w:t>
                  </w:r>
                </w:p>
              </w:tc>
              <w:tc>
                <w:tcPr>
                  <w:tcW w:w="1239" w:type="pct"/>
                  <w:tcBorders>
                    <w:tl2br w:val="nil"/>
                    <w:tr2bl w:val="nil"/>
                  </w:tcBorders>
                  <w:tcMar>
                    <w:top w:w="15" w:type="dxa"/>
                    <w:left w:w="15" w:type="dxa"/>
                    <w:right w:w="15" w:type="dxa"/>
                  </w:tcMar>
                  <w:vAlign w:val="center"/>
                </w:tcPr>
                <w:p w14:paraId="7261E7F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位于厂区西部，5层，占地面积2600m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，建筑面积13000m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，主要用于生产过程检验等。本项目生产过程检验依托实验楼现有检测设备和仪器等。</w:t>
                  </w:r>
                </w:p>
              </w:tc>
              <w:tc>
                <w:tcPr>
                  <w:tcW w:w="366" w:type="pct"/>
                  <w:tcBorders>
                    <w:tl2br w:val="nil"/>
                    <w:tr2bl w:val="nil"/>
                  </w:tcBorders>
                  <w:tcMar>
                    <w:top w:w="15" w:type="dxa"/>
                    <w:left w:w="15" w:type="dxa"/>
                    <w:right w:w="15" w:type="dxa"/>
                  </w:tcMar>
                  <w:vAlign w:val="center"/>
                </w:tcPr>
                <w:p w14:paraId="7445236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依托</w:t>
                  </w:r>
                  <w:r>
                    <w:rPr>
                      <w:rFonts w:hint="eastAsia" w:cs="Times New Roman"/>
                      <w:color w:val="000000" w:themeColor="text1"/>
                      <w:kern w:val="0"/>
                      <w:sz w:val="21"/>
                      <w:szCs w:val="21"/>
                      <w:highlight w:val="none"/>
                      <w:lang w:val="en-US" w:eastAsia="zh-CN" w:bidi="ar"/>
                      <w14:textFill>
                        <w14:solidFill>
                          <w14:schemeClr w14:val="tx1"/>
                        </w14:solidFill>
                      </w14:textFill>
                    </w:rPr>
                    <w:t>现有，不变</w:t>
                  </w:r>
                </w:p>
              </w:tc>
            </w:tr>
            <w:tr w14:paraId="4448B6D3">
              <w:tblPrEx>
                <w:tblBorders>
                  <w:top w:val="double" w:color="000000" w:sz="4" w:space="0"/>
                  <w:left w:val="none" w:color="auto" w:sz="0" w:space="0"/>
                  <w:bottom w:val="double" w:color="000000" w:sz="4" w:space="0"/>
                  <w:right w:val="none" w:color="auto" w:sz="0" w:space="0"/>
                  <w:insideH w:val="single" w:color="000000" w:sz="4" w:space="0"/>
                  <w:insideV w:val="single" w:color="000000" w:sz="8" w:space="0"/>
                </w:tblBorders>
                <w:tblCellMar>
                  <w:top w:w="0" w:type="dxa"/>
                  <w:left w:w="0" w:type="dxa"/>
                  <w:bottom w:w="0" w:type="dxa"/>
                  <w:right w:w="0" w:type="dxa"/>
                </w:tblCellMar>
              </w:tblPrEx>
              <w:trPr>
                <w:trHeight w:val="454" w:hRule="atLeast"/>
              </w:trPr>
              <w:tc>
                <w:tcPr>
                  <w:tcW w:w="418" w:type="pct"/>
                  <w:vMerge w:val="restart"/>
                  <w:tcBorders>
                    <w:tl2br w:val="nil"/>
                    <w:tr2bl w:val="nil"/>
                  </w:tcBorders>
                  <w:tcMar>
                    <w:top w:w="15" w:type="dxa"/>
                    <w:left w:w="15" w:type="dxa"/>
                    <w:right w:w="15" w:type="dxa"/>
                  </w:tcMar>
                  <w:vAlign w:val="center"/>
                </w:tcPr>
                <w:p w14:paraId="3B096D07">
                  <w:pPr>
                    <w:keepNext w:val="0"/>
                    <w:keepLines w:val="0"/>
                    <w:pageBreakBefore w:val="0"/>
                    <w:suppressLineNumbers w:val="0"/>
                    <w:kinsoku/>
                    <w:overflowPunct/>
                    <w:topLinePunct w:val="0"/>
                    <w:autoSpaceDE/>
                    <w:autoSpaceDN/>
                    <w:bidi w:val="0"/>
                    <w:adjustRightInd/>
                    <w:snapToGrid/>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21"/>
                      <w:szCs w:val="21"/>
                      <w:highlight w:val="none"/>
                      <w:lang w:bidi="ar"/>
                      <w14:textFill>
                        <w14:solidFill>
                          <w14:schemeClr w14:val="tx1"/>
                        </w14:solidFill>
                      </w14:textFill>
                    </w:rPr>
                    <w:t>储运工程</w:t>
                  </w:r>
                </w:p>
              </w:tc>
              <w:tc>
                <w:tcPr>
                  <w:tcW w:w="547" w:type="pct"/>
                  <w:gridSpan w:val="2"/>
                  <w:tcBorders>
                    <w:tl2br w:val="nil"/>
                    <w:tr2bl w:val="nil"/>
                  </w:tcBorders>
                  <w:tcMar>
                    <w:top w:w="15" w:type="dxa"/>
                    <w:left w:w="15" w:type="dxa"/>
                    <w:right w:w="15" w:type="dxa"/>
                  </w:tcMar>
                  <w:vAlign w:val="center"/>
                </w:tcPr>
                <w:p w14:paraId="6ACBD0FB">
                  <w:pPr>
                    <w:keepNext w:val="0"/>
                    <w:keepLines w:val="0"/>
                    <w:pageBreakBefore w:val="0"/>
                    <w:widowControl w:val="0"/>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综合仓库</w:t>
                  </w:r>
                </w:p>
              </w:tc>
              <w:tc>
                <w:tcPr>
                  <w:tcW w:w="1126" w:type="pct"/>
                  <w:tcBorders>
                    <w:tl2br w:val="nil"/>
                    <w:tr2bl w:val="nil"/>
                  </w:tcBorders>
                  <w:tcMar>
                    <w:top w:w="15" w:type="dxa"/>
                    <w:left w:w="15" w:type="dxa"/>
                    <w:right w:w="15" w:type="dxa"/>
                  </w:tcMar>
                  <w:vAlign w:val="center"/>
                </w:tcPr>
                <w:p w14:paraId="08EEE4DF">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位于厂区东南，局部4层，占地面积9530m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，建筑面积26120m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；用于堆放原料和成品。</w:t>
                  </w:r>
                </w:p>
              </w:tc>
              <w:tc>
                <w:tcPr>
                  <w:tcW w:w="1302" w:type="pct"/>
                  <w:tcBorders>
                    <w:tl2br w:val="nil"/>
                    <w:tr2bl w:val="nil"/>
                  </w:tcBorders>
                  <w:tcMar>
                    <w:top w:w="15" w:type="dxa"/>
                    <w:left w:w="15" w:type="dxa"/>
                    <w:right w:w="15" w:type="dxa"/>
                  </w:tcMar>
                  <w:vAlign w:val="center"/>
                </w:tcPr>
                <w:p w14:paraId="5DACB3AA">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依托</w:t>
                  </w:r>
                  <w:r>
                    <w:rPr>
                      <w:rFonts w:hint="eastAsia" w:cs="Times New Roman"/>
                      <w:color w:val="000000" w:themeColor="text1"/>
                      <w:kern w:val="0"/>
                      <w:sz w:val="21"/>
                      <w:szCs w:val="21"/>
                      <w:highlight w:val="none"/>
                      <w:lang w:val="en-US" w:eastAsia="zh-CN" w:bidi="ar"/>
                      <w14:textFill>
                        <w14:solidFill>
                          <w14:schemeClr w14:val="tx1"/>
                        </w14:solidFill>
                      </w14:textFill>
                    </w:rPr>
                    <w:t>现有，不变</w:t>
                  </w:r>
                </w:p>
              </w:tc>
              <w:tc>
                <w:tcPr>
                  <w:tcW w:w="1239" w:type="pct"/>
                  <w:tcBorders>
                    <w:tl2br w:val="nil"/>
                    <w:tr2bl w:val="nil"/>
                  </w:tcBorders>
                  <w:tcMar>
                    <w:top w:w="15" w:type="dxa"/>
                    <w:left w:w="15" w:type="dxa"/>
                    <w:right w:w="15" w:type="dxa"/>
                  </w:tcMar>
                  <w:vAlign w:val="center"/>
                </w:tcPr>
                <w:p w14:paraId="5C53632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位于厂区东南，局部4层，占地面积9530m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，建筑面积26120m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；用于堆放原料和成品。</w:t>
                  </w:r>
                </w:p>
              </w:tc>
              <w:tc>
                <w:tcPr>
                  <w:tcW w:w="366" w:type="pct"/>
                  <w:tcBorders>
                    <w:tl2br w:val="nil"/>
                    <w:tr2bl w:val="nil"/>
                  </w:tcBorders>
                  <w:tcMar>
                    <w:top w:w="15" w:type="dxa"/>
                    <w:left w:w="15" w:type="dxa"/>
                    <w:right w:w="15" w:type="dxa"/>
                  </w:tcMar>
                  <w:vAlign w:val="center"/>
                </w:tcPr>
                <w:p w14:paraId="6B53E8A3">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依托</w:t>
                  </w:r>
                  <w:r>
                    <w:rPr>
                      <w:rFonts w:hint="eastAsia" w:cs="Times New Roman"/>
                      <w:color w:val="000000" w:themeColor="text1"/>
                      <w:kern w:val="0"/>
                      <w:sz w:val="21"/>
                      <w:szCs w:val="21"/>
                      <w:highlight w:val="none"/>
                      <w:lang w:val="en-US" w:eastAsia="zh-CN" w:bidi="ar"/>
                      <w14:textFill>
                        <w14:solidFill>
                          <w14:schemeClr w14:val="tx1"/>
                        </w14:solidFill>
                      </w14:textFill>
                    </w:rPr>
                    <w:t>现有，不变</w:t>
                  </w:r>
                </w:p>
              </w:tc>
            </w:tr>
            <w:tr w14:paraId="42B9E043">
              <w:tblPrEx>
                <w:tblBorders>
                  <w:top w:val="double" w:color="000000" w:sz="4" w:space="0"/>
                  <w:left w:val="none" w:color="auto" w:sz="0" w:space="0"/>
                  <w:bottom w:val="double" w:color="000000" w:sz="4" w:space="0"/>
                  <w:right w:val="none" w:color="auto" w:sz="0" w:space="0"/>
                  <w:insideH w:val="single" w:color="000000" w:sz="4" w:space="0"/>
                  <w:insideV w:val="single" w:color="000000" w:sz="8" w:space="0"/>
                </w:tblBorders>
                <w:tblCellMar>
                  <w:top w:w="0" w:type="dxa"/>
                  <w:left w:w="0" w:type="dxa"/>
                  <w:bottom w:w="0" w:type="dxa"/>
                  <w:right w:w="0" w:type="dxa"/>
                </w:tblCellMar>
              </w:tblPrEx>
              <w:trPr>
                <w:trHeight w:val="454" w:hRule="atLeast"/>
              </w:trPr>
              <w:tc>
                <w:tcPr>
                  <w:tcW w:w="418" w:type="pct"/>
                  <w:vMerge w:val="continue"/>
                  <w:tcBorders>
                    <w:tl2br w:val="nil"/>
                    <w:tr2bl w:val="nil"/>
                  </w:tcBorders>
                  <w:tcMar>
                    <w:top w:w="15" w:type="dxa"/>
                    <w:left w:w="15" w:type="dxa"/>
                    <w:right w:w="15" w:type="dxa"/>
                  </w:tcMar>
                  <w:vAlign w:val="center"/>
                </w:tcPr>
                <w:p w14:paraId="2BBA3121">
                  <w:pPr>
                    <w:keepNext w:val="0"/>
                    <w:keepLines w:val="0"/>
                    <w:pageBreakBefore w:val="0"/>
                    <w:suppressLineNumbers w:val="0"/>
                    <w:kinsoku/>
                    <w:overflowPunct/>
                    <w:topLinePunct w:val="0"/>
                    <w:autoSpaceDE/>
                    <w:autoSpaceDN/>
                    <w:bidi w:val="0"/>
                    <w:adjustRightInd/>
                    <w:snapToGrid/>
                    <w:spacing w:before="0" w:beforeAutospacing="0" w:after="0" w:afterAutospacing="0"/>
                    <w:ind w:left="0" w:right="0"/>
                    <w:jc w:val="center"/>
                    <w:rPr>
                      <w:rFonts w:hint="default" w:ascii="Times New Roman" w:hAnsi="Times New Roman" w:cs="Times New Roman"/>
                      <w:color w:val="000000" w:themeColor="text1"/>
                      <w:kern w:val="0"/>
                      <w:sz w:val="21"/>
                      <w:szCs w:val="21"/>
                      <w:highlight w:val="none"/>
                      <w:lang w:bidi="ar"/>
                      <w14:textFill>
                        <w14:solidFill>
                          <w14:schemeClr w14:val="tx1"/>
                        </w14:solidFill>
                      </w14:textFill>
                    </w:rPr>
                  </w:pPr>
                </w:p>
              </w:tc>
              <w:tc>
                <w:tcPr>
                  <w:tcW w:w="547" w:type="pct"/>
                  <w:gridSpan w:val="2"/>
                  <w:tcBorders>
                    <w:tl2br w:val="nil"/>
                    <w:tr2bl w:val="nil"/>
                  </w:tcBorders>
                  <w:tcMar>
                    <w:top w:w="15" w:type="dxa"/>
                    <w:left w:w="15" w:type="dxa"/>
                    <w:right w:w="15" w:type="dxa"/>
                  </w:tcMar>
                  <w:vAlign w:val="center"/>
                </w:tcPr>
                <w:p w14:paraId="41B8B36F">
                  <w:pPr>
                    <w:keepNext w:val="0"/>
                    <w:keepLines w:val="0"/>
                    <w:pageBreakBefore w:val="0"/>
                    <w:widowControl w:val="0"/>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片碱库</w:t>
                  </w:r>
                </w:p>
              </w:tc>
              <w:tc>
                <w:tcPr>
                  <w:tcW w:w="1126" w:type="pct"/>
                  <w:tcBorders>
                    <w:tl2br w:val="nil"/>
                    <w:tr2bl w:val="nil"/>
                  </w:tcBorders>
                  <w:tcMar>
                    <w:top w:w="15" w:type="dxa"/>
                    <w:left w:w="15" w:type="dxa"/>
                    <w:right w:w="15" w:type="dxa"/>
                  </w:tcMar>
                  <w:vAlign w:val="center"/>
                </w:tcPr>
                <w:p w14:paraId="0F5C0EB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位于厂区北侧，与锅炉房东侧相邻，1层，占地面积50m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，建筑面积50m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，戊类库，用于贮存片碱。</w:t>
                  </w:r>
                </w:p>
              </w:tc>
              <w:tc>
                <w:tcPr>
                  <w:tcW w:w="1302" w:type="pct"/>
                  <w:tcBorders>
                    <w:tl2br w:val="nil"/>
                    <w:tr2bl w:val="nil"/>
                  </w:tcBorders>
                  <w:tcMar>
                    <w:top w:w="15" w:type="dxa"/>
                    <w:left w:w="15" w:type="dxa"/>
                    <w:right w:w="15" w:type="dxa"/>
                  </w:tcMar>
                  <w:vAlign w:val="center"/>
                </w:tcPr>
                <w:p w14:paraId="791414C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本项目依托现有片碱库贮存片碱，片碱用于设备清洗。</w:t>
                  </w:r>
                </w:p>
              </w:tc>
              <w:tc>
                <w:tcPr>
                  <w:tcW w:w="1239" w:type="pct"/>
                  <w:tcBorders>
                    <w:tl2br w:val="nil"/>
                    <w:tr2bl w:val="nil"/>
                  </w:tcBorders>
                  <w:tcMar>
                    <w:top w:w="15" w:type="dxa"/>
                    <w:left w:w="15" w:type="dxa"/>
                    <w:right w:w="15" w:type="dxa"/>
                  </w:tcMar>
                  <w:vAlign w:val="center"/>
                </w:tcPr>
                <w:p w14:paraId="26994569">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位于厂区北侧，与锅炉房东侧相邻，1层，占地面积50m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，建筑面积50m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，戊类库，用于储存片碱。本项目依托现有片碱库贮存片碱，片碱用于设备清洗。</w:t>
                  </w:r>
                </w:p>
              </w:tc>
              <w:tc>
                <w:tcPr>
                  <w:tcW w:w="366" w:type="pct"/>
                  <w:tcBorders>
                    <w:tl2br w:val="nil"/>
                    <w:tr2bl w:val="nil"/>
                  </w:tcBorders>
                  <w:tcMar>
                    <w:top w:w="15" w:type="dxa"/>
                    <w:left w:w="15" w:type="dxa"/>
                    <w:right w:w="15" w:type="dxa"/>
                  </w:tcMar>
                  <w:vAlign w:val="center"/>
                </w:tcPr>
                <w:p w14:paraId="04EBB8E2">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依托</w:t>
                  </w:r>
                  <w:r>
                    <w:rPr>
                      <w:rFonts w:hint="eastAsia" w:cs="Times New Roman"/>
                      <w:color w:val="000000" w:themeColor="text1"/>
                      <w:kern w:val="0"/>
                      <w:sz w:val="21"/>
                      <w:szCs w:val="21"/>
                      <w:highlight w:val="none"/>
                      <w:lang w:val="en-US" w:eastAsia="zh-CN" w:bidi="ar"/>
                      <w14:textFill>
                        <w14:solidFill>
                          <w14:schemeClr w14:val="tx1"/>
                        </w14:solidFill>
                      </w14:textFill>
                    </w:rPr>
                    <w:t>现有，不变</w:t>
                  </w:r>
                </w:p>
              </w:tc>
            </w:tr>
            <w:tr w14:paraId="58BF403F">
              <w:tblPrEx>
                <w:tblBorders>
                  <w:top w:val="double" w:color="000000" w:sz="4" w:space="0"/>
                  <w:left w:val="none" w:color="auto" w:sz="0" w:space="0"/>
                  <w:bottom w:val="double" w:color="000000" w:sz="4" w:space="0"/>
                  <w:right w:val="none" w:color="auto" w:sz="0" w:space="0"/>
                  <w:insideH w:val="single" w:color="000000" w:sz="4" w:space="0"/>
                  <w:insideV w:val="single" w:color="000000" w:sz="8" w:space="0"/>
                </w:tblBorders>
                <w:tblCellMar>
                  <w:top w:w="0" w:type="dxa"/>
                  <w:left w:w="0" w:type="dxa"/>
                  <w:bottom w:w="0" w:type="dxa"/>
                  <w:right w:w="0" w:type="dxa"/>
                </w:tblCellMar>
              </w:tblPrEx>
              <w:trPr>
                <w:trHeight w:val="454" w:hRule="atLeast"/>
              </w:trPr>
              <w:tc>
                <w:tcPr>
                  <w:tcW w:w="418" w:type="pct"/>
                  <w:vMerge w:val="continue"/>
                  <w:tcBorders>
                    <w:tl2br w:val="nil"/>
                    <w:tr2bl w:val="nil"/>
                  </w:tcBorders>
                  <w:tcMar>
                    <w:top w:w="15" w:type="dxa"/>
                    <w:left w:w="15" w:type="dxa"/>
                    <w:right w:w="15" w:type="dxa"/>
                  </w:tcMar>
                  <w:vAlign w:val="center"/>
                </w:tcPr>
                <w:p w14:paraId="297B4C89">
                  <w:pPr>
                    <w:keepNext w:val="0"/>
                    <w:keepLines w:val="0"/>
                    <w:pageBreakBefore w:val="0"/>
                    <w:suppressLineNumbers w:val="0"/>
                    <w:kinsoku/>
                    <w:overflowPunct/>
                    <w:topLinePunct w:val="0"/>
                    <w:autoSpaceDE/>
                    <w:autoSpaceDN/>
                    <w:bidi w:val="0"/>
                    <w:adjustRightInd/>
                    <w:snapToGrid/>
                    <w:spacing w:before="0" w:beforeAutospacing="0" w:after="0" w:afterAutospacing="0"/>
                    <w:ind w:left="0" w:right="0"/>
                    <w:jc w:val="center"/>
                    <w:rPr>
                      <w:rFonts w:hint="default" w:ascii="Times New Roman" w:hAnsi="Times New Roman" w:cs="Times New Roman"/>
                      <w:color w:val="000000" w:themeColor="text1"/>
                      <w:kern w:val="0"/>
                      <w:sz w:val="21"/>
                      <w:szCs w:val="21"/>
                      <w:highlight w:val="none"/>
                      <w:lang w:bidi="ar"/>
                      <w14:textFill>
                        <w14:solidFill>
                          <w14:schemeClr w14:val="tx1"/>
                        </w14:solidFill>
                      </w14:textFill>
                    </w:rPr>
                  </w:pPr>
                </w:p>
              </w:tc>
              <w:tc>
                <w:tcPr>
                  <w:tcW w:w="547" w:type="pct"/>
                  <w:gridSpan w:val="2"/>
                  <w:tcBorders>
                    <w:tl2br w:val="nil"/>
                    <w:tr2bl w:val="nil"/>
                  </w:tcBorders>
                  <w:tcMar>
                    <w:top w:w="15" w:type="dxa"/>
                    <w:left w:w="15" w:type="dxa"/>
                    <w:right w:w="15" w:type="dxa"/>
                  </w:tcMar>
                  <w:vAlign w:val="center"/>
                </w:tcPr>
                <w:p w14:paraId="6B05556D">
                  <w:pPr>
                    <w:keepNext w:val="0"/>
                    <w:keepLines w:val="0"/>
                    <w:pageBreakBefore w:val="0"/>
                    <w:widowControl w:val="0"/>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乙醇储罐</w:t>
                  </w:r>
                </w:p>
              </w:tc>
              <w:tc>
                <w:tcPr>
                  <w:tcW w:w="1126" w:type="pct"/>
                  <w:tcBorders>
                    <w:tl2br w:val="nil"/>
                    <w:tr2bl w:val="nil"/>
                  </w:tcBorders>
                  <w:tcMar>
                    <w:top w:w="15" w:type="dxa"/>
                    <w:left w:w="15" w:type="dxa"/>
                    <w:right w:w="15" w:type="dxa"/>
                  </w:tcMar>
                  <w:vAlign w:val="center"/>
                </w:tcPr>
                <w:p w14:paraId="53A018E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位于厂区东北，前处理车间西北南，为2个3t单层地埋式储罐，材质为SU308不锈钢，用于贮存乙醇溶液。</w:t>
                  </w:r>
                </w:p>
              </w:tc>
              <w:tc>
                <w:tcPr>
                  <w:tcW w:w="1302" w:type="pct"/>
                  <w:tcBorders>
                    <w:tl2br w:val="nil"/>
                    <w:tr2bl w:val="nil"/>
                  </w:tcBorders>
                  <w:tcMar>
                    <w:top w:w="15" w:type="dxa"/>
                    <w:left w:w="15" w:type="dxa"/>
                    <w:right w:w="15" w:type="dxa"/>
                  </w:tcMar>
                  <w:vAlign w:val="center"/>
                </w:tcPr>
                <w:p w14:paraId="00018C12">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本项目依托现有</w:t>
                  </w:r>
                  <w:r>
                    <w:rPr>
                      <w:rFonts w:hint="eastAsia" w:cs="Times New Roman"/>
                      <w:color w:val="000000" w:themeColor="text1"/>
                      <w:sz w:val="21"/>
                      <w:szCs w:val="21"/>
                      <w:highlight w:val="none"/>
                      <w:vertAlign w:val="baseline"/>
                      <w:lang w:val="en-US" w:eastAsia="zh-CN"/>
                      <w14:textFill>
                        <w14:solidFill>
                          <w14:schemeClr w14:val="tx1"/>
                        </w14:solidFill>
                      </w14:textFill>
                    </w:rPr>
                    <w:t>乙醇储罐</w:t>
                  </w:r>
                  <w:r>
                    <w:rPr>
                      <w:rFonts w:hint="eastAsia" w:cs="Times New Roman"/>
                      <w:color w:val="000000" w:themeColor="text1"/>
                      <w:sz w:val="21"/>
                      <w:szCs w:val="21"/>
                      <w:highlight w:val="none"/>
                      <w:lang w:val="en-US" w:eastAsia="zh-CN"/>
                      <w14:textFill>
                        <w14:solidFill>
                          <w14:schemeClr w14:val="tx1"/>
                        </w14:solidFill>
                      </w14:textFill>
                    </w:rPr>
                    <w:t>贮存乙醇溶液，乙醇溶液用于消毒和清场。</w:t>
                  </w:r>
                </w:p>
              </w:tc>
              <w:tc>
                <w:tcPr>
                  <w:tcW w:w="1239" w:type="pct"/>
                  <w:tcBorders>
                    <w:tl2br w:val="nil"/>
                    <w:tr2bl w:val="nil"/>
                  </w:tcBorders>
                  <w:tcMar>
                    <w:top w:w="15" w:type="dxa"/>
                    <w:left w:w="15" w:type="dxa"/>
                    <w:right w:w="15" w:type="dxa"/>
                  </w:tcMar>
                  <w:vAlign w:val="center"/>
                </w:tcPr>
                <w:p w14:paraId="61DB3F8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位于厂区东北，前处理车间西北南，为2个3t单层地埋式储罐，材质为SU308不锈钢，用于贮存乙醇溶液。本项目依托现有</w:t>
                  </w:r>
                  <w:r>
                    <w:rPr>
                      <w:rFonts w:hint="eastAsia" w:cs="Times New Roman"/>
                      <w:color w:val="000000" w:themeColor="text1"/>
                      <w:sz w:val="21"/>
                      <w:szCs w:val="21"/>
                      <w:highlight w:val="none"/>
                      <w:vertAlign w:val="baseline"/>
                      <w:lang w:val="en-US" w:eastAsia="zh-CN"/>
                      <w14:textFill>
                        <w14:solidFill>
                          <w14:schemeClr w14:val="tx1"/>
                        </w14:solidFill>
                      </w14:textFill>
                    </w:rPr>
                    <w:t>乙醇储罐</w:t>
                  </w:r>
                  <w:r>
                    <w:rPr>
                      <w:rFonts w:hint="eastAsia" w:cs="Times New Roman"/>
                      <w:color w:val="000000" w:themeColor="text1"/>
                      <w:sz w:val="21"/>
                      <w:szCs w:val="21"/>
                      <w:highlight w:val="none"/>
                      <w:lang w:val="en-US" w:eastAsia="zh-CN"/>
                      <w14:textFill>
                        <w14:solidFill>
                          <w14:schemeClr w14:val="tx1"/>
                        </w14:solidFill>
                      </w14:textFill>
                    </w:rPr>
                    <w:t>贮存乙醇溶液，乙醇溶液用于消毒。</w:t>
                  </w:r>
                </w:p>
              </w:tc>
              <w:tc>
                <w:tcPr>
                  <w:tcW w:w="366" w:type="pct"/>
                  <w:tcBorders>
                    <w:tl2br w:val="nil"/>
                    <w:tr2bl w:val="nil"/>
                  </w:tcBorders>
                  <w:tcMar>
                    <w:top w:w="15" w:type="dxa"/>
                    <w:left w:w="15" w:type="dxa"/>
                    <w:right w:w="15" w:type="dxa"/>
                  </w:tcMar>
                  <w:vAlign w:val="center"/>
                </w:tcPr>
                <w:p w14:paraId="0911FADF">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依托</w:t>
                  </w:r>
                  <w:r>
                    <w:rPr>
                      <w:rFonts w:hint="eastAsia" w:cs="Times New Roman"/>
                      <w:color w:val="000000" w:themeColor="text1"/>
                      <w:kern w:val="0"/>
                      <w:sz w:val="21"/>
                      <w:szCs w:val="21"/>
                      <w:highlight w:val="none"/>
                      <w:lang w:val="en-US" w:eastAsia="zh-CN" w:bidi="ar"/>
                      <w14:textFill>
                        <w14:solidFill>
                          <w14:schemeClr w14:val="tx1"/>
                        </w14:solidFill>
                      </w14:textFill>
                    </w:rPr>
                    <w:t>现有，不变</w:t>
                  </w:r>
                </w:p>
              </w:tc>
            </w:tr>
            <w:tr w14:paraId="19FB0AF0">
              <w:tblPrEx>
                <w:tblBorders>
                  <w:top w:val="double" w:color="000000" w:sz="4" w:space="0"/>
                  <w:left w:val="none" w:color="auto" w:sz="0" w:space="0"/>
                  <w:bottom w:val="double" w:color="000000" w:sz="4" w:space="0"/>
                  <w:right w:val="none" w:color="auto" w:sz="0" w:space="0"/>
                  <w:insideH w:val="single" w:color="000000" w:sz="4" w:space="0"/>
                  <w:insideV w:val="single" w:color="000000" w:sz="8" w:space="0"/>
                </w:tblBorders>
                <w:tblCellMar>
                  <w:top w:w="0" w:type="dxa"/>
                  <w:left w:w="0" w:type="dxa"/>
                  <w:bottom w:w="0" w:type="dxa"/>
                  <w:right w:w="0" w:type="dxa"/>
                </w:tblCellMar>
              </w:tblPrEx>
              <w:trPr>
                <w:trHeight w:val="454" w:hRule="atLeast"/>
              </w:trPr>
              <w:tc>
                <w:tcPr>
                  <w:tcW w:w="418" w:type="pct"/>
                  <w:vMerge w:val="continue"/>
                  <w:tcBorders>
                    <w:tl2br w:val="nil"/>
                    <w:tr2bl w:val="nil"/>
                  </w:tcBorders>
                  <w:tcMar>
                    <w:top w:w="15" w:type="dxa"/>
                    <w:left w:w="15" w:type="dxa"/>
                    <w:right w:w="15" w:type="dxa"/>
                  </w:tcMar>
                  <w:vAlign w:val="center"/>
                </w:tcPr>
                <w:p w14:paraId="7FFC7269">
                  <w:pPr>
                    <w:keepNext w:val="0"/>
                    <w:keepLines w:val="0"/>
                    <w:pageBreakBefore w:val="0"/>
                    <w:suppressLineNumbers w:val="0"/>
                    <w:kinsoku/>
                    <w:overflowPunct/>
                    <w:topLinePunct w:val="0"/>
                    <w:autoSpaceDE/>
                    <w:autoSpaceDN/>
                    <w:bidi w:val="0"/>
                    <w:adjustRightInd/>
                    <w:snapToGrid/>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p>
              </w:tc>
              <w:tc>
                <w:tcPr>
                  <w:tcW w:w="547" w:type="pct"/>
                  <w:gridSpan w:val="2"/>
                  <w:tcBorders>
                    <w:tl2br w:val="nil"/>
                    <w:tr2bl w:val="nil"/>
                  </w:tcBorders>
                  <w:tcMar>
                    <w:top w:w="15" w:type="dxa"/>
                    <w:left w:w="15" w:type="dxa"/>
                    <w:right w:w="15" w:type="dxa"/>
                  </w:tcMar>
                  <w:vAlign w:val="center"/>
                </w:tcPr>
                <w:p w14:paraId="009F006A">
                  <w:pPr>
                    <w:keepNext w:val="0"/>
                    <w:keepLines w:val="0"/>
                    <w:pageBreakBefore w:val="0"/>
                    <w:widowControl w:val="0"/>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成品</w:t>
                  </w:r>
                  <w:r>
                    <w:rPr>
                      <w:rFonts w:hint="eastAsia" w:cs="Times New Roman"/>
                      <w:color w:val="000000" w:themeColor="text1"/>
                      <w:sz w:val="21"/>
                      <w:szCs w:val="21"/>
                      <w:highlight w:val="none"/>
                      <w:vertAlign w:val="baseline"/>
                      <w:lang w:val="en-US" w:eastAsia="zh-CN"/>
                      <w14:textFill>
                        <w14:solidFill>
                          <w14:schemeClr w14:val="tx1"/>
                        </w14:solidFill>
                      </w14:textFill>
                    </w:rPr>
                    <w:t>库</w:t>
                  </w:r>
                </w:p>
              </w:tc>
              <w:tc>
                <w:tcPr>
                  <w:tcW w:w="1126" w:type="pct"/>
                  <w:tcBorders>
                    <w:tl2br w:val="nil"/>
                    <w:tr2bl w:val="nil"/>
                  </w:tcBorders>
                  <w:tcMar>
                    <w:top w:w="15" w:type="dxa"/>
                    <w:left w:w="15" w:type="dxa"/>
                    <w:right w:w="15" w:type="dxa"/>
                  </w:tcMar>
                  <w:vAlign w:val="center"/>
                </w:tcPr>
                <w:p w14:paraId="43D20755">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302" w:type="pct"/>
                  <w:tcBorders>
                    <w:tl2br w:val="nil"/>
                    <w:tr2bl w:val="nil"/>
                  </w:tcBorders>
                  <w:tcMar>
                    <w:top w:w="15" w:type="dxa"/>
                    <w:left w:w="15" w:type="dxa"/>
                    <w:right w:w="15" w:type="dxa"/>
                  </w:tcMar>
                  <w:vAlign w:val="center"/>
                </w:tcPr>
                <w:p w14:paraId="0A7C8FB0">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位于厂区西南，包括分拣中心（4层）和立体库两部分（1层），占地面积7431.05m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，建筑面积13139.89m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；用于存放成品，最大贮存能力约32万件，内部配备柴油发电机组2台，用于应急供电。</w:t>
                  </w:r>
                </w:p>
              </w:tc>
              <w:tc>
                <w:tcPr>
                  <w:tcW w:w="1239" w:type="pct"/>
                  <w:tcBorders>
                    <w:tl2br w:val="nil"/>
                    <w:tr2bl w:val="nil"/>
                  </w:tcBorders>
                  <w:tcMar>
                    <w:top w:w="15" w:type="dxa"/>
                    <w:left w:w="15" w:type="dxa"/>
                    <w:right w:w="15" w:type="dxa"/>
                  </w:tcMar>
                  <w:vAlign w:val="center"/>
                </w:tcPr>
                <w:p w14:paraId="5C2B1851">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位于厂区西南，包括分拣中心（4层）和立体库两部分（1层），占地面积7431.05m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，建筑面积13139.89m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；用于存放成品，最大贮存能力约32万件，内部配备柴油发电机组2台，用于应急供电。</w:t>
                  </w:r>
                </w:p>
              </w:tc>
              <w:tc>
                <w:tcPr>
                  <w:tcW w:w="366" w:type="pct"/>
                  <w:tcBorders>
                    <w:tl2br w:val="nil"/>
                    <w:tr2bl w:val="nil"/>
                  </w:tcBorders>
                  <w:tcMar>
                    <w:top w:w="15" w:type="dxa"/>
                    <w:left w:w="15" w:type="dxa"/>
                    <w:right w:w="15" w:type="dxa"/>
                  </w:tcMar>
                  <w:vAlign w:val="center"/>
                </w:tcPr>
                <w:p w14:paraId="1AC081E8">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新建</w:t>
                  </w:r>
                </w:p>
              </w:tc>
            </w:tr>
            <w:tr w14:paraId="7B3BC1C8">
              <w:tblPrEx>
                <w:tblBorders>
                  <w:top w:val="double" w:color="000000" w:sz="4" w:space="0"/>
                  <w:left w:val="none" w:color="auto" w:sz="0" w:space="0"/>
                  <w:bottom w:val="double" w:color="000000" w:sz="4" w:space="0"/>
                  <w:right w:val="none" w:color="auto" w:sz="0" w:space="0"/>
                  <w:insideH w:val="single" w:color="000000" w:sz="4" w:space="0"/>
                  <w:insideV w:val="single" w:color="000000" w:sz="8" w:space="0"/>
                </w:tblBorders>
                <w:tblCellMar>
                  <w:top w:w="0" w:type="dxa"/>
                  <w:left w:w="0" w:type="dxa"/>
                  <w:bottom w:w="0" w:type="dxa"/>
                  <w:right w:w="0" w:type="dxa"/>
                </w:tblCellMar>
              </w:tblPrEx>
              <w:trPr>
                <w:trHeight w:val="90" w:hRule="atLeast"/>
              </w:trPr>
              <w:tc>
                <w:tcPr>
                  <w:tcW w:w="418" w:type="pct"/>
                  <w:vMerge w:val="restart"/>
                  <w:tcBorders>
                    <w:tl2br w:val="nil"/>
                    <w:tr2bl w:val="nil"/>
                  </w:tcBorders>
                  <w:tcMar>
                    <w:top w:w="15" w:type="dxa"/>
                    <w:left w:w="15" w:type="dxa"/>
                    <w:right w:w="15" w:type="dxa"/>
                  </w:tcMar>
                  <w:vAlign w:val="center"/>
                </w:tcPr>
                <w:p w14:paraId="08E8BD91">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cs="Times New Roman"/>
                      <w:color w:val="000000" w:themeColor="text1"/>
                      <w:kern w:val="0"/>
                      <w:sz w:val="21"/>
                      <w:szCs w:val="21"/>
                      <w:highlight w:val="none"/>
                      <w:lang w:bidi="ar"/>
                      <w14:textFill>
                        <w14:solidFill>
                          <w14:schemeClr w14:val="tx1"/>
                        </w14:solidFill>
                      </w14:textFill>
                    </w:rPr>
                    <w:t>公用工程</w:t>
                  </w:r>
                </w:p>
              </w:tc>
              <w:tc>
                <w:tcPr>
                  <w:tcW w:w="547" w:type="pct"/>
                  <w:gridSpan w:val="2"/>
                  <w:tcBorders>
                    <w:tl2br w:val="nil"/>
                    <w:tr2bl w:val="nil"/>
                  </w:tcBorders>
                  <w:tcMar>
                    <w:top w:w="15" w:type="dxa"/>
                    <w:left w:w="15" w:type="dxa"/>
                    <w:right w:w="15" w:type="dxa"/>
                  </w:tcMar>
                  <w:vAlign w:val="center"/>
                </w:tcPr>
                <w:p w14:paraId="66B27C0F">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给水</w:t>
                  </w:r>
                </w:p>
              </w:tc>
              <w:tc>
                <w:tcPr>
                  <w:tcW w:w="1126" w:type="pct"/>
                  <w:tcBorders>
                    <w:tl2br w:val="nil"/>
                    <w:tr2bl w:val="nil"/>
                  </w:tcBorders>
                  <w:tcMar>
                    <w:top w:w="15" w:type="dxa"/>
                    <w:left w:w="15" w:type="dxa"/>
                    <w:right w:w="15" w:type="dxa"/>
                  </w:tcMar>
                  <w:vAlign w:val="center"/>
                </w:tcPr>
                <w:p w14:paraId="716E6DB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由市政管网统一供水</w:t>
                  </w:r>
                </w:p>
              </w:tc>
              <w:tc>
                <w:tcPr>
                  <w:tcW w:w="1302" w:type="pct"/>
                  <w:tcBorders>
                    <w:tl2br w:val="nil"/>
                    <w:tr2bl w:val="nil"/>
                  </w:tcBorders>
                  <w:tcMar>
                    <w:top w:w="15" w:type="dxa"/>
                    <w:left w:w="15" w:type="dxa"/>
                    <w:right w:w="15" w:type="dxa"/>
                  </w:tcMar>
                  <w:vAlign w:val="center"/>
                </w:tcPr>
                <w:p w14:paraId="5E3459A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依托现有</w:t>
                  </w:r>
                </w:p>
              </w:tc>
              <w:tc>
                <w:tcPr>
                  <w:tcW w:w="1239" w:type="pct"/>
                  <w:tcBorders>
                    <w:tl2br w:val="nil"/>
                    <w:tr2bl w:val="nil"/>
                  </w:tcBorders>
                  <w:tcMar>
                    <w:top w:w="15" w:type="dxa"/>
                    <w:left w:w="15" w:type="dxa"/>
                    <w:right w:w="15" w:type="dxa"/>
                  </w:tcMar>
                  <w:vAlign w:val="center"/>
                </w:tcPr>
                <w:p w14:paraId="2335F71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由市政管网统一供水</w:t>
                  </w:r>
                </w:p>
              </w:tc>
              <w:tc>
                <w:tcPr>
                  <w:tcW w:w="366" w:type="pct"/>
                  <w:tcBorders>
                    <w:tl2br w:val="nil"/>
                    <w:tr2bl w:val="nil"/>
                  </w:tcBorders>
                  <w:tcMar>
                    <w:top w:w="15" w:type="dxa"/>
                    <w:left w:w="15" w:type="dxa"/>
                    <w:right w:w="15" w:type="dxa"/>
                  </w:tcMar>
                  <w:vAlign w:val="center"/>
                </w:tcPr>
                <w:p w14:paraId="56D6FF16">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依托</w:t>
                  </w:r>
                  <w:r>
                    <w:rPr>
                      <w:rFonts w:hint="eastAsia" w:cs="Times New Roman"/>
                      <w:color w:val="000000" w:themeColor="text1"/>
                      <w:kern w:val="0"/>
                      <w:sz w:val="21"/>
                      <w:szCs w:val="21"/>
                      <w:highlight w:val="none"/>
                      <w:lang w:val="en-US" w:eastAsia="zh-CN" w:bidi="ar"/>
                      <w14:textFill>
                        <w14:solidFill>
                          <w14:schemeClr w14:val="tx1"/>
                        </w14:solidFill>
                      </w14:textFill>
                    </w:rPr>
                    <w:t>现有，不变</w:t>
                  </w:r>
                </w:p>
              </w:tc>
            </w:tr>
            <w:tr w14:paraId="7BF89D1C">
              <w:tblPrEx>
                <w:tblBorders>
                  <w:top w:val="double" w:color="000000" w:sz="4" w:space="0"/>
                  <w:left w:val="none" w:color="auto" w:sz="0" w:space="0"/>
                  <w:bottom w:val="double" w:color="000000" w:sz="4" w:space="0"/>
                  <w:right w:val="none" w:color="auto" w:sz="0" w:space="0"/>
                  <w:insideH w:val="single" w:color="000000" w:sz="4" w:space="0"/>
                  <w:insideV w:val="single" w:color="000000" w:sz="8" w:space="0"/>
                </w:tblBorders>
                <w:tblCellMar>
                  <w:top w:w="0" w:type="dxa"/>
                  <w:left w:w="0" w:type="dxa"/>
                  <w:bottom w:w="0" w:type="dxa"/>
                  <w:right w:w="0" w:type="dxa"/>
                </w:tblCellMar>
              </w:tblPrEx>
              <w:trPr>
                <w:trHeight w:val="90" w:hRule="atLeast"/>
              </w:trPr>
              <w:tc>
                <w:tcPr>
                  <w:tcW w:w="418" w:type="pct"/>
                  <w:vMerge w:val="continue"/>
                  <w:tcBorders>
                    <w:tl2br w:val="nil"/>
                    <w:tr2bl w:val="nil"/>
                  </w:tcBorders>
                  <w:tcMar>
                    <w:top w:w="15" w:type="dxa"/>
                    <w:left w:w="15" w:type="dxa"/>
                    <w:right w:w="15" w:type="dxa"/>
                  </w:tcMar>
                  <w:vAlign w:val="center"/>
                </w:tcPr>
                <w:p w14:paraId="724D2BF6">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bidi="ar"/>
                      <w14:textFill>
                        <w14:solidFill>
                          <w14:schemeClr w14:val="tx1"/>
                        </w14:solidFill>
                      </w14:textFill>
                    </w:rPr>
                  </w:pPr>
                </w:p>
              </w:tc>
              <w:tc>
                <w:tcPr>
                  <w:tcW w:w="547" w:type="pct"/>
                  <w:gridSpan w:val="2"/>
                  <w:tcBorders>
                    <w:tl2br w:val="nil"/>
                    <w:tr2bl w:val="nil"/>
                  </w:tcBorders>
                  <w:tcMar>
                    <w:top w:w="15" w:type="dxa"/>
                    <w:left w:w="15" w:type="dxa"/>
                    <w:right w:w="15" w:type="dxa"/>
                  </w:tcMar>
                  <w:vAlign w:val="center"/>
                </w:tcPr>
                <w:p w14:paraId="7B1F1375">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排水</w:t>
                  </w:r>
                </w:p>
              </w:tc>
              <w:tc>
                <w:tcPr>
                  <w:tcW w:w="1126" w:type="pct"/>
                  <w:tcBorders>
                    <w:tl2br w:val="nil"/>
                    <w:tr2bl w:val="nil"/>
                  </w:tcBorders>
                  <w:tcMar>
                    <w:top w:w="15" w:type="dxa"/>
                    <w:left w:w="15" w:type="dxa"/>
                    <w:right w:w="15" w:type="dxa"/>
                  </w:tcMar>
                  <w:vAlign w:val="center"/>
                </w:tcPr>
                <w:p w14:paraId="4E15371E">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left"/>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eastAsia="新宋体" w:cs="Times New Roman"/>
                      <w:color w:val="000000" w:themeColor="text1"/>
                      <w:sz w:val="21"/>
                      <w:szCs w:val="21"/>
                      <w:highlight w:val="none"/>
                      <w:lang w:val="en-US" w:eastAsia="zh-CN"/>
                      <w14:textFill>
                        <w14:solidFill>
                          <w14:schemeClr w14:val="tx1"/>
                        </w14:solidFill>
                      </w14:textFill>
                    </w:rPr>
                    <w:t>现有项目</w:t>
                  </w:r>
                  <w:r>
                    <w:rPr>
                      <w:rFonts w:hint="eastAsia" w:ascii="Times New Roman" w:hAnsi="Times New Roman" w:eastAsia="新宋体" w:cs="Times New Roman"/>
                      <w:color w:val="000000" w:themeColor="text1"/>
                      <w:sz w:val="21"/>
                      <w:szCs w:val="21"/>
                      <w:highlight w:val="none"/>
                      <w:lang w:eastAsia="zh-CN"/>
                      <w14:textFill>
                        <w14:solidFill>
                          <w14:schemeClr w14:val="tx1"/>
                        </w14:solidFill>
                      </w14:textFill>
                    </w:rPr>
                    <w:t>产生的废水进入厂内污水处理站</w:t>
                  </w:r>
                  <w:r>
                    <w:rPr>
                      <w:rFonts w:hint="eastAsia" w:eastAsia="新宋体" w:cs="Times New Roman"/>
                      <w:color w:val="000000" w:themeColor="text1"/>
                      <w:sz w:val="21"/>
                      <w:szCs w:val="21"/>
                      <w:highlight w:val="none"/>
                      <w:lang w:eastAsia="zh-CN"/>
                      <w14:textFill>
                        <w14:solidFill>
                          <w14:schemeClr w14:val="tx1"/>
                        </w14:solidFill>
                      </w14:textFill>
                    </w:rPr>
                    <w:t>（</w:t>
                  </w:r>
                  <w:r>
                    <w:rPr>
                      <w:rFonts w:hint="eastAsia" w:ascii="Times New Roman" w:hAnsi="Times New Roman" w:eastAsia="新宋体" w:cs="Times New Roman"/>
                      <w:color w:val="000000" w:themeColor="text1"/>
                      <w:sz w:val="21"/>
                      <w:szCs w:val="21"/>
                      <w:highlight w:val="none"/>
                      <w:lang w:eastAsia="zh-CN"/>
                      <w14:textFill>
                        <w14:solidFill>
                          <w14:schemeClr w14:val="tx1"/>
                        </w14:solidFill>
                      </w14:textFill>
                    </w:rPr>
                    <w:t>800m</w:t>
                  </w:r>
                  <w:r>
                    <w:rPr>
                      <w:rFonts w:hint="eastAsia" w:eastAsia="新宋体" w:cs="Times New Roman"/>
                      <w:color w:val="000000" w:themeColor="text1"/>
                      <w:sz w:val="21"/>
                      <w:szCs w:val="21"/>
                      <w:highlight w:val="none"/>
                      <w:vertAlign w:val="superscript"/>
                      <w:lang w:val="en-US" w:eastAsia="zh-CN"/>
                      <w14:textFill>
                        <w14:solidFill>
                          <w14:schemeClr w14:val="tx1"/>
                        </w14:solidFill>
                      </w14:textFill>
                    </w:rPr>
                    <w:t>3</w:t>
                  </w:r>
                  <w:r>
                    <w:rPr>
                      <w:rFonts w:hint="eastAsia" w:ascii="Times New Roman" w:hAnsi="Times New Roman" w:eastAsia="新宋体" w:cs="Times New Roman"/>
                      <w:color w:val="000000" w:themeColor="text1"/>
                      <w:sz w:val="21"/>
                      <w:szCs w:val="21"/>
                      <w:highlight w:val="none"/>
                      <w:lang w:eastAsia="zh-CN"/>
                      <w14:textFill>
                        <w14:solidFill>
                          <w14:schemeClr w14:val="tx1"/>
                        </w14:solidFill>
                      </w14:textFill>
                    </w:rPr>
                    <w:t>/d</w:t>
                  </w:r>
                  <w:r>
                    <w:rPr>
                      <w:rFonts w:hint="eastAsia" w:eastAsia="新宋体" w:cs="Times New Roman"/>
                      <w:color w:val="000000" w:themeColor="text1"/>
                      <w:sz w:val="21"/>
                      <w:szCs w:val="21"/>
                      <w:highlight w:val="none"/>
                      <w:lang w:eastAsia="zh-CN"/>
                      <w14:textFill>
                        <w14:solidFill>
                          <w14:schemeClr w14:val="tx1"/>
                        </w14:solidFill>
                      </w14:textFill>
                    </w:rPr>
                    <w:t>）</w:t>
                  </w:r>
                  <w:r>
                    <w:rPr>
                      <w:rFonts w:hint="eastAsia" w:ascii="Times New Roman" w:hAnsi="Times New Roman" w:eastAsia="新宋体" w:cs="Times New Roman"/>
                      <w:color w:val="000000" w:themeColor="text1"/>
                      <w:sz w:val="21"/>
                      <w:szCs w:val="21"/>
                      <w:highlight w:val="none"/>
                      <w:lang w:eastAsia="zh-CN"/>
                      <w14:textFill>
                        <w14:solidFill>
                          <w14:schemeClr w14:val="tx1"/>
                        </w14:solidFill>
                      </w14:textFill>
                    </w:rPr>
                    <w:t>进行处理，处理达标后，排入厂区污水管网后排入高新区市政管网最终排入</w:t>
                  </w:r>
                  <w:r>
                    <w:rPr>
                      <w:rFonts w:hint="eastAsia" w:cs="Times New Roman"/>
                      <w:color w:val="000000" w:themeColor="text1"/>
                      <w:sz w:val="21"/>
                      <w:szCs w:val="21"/>
                      <w:highlight w:val="none"/>
                      <w:lang w:eastAsia="zh-CN"/>
                      <w14:textFill>
                        <w14:solidFill>
                          <w14:schemeClr w14:val="tx1"/>
                        </w14:solidFill>
                      </w14:textFill>
                    </w:rPr>
                    <w:t>石桥子污水处理厂</w:t>
                  </w:r>
                  <w:r>
                    <w:rPr>
                      <w:rFonts w:hint="eastAsia" w:ascii="Times New Roman" w:hAnsi="Times New Roman" w:eastAsia="新宋体" w:cs="Times New Roman"/>
                      <w:color w:val="000000" w:themeColor="text1"/>
                      <w:sz w:val="21"/>
                      <w:szCs w:val="21"/>
                      <w:highlight w:val="none"/>
                      <w:lang w:eastAsia="zh-CN"/>
                      <w14:textFill>
                        <w14:solidFill>
                          <w14:schemeClr w14:val="tx1"/>
                        </w14:solidFill>
                      </w14:textFill>
                    </w:rPr>
                    <w:t>。</w:t>
                  </w:r>
                </w:p>
              </w:tc>
              <w:tc>
                <w:tcPr>
                  <w:tcW w:w="1302" w:type="pct"/>
                  <w:tcBorders>
                    <w:tl2br w:val="nil"/>
                    <w:tr2bl w:val="nil"/>
                  </w:tcBorders>
                  <w:tcMar>
                    <w:top w:w="15" w:type="dxa"/>
                    <w:left w:w="15" w:type="dxa"/>
                    <w:right w:w="15" w:type="dxa"/>
                  </w:tcMar>
                  <w:vAlign w:val="center"/>
                </w:tcPr>
                <w:p w14:paraId="670B3822">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依托现有</w:t>
                  </w:r>
                </w:p>
              </w:tc>
              <w:tc>
                <w:tcPr>
                  <w:tcW w:w="1239" w:type="pct"/>
                  <w:tcBorders>
                    <w:tl2br w:val="nil"/>
                    <w:tr2bl w:val="nil"/>
                  </w:tcBorders>
                  <w:tcMar>
                    <w:top w:w="15" w:type="dxa"/>
                    <w:left w:w="15" w:type="dxa"/>
                    <w:right w:w="15" w:type="dxa"/>
                  </w:tcMar>
                  <w:vAlign w:val="center"/>
                </w:tcPr>
                <w:p w14:paraId="0684C29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eastAsia="新宋体" w:cs="Times New Roman"/>
                      <w:color w:val="000000" w:themeColor="text1"/>
                      <w:sz w:val="21"/>
                      <w:szCs w:val="21"/>
                      <w:highlight w:val="none"/>
                      <w:lang w:val="en-US" w:eastAsia="zh-CN"/>
                      <w14:textFill>
                        <w14:solidFill>
                          <w14:schemeClr w14:val="tx1"/>
                        </w14:solidFill>
                      </w14:textFill>
                    </w:rPr>
                    <w:t>项目</w:t>
                  </w:r>
                  <w:r>
                    <w:rPr>
                      <w:rFonts w:hint="eastAsia" w:ascii="Times New Roman" w:hAnsi="Times New Roman" w:eastAsia="新宋体" w:cs="Times New Roman"/>
                      <w:color w:val="000000" w:themeColor="text1"/>
                      <w:sz w:val="21"/>
                      <w:szCs w:val="21"/>
                      <w:highlight w:val="none"/>
                      <w:lang w:eastAsia="zh-CN"/>
                      <w14:textFill>
                        <w14:solidFill>
                          <w14:schemeClr w14:val="tx1"/>
                        </w14:solidFill>
                      </w14:textFill>
                    </w:rPr>
                    <w:t>产生的废水进入厂内污水处理站</w:t>
                  </w:r>
                  <w:r>
                    <w:rPr>
                      <w:rFonts w:hint="eastAsia" w:eastAsia="新宋体" w:cs="Times New Roman"/>
                      <w:color w:val="000000" w:themeColor="text1"/>
                      <w:sz w:val="21"/>
                      <w:szCs w:val="21"/>
                      <w:highlight w:val="none"/>
                      <w:lang w:eastAsia="zh-CN"/>
                      <w14:textFill>
                        <w14:solidFill>
                          <w14:schemeClr w14:val="tx1"/>
                        </w14:solidFill>
                      </w14:textFill>
                    </w:rPr>
                    <w:t>（</w:t>
                  </w:r>
                  <w:r>
                    <w:rPr>
                      <w:rFonts w:hint="eastAsia" w:ascii="Times New Roman" w:hAnsi="Times New Roman" w:eastAsia="新宋体" w:cs="Times New Roman"/>
                      <w:color w:val="000000" w:themeColor="text1"/>
                      <w:sz w:val="21"/>
                      <w:szCs w:val="21"/>
                      <w:highlight w:val="none"/>
                      <w:lang w:eastAsia="zh-CN"/>
                      <w14:textFill>
                        <w14:solidFill>
                          <w14:schemeClr w14:val="tx1"/>
                        </w14:solidFill>
                      </w14:textFill>
                    </w:rPr>
                    <w:t>800m</w:t>
                  </w:r>
                  <w:r>
                    <w:rPr>
                      <w:rFonts w:hint="eastAsia" w:eastAsia="新宋体" w:cs="Times New Roman"/>
                      <w:color w:val="000000" w:themeColor="text1"/>
                      <w:sz w:val="21"/>
                      <w:szCs w:val="21"/>
                      <w:highlight w:val="none"/>
                      <w:vertAlign w:val="superscript"/>
                      <w:lang w:val="en-US" w:eastAsia="zh-CN"/>
                      <w14:textFill>
                        <w14:solidFill>
                          <w14:schemeClr w14:val="tx1"/>
                        </w14:solidFill>
                      </w14:textFill>
                    </w:rPr>
                    <w:t>3</w:t>
                  </w:r>
                  <w:r>
                    <w:rPr>
                      <w:rFonts w:hint="eastAsia" w:ascii="Times New Roman" w:hAnsi="Times New Roman" w:eastAsia="新宋体" w:cs="Times New Roman"/>
                      <w:color w:val="000000" w:themeColor="text1"/>
                      <w:sz w:val="21"/>
                      <w:szCs w:val="21"/>
                      <w:highlight w:val="none"/>
                      <w:lang w:eastAsia="zh-CN"/>
                      <w14:textFill>
                        <w14:solidFill>
                          <w14:schemeClr w14:val="tx1"/>
                        </w14:solidFill>
                      </w14:textFill>
                    </w:rPr>
                    <w:t>/d</w:t>
                  </w:r>
                  <w:r>
                    <w:rPr>
                      <w:rFonts w:hint="eastAsia" w:eastAsia="新宋体" w:cs="Times New Roman"/>
                      <w:color w:val="000000" w:themeColor="text1"/>
                      <w:sz w:val="21"/>
                      <w:szCs w:val="21"/>
                      <w:highlight w:val="none"/>
                      <w:lang w:eastAsia="zh-CN"/>
                      <w14:textFill>
                        <w14:solidFill>
                          <w14:schemeClr w14:val="tx1"/>
                        </w14:solidFill>
                      </w14:textFill>
                    </w:rPr>
                    <w:t>）</w:t>
                  </w:r>
                  <w:r>
                    <w:rPr>
                      <w:rFonts w:hint="eastAsia" w:ascii="Times New Roman" w:hAnsi="Times New Roman" w:eastAsia="新宋体" w:cs="Times New Roman"/>
                      <w:color w:val="000000" w:themeColor="text1"/>
                      <w:sz w:val="21"/>
                      <w:szCs w:val="21"/>
                      <w:highlight w:val="none"/>
                      <w:lang w:eastAsia="zh-CN"/>
                      <w14:textFill>
                        <w14:solidFill>
                          <w14:schemeClr w14:val="tx1"/>
                        </w14:solidFill>
                      </w14:textFill>
                    </w:rPr>
                    <w:t>进行处理，处理达标后，排入厂区污水管网后排入高新区市政管网最终排入</w:t>
                  </w:r>
                  <w:r>
                    <w:rPr>
                      <w:rFonts w:hint="eastAsia" w:cs="Times New Roman"/>
                      <w:color w:val="000000" w:themeColor="text1"/>
                      <w:sz w:val="21"/>
                      <w:szCs w:val="21"/>
                      <w:highlight w:val="none"/>
                      <w:lang w:eastAsia="zh-CN"/>
                      <w14:textFill>
                        <w14:solidFill>
                          <w14:schemeClr w14:val="tx1"/>
                        </w14:solidFill>
                      </w14:textFill>
                    </w:rPr>
                    <w:t>石桥子污水处理厂</w:t>
                  </w:r>
                  <w:r>
                    <w:rPr>
                      <w:rFonts w:hint="eastAsia" w:ascii="Times New Roman" w:hAnsi="Times New Roman" w:eastAsia="新宋体" w:cs="Times New Roman"/>
                      <w:color w:val="000000" w:themeColor="text1"/>
                      <w:sz w:val="21"/>
                      <w:szCs w:val="21"/>
                      <w:highlight w:val="none"/>
                      <w:lang w:eastAsia="zh-CN"/>
                      <w14:textFill>
                        <w14:solidFill>
                          <w14:schemeClr w14:val="tx1"/>
                        </w14:solidFill>
                      </w14:textFill>
                    </w:rPr>
                    <w:t>。</w:t>
                  </w:r>
                </w:p>
              </w:tc>
              <w:tc>
                <w:tcPr>
                  <w:tcW w:w="366" w:type="pct"/>
                  <w:tcBorders>
                    <w:tl2br w:val="nil"/>
                    <w:tr2bl w:val="nil"/>
                  </w:tcBorders>
                  <w:tcMar>
                    <w:top w:w="15" w:type="dxa"/>
                    <w:left w:w="15" w:type="dxa"/>
                    <w:right w:w="15" w:type="dxa"/>
                  </w:tcMar>
                  <w:vAlign w:val="center"/>
                </w:tcPr>
                <w:p w14:paraId="4F95F359">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依托</w:t>
                  </w:r>
                  <w:r>
                    <w:rPr>
                      <w:rFonts w:hint="eastAsia" w:cs="Times New Roman"/>
                      <w:color w:val="000000" w:themeColor="text1"/>
                      <w:kern w:val="0"/>
                      <w:sz w:val="21"/>
                      <w:szCs w:val="21"/>
                      <w:highlight w:val="none"/>
                      <w:lang w:val="en-US" w:eastAsia="zh-CN" w:bidi="ar"/>
                      <w14:textFill>
                        <w14:solidFill>
                          <w14:schemeClr w14:val="tx1"/>
                        </w14:solidFill>
                      </w14:textFill>
                    </w:rPr>
                    <w:t>现有，不变</w:t>
                  </w:r>
                </w:p>
              </w:tc>
            </w:tr>
            <w:tr w14:paraId="1A293F67">
              <w:tblPrEx>
                <w:tblBorders>
                  <w:top w:val="double" w:color="000000" w:sz="4" w:space="0"/>
                  <w:left w:val="none" w:color="auto" w:sz="0" w:space="0"/>
                  <w:bottom w:val="double" w:color="000000" w:sz="4" w:space="0"/>
                  <w:right w:val="none" w:color="auto" w:sz="0" w:space="0"/>
                  <w:insideH w:val="single" w:color="000000" w:sz="4" w:space="0"/>
                  <w:insideV w:val="single" w:color="000000" w:sz="8" w:space="0"/>
                </w:tblBorders>
                <w:tblCellMar>
                  <w:top w:w="0" w:type="dxa"/>
                  <w:left w:w="0" w:type="dxa"/>
                  <w:bottom w:w="0" w:type="dxa"/>
                  <w:right w:w="0" w:type="dxa"/>
                </w:tblCellMar>
              </w:tblPrEx>
              <w:trPr>
                <w:trHeight w:val="90" w:hRule="atLeast"/>
              </w:trPr>
              <w:tc>
                <w:tcPr>
                  <w:tcW w:w="418" w:type="pct"/>
                  <w:vMerge w:val="continue"/>
                  <w:tcBorders>
                    <w:tl2br w:val="nil"/>
                    <w:tr2bl w:val="nil"/>
                  </w:tcBorders>
                  <w:tcMar>
                    <w:top w:w="15" w:type="dxa"/>
                    <w:left w:w="15" w:type="dxa"/>
                    <w:right w:w="15" w:type="dxa"/>
                  </w:tcMar>
                  <w:vAlign w:val="center"/>
                </w:tcPr>
                <w:p w14:paraId="08AD584F">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bidi="ar"/>
                      <w14:textFill>
                        <w14:solidFill>
                          <w14:schemeClr w14:val="tx1"/>
                        </w14:solidFill>
                      </w14:textFill>
                    </w:rPr>
                  </w:pPr>
                </w:p>
              </w:tc>
              <w:tc>
                <w:tcPr>
                  <w:tcW w:w="547" w:type="pct"/>
                  <w:gridSpan w:val="2"/>
                  <w:tcBorders>
                    <w:tl2br w:val="nil"/>
                    <w:tr2bl w:val="nil"/>
                  </w:tcBorders>
                  <w:tcMar>
                    <w:top w:w="15" w:type="dxa"/>
                    <w:left w:w="15" w:type="dxa"/>
                    <w:right w:w="15" w:type="dxa"/>
                  </w:tcMar>
                  <w:vAlign w:val="center"/>
                </w:tcPr>
                <w:p w14:paraId="14CDD43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供电</w:t>
                  </w:r>
                </w:p>
              </w:tc>
              <w:tc>
                <w:tcPr>
                  <w:tcW w:w="1126" w:type="pct"/>
                  <w:tcBorders>
                    <w:tl2br w:val="nil"/>
                    <w:tr2bl w:val="nil"/>
                  </w:tcBorders>
                  <w:tcMar>
                    <w:top w:w="15" w:type="dxa"/>
                    <w:left w:w="15" w:type="dxa"/>
                    <w:right w:w="15" w:type="dxa"/>
                  </w:tcMar>
                  <w:vAlign w:val="center"/>
                </w:tcPr>
                <w:p w14:paraId="0C58D20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由</w:t>
                  </w:r>
                  <w:r>
                    <w:rPr>
                      <w:rFonts w:hint="eastAsia" w:cs="Times New Roman"/>
                      <w:color w:val="000000" w:themeColor="text1"/>
                      <w:sz w:val="21"/>
                      <w:szCs w:val="21"/>
                      <w:highlight w:val="none"/>
                      <w:lang w:val="en-US" w:eastAsia="zh-CN"/>
                      <w14:textFill>
                        <w14:solidFill>
                          <w14:schemeClr w14:val="tx1"/>
                        </w14:solidFill>
                      </w14:textFill>
                    </w:rPr>
                    <w:t>开发区供电局</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供电</w:t>
                  </w:r>
                </w:p>
              </w:tc>
              <w:tc>
                <w:tcPr>
                  <w:tcW w:w="1302" w:type="pct"/>
                  <w:tcBorders>
                    <w:tl2br w:val="nil"/>
                    <w:tr2bl w:val="nil"/>
                  </w:tcBorders>
                  <w:tcMar>
                    <w:top w:w="15" w:type="dxa"/>
                    <w:left w:w="15" w:type="dxa"/>
                    <w:right w:w="15" w:type="dxa"/>
                  </w:tcMar>
                  <w:vAlign w:val="center"/>
                </w:tcPr>
                <w:p w14:paraId="35540911">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依托现有</w:t>
                  </w:r>
                </w:p>
              </w:tc>
              <w:tc>
                <w:tcPr>
                  <w:tcW w:w="1239" w:type="pct"/>
                  <w:tcBorders>
                    <w:tl2br w:val="nil"/>
                    <w:tr2bl w:val="nil"/>
                  </w:tcBorders>
                  <w:tcMar>
                    <w:top w:w="15" w:type="dxa"/>
                    <w:left w:w="15" w:type="dxa"/>
                    <w:right w:w="15" w:type="dxa"/>
                  </w:tcMar>
                  <w:vAlign w:val="center"/>
                </w:tcPr>
                <w:p w14:paraId="32DFF3F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由</w:t>
                  </w:r>
                  <w:r>
                    <w:rPr>
                      <w:rFonts w:hint="eastAsia" w:cs="Times New Roman"/>
                      <w:color w:val="000000" w:themeColor="text1"/>
                      <w:sz w:val="21"/>
                      <w:szCs w:val="21"/>
                      <w:highlight w:val="none"/>
                      <w:lang w:val="en-US" w:eastAsia="zh-CN"/>
                      <w14:textFill>
                        <w14:solidFill>
                          <w14:schemeClr w14:val="tx1"/>
                        </w14:solidFill>
                      </w14:textFill>
                    </w:rPr>
                    <w:t>开发区供电局</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供电</w:t>
                  </w:r>
                </w:p>
              </w:tc>
              <w:tc>
                <w:tcPr>
                  <w:tcW w:w="366" w:type="pct"/>
                  <w:tcBorders>
                    <w:tl2br w:val="nil"/>
                    <w:tr2bl w:val="nil"/>
                  </w:tcBorders>
                  <w:tcMar>
                    <w:top w:w="15" w:type="dxa"/>
                    <w:left w:w="15" w:type="dxa"/>
                    <w:right w:w="15" w:type="dxa"/>
                  </w:tcMar>
                  <w:vAlign w:val="center"/>
                </w:tcPr>
                <w:p w14:paraId="625A055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依托</w:t>
                  </w:r>
                  <w:r>
                    <w:rPr>
                      <w:rFonts w:hint="eastAsia" w:cs="Times New Roman"/>
                      <w:color w:val="000000" w:themeColor="text1"/>
                      <w:kern w:val="0"/>
                      <w:sz w:val="21"/>
                      <w:szCs w:val="21"/>
                      <w:highlight w:val="none"/>
                      <w:lang w:val="en-US" w:eastAsia="zh-CN" w:bidi="ar"/>
                      <w14:textFill>
                        <w14:solidFill>
                          <w14:schemeClr w14:val="tx1"/>
                        </w14:solidFill>
                      </w14:textFill>
                    </w:rPr>
                    <w:t>现有，不变</w:t>
                  </w:r>
                </w:p>
              </w:tc>
            </w:tr>
            <w:tr w14:paraId="23C3E683">
              <w:tblPrEx>
                <w:tblBorders>
                  <w:top w:val="double" w:color="000000" w:sz="4" w:space="0"/>
                  <w:left w:val="none" w:color="auto" w:sz="0" w:space="0"/>
                  <w:bottom w:val="double" w:color="000000" w:sz="4" w:space="0"/>
                  <w:right w:val="none" w:color="auto" w:sz="0" w:space="0"/>
                  <w:insideH w:val="single" w:color="000000" w:sz="4" w:space="0"/>
                  <w:insideV w:val="single" w:color="000000" w:sz="8" w:space="0"/>
                </w:tblBorders>
                <w:tblCellMar>
                  <w:top w:w="0" w:type="dxa"/>
                  <w:left w:w="0" w:type="dxa"/>
                  <w:bottom w:w="0" w:type="dxa"/>
                  <w:right w:w="0" w:type="dxa"/>
                </w:tblCellMar>
              </w:tblPrEx>
              <w:trPr>
                <w:trHeight w:val="90" w:hRule="atLeast"/>
              </w:trPr>
              <w:tc>
                <w:tcPr>
                  <w:tcW w:w="418" w:type="pct"/>
                  <w:vMerge w:val="continue"/>
                  <w:tcBorders>
                    <w:tl2br w:val="nil"/>
                    <w:tr2bl w:val="nil"/>
                  </w:tcBorders>
                  <w:tcMar>
                    <w:top w:w="15" w:type="dxa"/>
                    <w:left w:w="15" w:type="dxa"/>
                    <w:right w:w="15" w:type="dxa"/>
                  </w:tcMar>
                  <w:vAlign w:val="center"/>
                </w:tcPr>
                <w:p w14:paraId="798B62DF">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bidi="ar"/>
                      <w14:textFill>
                        <w14:solidFill>
                          <w14:schemeClr w14:val="tx1"/>
                        </w14:solidFill>
                      </w14:textFill>
                    </w:rPr>
                  </w:pPr>
                </w:p>
              </w:tc>
              <w:tc>
                <w:tcPr>
                  <w:tcW w:w="547" w:type="pct"/>
                  <w:gridSpan w:val="2"/>
                  <w:tcBorders>
                    <w:tl2br w:val="nil"/>
                    <w:tr2bl w:val="nil"/>
                  </w:tcBorders>
                  <w:tcMar>
                    <w:top w:w="15" w:type="dxa"/>
                    <w:left w:w="15" w:type="dxa"/>
                    <w:right w:w="15" w:type="dxa"/>
                  </w:tcMar>
                  <w:vAlign w:val="center"/>
                </w:tcPr>
                <w:p w14:paraId="0648774A">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供暖</w:t>
                  </w:r>
                  <w:r>
                    <w:rPr>
                      <w:rFonts w:hint="eastAsia" w:cs="Times New Roman"/>
                      <w:color w:val="000000" w:themeColor="text1"/>
                      <w:sz w:val="21"/>
                      <w:szCs w:val="21"/>
                      <w:highlight w:val="none"/>
                      <w:lang w:val="en-US" w:eastAsia="zh-CN"/>
                      <w14:textFill>
                        <w14:solidFill>
                          <w14:schemeClr w14:val="tx1"/>
                        </w14:solidFill>
                      </w14:textFill>
                    </w:rPr>
                    <w:t>及供热</w:t>
                  </w:r>
                </w:p>
              </w:tc>
              <w:tc>
                <w:tcPr>
                  <w:tcW w:w="1126" w:type="pct"/>
                  <w:tcBorders>
                    <w:tl2br w:val="nil"/>
                    <w:tr2bl w:val="nil"/>
                  </w:tcBorders>
                  <w:tcMar>
                    <w:top w:w="15" w:type="dxa"/>
                    <w:left w:w="15" w:type="dxa"/>
                    <w:right w:w="15" w:type="dxa"/>
                  </w:tcMar>
                  <w:vAlign w:val="center"/>
                </w:tcPr>
                <w:p w14:paraId="2F3F173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现有项目供暖及供热由1台10t/h和6t/h燃气锅炉提供，1台15t/h燃气锅炉备用。</w:t>
                  </w:r>
                </w:p>
              </w:tc>
              <w:tc>
                <w:tcPr>
                  <w:tcW w:w="1302" w:type="pct"/>
                  <w:tcBorders>
                    <w:tl2br w:val="nil"/>
                    <w:tr2bl w:val="nil"/>
                  </w:tcBorders>
                  <w:tcMar>
                    <w:top w:w="15" w:type="dxa"/>
                    <w:left w:w="15" w:type="dxa"/>
                    <w:right w:w="15" w:type="dxa"/>
                  </w:tcMar>
                  <w:vAlign w:val="center"/>
                </w:tcPr>
                <w:p w14:paraId="0B55A458">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依托现有</w:t>
                  </w:r>
                </w:p>
              </w:tc>
              <w:tc>
                <w:tcPr>
                  <w:tcW w:w="1239" w:type="pct"/>
                  <w:tcBorders>
                    <w:tl2br w:val="nil"/>
                    <w:tr2bl w:val="nil"/>
                  </w:tcBorders>
                  <w:tcMar>
                    <w:top w:w="15" w:type="dxa"/>
                    <w:left w:w="15" w:type="dxa"/>
                    <w:right w:w="15" w:type="dxa"/>
                  </w:tcMar>
                  <w:vAlign w:val="center"/>
                </w:tcPr>
                <w:p w14:paraId="6B36CB1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项目供暖及供热由1台10t/h和6t/h燃气锅炉提供，1台15t/h燃气锅炉备用。</w:t>
                  </w:r>
                </w:p>
              </w:tc>
              <w:tc>
                <w:tcPr>
                  <w:tcW w:w="366" w:type="pct"/>
                  <w:tcBorders>
                    <w:tl2br w:val="nil"/>
                    <w:tr2bl w:val="nil"/>
                  </w:tcBorders>
                  <w:tcMar>
                    <w:top w:w="15" w:type="dxa"/>
                    <w:left w:w="15" w:type="dxa"/>
                    <w:right w:w="15" w:type="dxa"/>
                  </w:tcMar>
                  <w:vAlign w:val="center"/>
                </w:tcPr>
                <w:p w14:paraId="0A7A2EA6">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依托</w:t>
                  </w:r>
                  <w:r>
                    <w:rPr>
                      <w:rFonts w:hint="eastAsia" w:cs="Times New Roman"/>
                      <w:color w:val="000000" w:themeColor="text1"/>
                      <w:kern w:val="0"/>
                      <w:sz w:val="21"/>
                      <w:szCs w:val="21"/>
                      <w:highlight w:val="none"/>
                      <w:lang w:val="en-US" w:eastAsia="zh-CN" w:bidi="ar"/>
                      <w14:textFill>
                        <w14:solidFill>
                          <w14:schemeClr w14:val="tx1"/>
                        </w14:solidFill>
                      </w14:textFill>
                    </w:rPr>
                    <w:t>现有，不变</w:t>
                  </w:r>
                </w:p>
              </w:tc>
            </w:tr>
            <w:tr w14:paraId="65E7A2CE">
              <w:tblPrEx>
                <w:tblBorders>
                  <w:top w:val="double" w:color="000000" w:sz="4" w:space="0"/>
                  <w:left w:val="none" w:color="auto" w:sz="0" w:space="0"/>
                  <w:bottom w:val="double" w:color="000000" w:sz="4" w:space="0"/>
                  <w:right w:val="none" w:color="auto" w:sz="0" w:space="0"/>
                  <w:insideH w:val="single" w:color="000000" w:sz="4" w:space="0"/>
                  <w:insideV w:val="single" w:color="000000" w:sz="8" w:space="0"/>
                </w:tblBorders>
                <w:tblCellMar>
                  <w:top w:w="0" w:type="dxa"/>
                  <w:left w:w="0" w:type="dxa"/>
                  <w:bottom w:w="0" w:type="dxa"/>
                  <w:right w:w="0" w:type="dxa"/>
                </w:tblCellMar>
              </w:tblPrEx>
              <w:trPr>
                <w:trHeight w:val="705" w:hRule="atLeast"/>
              </w:trPr>
              <w:tc>
                <w:tcPr>
                  <w:tcW w:w="418" w:type="pct"/>
                  <w:vMerge w:val="restart"/>
                  <w:tcBorders>
                    <w:tl2br w:val="nil"/>
                    <w:tr2bl w:val="nil"/>
                  </w:tcBorders>
                  <w:tcMar>
                    <w:top w:w="15" w:type="dxa"/>
                    <w:left w:w="15" w:type="dxa"/>
                    <w:right w:w="15" w:type="dxa"/>
                  </w:tcMar>
                  <w:vAlign w:val="center"/>
                </w:tcPr>
                <w:p w14:paraId="09D3233E">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cs="Times New Roman"/>
                      <w:color w:val="000000" w:themeColor="text1"/>
                      <w:kern w:val="0"/>
                      <w:sz w:val="21"/>
                      <w:szCs w:val="21"/>
                      <w:highlight w:val="none"/>
                      <w:lang w:bidi="ar"/>
                      <w14:textFill>
                        <w14:solidFill>
                          <w14:schemeClr w14:val="tx1"/>
                        </w14:solidFill>
                      </w14:textFill>
                    </w:rPr>
                    <w:t>环保工程</w:t>
                  </w:r>
                </w:p>
              </w:tc>
              <w:tc>
                <w:tcPr>
                  <w:tcW w:w="355" w:type="pct"/>
                  <w:vMerge w:val="restart"/>
                  <w:tcBorders>
                    <w:tl2br w:val="nil"/>
                    <w:tr2bl w:val="nil"/>
                  </w:tcBorders>
                  <w:tcMar>
                    <w:top w:w="15" w:type="dxa"/>
                    <w:left w:w="15" w:type="dxa"/>
                    <w:right w:w="15" w:type="dxa"/>
                  </w:tcMar>
                  <w:vAlign w:val="center"/>
                </w:tcPr>
                <w:p w14:paraId="27FACF22">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cs="Times New Roman"/>
                      <w:color w:val="000000" w:themeColor="text1"/>
                      <w:kern w:val="0"/>
                      <w:sz w:val="21"/>
                      <w:szCs w:val="21"/>
                      <w:highlight w:val="none"/>
                      <w:lang w:bidi="ar"/>
                      <w14:textFill>
                        <w14:solidFill>
                          <w14:schemeClr w14:val="tx1"/>
                        </w14:solidFill>
                      </w14:textFill>
                    </w:rPr>
                    <w:t>废气</w:t>
                  </w:r>
                </w:p>
              </w:tc>
              <w:tc>
                <w:tcPr>
                  <w:tcW w:w="192" w:type="pct"/>
                  <w:vMerge w:val="restart"/>
                  <w:tcBorders>
                    <w:tl2br w:val="nil"/>
                    <w:tr2bl w:val="nil"/>
                  </w:tcBorders>
                  <w:tcMar>
                    <w:top w:w="15" w:type="dxa"/>
                    <w:left w:w="15" w:type="dxa"/>
                    <w:right w:w="15" w:type="dxa"/>
                  </w:tcMar>
                  <w:vAlign w:val="center"/>
                </w:tcPr>
                <w:p w14:paraId="777663EF">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有组织</w:t>
                  </w:r>
                </w:p>
              </w:tc>
              <w:tc>
                <w:tcPr>
                  <w:tcW w:w="1126" w:type="pct"/>
                  <w:tcBorders>
                    <w:tl2br w:val="nil"/>
                    <w:tr2bl w:val="nil"/>
                  </w:tcBorders>
                  <w:tcMar>
                    <w:top w:w="15" w:type="dxa"/>
                    <w:left w:w="15" w:type="dxa"/>
                    <w:right w:w="15" w:type="dxa"/>
                  </w:tcMar>
                  <w:vAlign w:val="center"/>
                </w:tcPr>
                <w:p w14:paraId="4FD290B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302" w:type="pct"/>
                  <w:tcBorders>
                    <w:tl2br w:val="nil"/>
                    <w:tr2bl w:val="nil"/>
                  </w:tcBorders>
                  <w:tcMar>
                    <w:top w:w="15" w:type="dxa"/>
                    <w:left w:w="15" w:type="dxa"/>
                    <w:right w:w="15" w:type="dxa"/>
                  </w:tcMar>
                  <w:vAlign w:val="center"/>
                </w:tcPr>
                <w:p w14:paraId="74B9177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rightChars="0"/>
                    <w:jc w:val="left"/>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筛选废气：</w:t>
                  </w:r>
                  <w:r>
                    <w:rPr>
                      <w:rFonts w:hint="eastAsia"/>
                      <w:color w:val="000000" w:themeColor="text1"/>
                      <w:sz w:val="21"/>
                      <w:szCs w:val="21"/>
                      <w:highlight w:val="none"/>
                      <w:lang w:val="en-US" w:eastAsia="zh-CN"/>
                      <w14:textFill>
                        <w14:solidFill>
                          <w14:schemeClr w14:val="tx1"/>
                        </w14:solidFill>
                      </w14:textFill>
                    </w:rPr>
                    <w:t>上吸式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集气罩+布袋除尘器（TA0</w:t>
                  </w:r>
                  <w:r>
                    <w:rPr>
                      <w:rFonts w:hint="eastAsia"/>
                      <w:color w:val="000000" w:themeColor="text1"/>
                      <w:sz w:val="21"/>
                      <w:szCs w:val="21"/>
                      <w:highlight w:val="none"/>
                      <w:lang w:val="en-US" w:eastAsia="zh-CN"/>
                      <w14:textFill>
                        <w14:solidFill>
                          <w14:schemeClr w14:val="tx1"/>
                        </w14:solidFill>
                      </w14:textFill>
                    </w:rPr>
                    <w:t>25</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）处理后由不低于15m高的排气筒（DA0</w:t>
                  </w:r>
                  <w:r>
                    <w:rPr>
                      <w:rFonts w:hint="eastAsia"/>
                      <w:color w:val="000000" w:themeColor="text1"/>
                      <w:sz w:val="21"/>
                      <w:szCs w:val="21"/>
                      <w:highlight w:val="none"/>
                      <w:lang w:val="en-US" w:eastAsia="zh-CN"/>
                      <w14:textFill>
                        <w14:solidFill>
                          <w14:schemeClr w14:val="tx1"/>
                        </w14:solidFill>
                      </w14:textFill>
                    </w:rPr>
                    <w:t>16</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）排放</w:t>
                  </w:r>
                </w:p>
              </w:tc>
              <w:tc>
                <w:tcPr>
                  <w:tcW w:w="1239" w:type="pct"/>
                  <w:tcBorders>
                    <w:tl2br w:val="nil"/>
                    <w:tr2bl w:val="nil"/>
                  </w:tcBorders>
                  <w:tcMar>
                    <w:top w:w="15" w:type="dxa"/>
                    <w:left w:w="15" w:type="dxa"/>
                    <w:right w:w="15" w:type="dxa"/>
                  </w:tcMar>
                  <w:vAlign w:val="center"/>
                </w:tcPr>
                <w:p w14:paraId="385DBB0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rightChars="0"/>
                    <w:jc w:val="left"/>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筛选废气：</w:t>
                  </w:r>
                  <w:r>
                    <w:rPr>
                      <w:rFonts w:hint="eastAsia"/>
                      <w:color w:val="000000" w:themeColor="text1"/>
                      <w:sz w:val="21"/>
                      <w:szCs w:val="21"/>
                      <w:highlight w:val="none"/>
                      <w:lang w:val="en-US" w:eastAsia="zh-CN"/>
                      <w14:textFill>
                        <w14:solidFill>
                          <w14:schemeClr w14:val="tx1"/>
                        </w14:solidFill>
                      </w14:textFill>
                    </w:rPr>
                    <w:t>上吸式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集气罩+布袋除尘器（TA0</w:t>
                  </w:r>
                  <w:r>
                    <w:rPr>
                      <w:rFonts w:hint="eastAsia"/>
                      <w:color w:val="000000" w:themeColor="text1"/>
                      <w:sz w:val="21"/>
                      <w:szCs w:val="21"/>
                      <w:highlight w:val="none"/>
                      <w:lang w:val="en-US" w:eastAsia="zh-CN"/>
                      <w14:textFill>
                        <w14:solidFill>
                          <w14:schemeClr w14:val="tx1"/>
                        </w14:solidFill>
                      </w14:textFill>
                    </w:rPr>
                    <w:t>25</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）处理后由不低于15m高的排气筒（DA0</w:t>
                  </w:r>
                  <w:r>
                    <w:rPr>
                      <w:rFonts w:hint="eastAsia"/>
                      <w:color w:val="000000" w:themeColor="text1"/>
                      <w:sz w:val="21"/>
                      <w:szCs w:val="21"/>
                      <w:highlight w:val="none"/>
                      <w:lang w:val="en-US" w:eastAsia="zh-CN"/>
                      <w14:textFill>
                        <w14:solidFill>
                          <w14:schemeClr w14:val="tx1"/>
                        </w14:solidFill>
                      </w14:textFill>
                    </w:rPr>
                    <w:t>16</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）排放</w:t>
                  </w:r>
                </w:p>
              </w:tc>
              <w:tc>
                <w:tcPr>
                  <w:tcW w:w="366" w:type="pct"/>
                  <w:tcBorders>
                    <w:tl2br w:val="nil"/>
                    <w:tr2bl w:val="nil"/>
                  </w:tcBorders>
                  <w:tcMar>
                    <w:top w:w="15" w:type="dxa"/>
                    <w:left w:w="15" w:type="dxa"/>
                    <w:right w:w="15" w:type="dxa"/>
                  </w:tcMar>
                  <w:vAlign w:val="center"/>
                </w:tcPr>
                <w:p w14:paraId="48BAC63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新建</w:t>
                  </w:r>
                </w:p>
              </w:tc>
            </w:tr>
            <w:tr w14:paraId="2F6C5FD7">
              <w:tblPrEx>
                <w:tblBorders>
                  <w:top w:val="double" w:color="000000" w:sz="4" w:space="0"/>
                  <w:left w:val="none" w:color="auto" w:sz="0" w:space="0"/>
                  <w:bottom w:val="double" w:color="000000" w:sz="4" w:space="0"/>
                  <w:right w:val="none" w:color="auto" w:sz="0" w:space="0"/>
                  <w:insideH w:val="single" w:color="000000" w:sz="4" w:space="0"/>
                  <w:insideV w:val="single" w:color="000000" w:sz="8" w:space="0"/>
                </w:tblBorders>
                <w:tblCellMar>
                  <w:top w:w="0" w:type="dxa"/>
                  <w:left w:w="0" w:type="dxa"/>
                  <w:bottom w:w="0" w:type="dxa"/>
                  <w:right w:w="0" w:type="dxa"/>
                </w:tblCellMar>
              </w:tblPrEx>
              <w:trPr>
                <w:trHeight w:val="705" w:hRule="atLeast"/>
              </w:trPr>
              <w:tc>
                <w:tcPr>
                  <w:tcW w:w="418" w:type="pct"/>
                  <w:vMerge w:val="continue"/>
                  <w:tcBorders>
                    <w:tl2br w:val="nil"/>
                    <w:tr2bl w:val="nil"/>
                  </w:tcBorders>
                  <w:tcMar>
                    <w:top w:w="15" w:type="dxa"/>
                    <w:left w:w="15" w:type="dxa"/>
                    <w:right w:w="15" w:type="dxa"/>
                  </w:tcMar>
                  <w:vAlign w:val="center"/>
                </w:tcPr>
                <w:p w14:paraId="189FA33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bidi="ar"/>
                      <w14:textFill>
                        <w14:solidFill>
                          <w14:schemeClr w14:val="tx1"/>
                        </w14:solidFill>
                      </w14:textFill>
                    </w:rPr>
                  </w:pPr>
                </w:p>
              </w:tc>
              <w:tc>
                <w:tcPr>
                  <w:tcW w:w="355" w:type="pct"/>
                  <w:vMerge w:val="continue"/>
                  <w:tcBorders>
                    <w:tl2br w:val="nil"/>
                    <w:tr2bl w:val="nil"/>
                  </w:tcBorders>
                  <w:tcMar>
                    <w:top w:w="15" w:type="dxa"/>
                    <w:left w:w="15" w:type="dxa"/>
                    <w:right w:w="15" w:type="dxa"/>
                  </w:tcMar>
                  <w:vAlign w:val="center"/>
                </w:tcPr>
                <w:p w14:paraId="4E4163A2">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bidi="ar"/>
                      <w14:textFill>
                        <w14:solidFill>
                          <w14:schemeClr w14:val="tx1"/>
                        </w14:solidFill>
                      </w14:textFill>
                    </w:rPr>
                  </w:pPr>
                </w:p>
              </w:tc>
              <w:tc>
                <w:tcPr>
                  <w:tcW w:w="192" w:type="pct"/>
                  <w:vMerge w:val="continue"/>
                  <w:tcBorders>
                    <w:tl2br w:val="nil"/>
                    <w:tr2bl w:val="nil"/>
                  </w:tcBorders>
                  <w:tcMar>
                    <w:top w:w="15" w:type="dxa"/>
                    <w:left w:w="15" w:type="dxa"/>
                    <w:right w:w="15" w:type="dxa"/>
                  </w:tcMar>
                  <w:vAlign w:val="center"/>
                </w:tcPr>
                <w:p w14:paraId="1EE526D0">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pPr>
                </w:p>
              </w:tc>
              <w:tc>
                <w:tcPr>
                  <w:tcW w:w="1126" w:type="pct"/>
                  <w:tcBorders>
                    <w:tl2br w:val="nil"/>
                    <w:tr2bl w:val="nil"/>
                  </w:tcBorders>
                  <w:tcMar>
                    <w:top w:w="15" w:type="dxa"/>
                    <w:left w:w="15" w:type="dxa"/>
                    <w:right w:w="15" w:type="dxa"/>
                  </w:tcMar>
                  <w:vAlign w:val="center"/>
                </w:tcPr>
                <w:p w14:paraId="6CDBA64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rightChars="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302" w:type="pct"/>
                  <w:tcBorders>
                    <w:tl2br w:val="nil"/>
                    <w:tr2bl w:val="nil"/>
                  </w:tcBorders>
                  <w:tcMar>
                    <w:top w:w="15" w:type="dxa"/>
                    <w:left w:w="15" w:type="dxa"/>
                    <w:right w:w="15" w:type="dxa"/>
                  </w:tcMar>
                  <w:vAlign w:val="center"/>
                </w:tcPr>
                <w:p w14:paraId="5A451E3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rightChars="0"/>
                    <w:jc w:val="left"/>
                    <w:textAlignment w:val="auto"/>
                    <w:rPr>
                      <w:rFonts w:hint="eastAsia"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打碎废气、除杂废气、粉碎废气：</w:t>
                  </w:r>
                  <w:r>
                    <w:rPr>
                      <w:rFonts w:hint="eastAsia"/>
                      <w:color w:val="000000" w:themeColor="text1"/>
                      <w:sz w:val="21"/>
                      <w:szCs w:val="21"/>
                      <w:highlight w:val="none"/>
                      <w:lang w:val="en-US" w:eastAsia="zh-CN"/>
                      <w14:textFill>
                        <w14:solidFill>
                          <w14:schemeClr w14:val="tx1"/>
                        </w14:solidFill>
                      </w14:textFill>
                    </w:rPr>
                    <w:t>上吸式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集气罩+布袋除尘器（TA00</w:t>
                  </w:r>
                  <w:r>
                    <w:rPr>
                      <w:rFonts w:hint="eastAsia"/>
                      <w:color w:val="000000" w:themeColor="text1"/>
                      <w:sz w:val="21"/>
                      <w:szCs w:val="21"/>
                      <w:highlight w:val="none"/>
                      <w:lang w:val="en-US" w:eastAsia="zh-CN"/>
                      <w14:textFill>
                        <w14:solidFill>
                          <w14:schemeClr w14:val="tx1"/>
                        </w14:solidFill>
                      </w14:textFill>
                    </w:rPr>
                    <w:t>2</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）处理后由不低于15m</w:t>
                  </w:r>
                  <w:r>
                    <w:rPr>
                      <w:rFonts w:hint="eastAsia"/>
                      <w:color w:val="000000" w:themeColor="text1"/>
                      <w:sz w:val="21"/>
                      <w:szCs w:val="21"/>
                      <w:highlight w:val="none"/>
                      <w:lang w:val="en-US" w:eastAsia="zh-CN"/>
                      <w14:textFill>
                        <w14:solidFill>
                          <w14:schemeClr w14:val="tx1"/>
                        </w14:solidFill>
                      </w14:textFill>
                    </w:rPr>
                    <w:t>高</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的排气筒（DA0</w:t>
                  </w:r>
                  <w:r>
                    <w:rPr>
                      <w:rFonts w:hint="eastAsia"/>
                      <w:color w:val="000000" w:themeColor="text1"/>
                      <w:sz w:val="21"/>
                      <w:szCs w:val="21"/>
                      <w:highlight w:val="none"/>
                      <w:lang w:val="en-US" w:eastAsia="zh-CN"/>
                      <w14:textFill>
                        <w14:solidFill>
                          <w14:schemeClr w14:val="tx1"/>
                        </w14:solidFill>
                      </w14:textFill>
                    </w:rPr>
                    <w:t>02</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）排放</w:t>
                  </w:r>
                </w:p>
              </w:tc>
              <w:tc>
                <w:tcPr>
                  <w:tcW w:w="1239" w:type="pct"/>
                  <w:tcBorders>
                    <w:tl2br w:val="nil"/>
                    <w:tr2bl w:val="nil"/>
                  </w:tcBorders>
                  <w:tcMar>
                    <w:top w:w="15" w:type="dxa"/>
                    <w:left w:w="15" w:type="dxa"/>
                    <w:right w:w="15" w:type="dxa"/>
                  </w:tcMar>
                  <w:vAlign w:val="center"/>
                </w:tcPr>
                <w:p w14:paraId="22964CB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rightChars="0"/>
                    <w:jc w:val="left"/>
                    <w:textAlignment w:val="auto"/>
                    <w:rPr>
                      <w:rFonts w:hint="eastAsia"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打碎废气、除杂废气、粉碎废气：</w:t>
                  </w:r>
                  <w:r>
                    <w:rPr>
                      <w:rFonts w:hint="eastAsia"/>
                      <w:color w:val="000000" w:themeColor="text1"/>
                      <w:sz w:val="21"/>
                      <w:szCs w:val="21"/>
                      <w:highlight w:val="none"/>
                      <w:lang w:val="en-US" w:eastAsia="zh-CN"/>
                      <w14:textFill>
                        <w14:solidFill>
                          <w14:schemeClr w14:val="tx1"/>
                        </w14:solidFill>
                      </w14:textFill>
                    </w:rPr>
                    <w:t>上吸式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集气罩+布袋除尘器（TA00</w:t>
                  </w:r>
                  <w:r>
                    <w:rPr>
                      <w:rFonts w:hint="eastAsia"/>
                      <w:color w:val="000000" w:themeColor="text1"/>
                      <w:sz w:val="21"/>
                      <w:szCs w:val="21"/>
                      <w:highlight w:val="none"/>
                      <w:lang w:val="en-US" w:eastAsia="zh-CN"/>
                      <w14:textFill>
                        <w14:solidFill>
                          <w14:schemeClr w14:val="tx1"/>
                        </w14:solidFill>
                      </w14:textFill>
                    </w:rPr>
                    <w:t>2</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）处理后由不低于15m</w:t>
                  </w:r>
                  <w:r>
                    <w:rPr>
                      <w:rFonts w:hint="eastAsia"/>
                      <w:color w:val="000000" w:themeColor="text1"/>
                      <w:sz w:val="21"/>
                      <w:szCs w:val="21"/>
                      <w:highlight w:val="none"/>
                      <w:lang w:val="en-US" w:eastAsia="zh-CN"/>
                      <w14:textFill>
                        <w14:solidFill>
                          <w14:schemeClr w14:val="tx1"/>
                        </w14:solidFill>
                      </w14:textFill>
                    </w:rPr>
                    <w:t>高</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的排气筒（DA0</w:t>
                  </w:r>
                  <w:r>
                    <w:rPr>
                      <w:rFonts w:hint="eastAsia"/>
                      <w:color w:val="000000" w:themeColor="text1"/>
                      <w:sz w:val="21"/>
                      <w:szCs w:val="21"/>
                      <w:highlight w:val="none"/>
                      <w:lang w:val="en-US" w:eastAsia="zh-CN"/>
                      <w14:textFill>
                        <w14:solidFill>
                          <w14:schemeClr w14:val="tx1"/>
                        </w14:solidFill>
                      </w14:textFill>
                    </w:rPr>
                    <w:t>02</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）排放</w:t>
                  </w:r>
                </w:p>
              </w:tc>
              <w:tc>
                <w:tcPr>
                  <w:tcW w:w="366" w:type="pct"/>
                  <w:tcBorders>
                    <w:tl2br w:val="nil"/>
                    <w:tr2bl w:val="nil"/>
                  </w:tcBorders>
                  <w:tcMar>
                    <w:top w:w="15" w:type="dxa"/>
                    <w:left w:w="15" w:type="dxa"/>
                    <w:right w:w="15" w:type="dxa"/>
                  </w:tcMar>
                  <w:vAlign w:val="center"/>
                </w:tcPr>
                <w:p w14:paraId="3F45612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eastAsia"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新建</w:t>
                  </w:r>
                </w:p>
              </w:tc>
            </w:tr>
            <w:tr w14:paraId="3BBF7184">
              <w:tblPrEx>
                <w:tblBorders>
                  <w:top w:val="double" w:color="000000" w:sz="4" w:space="0"/>
                  <w:left w:val="none" w:color="auto" w:sz="0" w:space="0"/>
                  <w:bottom w:val="double" w:color="000000" w:sz="4" w:space="0"/>
                  <w:right w:val="none" w:color="auto" w:sz="0" w:space="0"/>
                  <w:insideH w:val="single" w:color="000000" w:sz="4" w:space="0"/>
                  <w:insideV w:val="single" w:color="000000" w:sz="8" w:space="0"/>
                </w:tblBorders>
                <w:tblCellMar>
                  <w:top w:w="0" w:type="dxa"/>
                  <w:left w:w="0" w:type="dxa"/>
                  <w:bottom w:w="0" w:type="dxa"/>
                  <w:right w:w="0" w:type="dxa"/>
                </w:tblCellMar>
              </w:tblPrEx>
              <w:trPr>
                <w:trHeight w:val="705" w:hRule="atLeast"/>
              </w:trPr>
              <w:tc>
                <w:tcPr>
                  <w:tcW w:w="418" w:type="pct"/>
                  <w:vMerge w:val="continue"/>
                  <w:tcBorders>
                    <w:tl2br w:val="nil"/>
                    <w:tr2bl w:val="nil"/>
                  </w:tcBorders>
                  <w:tcMar>
                    <w:top w:w="15" w:type="dxa"/>
                    <w:left w:w="15" w:type="dxa"/>
                    <w:right w:w="15" w:type="dxa"/>
                  </w:tcMar>
                  <w:vAlign w:val="center"/>
                </w:tcPr>
                <w:p w14:paraId="5DA2B780">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bidi="ar"/>
                      <w14:textFill>
                        <w14:solidFill>
                          <w14:schemeClr w14:val="tx1"/>
                        </w14:solidFill>
                      </w14:textFill>
                    </w:rPr>
                  </w:pPr>
                </w:p>
              </w:tc>
              <w:tc>
                <w:tcPr>
                  <w:tcW w:w="355" w:type="pct"/>
                  <w:vMerge w:val="continue"/>
                  <w:tcBorders>
                    <w:tl2br w:val="nil"/>
                    <w:tr2bl w:val="nil"/>
                  </w:tcBorders>
                  <w:tcMar>
                    <w:top w:w="15" w:type="dxa"/>
                    <w:left w:w="15" w:type="dxa"/>
                    <w:right w:w="15" w:type="dxa"/>
                  </w:tcMar>
                  <w:vAlign w:val="center"/>
                </w:tcPr>
                <w:p w14:paraId="0E085EB9">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bidi="ar"/>
                      <w14:textFill>
                        <w14:solidFill>
                          <w14:schemeClr w14:val="tx1"/>
                        </w14:solidFill>
                      </w14:textFill>
                    </w:rPr>
                  </w:pPr>
                </w:p>
              </w:tc>
              <w:tc>
                <w:tcPr>
                  <w:tcW w:w="192" w:type="pct"/>
                  <w:vMerge w:val="continue"/>
                  <w:tcBorders>
                    <w:tl2br w:val="nil"/>
                    <w:tr2bl w:val="nil"/>
                  </w:tcBorders>
                  <w:tcMar>
                    <w:top w:w="15" w:type="dxa"/>
                    <w:left w:w="15" w:type="dxa"/>
                    <w:right w:w="15" w:type="dxa"/>
                  </w:tcMar>
                  <w:vAlign w:val="center"/>
                </w:tcPr>
                <w:p w14:paraId="0EDE43B6">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pPr>
                </w:p>
              </w:tc>
              <w:tc>
                <w:tcPr>
                  <w:tcW w:w="1126" w:type="pct"/>
                  <w:tcBorders>
                    <w:tl2br w:val="nil"/>
                    <w:tr2bl w:val="nil"/>
                  </w:tcBorders>
                  <w:tcMar>
                    <w:top w:w="15" w:type="dxa"/>
                    <w:left w:w="15" w:type="dxa"/>
                    <w:right w:w="15" w:type="dxa"/>
                  </w:tcMar>
                  <w:vAlign w:val="center"/>
                </w:tcPr>
                <w:p w14:paraId="6297346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rightChars="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302" w:type="pct"/>
                  <w:tcBorders>
                    <w:tl2br w:val="nil"/>
                    <w:tr2bl w:val="nil"/>
                  </w:tcBorders>
                  <w:tcMar>
                    <w:top w:w="15" w:type="dxa"/>
                    <w:left w:w="15" w:type="dxa"/>
                    <w:right w:w="15" w:type="dxa"/>
                  </w:tcMar>
                  <w:vAlign w:val="center"/>
                </w:tcPr>
                <w:p w14:paraId="7FFBFB9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rightChars="0"/>
                    <w:jc w:val="left"/>
                    <w:textAlignment w:val="auto"/>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炒制废气：</w:t>
                  </w:r>
                  <w:r>
                    <w:rPr>
                      <w:rFonts w:hint="eastAsia"/>
                      <w:color w:val="000000" w:themeColor="text1"/>
                      <w:sz w:val="21"/>
                      <w:szCs w:val="21"/>
                      <w:highlight w:val="none"/>
                      <w:lang w:val="en-US" w:eastAsia="zh-CN"/>
                      <w14:textFill>
                        <w14:solidFill>
                          <w14:schemeClr w14:val="tx1"/>
                        </w14:solidFill>
                      </w14:textFill>
                    </w:rPr>
                    <w:t>上吸式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集气罩+布袋除尘器</w:t>
                  </w:r>
                  <w:r>
                    <w:rPr>
                      <w:rFonts w:hint="eastAsia"/>
                      <w:color w:val="000000" w:themeColor="text1"/>
                      <w:sz w:val="21"/>
                      <w:szCs w:val="21"/>
                      <w:highlight w:val="none"/>
                      <w:lang w:val="en-US" w:eastAsia="zh-CN"/>
                      <w14:textFill>
                        <w14:solidFill>
                          <w14:schemeClr w14:val="tx1"/>
                        </w14:solidFill>
                      </w14:textFill>
                    </w:rPr>
                    <w:t>+二级活性炭吸附设施</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（TA0</w:t>
                  </w:r>
                  <w:r>
                    <w:rPr>
                      <w:rFonts w:hint="eastAsia"/>
                      <w:color w:val="000000" w:themeColor="text1"/>
                      <w:sz w:val="24"/>
                      <w:szCs w:val="24"/>
                      <w:highlight w:val="none"/>
                      <w:lang w:val="en-US" w:eastAsia="zh-CN"/>
                      <w14:textFill>
                        <w14:solidFill>
                          <w14:schemeClr w14:val="tx1"/>
                        </w14:solidFill>
                      </w14:textFill>
                    </w:rPr>
                    <w:t>26</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）处理后由不低于15m高的排气筒（DA0</w:t>
                  </w:r>
                  <w:r>
                    <w:rPr>
                      <w:rFonts w:hint="eastAsia"/>
                      <w:color w:val="000000" w:themeColor="text1"/>
                      <w:sz w:val="21"/>
                      <w:szCs w:val="21"/>
                      <w:highlight w:val="none"/>
                      <w:lang w:val="en-US" w:eastAsia="zh-CN"/>
                      <w14:textFill>
                        <w14:solidFill>
                          <w14:schemeClr w14:val="tx1"/>
                        </w14:solidFill>
                      </w14:textFill>
                    </w:rPr>
                    <w:t>16</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）排放</w:t>
                  </w:r>
                </w:p>
              </w:tc>
              <w:tc>
                <w:tcPr>
                  <w:tcW w:w="1239" w:type="pct"/>
                  <w:tcBorders>
                    <w:tl2br w:val="nil"/>
                    <w:tr2bl w:val="nil"/>
                  </w:tcBorders>
                  <w:tcMar>
                    <w:top w:w="15" w:type="dxa"/>
                    <w:left w:w="15" w:type="dxa"/>
                    <w:right w:w="15" w:type="dxa"/>
                  </w:tcMar>
                  <w:vAlign w:val="center"/>
                </w:tcPr>
                <w:p w14:paraId="4879628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rightChars="0"/>
                    <w:jc w:val="left"/>
                    <w:textAlignment w:val="auto"/>
                    <w:rPr>
                      <w:rFonts w:hint="eastAsia"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炒制废气：</w:t>
                  </w:r>
                  <w:r>
                    <w:rPr>
                      <w:rFonts w:hint="eastAsia"/>
                      <w:color w:val="000000" w:themeColor="text1"/>
                      <w:sz w:val="21"/>
                      <w:szCs w:val="21"/>
                      <w:highlight w:val="none"/>
                      <w:lang w:val="en-US" w:eastAsia="zh-CN"/>
                      <w14:textFill>
                        <w14:solidFill>
                          <w14:schemeClr w14:val="tx1"/>
                        </w14:solidFill>
                      </w14:textFill>
                    </w:rPr>
                    <w:t>上吸式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集气罩+布袋除尘器</w:t>
                  </w:r>
                  <w:r>
                    <w:rPr>
                      <w:rFonts w:hint="eastAsia"/>
                      <w:color w:val="000000" w:themeColor="text1"/>
                      <w:sz w:val="21"/>
                      <w:szCs w:val="21"/>
                      <w:highlight w:val="none"/>
                      <w:lang w:val="en-US" w:eastAsia="zh-CN"/>
                      <w14:textFill>
                        <w14:solidFill>
                          <w14:schemeClr w14:val="tx1"/>
                        </w14:solidFill>
                      </w14:textFill>
                    </w:rPr>
                    <w:t>+二级活性炭吸附设施</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（TA0</w:t>
                  </w:r>
                  <w:r>
                    <w:rPr>
                      <w:rFonts w:hint="eastAsia"/>
                      <w:color w:val="000000" w:themeColor="text1"/>
                      <w:sz w:val="24"/>
                      <w:szCs w:val="24"/>
                      <w:highlight w:val="none"/>
                      <w:lang w:val="en-US" w:eastAsia="zh-CN"/>
                      <w14:textFill>
                        <w14:solidFill>
                          <w14:schemeClr w14:val="tx1"/>
                        </w14:solidFill>
                      </w14:textFill>
                    </w:rPr>
                    <w:t>26</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）处理后由不低于15m高的排气筒（DA0</w:t>
                  </w:r>
                  <w:r>
                    <w:rPr>
                      <w:rFonts w:hint="eastAsia"/>
                      <w:color w:val="000000" w:themeColor="text1"/>
                      <w:sz w:val="21"/>
                      <w:szCs w:val="21"/>
                      <w:highlight w:val="none"/>
                      <w:lang w:val="en-US" w:eastAsia="zh-CN"/>
                      <w14:textFill>
                        <w14:solidFill>
                          <w14:schemeClr w14:val="tx1"/>
                        </w14:solidFill>
                      </w14:textFill>
                    </w:rPr>
                    <w:t>16</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）排放</w:t>
                  </w:r>
                </w:p>
              </w:tc>
              <w:tc>
                <w:tcPr>
                  <w:tcW w:w="366" w:type="pct"/>
                  <w:tcBorders>
                    <w:tl2br w:val="nil"/>
                    <w:tr2bl w:val="nil"/>
                  </w:tcBorders>
                  <w:tcMar>
                    <w:top w:w="15" w:type="dxa"/>
                    <w:left w:w="15" w:type="dxa"/>
                    <w:right w:w="15" w:type="dxa"/>
                  </w:tcMar>
                  <w:vAlign w:val="center"/>
                </w:tcPr>
                <w:p w14:paraId="457B7E6F">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eastAsia"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新建</w:t>
                  </w:r>
                </w:p>
              </w:tc>
            </w:tr>
            <w:tr w14:paraId="37275FB4">
              <w:tblPrEx>
                <w:tblBorders>
                  <w:top w:val="double" w:color="000000" w:sz="4" w:space="0"/>
                  <w:left w:val="none" w:color="auto" w:sz="0" w:space="0"/>
                  <w:bottom w:val="double" w:color="000000" w:sz="4" w:space="0"/>
                  <w:right w:val="none" w:color="auto" w:sz="0" w:space="0"/>
                  <w:insideH w:val="single" w:color="000000" w:sz="4" w:space="0"/>
                  <w:insideV w:val="single" w:color="000000" w:sz="8" w:space="0"/>
                </w:tblBorders>
                <w:tblCellMar>
                  <w:top w:w="0" w:type="dxa"/>
                  <w:left w:w="0" w:type="dxa"/>
                  <w:bottom w:w="0" w:type="dxa"/>
                  <w:right w:w="0" w:type="dxa"/>
                </w:tblCellMar>
              </w:tblPrEx>
              <w:trPr>
                <w:trHeight w:val="705" w:hRule="atLeast"/>
              </w:trPr>
              <w:tc>
                <w:tcPr>
                  <w:tcW w:w="418" w:type="pct"/>
                  <w:vMerge w:val="continue"/>
                  <w:tcBorders>
                    <w:tl2br w:val="nil"/>
                    <w:tr2bl w:val="nil"/>
                  </w:tcBorders>
                  <w:tcMar>
                    <w:top w:w="15" w:type="dxa"/>
                    <w:left w:w="15" w:type="dxa"/>
                    <w:right w:w="15" w:type="dxa"/>
                  </w:tcMar>
                  <w:vAlign w:val="center"/>
                </w:tcPr>
                <w:p w14:paraId="48B4D706">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bidi="ar"/>
                      <w14:textFill>
                        <w14:solidFill>
                          <w14:schemeClr w14:val="tx1"/>
                        </w14:solidFill>
                      </w14:textFill>
                    </w:rPr>
                  </w:pPr>
                </w:p>
              </w:tc>
              <w:tc>
                <w:tcPr>
                  <w:tcW w:w="355" w:type="pct"/>
                  <w:vMerge w:val="continue"/>
                  <w:tcBorders>
                    <w:tl2br w:val="nil"/>
                    <w:tr2bl w:val="nil"/>
                  </w:tcBorders>
                  <w:tcMar>
                    <w:top w:w="15" w:type="dxa"/>
                    <w:left w:w="15" w:type="dxa"/>
                    <w:right w:w="15" w:type="dxa"/>
                  </w:tcMar>
                  <w:vAlign w:val="center"/>
                </w:tcPr>
                <w:p w14:paraId="4CD92630">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bidi="ar"/>
                      <w14:textFill>
                        <w14:solidFill>
                          <w14:schemeClr w14:val="tx1"/>
                        </w14:solidFill>
                      </w14:textFill>
                    </w:rPr>
                  </w:pPr>
                </w:p>
              </w:tc>
              <w:tc>
                <w:tcPr>
                  <w:tcW w:w="192" w:type="pct"/>
                  <w:vMerge w:val="continue"/>
                  <w:tcBorders>
                    <w:tl2br w:val="nil"/>
                    <w:tr2bl w:val="nil"/>
                  </w:tcBorders>
                  <w:tcMar>
                    <w:top w:w="15" w:type="dxa"/>
                    <w:left w:w="15" w:type="dxa"/>
                    <w:right w:w="15" w:type="dxa"/>
                  </w:tcMar>
                  <w:vAlign w:val="center"/>
                </w:tcPr>
                <w:p w14:paraId="6C9179E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pPr>
                </w:p>
              </w:tc>
              <w:tc>
                <w:tcPr>
                  <w:tcW w:w="1126" w:type="pct"/>
                  <w:tcBorders>
                    <w:tl2br w:val="nil"/>
                    <w:tr2bl w:val="nil"/>
                  </w:tcBorders>
                  <w:tcMar>
                    <w:top w:w="15" w:type="dxa"/>
                    <w:left w:w="15" w:type="dxa"/>
                    <w:right w:w="15" w:type="dxa"/>
                  </w:tcMar>
                  <w:vAlign w:val="center"/>
                </w:tcPr>
                <w:p w14:paraId="0D2757C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rightChars="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302" w:type="pct"/>
                  <w:tcBorders>
                    <w:tl2br w:val="nil"/>
                    <w:tr2bl w:val="nil"/>
                  </w:tcBorders>
                  <w:tcMar>
                    <w:top w:w="15" w:type="dxa"/>
                    <w:left w:w="15" w:type="dxa"/>
                    <w:right w:w="15" w:type="dxa"/>
                  </w:tcMar>
                  <w:vAlign w:val="center"/>
                </w:tcPr>
                <w:p w14:paraId="50905EE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rightChars="0"/>
                    <w:jc w:val="left"/>
                    <w:textAlignment w:val="auto"/>
                    <w:rPr>
                      <w:rFonts w:hint="default"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创新制剂车间</w:t>
                  </w:r>
                  <w:r>
                    <w:rPr>
                      <w:rFonts w:hint="eastAsia" w:cs="Times New Roman"/>
                      <w:color w:val="000000" w:themeColor="text1"/>
                      <w:sz w:val="21"/>
                      <w:szCs w:val="21"/>
                      <w:highlight w:val="none"/>
                      <w:lang w:val="en-US" w:eastAsia="zh-CN"/>
                      <w14:textFill>
                        <w14:solidFill>
                          <w14:schemeClr w14:val="tx1"/>
                        </w14:solidFill>
                      </w14:textFill>
                    </w:rPr>
                    <w:t>制粒和包衣</w:t>
                  </w:r>
                  <w:r>
                    <w:rPr>
                      <w:rFonts w:hint="eastAsia" w:eastAsia="宋体" w:cs="Times New Roman"/>
                      <w:color w:val="000000" w:themeColor="text1"/>
                      <w:sz w:val="21"/>
                      <w:szCs w:val="21"/>
                      <w:highlight w:val="none"/>
                      <w:lang w:val="en-US" w:eastAsia="zh-CN"/>
                      <w14:textFill>
                        <w14:solidFill>
                          <w14:schemeClr w14:val="tx1"/>
                        </w14:solidFill>
                      </w14:textFill>
                    </w:rPr>
                    <w:t>废气：</w:t>
                  </w:r>
                  <w:r>
                    <w:rPr>
                      <w:rFonts w:hint="eastAsia" w:eastAsia="宋体"/>
                      <w:color w:val="000000" w:themeColor="text1"/>
                      <w:sz w:val="21"/>
                      <w:szCs w:val="21"/>
                      <w:highlight w:val="none"/>
                      <w:lang w:val="en-US" w:eastAsia="zh-CN"/>
                      <w14:textFill>
                        <w14:solidFill>
                          <w14:schemeClr w14:val="tx1"/>
                        </w14:solidFill>
                      </w14:textFill>
                    </w:rPr>
                    <w:t>密闭结构+负压进料+出口密闭管道连接+</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呼吸口处捕集袋除尘+</w:t>
                  </w:r>
                  <w:r>
                    <w:rPr>
                      <w:rFonts w:hint="eastAsia" w:eastAsia="宋体"/>
                      <w:color w:val="000000" w:themeColor="text1"/>
                      <w:sz w:val="21"/>
                      <w:szCs w:val="21"/>
                      <w:highlight w:val="none"/>
                      <w:lang w:val="en-US" w:eastAsia="zh-CN"/>
                      <w14:textFill>
                        <w14:solidFill>
                          <w14:schemeClr w14:val="tx1"/>
                        </w14:solidFill>
                      </w14:textFill>
                    </w:rPr>
                    <w:t>旋风</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除尘器（TA0</w:t>
                  </w:r>
                  <w:r>
                    <w:rPr>
                      <w:rFonts w:hint="eastAsia"/>
                      <w:color w:val="000000" w:themeColor="text1"/>
                      <w:sz w:val="21"/>
                      <w:szCs w:val="21"/>
                      <w:highlight w:val="none"/>
                      <w:lang w:val="en-US" w:eastAsia="zh-CN"/>
                      <w14:textFill>
                        <w14:solidFill>
                          <w14:schemeClr w14:val="tx1"/>
                        </w14:solidFill>
                      </w14:textFill>
                    </w:rPr>
                    <w:t>27</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）处理后由不低于15m高的排气筒（DA00</w:t>
                  </w:r>
                  <w:r>
                    <w:rPr>
                      <w:rFonts w:hint="eastAsia"/>
                      <w:color w:val="000000" w:themeColor="text1"/>
                      <w:sz w:val="21"/>
                      <w:szCs w:val="21"/>
                      <w:highlight w:val="none"/>
                      <w:lang w:val="en-US" w:eastAsia="zh-CN"/>
                      <w14:textFill>
                        <w14:solidFill>
                          <w14:schemeClr w14:val="tx1"/>
                        </w14:solidFill>
                      </w14:textFill>
                    </w:rPr>
                    <w:t>5</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）排放</w:t>
                  </w:r>
                  <w:r>
                    <w:rPr>
                      <w:rFonts w:hint="eastAsia"/>
                      <w:color w:val="000000" w:themeColor="text1"/>
                      <w:sz w:val="21"/>
                      <w:szCs w:val="21"/>
                      <w:highlight w:val="none"/>
                      <w:lang w:val="en-US" w:eastAsia="zh-CN"/>
                      <w14:textFill>
                        <w14:solidFill>
                          <w14:schemeClr w14:val="tx1"/>
                        </w14:solidFill>
                      </w14:textFill>
                    </w:rPr>
                    <w:t>。</w:t>
                  </w:r>
                </w:p>
              </w:tc>
              <w:tc>
                <w:tcPr>
                  <w:tcW w:w="1239" w:type="pct"/>
                  <w:tcBorders>
                    <w:tl2br w:val="nil"/>
                    <w:tr2bl w:val="nil"/>
                  </w:tcBorders>
                  <w:tcMar>
                    <w:top w:w="15" w:type="dxa"/>
                    <w:left w:w="15" w:type="dxa"/>
                    <w:right w:w="15" w:type="dxa"/>
                  </w:tcMar>
                  <w:vAlign w:val="center"/>
                </w:tcPr>
                <w:p w14:paraId="63EEAA2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rightChars="0"/>
                    <w:jc w:val="left"/>
                    <w:textAlignment w:val="auto"/>
                    <w:rPr>
                      <w:rFonts w:hint="eastAsia"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创新制剂车间</w:t>
                  </w:r>
                  <w:r>
                    <w:rPr>
                      <w:rFonts w:hint="eastAsia" w:cs="Times New Roman"/>
                      <w:color w:val="000000" w:themeColor="text1"/>
                      <w:sz w:val="21"/>
                      <w:szCs w:val="21"/>
                      <w:highlight w:val="none"/>
                      <w:lang w:val="en-US" w:eastAsia="zh-CN"/>
                      <w14:textFill>
                        <w14:solidFill>
                          <w14:schemeClr w14:val="tx1"/>
                        </w14:solidFill>
                      </w14:textFill>
                    </w:rPr>
                    <w:t>制粒和包衣</w:t>
                  </w:r>
                  <w:r>
                    <w:rPr>
                      <w:rFonts w:hint="eastAsia" w:eastAsia="宋体" w:cs="Times New Roman"/>
                      <w:color w:val="000000" w:themeColor="text1"/>
                      <w:sz w:val="21"/>
                      <w:szCs w:val="21"/>
                      <w:highlight w:val="none"/>
                      <w:lang w:val="en-US" w:eastAsia="zh-CN"/>
                      <w14:textFill>
                        <w14:solidFill>
                          <w14:schemeClr w14:val="tx1"/>
                        </w14:solidFill>
                      </w14:textFill>
                    </w:rPr>
                    <w:t>废气：</w:t>
                  </w:r>
                  <w:r>
                    <w:rPr>
                      <w:rFonts w:hint="eastAsia" w:eastAsia="宋体"/>
                      <w:color w:val="000000" w:themeColor="text1"/>
                      <w:sz w:val="21"/>
                      <w:szCs w:val="21"/>
                      <w:highlight w:val="none"/>
                      <w:lang w:val="en-US" w:eastAsia="zh-CN"/>
                      <w14:textFill>
                        <w14:solidFill>
                          <w14:schemeClr w14:val="tx1"/>
                        </w14:solidFill>
                      </w14:textFill>
                    </w:rPr>
                    <w:t>密闭结构+负压进料+出口密闭管道连接+</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呼吸口处捕集袋除尘+</w:t>
                  </w:r>
                  <w:r>
                    <w:rPr>
                      <w:rFonts w:hint="eastAsia" w:eastAsia="宋体"/>
                      <w:color w:val="000000" w:themeColor="text1"/>
                      <w:sz w:val="21"/>
                      <w:szCs w:val="21"/>
                      <w:highlight w:val="none"/>
                      <w:lang w:val="en-US" w:eastAsia="zh-CN"/>
                      <w14:textFill>
                        <w14:solidFill>
                          <w14:schemeClr w14:val="tx1"/>
                        </w14:solidFill>
                      </w14:textFill>
                    </w:rPr>
                    <w:t>旋风</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除尘器（TA0</w:t>
                  </w:r>
                  <w:r>
                    <w:rPr>
                      <w:rFonts w:hint="eastAsia"/>
                      <w:color w:val="000000" w:themeColor="text1"/>
                      <w:sz w:val="21"/>
                      <w:szCs w:val="21"/>
                      <w:highlight w:val="none"/>
                      <w:lang w:val="en-US" w:eastAsia="zh-CN"/>
                      <w14:textFill>
                        <w14:solidFill>
                          <w14:schemeClr w14:val="tx1"/>
                        </w14:solidFill>
                      </w14:textFill>
                    </w:rPr>
                    <w:t>27</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）处理后由不低于15m高的排气筒（DA00</w:t>
                  </w:r>
                  <w:r>
                    <w:rPr>
                      <w:rFonts w:hint="eastAsia"/>
                      <w:color w:val="000000" w:themeColor="text1"/>
                      <w:sz w:val="21"/>
                      <w:szCs w:val="21"/>
                      <w:highlight w:val="none"/>
                      <w:lang w:val="en-US" w:eastAsia="zh-CN"/>
                      <w14:textFill>
                        <w14:solidFill>
                          <w14:schemeClr w14:val="tx1"/>
                        </w14:solidFill>
                      </w14:textFill>
                    </w:rPr>
                    <w:t>5</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）排放</w:t>
                  </w:r>
                  <w:r>
                    <w:rPr>
                      <w:rFonts w:hint="eastAsia"/>
                      <w:color w:val="000000" w:themeColor="text1"/>
                      <w:sz w:val="21"/>
                      <w:szCs w:val="21"/>
                      <w:highlight w:val="none"/>
                      <w:lang w:val="en-US" w:eastAsia="zh-CN"/>
                      <w14:textFill>
                        <w14:solidFill>
                          <w14:schemeClr w14:val="tx1"/>
                        </w14:solidFill>
                      </w14:textFill>
                    </w:rPr>
                    <w:t>。</w:t>
                  </w:r>
                </w:p>
              </w:tc>
              <w:tc>
                <w:tcPr>
                  <w:tcW w:w="366" w:type="pct"/>
                  <w:tcBorders>
                    <w:tl2br w:val="nil"/>
                    <w:tr2bl w:val="nil"/>
                  </w:tcBorders>
                  <w:tcMar>
                    <w:top w:w="15" w:type="dxa"/>
                    <w:left w:w="15" w:type="dxa"/>
                    <w:right w:w="15" w:type="dxa"/>
                  </w:tcMar>
                  <w:vAlign w:val="center"/>
                </w:tcPr>
                <w:p w14:paraId="73E44A6A">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eastAsia"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新建</w:t>
                  </w:r>
                </w:p>
              </w:tc>
            </w:tr>
            <w:tr w14:paraId="6F6C8305">
              <w:tblPrEx>
                <w:tblBorders>
                  <w:top w:val="double" w:color="000000" w:sz="4" w:space="0"/>
                  <w:left w:val="none" w:color="auto" w:sz="0" w:space="0"/>
                  <w:bottom w:val="double" w:color="000000" w:sz="4" w:space="0"/>
                  <w:right w:val="none" w:color="auto" w:sz="0" w:space="0"/>
                  <w:insideH w:val="single" w:color="000000" w:sz="4" w:space="0"/>
                  <w:insideV w:val="single" w:color="000000" w:sz="8" w:space="0"/>
                </w:tblBorders>
                <w:tblCellMar>
                  <w:top w:w="0" w:type="dxa"/>
                  <w:left w:w="0" w:type="dxa"/>
                  <w:bottom w:w="0" w:type="dxa"/>
                  <w:right w:w="0" w:type="dxa"/>
                </w:tblCellMar>
              </w:tblPrEx>
              <w:trPr>
                <w:trHeight w:val="340" w:hRule="atLeast"/>
              </w:trPr>
              <w:tc>
                <w:tcPr>
                  <w:tcW w:w="418" w:type="pct"/>
                  <w:vMerge w:val="continue"/>
                  <w:tcBorders>
                    <w:tl2br w:val="nil"/>
                    <w:tr2bl w:val="nil"/>
                  </w:tcBorders>
                  <w:tcMar>
                    <w:top w:w="15" w:type="dxa"/>
                    <w:left w:w="15" w:type="dxa"/>
                    <w:right w:w="15" w:type="dxa"/>
                  </w:tcMar>
                  <w:vAlign w:val="center"/>
                </w:tcPr>
                <w:p w14:paraId="56A3557A">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bidi="ar"/>
                      <w14:textFill>
                        <w14:solidFill>
                          <w14:schemeClr w14:val="tx1"/>
                        </w14:solidFill>
                      </w14:textFill>
                    </w:rPr>
                  </w:pPr>
                </w:p>
              </w:tc>
              <w:tc>
                <w:tcPr>
                  <w:tcW w:w="355" w:type="pct"/>
                  <w:vMerge w:val="continue"/>
                  <w:tcBorders>
                    <w:tl2br w:val="nil"/>
                    <w:tr2bl w:val="nil"/>
                  </w:tcBorders>
                  <w:tcMar>
                    <w:top w:w="15" w:type="dxa"/>
                    <w:left w:w="15" w:type="dxa"/>
                    <w:right w:w="15" w:type="dxa"/>
                  </w:tcMar>
                  <w:vAlign w:val="center"/>
                </w:tcPr>
                <w:p w14:paraId="0EBED2A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bidi="ar"/>
                      <w14:textFill>
                        <w14:solidFill>
                          <w14:schemeClr w14:val="tx1"/>
                        </w14:solidFill>
                      </w14:textFill>
                    </w:rPr>
                  </w:pPr>
                </w:p>
              </w:tc>
              <w:tc>
                <w:tcPr>
                  <w:tcW w:w="192" w:type="pct"/>
                  <w:vMerge w:val="restart"/>
                  <w:tcBorders>
                    <w:tl2br w:val="nil"/>
                    <w:tr2bl w:val="nil"/>
                  </w:tcBorders>
                  <w:tcMar>
                    <w:top w:w="15" w:type="dxa"/>
                    <w:left w:w="15" w:type="dxa"/>
                    <w:right w:w="15" w:type="dxa"/>
                  </w:tcMar>
                  <w:vAlign w:val="center"/>
                </w:tcPr>
                <w:p w14:paraId="28770092">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无组织</w:t>
                  </w:r>
                </w:p>
              </w:tc>
              <w:tc>
                <w:tcPr>
                  <w:tcW w:w="1126" w:type="pct"/>
                  <w:tcBorders>
                    <w:tl2br w:val="nil"/>
                    <w:tr2bl w:val="nil"/>
                  </w:tcBorders>
                  <w:tcMar>
                    <w:top w:w="15" w:type="dxa"/>
                    <w:left w:w="15" w:type="dxa"/>
                    <w:right w:w="15" w:type="dxa"/>
                  </w:tcMar>
                  <w:vAlign w:val="center"/>
                </w:tcPr>
                <w:p w14:paraId="479663FF">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302" w:type="pct"/>
                  <w:tcBorders>
                    <w:tl2br w:val="nil"/>
                    <w:tr2bl w:val="nil"/>
                  </w:tcBorders>
                  <w:tcMar>
                    <w:top w:w="15" w:type="dxa"/>
                    <w:left w:w="15" w:type="dxa"/>
                    <w:right w:w="15" w:type="dxa"/>
                  </w:tcMar>
                  <w:vAlign w:val="center"/>
                </w:tcPr>
                <w:p w14:paraId="151BEA1F">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软化废气：</w:t>
                  </w:r>
                  <w:r>
                    <w:rPr>
                      <w:rFonts w:hint="eastAsia" w:cs="Times New Roman"/>
                      <w:color w:val="000000" w:themeColor="text1"/>
                      <w:sz w:val="21"/>
                      <w:szCs w:val="21"/>
                      <w:highlight w:val="none"/>
                      <w:lang w:val="en-US" w:eastAsia="zh-CN"/>
                      <w14:textFill>
                        <w14:solidFill>
                          <w14:schemeClr w14:val="tx1"/>
                        </w14:solidFill>
                      </w14:textFill>
                    </w:rPr>
                    <w:t>设备密闭+泄压排气管道与车间整体排风连接，产生的水蒸气和少量中药异味（臭气浓度）无组织排放</w:t>
                  </w:r>
                </w:p>
              </w:tc>
              <w:tc>
                <w:tcPr>
                  <w:tcW w:w="1239" w:type="pct"/>
                  <w:tcBorders>
                    <w:tl2br w:val="nil"/>
                    <w:tr2bl w:val="nil"/>
                  </w:tcBorders>
                  <w:tcMar>
                    <w:top w:w="15" w:type="dxa"/>
                    <w:left w:w="15" w:type="dxa"/>
                    <w:right w:w="15" w:type="dxa"/>
                  </w:tcMar>
                  <w:vAlign w:val="center"/>
                </w:tcPr>
                <w:p w14:paraId="4C857196">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软化废气：</w:t>
                  </w:r>
                  <w:r>
                    <w:rPr>
                      <w:rFonts w:hint="eastAsia" w:cs="Times New Roman"/>
                      <w:color w:val="000000" w:themeColor="text1"/>
                      <w:sz w:val="21"/>
                      <w:szCs w:val="21"/>
                      <w:highlight w:val="none"/>
                      <w:lang w:val="en-US" w:eastAsia="zh-CN"/>
                      <w14:textFill>
                        <w14:solidFill>
                          <w14:schemeClr w14:val="tx1"/>
                        </w14:solidFill>
                      </w14:textFill>
                    </w:rPr>
                    <w:t>设备密闭+泄压排气管道与车间整体排风连接，产生的水蒸气和少量中药异味（臭气浓度）无组织排放</w:t>
                  </w:r>
                </w:p>
              </w:tc>
              <w:tc>
                <w:tcPr>
                  <w:tcW w:w="366" w:type="pct"/>
                  <w:tcBorders>
                    <w:tl2br w:val="nil"/>
                    <w:tr2bl w:val="nil"/>
                  </w:tcBorders>
                  <w:tcMar>
                    <w:top w:w="15" w:type="dxa"/>
                    <w:left w:w="15" w:type="dxa"/>
                    <w:right w:w="15" w:type="dxa"/>
                  </w:tcMar>
                  <w:vAlign w:val="center"/>
                </w:tcPr>
                <w:p w14:paraId="5C3562B2">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新建</w:t>
                  </w:r>
                </w:p>
              </w:tc>
            </w:tr>
            <w:tr w14:paraId="2FCFEF60">
              <w:tblPrEx>
                <w:tblBorders>
                  <w:top w:val="double" w:color="000000" w:sz="4" w:space="0"/>
                  <w:left w:val="none" w:color="auto" w:sz="0" w:space="0"/>
                  <w:bottom w:val="double" w:color="000000" w:sz="4" w:space="0"/>
                  <w:right w:val="none" w:color="auto" w:sz="0" w:space="0"/>
                  <w:insideH w:val="single" w:color="000000" w:sz="4" w:space="0"/>
                  <w:insideV w:val="single" w:color="000000" w:sz="8" w:space="0"/>
                </w:tblBorders>
                <w:tblCellMar>
                  <w:top w:w="0" w:type="dxa"/>
                  <w:left w:w="0" w:type="dxa"/>
                  <w:bottom w:w="0" w:type="dxa"/>
                  <w:right w:w="0" w:type="dxa"/>
                </w:tblCellMar>
              </w:tblPrEx>
              <w:trPr>
                <w:trHeight w:val="340" w:hRule="atLeast"/>
              </w:trPr>
              <w:tc>
                <w:tcPr>
                  <w:tcW w:w="418" w:type="pct"/>
                  <w:vMerge w:val="continue"/>
                  <w:tcBorders>
                    <w:tl2br w:val="nil"/>
                    <w:tr2bl w:val="nil"/>
                  </w:tcBorders>
                  <w:tcMar>
                    <w:top w:w="15" w:type="dxa"/>
                    <w:left w:w="15" w:type="dxa"/>
                    <w:right w:w="15" w:type="dxa"/>
                  </w:tcMar>
                  <w:vAlign w:val="center"/>
                </w:tcPr>
                <w:p w14:paraId="49B6DBD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bidi="ar"/>
                      <w14:textFill>
                        <w14:solidFill>
                          <w14:schemeClr w14:val="tx1"/>
                        </w14:solidFill>
                      </w14:textFill>
                    </w:rPr>
                  </w:pPr>
                </w:p>
              </w:tc>
              <w:tc>
                <w:tcPr>
                  <w:tcW w:w="355" w:type="pct"/>
                  <w:vMerge w:val="continue"/>
                  <w:tcBorders>
                    <w:tl2br w:val="nil"/>
                    <w:tr2bl w:val="nil"/>
                  </w:tcBorders>
                  <w:tcMar>
                    <w:top w:w="15" w:type="dxa"/>
                    <w:left w:w="15" w:type="dxa"/>
                    <w:right w:w="15" w:type="dxa"/>
                  </w:tcMar>
                  <w:vAlign w:val="center"/>
                </w:tcPr>
                <w:p w14:paraId="0CBEA813">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bidi="ar"/>
                      <w14:textFill>
                        <w14:solidFill>
                          <w14:schemeClr w14:val="tx1"/>
                        </w14:solidFill>
                      </w14:textFill>
                    </w:rPr>
                  </w:pPr>
                </w:p>
              </w:tc>
              <w:tc>
                <w:tcPr>
                  <w:tcW w:w="192" w:type="pct"/>
                  <w:vMerge w:val="continue"/>
                  <w:tcBorders>
                    <w:tl2br w:val="nil"/>
                    <w:tr2bl w:val="nil"/>
                  </w:tcBorders>
                  <w:tcMar>
                    <w:top w:w="15" w:type="dxa"/>
                    <w:left w:w="15" w:type="dxa"/>
                    <w:right w:w="15" w:type="dxa"/>
                  </w:tcMar>
                  <w:vAlign w:val="center"/>
                </w:tcPr>
                <w:p w14:paraId="3CBDC455">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pPr>
                </w:p>
              </w:tc>
              <w:tc>
                <w:tcPr>
                  <w:tcW w:w="1126" w:type="pct"/>
                  <w:tcBorders>
                    <w:tl2br w:val="nil"/>
                    <w:tr2bl w:val="nil"/>
                  </w:tcBorders>
                  <w:tcMar>
                    <w:top w:w="15" w:type="dxa"/>
                    <w:left w:w="15" w:type="dxa"/>
                    <w:right w:w="15" w:type="dxa"/>
                  </w:tcMar>
                  <w:vAlign w:val="center"/>
                </w:tcPr>
                <w:p w14:paraId="4D9DDB0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302" w:type="pct"/>
                  <w:tcBorders>
                    <w:tl2br w:val="nil"/>
                    <w:tr2bl w:val="nil"/>
                  </w:tcBorders>
                  <w:tcMar>
                    <w:top w:w="15" w:type="dxa"/>
                    <w:left w:w="15" w:type="dxa"/>
                    <w:right w:w="15" w:type="dxa"/>
                  </w:tcMar>
                  <w:vAlign w:val="center"/>
                </w:tcPr>
                <w:p w14:paraId="28CF94E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干燥废气：</w:t>
                  </w:r>
                  <w:r>
                    <w:rPr>
                      <w:rFonts w:hint="eastAsia"/>
                      <w:color w:val="000000" w:themeColor="text1"/>
                      <w:sz w:val="21"/>
                      <w:szCs w:val="21"/>
                      <w:highlight w:val="none"/>
                      <w:lang w:val="en-US" w:eastAsia="zh-CN"/>
                      <w14:textFill>
                        <w14:solidFill>
                          <w14:schemeClr w14:val="tx1"/>
                        </w14:solidFill>
                      </w14:textFill>
                    </w:rPr>
                    <w:t>上吸式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集气罩+集气管道与车间整体排风连接，产生的水蒸气和少量中药异味（臭气浓度）无组织排放</w:t>
                  </w:r>
                </w:p>
              </w:tc>
              <w:tc>
                <w:tcPr>
                  <w:tcW w:w="1239" w:type="pct"/>
                  <w:tcBorders>
                    <w:tl2br w:val="nil"/>
                    <w:tr2bl w:val="nil"/>
                  </w:tcBorders>
                  <w:tcMar>
                    <w:top w:w="15" w:type="dxa"/>
                    <w:left w:w="15" w:type="dxa"/>
                    <w:right w:w="15" w:type="dxa"/>
                  </w:tcMar>
                  <w:vAlign w:val="center"/>
                </w:tcPr>
                <w:p w14:paraId="4B5D4A53">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干燥废气：</w:t>
                  </w:r>
                  <w:r>
                    <w:rPr>
                      <w:rFonts w:hint="eastAsia"/>
                      <w:color w:val="000000" w:themeColor="text1"/>
                      <w:sz w:val="21"/>
                      <w:szCs w:val="21"/>
                      <w:highlight w:val="none"/>
                      <w:lang w:val="en-US" w:eastAsia="zh-CN"/>
                      <w14:textFill>
                        <w14:solidFill>
                          <w14:schemeClr w14:val="tx1"/>
                        </w14:solidFill>
                      </w14:textFill>
                    </w:rPr>
                    <w:t>上吸式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集气罩+集气管道与车间整体排风连接，产生的水蒸气和少量中药异味（臭气浓度）无组织排放</w:t>
                  </w:r>
                </w:p>
              </w:tc>
              <w:tc>
                <w:tcPr>
                  <w:tcW w:w="366" w:type="pct"/>
                  <w:tcBorders>
                    <w:tl2br w:val="nil"/>
                    <w:tr2bl w:val="nil"/>
                  </w:tcBorders>
                  <w:tcMar>
                    <w:top w:w="15" w:type="dxa"/>
                    <w:left w:w="15" w:type="dxa"/>
                    <w:right w:w="15" w:type="dxa"/>
                  </w:tcMar>
                  <w:vAlign w:val="center"/>
                </w:tcPr>
                <w:p w14:paraId="67524EC6">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新建</w:t>
                  </w:r>
                </w:p>
              </w:tc>
            </w:tr>
            <w:tr w14:paraId="30BBD2EC">
              <w:tblPrEx>
                <w:tblBorders>
                  <w:top w:val="double" w:color="000000" w:sz="4" w:space="0"/>
                  <w:left w:val="none" w:color="auto" w:sz="0" w:space="0"/>
                  <w:bottom w:val="double" w:color="000000" w:sz="4" w:space="0"/>
                  <w:right w:val="none" w:color="auto" w:sz="0" w:space="0"/>
                  <w:insideH w:val="single" w:color="000000" w:sz="4" w:space="0"/>
                  <w:insideV w:val="single" w:color="000000" w:sz="8" w:space="0"/>
                </w:tblBorders>
                <w:tblCellMar>
                  <w:top w:w="0" w:type="dxa"/>
                  <w:left w:w="0" w:type="dxa"/>
                  <w:bottom w:w="0" w:type="dxa"/>
                  <w:right w:w="0" w:type="dxa"/>
                </w:tblCellMar>
              </w:tblPrEx>
              <w:trPr>
                <w:trHeight w:val="340" w:hRule="atLeast"/>
              </w:trPr>
              <w:tc>
                <w:tcPr>
                  <w:tcW w:w="418" w:type="pct"/>
                  <w:vMerge w:val="continue"/>
                  <w:tcBorders>
                    <w:tl2br w:val="nil"/>
                    <w:tr2bl w:val="nil"/>
                  </w:tcBorders>
                  <w:tcMar>
                    <w:top w:w="15" w:type="dxa"/>
                    <w:left w:w="15" w:type="dxa"/>
                    <w:right w:w="15" w:type="dxa"/>
                  </w:tcMar>
                  <w:vAlign w:val="center"/>
                </w:tcPr>
                <w:p w14:paraId="01244A73">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bidi="ar"/>
                      <w14:textFill>
                        <w14:solidFill>
                          <w14:schemeClr w14:val="tx1"/>
                        </w14:solidFill>
                      </w14:textFill>
                    </w:rPr>
                  </w:pPr>
                </w:p>
              </w:tc>
              <w:tc>
                <w:tcPr>
                  <w:tcW w:w="355" w:type="pct"/>
                  <w:vMerge w:val="continue"/>
                  <w:tcBorders>
                    <w:tl2br w:val="nil"/>
                    <w:tr2bl w:val="nil"/>
                  </w:tcBorders>
                  <w:tcMar>
                    <w:top w:w="15" w:type="dxa"/>
                    <w:left w:w="15" w:type="dxa"/>
                    <w:right w:w="15" w:type="dxa"/>
                  </w:tcMar>
                  <w:vAlign w:val="center"/>
                </w:tcPr>
                <w:p w14:paraId="079E74D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bidi="ar"/>
                      <w14:textFill>
                        <w14:solidFill>
                          <w14:schemeClr w14:val="tx1"/>
                        </w14:solidFill>
                      </w14:textFill>
                    </w:rPr>
                  </w:pPr>
                </w:p>
              </w:tc>
              <w:tc>
                <w:tcPr>
                  <w:tcW w:w="192" w:type="pct"/>
                  <w:vMerge w:val="continue"/>
                  <w:tcBorders>
                    <w:tl2br w:val="nil"/>
                    <w:tr2bl w:val="nil"/>
                  </w:tcBorders>
                  <w:tcMar>
                    <w:top w:w="15" w:type="dxa"/>
                    <w:left w:w="15" w:type="dxa"/>
                    <w:right w:w="15" w:type="dxa"/>
                  </w:tcMar>
                  <w:vAlign w:val="center"/>
                </w:tcPr>
                <w:p w14:paraId="3739CD16">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pPr>
                </w:p>
              </w:tc>
              <w:tc>
                <w:tcPr>
                  <w:tcW w:w="1126" w:type="pct"/>
                  <w:tcBorders>
                    <w:tl2br w:val="nil"/>
                    <w:tr2bl w:val="nil"/>
                  </w:tcBorders>
                  <w:tcMar>
                    <w:top w:w="15" w:type="dxa"/>
                    <w:left w:w="15" w:type="dxa"/>
                    <w:right w:w="15" w:type="dxa"/>
                  </w:tcMar>
                  <w:vAlign w:val="center"/>
                </w:tcPr>
                <w:p w14:paraId="72052942">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302" w:type="pct"/>
                  <w:tcBorders>
                    <w:tl2br w:val="nil"/>
                    <w:tr2bl w:val="nil"/>
                  </w:tcBorders>
                  <w:tcMar>
                    <w:top w:w="15" w:type="dxa"/>
                    <w:left w:w="15" w:type="dxa"/>
                    <w:right w:w="15" w:type="dxa"/>
                  </w:tcMar>
                  <w:vAlign w:val="center"/>
                </w:tcPr>
                <w:p w14:paraId="36C96051">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left"/>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选粒、总混、</w:t>
                  </w:r>
                  <w:r>
                    <w:rPr>
                      <w:rFonts w:hint="eastAsia" w:eastAsia="宋体" w:cs="Times New Roman"/>
                      <w:b w:val="0"/>
                      <w:bCs/>
                      <w:color w:val="000000" w:themeColor="text1"/>
                      <w:sz w:val="21"/>
                      <w:szCs w:val="21"/>
                      <w:highlight w:val="none"/>
                      <w:lang w:val="en-US" w:eastAsia="zh-CN"/>
                      <w14:textFill>
                        <w14:solidFill>
                          <w14:schemeClr w14:val="tx1"/>
                        </w14:solidFill>
                      </w14:textFill>
                    </w:rPr>
                    <w:t>粉碎</w:t>
                  </w:r>
                  <w:r>
                    <w:rPr>
                      <w:rFonts w:hint="eastAsia" w:cs="Times New Roman"/>
                      <w:b w:val="0"/>
                      <w:bCs/>
                      <w:color w:val="000000" w:themeColor="text1"/>
                      <w:sz w:val="21"/>
                      <w:szCs w:val="21"/>
                      <w:highlight w:val="none"/>
                      <w:lang w:val="en-US"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颗粒内包、压片</w:t>
                  </w:r>
                  <w:r>
                    <w:rPr>
                      <w:rFonts w:hint="eastAsia" w:eastAsia="宋体" w:cs="Times New Roman"/>
                      <w:color w:val="000000" w:themeColor="text1"/>
                      <w:sz w:val="21"/>
                      <w:szCs w:val="21"/>
                      <w:highlight w:val="none"/>
                      <w:lang w:val="en-US" w:eastAsia="zh-CN"/>
                      <w14:textFill>
                        <w14:solidFill>
                          <w14:schemeClr w14:val="tx1"/>
                        </w14:solidFill>
                      </w14:textFill>
                    </w:rPr>
                    <w:t>废气：</w:t>
                  </w:r>
                  <w:r>
                    <w:rPr>
                      <w:rFonts w:hint="eastAsia" w:eastAsia="宋体"/>
                      <w:color w:val="000000" w:themeColor="text1"/>
                      <w:sz w:val="21"/>
                      <w:szCs w:val="21"/>
                      <w:highlight w:val="none"/>
                      <w:lang w:val="en-US" w:eastAsia="zh-CN"/>
                      <w14:textFill>
                        <w14:solidFill>
                          <w14:schemeClr w14:val="tx1"/>
                        </w14:solidFill>
                      </w14:textFill>
                    </w:rPr>
                    <w:t>密闭结构+负压进料+</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呼吸口处捕集袋除尘+通过空调排放系统无组织排放</w:t>
                  </w:r>
                </w:p>
              </w:tc>
              <w:tc>
                <w:tcPr>
                  <w:tcW w:w="1239" w:type="pct"/>
                  <w:tcBorders>
                    <w:tl2br w:val="nil"/>
                    <w:tr2bl w:val="nil"/>
                  </w:tcBorders>
                  <w:shd w:val="clear" w:color="auto" w:fill="auto"/>
                  <w:tcMar>
                    <w:top w:w="15" w:type="dxa"/>
                    <w:left w:w="15" w:type="dxa"/>
                    <w:right w:w="15" w:type="dxa"/>
                  </w:tcMar>
                  <w:vAlign w:val="center"/>
                </w:tcPr>
                <w:p w14:paraId="6E9B2152">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left"/>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选粒、总混、</w:t>
                  </w:r>
                  <w:r>
                    <w:rPr>
                      <w:rFonts w:hint="eastAsia" w:eastAsia="宋体" w:cs="Times New Roman"/>
                      <w:b w:val="0"/>
                      <w:bCs/>
                      <w:color w:val="000000" w:themeColor="text1"/>
                      <w:sz w:val="21"/>
                      <w:szCs w:val="21"/>
                      <w:highlight w:val="none"/>
                      <w:lang w:val="en-US" w:eastAsia="zh-CN"/>
                      <w14:textFill>
                        <w14:solidFill>
                          <w14:schemeClr w14:val="tx1"/>
                        </w14:solidFill>
                      </w14:textFill>
                    </w:rPr>
                    <w:t>粉碎</w:t>
                  </w:r>
                  <w:r>
                    <w:rPr>
                      <w:rFonts w:hint="eastAsia" w:cs="Times New Roman"/>
                      <w:b w:val="0"/>
                      <w:bCs/>
                      <w:color w:val="000000" w:themeColor="text1"/>
                      <w:sz w:val="21"/>
                      <w:szCs w:val="21"/>
                      <w:highlight w:val="none"/>
                      <w:lang w:val="en-US"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颗粒内包、压片</w:t>
                  </w:r>
                  <w:r>
                    <w:rPr>
                      <w:rFonts w:hint="eastAsia" w:eastAsia="宋体" w:cs="Times New Roman"/>
                      <w:color w:val="000000" w:themeColor="text1"/>
                      <w:sz w:val="21"/>
                      <w:szCs w:val="21"/>
                      <w:highlight w:val="none"/>
                      <w:lang w:val="en-US" w:eastAsia="zh-CN"/>
                      <w14:textFill>
                        <w14:solidFill>
                          <w14:schemeClr w14:val="tx1"/>
                        </w14:solidFill>
                      </w14:textFill>
                    </w:rPr>
                    <w:t>废气：</w:t>
                  </w:r>
                  <w:r>
                    <w:rPr>
                      <w:rFonts w:hint="eastAsia" w:eastAsia="宋体"/>
                      <w:color w:val="000000" w:themeColor="text1"/>
                      <w:sz w:val="21"/>
                      <w:szCs w:val="21"/>
                      <w:highlight w:val="none"/>
                      <w:lang w:val="en-US" w:eastAsia="zh-CN"/>
                      <w14:textFill>
                        <w14:solidFill>
                          <w14:schemeClr w14:val="tx1"/>
                        </w14:solidFill>
                      </w14:textFill>
                    </w:rPr>
                    <w:t>密闭结构+负压进料+</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呼吸口处捕集袋除尘+通过空调排放系统无组织排放</w:t>
                  </w:r>
                </w:p>
              </w:tc>
              <w:tc>
                <w:tcPr>
                  <w:tcW w:w="366" w:type="pct"/>
                  <w:tcBorders>
                    <w:tl2br w:val="nil"/>
                    <w:tr2bl w:val="nil"/>
                  </w:tcBorders>
                  <w:tcMar>
                    <w:top w:w="15" w:type="dxa"/>
                    <w:left w:w="15" w:type="dxa"/>
                    <w:right w:w="15" w:type="dxa"/>
                  </w:tcMar>
                  <w:vAlign w:val="center"/>
                </w:tcPr>
                <w:p w14:paraId="31A1D5B2">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eastAsia"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新建</w:t>
                  </w:r>
                </w:p>
              </w:tc>
            </w:tr>
            <w:tr w14:paraId="702C9BF1">
              <w:tblPrEx>
                <w:tblBorders>
                  <w:top w:val="double" w:color="000000" w:sz="4" w:space="0"/>
                  <w:left w:val="none" w:color="auto" w:sz="0" w:space="0"/>
                  <w:bottom w:val="double" w:color="000000" w:sz="4" w:space="0"/>
                  <w:right w:val="none" w:color="auto" w:sz="0" w:space="0"/>
                  <w:insideH w:val="single" w:color="000000" w:sz="4" w:space="0"/>
                  <w:insideV w:val="single" w:color="000000" w:sz="8" w:space="0"/>
                </w:tblBorders>
                <w:tblCellMar>
                  <w:top w:w="0" w:type="dxa"/>
                  <w:left w:w="0" w:type="dxa"/>
                  <w:bottom w:w="0" w:type="dxa"/>
                  <w:right w:w="0" w:type="dxa"/>
                </w:tblCellMar>
              </w:tblPrEx>
              <w:trPr>
                <w:trHeight w:val="340" w:hRule="atLeast"/>
              </w:trPr>
              <w:tc>
                <w:tcPr>
                  <w:tcW w:w="418" w:type="pct"/>
                  <w:vMerge w:val="continue"/>
                  <w:tcBorders>
                    <w:tl2br w:val="nil"/>
                    <w:tr2bl w:val="nil"/>
                  </w:tcBorders>
                  <w:tcMar>
                    <w:top w:w="15" w:type="dxa"/>
                    <w:left w:w="15" w:type="dxa"/>
                    <w:right w:w="15" w:type="dxa"/>
                  </w:tcMar>
                  <w:vAlign w:val="center"/>
                </w:tcPr>
                <w:p w14:paraId="340E2F90">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bidi="ar"/>
                      <w14:textFill>
                        <w14:solidFill>
                          <w14:schemeClr w14:val="tx1"/>
                        </w14:solidFill>
                      </w14:textFill>
                    </w:rPr>
                  </w:pPr>
                </w:p>
              </w:tc>
              <w:tc>
                <w:tcPr>
                  <w:tcW w:w="355" w:type="pct"/>
                  <w:vMerge w:val="continue"/>
                  <w:tcBorders>
                    <w:tl2br w:val="nil"/>
                    <w:tr2bl w:val="nil"/>
                  </w:tcBorders>
                  <w:tcMar>
                    <w:top w:w="15" w:type="dxa"/>
                    <w:left w:w="15" w:type="dxa"/>
                    <w:right w:w="15" w:type="dxa"/>
                  </w:tcMar>
                  <w:vAlign w:val="center"/>
                </w:tcPr>
                <w:p w14:paraId="6DDB87BF">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bidi="ar"/>
                      <w14:textFill>
                        <w14:solidFill>
                          <w14:schemeClr w14:val="tx1"/>
                        </w14:solidFill>
                      </w14:textFill>
                    </w:rPr>
                  </w:pPr>
                </w:p>
              </w:tc>
              <w:tc>
                <w:tcPr>
                  <w:tcW w:w="192" w:type="pct"/>
                  <w:vMerge w:val="continue"/>
                  <w:tcBorders>
                    <w:tl2br w:val="nil"/>
                    <w:tr2bl w:val="nil"/>
                  </w:tcBorders>
                  <w:tcMar>
                    <w:top w:w="15" w:type="dxa"/>
                    <w:left w:w="15" w:type="dxa"/>
                    <w:right w:w="15" w:type="dxa"/>
                  </w:tcMar>
                  <w:vAlign w:val="center"/>
                </w:tcPr>
                <w:p w14:paraId="5225E39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pPr>
                </w:p>
              </w:tc>
              <w:tc>
                <w:tcPr>
                  <w:tcW w:w="1126" w:type="pct"/>
                  <w:tcBorders>
                    <w:tl2br w:val="nil"/>
                    <w:tr2bl w:val="nil"/>
                  </w:tcBorders>
                  <w:shd w:val="clear" w:color="auto" w:fill="auto"/>
                  <w:tcMar>
                    <w:top w:w="15" w:type="dxa"/>
                    <w:left w:w="15" w:type="dxa"/>
                    <w:right w:w="15" w:type="dxa"/>
                  </w:tcMar>
                  <w:vAlign w:val="center"/>
                </w:tcPr>
                <w:p w14:paraId="4213F8C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302" w:type="pct"/>
                  <w:tcBorders>
                    <w:tl2br w:val="nil"/>
                    <w:tr2bl w:val="nil"/>
                  </w:tcBorders>
                  <w:shd w:val="clear" w:color="auto" w:fill="auto"/>
                  <w:tcMar>
                    <w:top w:w="15" w:type="dxa"/>
                    <w:left w:w="15" w:type="dxa"/>
                    <w:right w:w="15" w:type="dxa"/>
                  </w:tcMar>
                  <w:vAlign w:val="center"/>
                </w:tcPr>
                <w:p w14:paraId="7607AFA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left"/>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泡罩包装废气、枕式包装废气：</w:t>
                  </w:r>
                  <w:r>
                    <w:rPr>
                      <w:rFonts w:hint="eastAsia"/>
                      <w:color w:val="000000" w:themeColor="text1"/>
                      <w:sz w:val="21"/>
                      <w:szCs w:val="21"/>
                      <w:highlight w:val="none"/>
                      <w:lang w:val="en-US" w:eastAsia="zh-CN"/>
                      <w14:textFill>
                        <w14:solidFill>
                          <w14:schemeClr w14:val="tx1"/>
                        </w14:solidFill>
                      </w14:textFill>
                    </w:rPr>
                    <w:t>产生微量非甲烷总烃，项目使用PVC硬片量较少，所以废气无组织排放</w:t>
                  </w:r>
                </w:p>
              </w:tc>
              <w:tc>
                <w:tcPr>
                  <w:tcW w:w="1239" w:type="pct"/>
                  <w:tcBorders>
                    <w:tl2br w:val="nil"/>
                    <w:tr2bl w:val="nil"/>
                  </w:tcBorders>
                  <w:shd w:val="clear" w:color="auto" w:fill="auto"/>
                  <w:tcMar>
                    <w:top w:w="15" w:type="dxa"/>
                    <w:left w:w="15" w:type="dxa"/>
                    <w:right w:w="15" w:type="dxa"/>
                  </w:tcMar>
                  <w:vAlign w:val="center"/>
                </w:tcPr>
                <w:p w14:paraId="1A8893B6">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left"/>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泡罩包装废气、枕式包装废气：</w:t>
                  </w:r>
                  <w:r>
                    <w:rPr>
                      <w:rFonts w:hint="eastAsia"/>
                      <w:color w:val="000000" w:themeColor="text1"/>
                      <w:sz w:val="21"/>
                      <w:szCs w:val="21"/>
                      <w:highlight w:val="none"/>
                      <w:lang w:val="en-US" w:eastAsia="zh-CN"/>
                      <w14:textFill>
                        <w14:solidFill>
                          <w14:schemeClr w14:val="tx1"/>
                        </w14:solidFill>
                      </w14:textFill>
                    </w:rPr>
                    <w:t>产生微量非甲烷总烃，项目使用PVC硬片量较少，所以废气无组织排放</w:t>
                  </w:r>
                </w:p>
              </w:tc>
              <w:tc>
                <w:tcPr>
                  <w:tcW w:w="366" w:type="pct"/>
                  <w:tcBorders>
                    <w:tl2br w:val="nil"/>
                    <w:tr2bl w:val="nil"/>
                  </w:tcBorders>
                  <w:shd w:val="clear" w:color="auto" w:fill="auto"/>
                  <w:tcMar>
                    <w:top w:w="15" w:type="dxa"/>
                    <w:left w:w="15" w:type="dxa"/>
                    <w:right w:w="15" w:type="dxa"/>
                  </w:tcMar>
                  <w:vAlign w:val="center"/>
                </w:tcPr>
                <w:p w14:paraId="243700E1">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新建</w:t>
                  </w:r>
                </w:p>
              </w:tc>
            </w:tr>
            <w:tr w14:paraId="79A8BC03">
              <w:tblPrEx>
                <w:tblBorders>
                  <w:top w:val="double" w:color="000000" w:sz="4" w:space="0"/>
                  <w:left w:val="none" w:color="auto" w:sz="0" w:space="0"/>
                  <w:bottom w:val="double" w:color="000000" w:sz="4" w:space="0"/>
                  <w:right w:val="none" w:color="auto" w:sz="0" w:space="0"/>
                  <w:insideH w:val="single" w:color="000000" w:sz="4" w:space="0"/>
                  <w:insideV w:val="single" w:color="000000" w:sz="8" w:space="0"/>
                </w:tblBorders>
                <w:tblCellMar>
                  <w:top w:w="0" w:type="dxa"/>
                  <w:left w:w="0" w:type="dxa"/>
                  <w:bottom w:w="0" w:type="dxa"/>
                  <w:right w:w="0" w:type="dxa"/>
                </w:tblCellMar>
              </w:tblPrEx>
              <w:trPr>
                <w:trHeight w:val="90" w:hRule="atLeast"/>
              </w:trPr>
              <w:tc>
                <w:tcPr>
                  <w:tcW w:w="418" w:type="pct"/>
                  <w:vMerge w:val="continue"/>
                  <w:tcBorders>
                    <w:tl2br w:val="nil"/>
                    <w:tr2bl w:val="nil"/>
                  </w:tcBorders>
                  <w:tcMar>
                    <w:top w:w="15" w:type="dxa"/>
                    <w:left w:w="15" w:type="dxa"/>
                    <w:right w:w="15" w:type="dxa"/>
                  </w:tcMar>
                  <w:vAlign w:val="center"/>
                </w:tcPr>
                <w:p w14:paraId="32AF3BC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bidi="ar"/>
                      <w14:textFill>
                        <w14:solidFill>
                          <w14:schemeClr w14:val="tx1"/>
                        </w14:solidFill>
                      </w14:textFill>
                    </w:rPr>
                  </w:pPr>
                </w:p>
              </w:tc>
              <w:tc>
                <w:tcPr>
                  <w:tcW w:w="355" w:type="pct"/>
                  <w:vMerge w:val="continue"/>
                  <w:tcBorders>
                    <w:tl2br w:val="nil"/>
                    <w:tr2bl w:val="nil"/>
                  </w:tcBorders>
                  <w:tcMar>
                    <w:top w:w="15" w:type="dxa"/>
                    <w:left w:w="15" w:type="dxa"/>
                    <w:right w:w="15" w:type="dxa"/>
                  </w:tcMar>
                  <w:vAlign w:val="center"/>
                </w:tcPr>
                <w:p w14:paraId="32D3AF32">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bidi="ar"/>
                      <w14:textFill>
                        <w14:solidFill>
                          <w14:schemeClr w14:val="tx1"/>
                        </w14:solidFill>
                      </w14:textFill>
                    </w:rPr>
                  </w:pPr>
                </w:p>
              </w:tc>
              <w:tc>
                <w:tcPr>
                  <w:tcW w:w="192" w:type="pct"/>
                  <w:vMerge w:val="continue"/>
                  <w:tcBorders>
                    <w:tl2br w:val="nil"/>
                    <w:tr2bl w:val="nil"/>
                  </w:tcBorders>
                  <w:tcMar>
                    <w:top w:w="15" w:type="dxa"/>
                    <w:left w:w="15" w:type="dxa"/>
                    <w:right w:w="15" w:type="dxa"/>
                  </w:tcMar>
                  <w:vAlign w:val="center"/>
                </w:tcPr>
                <w:p w14:paraId="10C2D063">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pPr>
                </w:p>
              </w:tc>
              <w:tc>
                <w:tcPr>
                  <w:tcW w:w="1126" w:type="pct"/>
                  <w:tcBorders>
                    <w:tl2br w:val="nil"/>
                    <w:tr2bl w:val="nil"/>
                  </w:tcBorders>
                  <w:tcMar>
                    <w:top w:w="15" w:type="dxa"/>
                    <w:left w:w="15" w:type="dxa"/>
                    <w:right w:w="15" w:type="dxa"/>
                  </w:tcMar>
                  <w:vAlign w:val="center"/>
                </w:tcPr>
                <w:p w14:paraId="7D40CD5E">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rPr>
                      <w:rFonts w:hint="default"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现有项目厂区内配备2台</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柴油发电机组，应急发电</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和定期维护运行</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产生的污染物颗粒物</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SO</w:t>
                  </w:r>
                  <w:r>
                    <w:rPr>
                      <w:rFonts w:hint="default" w:ascii="Times New Roman" w:hAnsi="Times New Roman" w:eastAsia="宋体" w:cs="Times New Roman"/>
                      <w:i w:val="0"/>
                      <w:iCs w:val="0"/>
                      <w:color w:val="000000" w:themeColor="text1"/>
                      <w:kern w:val="0"/>
                      <w:sz w:val="21"/>
                      <w:szCs w:val="21"/>
                      <w:highlight w:val="none"/>
                      <w:u w:val="none"/>
                      <w:vertAlign w:val="subscript"/>
                      <w:lang w:val="en-US" w:eastAsia="zh-CN" w:bidi="ar"/>
                      <w14:textFill>
                        <w14:solidFill>
                          <w14:schemeClr w14:val="tx1"/>
                        </w14:solidFill>
                      </w14:textFill>
                    </w:rPr>
                    <w:t>2</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NO</w:t>
                  </w:r>
                  <w:r>
                    <w:rPr>
                      <w:rFonts w:hint="default" w:ascii="Times New Roman" w:hAnsi="Times New Roman" w:eastAsia="宋体" w:cs="Times New Roman"/>
                      <w:i w:val="0"/>
                      <w:iCs w:val="0"/>
                      <w:color w:val="000000" w:themeColor="text1"/>
                      <w:kern w:val="0"/>
                      <w:sz w:val="21"/>
                      <w:szCs w:val="21"/>
                      <w:highlight w:val="none"/>
                      <w:u w:val="none"/>
                      <w:vertAlign w:val="subscript"/>
                      <w:lang w:val="en-US" w:eastAsia="zh-CN" w:bidi="ar"/>
                      <w14:textFill>
                        <w14:solidFill>
                          <w14:schemeClr w14:val="tx1"/>
                        </w14:solidFill>
                      </w14:textFill>
                    </w:rPr>
                    <w:t>x</w:t>
                  </w:r>
                  <w:r>
                    <w:rPr>
                      <w:rFonts w:hint="eastAsia" w:ascii="Times New Roman" w:hAnsi="Times New Roman" w:eastAsia="宋体" w:cs="Times New Roman"/>
                      <w:i w:val="0"/>
                      <w:iCs w:val="0"/>
                      <w:color w:val="000000" w:themeColor="text1"/>
                      <w:kern w:val="0"/>
                      <w:sz w:val="21"/>
                      <w:szCs w:val="21"/>
                      <w:highlight w:val="none"/>
                      <w:u w:val="none"/>
                      <w:vertAlign w:val="baseline"/>
                      <w:lang w:val="en-US" w:eastAsia="zh-CN" w:bidi="ar"/>
                      <w14:textFill>
                        <w14:solidFill>
                          <w14:schemeClr w14:val="tx1"/>
                        </w14:solidFill>
                      </w14:textFill>
                    </w:rPr>
                    <w:t>、CO</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和</w:t>
                  </w:r>
                  <w:r>
                    <w:rPr>
                      <w:rFonts w:hint="eastAsia" w:ascii="Times New Roman" w:hAnsi="Times New Roman" w:eastAsia="宋体" w:cs="Times New Roman"/>
                      <w:i w:val="0"/>
                      <w:iCs w:val="0"/>
                      <w:color w:val="000000" w:themeColor="text1"/>
                      <w:kern w:val="0"/>
                      <w:sz w:val="21"/>
                      <w:szCs w:val="21"/>
                      <w:highlight w:val="none"/>
                      <w:u w:val="none"/>
                      <w:vertAlign w:val="baseline"/>
                      <w:lang w:val="en-US" w:eastAsia="zh-CN" w:bidi="ar"/>
                      <w14:textFill>
                        <w14:solidFill>
                          <w14:schemeClr w14:val="tx1"/>
                        </w14:solidFill>
                      </w14:textFill>
                    </w:rPr>
                    <w:t>非甲烷总烃无组织排放。</w:t>
                  </w:r>
                </w:p>
              </w:tc>
              <w:tc>
                <w:tcPr>
                  <w:tcW w:w="1302" w:type="pct"/>
                  <w:tcBorders>
                    <w:tl2br w:val="nil"/>
                    <w:tr2bl w:val="nil"/>
                  </w:tcBorders>
                  <w:tcMar>
                    <w:top w:w="15" w:type="dxa"/>
                    <w:left w:w="15" w:type="dxa"/>
                    <w:right w:w="15" w:type="dxa"/>
                  </w:tcMar>
                  <w:vAlign w:val="center"/>
                </w:tcPr>
                <w:p w14:paraId="0B606EB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left"/>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本项目新建成品库内部配备柴油发电机组2台，</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应急发电</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和定期维护运行</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产生的污染物颗粒物</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SO</w:t>
                  </w:r>
                  <w:r>
                    <w:rPr>
                      <w:rFonts w:hint="default" w:ascii="Times New Roman" w:hAnsi="Times New Roman" w:eastAsia="宋体" w:cs="Times New Roman"/>
                      <w:i w:val="0"/>
                      <w:iCs w:val="0"/>
                      <w:color w:val="000000" w:themeColor="text1"/>
                      <w:kern w:val="0"/>
                      <w:sz w:val="21"/>
                      <w:szCs w:val="21"/>
                      <w:highlight w:val="none"/>
                      <w:u w:val="none"/>
                      <w:vertAlign w:val="subscript"/>
                      <w:lang w:val="en-US" w:eastAsia="zh-CN" w:bidi="ar"/>
                      <w14:textFill>
                        <w14:solidFill>
                          <w14:schemeClr w14:val="tx1"/>
                        </w14:solidFill>
                      </w14:textFill>
                    </w:rPr>
                    <w:t>2</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NO</w:t>
                  </w:r>
                  <w:r>
                    <w:rPr>
                      <w:rFonts w:hint="default" w:ascii="Times New Roman" w:hAnsi="Times New Roman" w:eastAsia="宋体" w:cs="Times New Roman"/>
                      <w:i w:val="0"/>
                      <w:iCs w:val="0"/>
                      <w:color w:val="000000" w:themeColor="text1"/>
                      <w:kern w:val="0"/>
                      <w:sz w:val="21"/>
                      <w:szCs w:val="21"/>
                      <w:highlight w:val="none"/>
                      <w:u w:val="none"/>
                      <w:vertAlign w:val="subscript"/>
                      <w:lang w:val="en-US" w:eastAsia="zh-CN" w:bidi="ar"/>
                      <w14:textFill>
                        <w14:solidFill>
                          <w14:schemeClr w14:val="tx1"/>
                        </w14:solidFill>
                      </w14:textFill>
                    </w:rPr>
                    <w:t>x</w:t>
                  </w:r>
                  <w:r>
                    <w:rPr>
                      <w:rFonts w:hint="eastAsia" w:ascii="Times New Roman" w:hAnsi="Times New Roman" w:eastAsia="宋体" w:cs="Times New Roman"/>
                      <w:i w:val="0"/>
                      <w:iCs w:val="0"/>
                      <w:color w:val="000000" w:themeColor="text1"/>
                      <w:kern w:val="0"/>
                      <w:sz w:val="21"/>
                      <w:szCs w:val="21"/>
                      <w:highlight w:val="none"/>
                      <w:u w:val="none"/>
                      <w:vertAlign w:val="baseline"/>
                      <w:lang w:val="en-US" w:eastAsia="zh-CN" w:bidi="ar"/>
                      <w14:textFill>
                        <w14:solidFill>
                          <w14:schemeClr w14:val="tx1"/>
                        </w14:solidFill>
                      </w14:textFill>
                    </w:rPr>
                    <w:t>、CO</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和</w:t>
                  </w:r>
                  <w:r>
                    <w:rPr>
                      <w:rFonts w:hint="eastAsia" w:ascii="Times New Roman" w:hAnsi="Times New Roman" w:eastAsia="宋体" w:cs="Times New Roman"/>
                      <w:i w:val="0"/>
                      <w:iCs w:val="0"/>
                      <w:color w:val="000000" w:themeColor="text1"/>
                      <w:kern w:val="0"/>
                      <w:sz w:val="21"/>
                      <w:szCs w:val="21"/>
                      <w:highlight w:val="none"/>
                      <w:u w:val="none"/>
                      <w:vertAlign w:val="baseline"/>
                      <w:lang w:val="en-US" w:eastAsia="zh-CN" w:bidi="ar"/>
                      <w14:textFill>
                        <w14:solidFill>
                          <w14:schemeClr w14:val="tx1"/>
                        </w14:solidFill>
                      </w14:textFill>
                    </w:rPr>
                    <w:t>非甲烷总烃无组织排放。</w:t>
                  </w:r>
                </w:p>
              </w:tc>
              <w:tc>
                <w:tcPr>
                  <w:tcW w:w="1239" w:type="pct"/>
                  <w:tcBorders>
                    <w:tl2br w:val="nil"/>
                    <w:tr2bl w:val="nil"/>
                  </w:tcBorders>
                  <w:shd w:val="clear" w:color="auto" w:fill="auto"/>
                  <w:tcMar>
                    <w:top w:w="15" w:type="dxa"/>
                    <w:left w:w="15" w:type="dxa"/>
                    <w:right w:w="15" w:type="dxa"/>
                  </w:tcMar>
                  <w:vAlign w:val="center"/>
                </w:tcPr>
                <w:p w14:paraId="1FD601EF">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left"/>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全厂配备4台</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柴油发电机组，应急发电</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和定期维护运行</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产生的污染物颗粒物</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SO</w:t>
                  </w:r>
                  <w:r>
                    <w:rPr>
                      <w:rFonts w:hint="default" w:ascii="Times New Roman" w:hAnsi="Times New Roman" w:eastAsia="宋体" w:cs="Times New Roman"/>
                      <w:i w:val="0"/>
                      <w:iCs w:val="0"/>
                      <w:color w:val="000000" w:themeColor="text1"/>
                      <w:kern w:val="0"/>
                      <w:sz w:val="21"/>
                      <w:szCs w:val="21"/>
                      <w:highlight w:val="none"/>
                      <w:u w:val="none"/>
                      <w:vertAlign w:val="subscript"/>
                      <w:lang w:val="en-US" w:eastAsia="zh-CN" w:bidi="ar"/>
                      <w14:textFill>
                        <w14:solidFill>
                          <w14:schemeClr w14:val="tx1"/>
                        </w14:solidFill>
                      </w14:textFill>
                    </w:rPr>
                    <w:t>2</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NO</w:t>
                  </w:r>
                  <w:r>
                    <w:rPr>
                      <w:rFonts w:hint="default" w:ascii="Times New Roman" w:hAnsi="Times New Roman" w:eastAsia="宋体" w:cs="Times New Roman"/>
                      <w:i w:val="0"/>
                      <w:iCs w:val="0"/>
                      <w:color w:val="000000" w:themeColor="text1"/>
                      <w:kern w:val="0"/>
                      <w:sz w:val="21"/>
                      <w:szCs w:val="21"/>
                      <w:highlight w:val="none"/>
                      <w:u w:val="none"/>
                      <w:vertAlign w:val="subscript"/>
                      <w:lang w:val="en-US" w:eastAsia="zh-CN" w:bidi="ar"/>
                      <w14:textFill>
                        <w14:solidFill>
                          <w14:schemeClr w14:val="tx1"/>
                        </w14:solidFill>
                      </w14:textFill>
                    </w:rPr>
                    <w:t>x</w:t>
                  </w:r>
                  <w:r>
                    <w:rPr>
                      <w:rFonts w:hint="eastAsia" w:ascii="Times New Roman" w:hAnsi="Times New Roman" w:eastAsia="宋体" w:cs="Times New Roman"/>
                      <w:i w:val="0"/>
                      <w:iCs w:val="0"/>
                      <w:color w:val="000000" w:themeColor="text1"/>
                      <w:kern w:val="0"/>
                      <w:sz w:val="21"/>
                      <w:szCs w:val="21"/>
                      <w:highlight w:val="none"/>
                      <w:u w:val="none"/>
                      <w:vertAlign w:val="baseline"/>
                      <w:lang w:val="en-US" w:eastAsia="zh-CN" w:bidi="ar"/>
                      <w14:textFill>
                        <w14:solidFill>
                          <w14:schemeClr w14:val="tx1"/>
                        </w14:solidFill>
                      </w14:textFill>
                    </w:rPr>
                    <w:t>、CO</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和</w:t>
                  </w:r>
                  <w:r>
                    <w:rPr>
                      <w:rFonts w:hint="eastAsia" w:ascii="Times New Roman" w:hAnsi="Times New Roman" w:eastAsia="宋体" w:cs="Times New Roman"/>
                      <w:i w:val="0"/>
                      <w:iCs w:val="0"/>
                      <w:color w:val="000000" w:themeColor="text1"/>
                      <w:kern w:val="0"/>
                      <w:sz w:val="21"/>
                      <w:szCs w:val="21"/>
                      <w:highlight w:val="none"/>
                      <w:u w:val="none"/>
                      <w:vertAlign w:val="baseline"/>
                      <w:lang w:val="en-US" w:eastAsia="zh-CN" w:bidi="ar"/>
                      <w14:textFill>
                        <w14:solidFill>
                          <w14:schemeClr w14:val="tx1"/>
                        </w14:solidFill>
                      </w14:textFill>
                    </w:rPr>
                    <w:t>非甲烷总烃无组织排放。</w:t>
                  </w:r>
                </w:p>
              </w:tc>
              <w:tc>
                <w:tcPr>
                  <w:tcW w:w="366" w:type="pct"/>
                  <w:tcBorders>
                    <w:tl2br w:val="nil"/>
                    <w:tr2bl w:val="nil"/>
                  </w:tcBorders>
                  <w:tcMar>
                    <w:top w:w="15" w:type="dxa"/>
                    <w:left w:w="15" w:type="dxa"/>
                    <w:right w:w="15" w:type="dxa"/>
                  </w:tcMar>
                  <w:vAlign w:val="center"/>
                </w:tcPr>
                <w:p w14:paraId="0CEF9136">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扩建</w:t>
                  </w:r>
                </w:p>
              </w:tc>
            </w:tr>
            <w:tr w14:paraId="14A391FC">
              <w:tblPrEx>
                <w:tblBorders>
                  <w:top w:val="double" w:color="000000" w:sz="4" w:space="0"/>
                  <w:left w:val="none" w:color="auto" w:sz="0" w:space="0"/>
                  <w:bottom w:val="double" w:color="000000" w:sz="4" w:space="0"/>
                  <w:right w:val="none" w:color="auto" w:sz="0" w:space="0"/>
                  <w:insideH w:val="single" w:color="000000" w:sz="4" w:space="0"/>
                  <w:insideV w:val="single" w:color="000000" w:sz="8" w:space="0"/>
                </w:tblBorders>
                <w:tblCellMar>
                  <w:top w:w="0" w:type="dxa"/>
                  <w:left w:w="0" w:type="dxa"/>
                  <w:bottom w:w="0" w:type="dxa"/>
                  <w:right w:w="0" w:type="dxa"/>
                </w:tblCellMar>
              </w:tblPrEx>
              <w:trPr>
                <w:trHeight w:val="90" w:hRule="atLeast"/>
              </w:trPr>
              <w:tc>
                <w:tcPr>
                  <w:tcW w:w="418" w:type="pct"/>
                  <w:vMerge w:val="continue"/>
                  <w:tcBorders>
                    <w:tl2br w:val="nil"/>
                    <w:tr2bl w:val="nil"/>
                  </w:tcBorders>
                  <w:tcMar>
                    <w:top w:w="15" w:type="dxa"/>
                    <w:left w:w="15" w:type="dxa"/>
                    <w:right w:w="15" w:type="dxa"/>
                  </w:tcMar>
                  <w:vAlign w:val="center"/>
                </w:tcPr>
                <w:p w14:paraId="604492B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bidi="ar"/>
                      <w14:textFill>
                        <w14:solidFill>
                          <w14:schemeClr w14:val="tx1"/>
                        </w14:solidFill>
                      </w14:textFill>
                    </w:rPr>
                  </w:pPr>
                </w:p>
              </w:tc>
              <w:tc>
                <w:tcPr>
                  <w:tcW w:w="355" w:type="pct"/>
                  <w:vMerge w:val="continue"/>
                  <w:tcBorders>
                    <w:tl2br w:val="nil"/>
                    <w:tr2bl w:val="nil"/>
                  </w:tcBorders>
                  <w:tcMar>
                    <w:top w:w="15" w:type="dxa"/>
                    <w:left w:w="15" w:type="dxa"/>
                    <w:right w:w="15" w:type="dxa"/>
                  </w:tcMar>
                  <w:vAlign w:val="center"/>
                </w:tcPr>
                <w:p w14:paraId="32DA4A03">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bidi="ar"/>
                      <w14:textFill>
                        <w14:solidFill>
                          <w14:schemeClr w14:val="tx1"/>
                        </w14:solidFill>
                      </w14:textFill>
                    </w:rPr>
                  </w:pPr>
                </w:p>
              </w:tc>
              <w:tc>
                <w:tcPr>
                  <w:tcW w:w="192" w:type="pct"/>
                  <w:vMerge w:val="continue"/>
                  <w:tcBorders>
                    <w:tl2br w:val="nil"/>
                    <w:tr2bl w:val="nil"/>
                  </w:tcBorders>
                  <w:tcMar>
                    <w:top w:w="15" w:type="dxa"/>
                    <w:left w:w="15" w:type="dxa"/>
                    <w:right w:w="15" w:type="dxa"/>
                  </w:tcMar>
                  <w:vAlign w:val="center"/>
                </w:tcPr>
                <w:p w14:paraId="779805D6">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pPr>
                </w:p>
              </w:tc>
              <w:tc>
                <w:tcPr>
                  <w:tcW w:w="1126" w:type="pct"/>
                  <w:tcBorders>
                    <w:tl2br w:val="nil"/>
                    <w:tr2bl w:val="nil"/>
                  </w:tcBorders>
                  <w:tcMar>
                    <w:top w:w="15" w:type="dxa"/>
                    <w:left w:w="15" w:type="dxa"/>
                    <w:right w:w="15" w:type="dxa"/>
                  </w:tcMar>
                  <w:vAlign w:val="center"/>
                </w:tcPr>
                <w:p w14:paraId="506A9CA8">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现有项目中药渣贮存于封闭式药渣贮存库，贮存产生的恶臭气体（氨气、硫氨气、臭气浓度）无组织排放。</w:t>
                  </w:r>
                </w:p>
              </w:tc>
              <w:tc>
                <w:tcPr>
                  <w:tcW w:w="1302" w:type="pct"/>
                  <w:tcBorders>
                    <w:tl2br w:val="nil"/>
                    <w:tr2bl w:val="nil"/>
                  </w:tcBorders>
                  <w:tcMar>
                    <w:top w:w="15" w:type="dxa"/>
                    <w:left w:w="15" w:type="dxa"/>
                    <w:right w:w="15" w:type="dxa"/>
                  </w:tcMar>
                  <w:vAlign w:val="center"/>
                </w:tcPr>
                <w:p w14:paraId="630B4DEA">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left"/>
                    <w:rPr>
                      <w:rFonts w:hint="default"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本项目新增中药渣</w:t>
                  </w:r>
                  <w:r>
                    <w:rPr>
                      <w:rFonts w:hint="eastAsia" w:cs="Times New Roman"/>
                      <w:color w:val="000000" w:themeColor="text1"/>
                      <w:sz w:val="21"/>
                      <w:szCs w:val="21"/>
                      <w:highlight w:val="none"/>
                      <w:lang w:val="en-US" w:eastAsia="zh-CN"/>
                      <w14:textFill>
                        <w14:solidFill>
                          <w14:schemeClr w14:val="tx1"/>
                        </w14:solidFill>
                      </w14:textFill>
                    </w:rPr>
                    <w:t>贮存依托现有封闭式药渣贮存库，贮存产生的恶臭气体（氨气、硫氨气、臭气浓度）无组织排放。</w:t>
                  </w:r>
                </w:p>
              </w:tc>
              <w:tc>
                <w:tcPr>
                  <w:tcW w:w="1239" w:type="pct"/>
                  <w:tcBorders>
                    <w:tl2br w:val="nil"/>
                    <w:tr2bl w:val="nil"/>
                  </w:tcBorders>
                  <w:shd w:val="clear" w:color="auto" w:fill="auto"/>
                  <w:tcMar>
                    <w:top w:w="15" w:type="dxa"/>
                    <w:left w:w="15" w:type="dxa"/>
                    <w:right w:w="15" w:type="dxa"/>
                  </w:tcMar>
                  <w:vAlign w:val="center"/>
                </w:tcPr>
                <w:p w14:paraId="692B05B8">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left"/>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中药渣贮存于封闭式药渣贮存库，贮存产生的恶臭气体（氨气、硫氨气、臭气浓度）无组织排放。</w:t>
                  </w:r>
                </w:p>
              </w:tc>
              <w:tc>
                <w:tcPr>
                  <w:tcW w:w="366" w:type="pct"/>
                  <w:tcBorders>
                    <w:tl2br w:val="nil"/>
                    <w:tr2bl w:val="nil"/>
                  </w:tcBorders>
                  <w:tcMar>
                    <w:top w:w="15" w:type="dxa"/>
                    <w:left w:w="15" w:type="dxa"/>
                    <w:right w:w="15" w:type="dxa"/>
                  </w:tcMar>
                  <w:vAlign w:val="center"/>
                </w:tcPr>
                <w:p w14:paraId="2095F7CE">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依托</w:t>
                  </w:r>
                  <w:r>
                    <w:rPr>
                      <w:rFonts w:hint="eastAsia" w:cs="Times New Roman"/>
                      <w:color w:val="000000" w:themeColor="text1"/>
                      <w:kern w:val="0"/>
                      <w:sz w:val="21"/>
                      <w:szCs w:val="21"/>
                      <w:highlight w:val="none"/>
                      <w:lang w:val="en-US" w:eastAsia="zh-CN" w:bidi="ar"/>
                      <w14:textFill>
                        <w14:solidFill>
                          <w14:schemeClr w14:val="tx1"/>
                        </w14:solidFill>
                      </w14:textFill>
                    </w:rPr>
                    <w:t>现有，不变</w:t>
                  </w:r>
                </w:p>
              </w:tc>
            </w:tr>
            <w:tr w14:paraId="3B8753EC">
              <w:tblPrEx>
                <w:tblBorders>
                  <w:top w:val="double" w:color="000000" w:sz="4" w:space="0"/>
                  <w:left w:val="none" w:color="auto" w:sz="0" w:space="0"/>
                  <w:bottom w:val="double" w:color="000000" w:sz="4" w:space="0"/>
                  <w:right w:val="none" w:color="auto" w:sz="0" w:space="0"/>
                  <w:insideH w:val="single" w:color="000000" w:sz="4" w:space="0"/>
                  <w:insideV w:val="single" w:color="000000" w:sz="8" w:space="0"/>
                </w:tblBorders>
                <w:tblCellMar>
                  <w:top w:w="0" w:type="dxa"/>
                  <w:left w:w="0" w:type="dxa"/>
                  <w:bottom w:w="0" w:type="dxa"/>
                  <w:right w:w="0" w:type="dxa"/>
                </w:tblCellMar>
              </w:tblPrEx>
              <w:trPr>
                <w:trHeight w:val="2481" w:hRule="atLeast"/>
              </w:trPr>
              <w:tc>
                <w:tcPr>
                  <w:tcW w:w="418" w:type="pct"/>
                  <w:vMerge w:val="continue"/>
                  <w:tcBorders>
                    <w:tl2br w:val="nil"/>
                    <w:tr2bl w:val="nil"/>
                  </w:tcBorders>
                  <w:noWrap/>
                  <w:tcMar>
                    <w:top w:w="15" w:type="dxa"/>
                    <w:left w:w="15" w:type="dxa"/>
                    <w:right w:w="15" w:type="dxa"/>
                  </w:tcMar>
                  <w:vAlign w:val="center"/>
                </w:tcPr>
                <w:p w14:paraId="2F6FF886">
                  <w:pPr>
                    <w:keepNext w:val="0"/>
                    <w:keepLines w:val="0"/>
                    <w:pageBreakBefore w:val="0"/>
                    <w:suppressLineNumbers w:val="0"/>
                    <w:kinsoku/>
                    <w:overflowPunct/>
                    <w:topLinePunct w:val="0"/>
                    <w:autoSpaceDE/>
                    <w:autoSpaceDN/>
                    <w:bidi w:val="0"/>
                    <w:adjustRightInd/>
                    <w:snapToGrid/>
                    <w:spacing w:before="0" w:beforeAutospacing="0" w:after="0" w:afterAutospacing="0"/>
                    <w:ind w:left="0" w:right="0"/>
                    <w:rPr>
                      <w:rFonts w:hint="default" w:ascii="Times New Roman" w:hAnsi="Times New Roman" w:cs="Times New Roman"/>
                      <w:color w:val="000000" w:themeColor="text1"/>
                      <w:sz w:val="21"/>
                      <w:szCs w:val="21"/>
                      <w:highlight w:val="none"/>
                      <w14:textFill>
                        <w14:solidFill>
                          <w14:schemeClr w14:val="tx1"/>
                        </w14:solidFill>
                      </w14:textFill>
                    </w:rPr>
                  </w:pPr>
                </w:p>
              </w:tc>
              <w:tc>
                <w:tcPr>
                  <w:tcW w:w="547" w:type="pct"/>
                  <w:gridSpan w:val="2"/>
                  <w:tcBorders>
                    <w:tl2br w:val="nil"/>
                    <w:tr2bl w:val="nil"/>
                  </w:tcBorders>
                  <w:tcMar>
                    <w:top w:w="15" w:type="dxa"/>
                    <w:left w:w="15" w:type="dxa"/>
                    <w:right w:w="15" w:type="dxa"/>
                  </w:tcMar>
                  <w:vAlign w:val="center"/>
                </w:tcPr>
                <w:p w14:paraId="34593FE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废水</w:t>
                  </w:r>
                </w:p>
              </w:tc>
              <w:tc>
                <w:tcPr>
                  <w:tcW w:w="1126" w:type="pct"/>
                  <w:tcBorders>
                    <w:tl2br w:val="nil"/>
                    <w:tr2bl w:val="nil"/>
                  </w:tcBorders>
                  <w:tcMar>
                    <w:top w:w="15" w:type="dxa"/>
                    <w:left w:w="15" w:type="dxa"/>
                    <w:right w:w="15" w:type="dxa"/>
                  </w:tcMar>
                  <w:vAlign w:val="center"/>
                </w:tcPr>
                <w:p w14:paraId="25373B7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rightChars="0"/>
                    <w:jc w:val="left"/>
                    <w:textAlignment w:val="top"/>
                    <w:rPr>
                      <w:rFonts w:hint="eastAsia"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现有废水处理站处理能力为800m</w:t>
                  </w:r>
                  <w:r>
                    <w:rPr>
                      <w:rFonts w:hint="eastAsia" w:cs="Times New Roman"/>
                      <w:color w:val="000000" w:themeColor="text1"/>
                      <w:kern w:val="0"/>
                      <w:sz w:val="21"/>
                      <w:szCs w:val="21"/>
                      <w:highlight w:val="none"/>
                      <w:vertAlign w:val="superscript"/>
                      <w:lang w:val="en-US" w:eastAsia="zh-CN" w:bidi="ar"/>
                      <w14:textFill>
                        <w14:solidFill>
                          <w14:schemeClr w14:val="tx1"/>
                        </w14:solidFill>
                      </w14:textFill>
                    </w:rPr>
                    <w:t>3</w:t>
                  </w:r>
                  <w:r>
                    <w:rPr>
                      <w:rFonts w:hint="eastAsia" w:cs="Times New Roman"/>
                      <w:color w:val="000000" w:themeColor="text1"/>
                      <w:kern w:val="0"/>
                      <w:sz w:val="21"/>
                      <w:szCs w:val="21"/>
                      <w:highlight w:val="none"/>
                      <w:lang w:val="en-US" w:eastAsia="zh-CN" w:bidi="ar"/>
                      <w14:textFill>
                        <w14:solidFill>
                          <w14:schemeClr w14:val="tx1"/>
                        </w14:solidFill>
                      </w14:textFill>
                    </w:rPr>
                    <w:t>/d。主要处理设施：格栅、调节池、水解酸化、接触氧化、中间池、生物曝气，污泥经污泥浓缩池、污泥脱水处理。</w:t>
                  </w:r>
                </w:p>
              </w:tc>
              <w:tc>
                <w:tcPr>
                  <w:tcW w:w="1302" w:type="pct"/>
                  <w:tcBorders>
                    <w:tl2br w:val="nil"/>
                    <w:tr2bl w:val="nil"/>
                  </w:tcBorders>
                  <w:tcMar>
                    <w:top w:w="15" w:type="dxa"/>
                    <w:left w:w="15" w:type="dxa"/>
                    <w:right w:w="15" w:type="dxa"/>
                  </w:tcMar>
                  <w:vAlign w:val="center"/>
                </w:tcPr>
                <w:p w14:paraId="528A491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rightChars="0"/>
                    <w:jc w:val="center"/>
                    <w:textAlignment w:val="top"/>
                    <w:rPr>
                      <w:rFonts w:hint="default"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本项目不新增工作人员，不新增生活污水；生产废水处理依托现有废水处理站。</w:t>
                  </w:r>
                </w:p>
              </w:tc>
              <w:tc>
                <w:tcPr>
                  <w:tcW w:w="1239" w:type="pct"/>
                  <w:tcBorders>
                    <w:tl2br w:val="nil"/>
                    <w:tr2bl w:val="nil"/>
                  </w:tcBorders>
                  <w:tcMar>
                    <w:top w:w="15" w:type="dxa"/>
                    <w:left w:w="15" w:type="dxa"/>
                    <w:right w:w="15" w:type="dxa"/>
                  </w:tcMar>
                  <w:vAlign w:val="center"/>
                </w:tcPr>
                <w:p w14:paraId="10F15F9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rightChars="0"/>
                    <w:jc w:val="left"/>
                    <w:textAlignment w:val="top"/>
                    <w:rPr>
                      <w:rFonts w:hint="eastAsia"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废水处理站处理能力为800m</w:t>
                  </w:r>
                  <w:r>
                    <w:rPr>
                      <w:rFonts w:hint="eastAsia" w:cs="Times New Roman"/>
                      <w:color w:val="000000" w:themeColor="text1"/>
                      <w:kern w:val="0"/>
                      <w:sz w:val="21"/>
                      <w:szCs w:val="21"/>
                      <w:highlight w:val="none"/>
                      <w:vertAlign w:val="superscript"/>
                      <w:lang w:val="en-US" w:eastAsia="zh-CN" w:bidi="ar"/>
                      <w14:textFill>
                        <w14:solidFill>
                          <w14:schemeClr w14:val="tx1"/>
                        </w14:solidFill>
                      </w14:textFill>
                    </w:rPr>
                    <w:t>3</w:t>
                  </w:r>
                  <w:r>
                    <w:rPr>
                      <w:rFonts w:hint="eastAsia" w:cs="Times New Roman"/>
                      <w:color w:val="000000" w:themeColor="text1"/>
                      <w:kern w:val="0"/>
                      <w:sz w:val="21"/>
                      <w:szCs w:val="21"/>
                      <w:highlight w:val="none"/>
                      <w:lang w:val="en-US" w:eastAsia="zh-CN" w:bidi="ar"/>
                      <w14:textFill>
                        <w14:solidFill>
                          <w14:schemeClr w14:val="tx1"/>
                        </w14:solidFill>
                      </w14:textFill>
                    </w:rPr>
                    <w:t>/d。主要处理设施：格栅、调节池、水解酸化、接触氧化、中间池、生物曝气，污泥经污泥浓缩池、污泥脱水处理。</w:t>
                  </w:r>
                </w:p>
              </w:tc>
              <w:tc>
                <w:tcPr>
                  <w:tcW w:w="366" w:type="pct"/>
                  <w:tcBorders>
                    <w:tl2br w:val="nil"/>
                    <w:tr2bl w:val="nil"/>
                  </w:tcBorders>
                  <w:tcMar>
                    <w:top w:w="15" w:type="dxa"/>
                    <w:left w:w="15" w:type="dxa"/>
                    <w:right w:w="15" w:type="dxa"/>
                  </w:tcMar>
                  <w:vAlign w:val="center"/>
                </w:tcPr>
                <w:p w14:paraId="341914C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textAlignment w:val="top"/>
                    <w:rPr>
                      <w:rFonts w:hint="eastAsia"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依托</w:t>
                  </w:r>
                  <w:r>
                    <w:rPr>
                      <w:rFonts w:hint="eastAsia" w:cs="Times New Roman"/>
                      <w:color w:val="000000" w:themeColor="text1"/>
                      <w:kern w:val="0"/>
                      <w:sz w:val="21"/>
                      <w:szCs w:val="21"/>
                      <w:highlight w:val="none"/>
                      <w:lang w:val="en-US" w:eastAsia="zh-CN" w:bidi="ar"/>
                      <w14:textFill>
                        <w14:solidFill>
                          <w14:schemeClr w14:val="tx1"/>
                        </w14:solidFill>
                      </w14:textFill>
                    </w:rPr>
                    <w:t>现有，不变</w:t>
                  </w:r>
                </w:p>
              </w:tc>
            </w:tr>
            <w:tr w14:paraId="07B83BC4">
              <w:tblPrEx>
                <w:tblBorders>
                  <w:top w:val="double" w:color="000000" w:sz="4" w:space="0"/>
                  <w:left w:val="none" w:color="auto" w:sz="0" w:space="0"/>
                  <w:bottom w:val="double" w:color="000000" w:sz="4" w:space="0"/>
                  <w:right w:val="none" w:color="auto" w:sz="0" w:space="0"/>
                  <w:insideH w:val="single" w:color="000000" w:sz="4" w:space="0"/>
                  <w:insideV w:val="single" w:color="000000" w:sz="8" w:space="0"/>
                </w:tblBorders>
                <w:tblCellMar>
                  <w:top w:w="0" w:type="dxa"/>
                  <w:left w:w="0" w:type="dxa"/>
                  <w:bottom w:w="0" w:type="dxa"/>
                  <w:right w:w="0" w:type="dxa"/>
                </w:tblCellMar>
              </w:tblPrEx>
              <w:trPr>
                <w:trHeight w:val="340" w:hRule="atLeast"/>
              </w:trPr>
              <w:tc>
                <w:tcPr>
                  <w:tcW w:w="418" w:type="pct"/>
                  <w:vMerge w:val="continue"/>
                  <w:tcBorders>
                    <w:tl2br w:val="nil"/>
                    <w:tr2bl w:val="nil"/>
                  </w:tcBorders>
                  <w:noWrap/>
                  <w:tcMar>
                    <w:top w:w="15" w:type="dxa"/>
                    <w:left w:w="15" w:type="dxa"/>
                    <w:right w:w="15" w:type="dxa"/>
                  </w:tcMar>
                  <w:vAlign w:val="center"/>
                </w:tcPr>
                <w:p w14:paraId="033C62C1">
                  <w:pPr>
                    <w:keepNext w:val="0"/>
                    <w:keepLines w:val="0"/>
                    <w:pageBreakBefore w:val="0"/>
                    <w:suppressLineNumbers w:val="0"/>
                    <w:kinsoku/>
                    <w:overflowPunct/>
                    <w:topLinePunct w:val="0"/>
                    <w:autoSpaceDE/>
                    <w:autoSpaceDN/>
                    <w:bidi w:val="0"/>
                    <w:adjustRightInd/>
                    <w:snapToGrid/>
                    <w:spacing w:before="0" w:beforeAutospacing="0" w:after="0" w:afterAutospacing="0"/>
                    <w:ind w:left="0" w:right="0"/>
                    <w:rPr>
                      <w:rFonts w:hint="default" w:ascii="Times New Roman" w:hAnsi="Times New Roman" w:cs="Times New Roman"/>
                      <w:color w:val="000000" w:themeColor="text1"/>
                      <w:sz w:val="21"/>
                      <w:szCs w:val="21"/>
                      <w:highlight w:val="none"/>
                      <w14:textFill>
                        <w14:solidFill>
                          <w14:schemeClr w14:val="tx1"/>
                        </w14:solidFill>
                      </w14:textFill>
                    </w:rPr>
                  </w:pPr>
                </w:p>
              </w:tc>
              <w:tc>
                <w:tcPr>
                  <w:tcW w:w="547" w:type="pct"/>
                  <w:gridSpan w:val="2"/>
                  <w:tcBorders>
                    <w:tl2br w:val="nil"/>
                    <w:tr2bl w:val="nil"/>
                  </w:tcBorders>
                  <w:tcMar>
                    <w:top w:w="15" w:type="dxa"/>
                    <w:left w:w="15" w:type="dxa"/>
                    <w:right w:w="15" w:type="dxa"/>
                  </w:tcMar>
                  <w:vAlign w:val="center"/>
                </w:tcPr>
                <w:p w14:paraId="2464CDF9">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lang w:bidi="ar"/>
                      <w14:textFill>
                        <w14:solidFill>
                          <w14:schemeClr w14:val="tx1"/>
                        </w14:solidFill>
                      </w14:textFill>
                    </w:rPr>
                    <w:t>噪声</w:t>
                  </w:r>
                </w:p>
              </w:tc>
              <w:tc>
                <w:tcPr>
                  <w:tcW w:w="1126" w:type="pct"/>
                  <w:tcBorders>
                    <w:tl2br w:val="nil"/>
                    <w:tr2bl w:val="nil"/>
                  </w:tcBorders>
                  <w:tcMar>
                    <w:top w:w="15" w:type="dxa"/>
                    <w:left w:w="15" w:type="dxa"/>
                    <w:right w:w="15" w:type="dxa"/>
                  </w:tcMar>
                  <w:vAlign w:val="center"/>
                </w:tcPr>
                <w:p w14:paraId="23D315E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left"/>
                    <w:textAlignment w:val="top"/>
                    <w:rPr>
                      <w:rFonts w:hint="eastAsia" w:ascii="Times New Roman" w:hAnsi="Times New Roman" w:eastAsia="宋体" w:cs="Times New Roman"/>
                      <w:color w:val="000000" w:themeColor="text1"/>
                      <w:kern w:val="0"/>
                      <w:sz w:val="21"/>
                      <w:szCs w:val="21"/>
                      <w:highlight w:val="none"/>
                      <w:lang w:eastAsia="zh-CN" w:bidi="ar"/>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低噪声设备选型、基础减振、建筑隔声</w:t>
                  </w:r>
                </w:p>
              </w:tc>
              <w:tc>
                <w:tcPr>
                  <w:tcW w:w="1302" w:type="pct"/>
                  <w:tcBorders>
                    <w:tl2br w:val="nil"/>
                    <w:tr2bl w:val="nil"/>
                  </w:tcBorders>
                  <w:tcMar>
                    <w:top w:w="15" w:type="dxa"/>
                    <w:left w:w="15" w:type="dxa"/>
                    <w:right w:w="15" w:type="dxa"/>
                  </w:tcMar>
                  <w:vAlign w:val="center"/>
                </w:tcPr>
                <w:p w14:paraId="2073CC8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left"/>
                    <w:textAlignment w:val="top"/>
                    <w:rPr>
                      <w:rFonts w:hint="eastAsia"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低噪声设备选型、基础减振、建筑隔声</w:t>
                  </w:r>
                </w:p>
              </w:tc>
              <w:tc>
                <w:tcPr>
                  <w:tcW w:w="1239" w:type="pct"/>
                  <w:tcBorders>
                    <w:tl2br w:val="nil"/>
                    <w:tr2bl w:val="nil"/>
                  </w:tcBorders>
                  <w:tcMar>
                    <w:top w:w="15" w:type="dxa"/>
                    <w:left w:w="15" w:type="dxa"/>
                    <w:right w:w="15" w:type="dxa"/>
                  </w:tcMar>
                  <w:vAlign w:val="center"/>
                </w:tcPr>
                <w:p w14:paraId="764E2BD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left"/>
                    <w:textAlignment w:val="top"/>
                    <w:rPr>
                      <w:rFonts w:hint="eastAsia"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低噪声设备选型、基础减振、建筑隔声</w:t>
                  </w:r>
                </w:p>
              </w:tc>
              <w:tc>
                <w:tcPr>
                  <w:tcW w:w="366" w:type="pct"/>
                  <w:tcBorders>
                    <w:tl2br w:val="nil"/>
                    <w:tr2bl w:val="nil"/>
                  </w:tcBorders>
                  <w:tcMar>
                    <w:top w:w="15" w:type="dxa"/>
                    <w:left w:w="15" w:type="dxa"/>
                    <w:right w:w="15" w:type="dxa"/>
                  </w:tcMar>
                  <w:vAlign w:val="center"/>
                </w:tcPr>
                <w:p w14:paraId="430279EA">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新建+依托</w:t>
                  </w:r>
                </w:p>
              </w:tc>
            </w:tr>
            <w:tr w14:paraId="3EF43EDB">
              <w:tblPrEx>
                <w:tblBorders>
                  <w:top w:val="double" w:color="000000" w:sz="4" w:space="0"/>
                  <w:left w:val="none" w:color="auto" w:sz="0" w:space="0"/>
                  <w:bottom w:val="double" w:color="000000" w:sz="4" w:space="0"/>
                  <w:right w:val="none" w:color="auto" w:sz="0" w:space="0"/>
                  <w:insideH w:val="single" w:color="000000" w:sz="4" w:space="0"/>
                  <w:insideV w:val="single" w:color="000000" w:sz="8" w:space="0"/>
                </w:tblBorders>
                <w:tblCellMar>
                  <w:top w:w="0" w:type="dxa"/>
                  <w:left w:w="0" w:type="dxa"/>
                  <w:bottom w:w="0" w:type="dxa"/>
                  <w:right w:w="0" w:type="dxa"/>
                </w:tblCellMar>
              </w:tblPrEx>
              <w:trPr>
                <w:trHeight w:val="90" w:hRule="atLeast"/>
              </w:trPr>
              <w:tc>
                <w:tcPr>
                  <w:tcW w:w="418" w:type="pct"/>
                  <w:vMerge w:val="continue"/>
                  <w:tcBorders>
                    <w:tl2br w:val="nil"/>
                    <w:tr2bl w:val="nil"/>
                  </w:tcBorders>
                  <w:noWrap/>
                  <w:tcMar>
                    <w:top w:w="15" w:type="dxa"/>
                    <w:left w:w="15" w:type="dxa"/>
                    <w:right w:w="15" w:type="dxa"/>
                  </w:tcMar>
                  <w:vAlign w:val="center"/>
                </w:tcPr>
                <w:p w14:paraId="7FED227C">
                  <w:pPr>
                    <w:keepNext w:val="0"/>
                    <w:keepLines w:val="0"/>
                    <w:pageBreakBefore w:val="0"/>
                    <w:suppressLineNumbers w:val="0"/>
                    <w:kinsoku/>
                    <w:overflowPunct/>
                    <w:topLinePunct w:val="0"/>
                    <w:autoSpaceDE/>
                    <w:autoSpaceDN/>
                    <w:bidi w:val="0"/>
                    <w:adjustRightInd/>
                    <w:snapToGrid/>
                    <w:spacing w:before="0" w:beforeAutospacing="0" w:after="0" w:afterAutospacing="0"/>
                    <w:ind w:left="0" w:right="0"/>
                    <w:rPr>
                      <w:rFonts w:hint="default" w:ascii="Times New Roman" w:hAnsi="Times New Roman" w:cs="Times New Roman"/>
                      <w:color w:val="000000" w:themeColor="text1"/>
                      <w:sz w:val="21"/>
                      <w:szCs w:val="21"/>
                      <w:highlight w:val="none"/>
                      <w14:textFill>
                        <w14:solidFill>
                          <w14:schemeClr w14:val="tx1"/>
                        </w14:solidFill>
                      </w14:textFill>
                    </w:rPr>
                  </w:pPr>
                </w:p>
              </w:tc>
              <w:tc>
                <w:tcPr>
                  <w:tcW w:w="355" w:type="pct"/>
                  <w:vMerge w:val="restart"/>
                  <w:tcBorders>
                    <w:tl2br w:val="nil"/>
                    <w:tr2bl w:val="nil"/>
                  </w:tcBorders>
                  <w:tcMar>
                    <w:top w:w="15" w:type="dxa"/>
                    <w:left w:w="15" w:type="dxa"/>
                    <w:right w:w="15" w:type="dxa"/>
                  </w:tcMar>
                  <w:vAlign w:val="center"/>
                </w:tcPr>
                <w:p w14:paraId="02182321">
                  <w:pPr>
                    <w:keepNext w:val="0"/>
                    <w:keepLines w:val="0"/>
                    <w:pageBreakBefore w:val="0"/>
                    <w:suppressLineNumbers w:val="0"/>
                    <w:kinsoku/>
                    <w:overflowPunct/>
                    <w:topLinePunct w:val="0"/>
                    <w:autoSpaceDE/>
                    <w:autoSpaceDN/>
                    <w:bidi w:val="0"/>
                    <w:adjustRightInd/>
                    <w:snapToGrid/>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固废</w:t>
                  </w:r>
                </w:p>
              </w:tc>
              <w:tc>
                <w:tcPr>
                  <w:tcW w:w="192" w:type="pct"/>
                  <w:tcBorders>
                    <w:tl2br w:val="nil"/>
                    <w:tr2bl w:val="nil"/>
                  </w:tcBorders>
                  <w:tcMar>
                    <w:top w:w="15" w:type="dxa"/>
                    <w:left w:w="15" w:type="dxa"/>
                    <w:right w:w="15" w:type="dxa"/>
                  </w:tcMar>
                  <w:vAlign w:val="center"/>
                </w:tcPr>
                <w:p w14:paraId="6D479939">
                  <w:pPr>
                    <w:keepNext w:val="0"/>
                    <w:keepLines w:val="0"/>
                    <w:pageBreakBefore w:val="0"/>
                    <w:suppressLineNumbers w:val="0"/>
                    <w:kinsoku/>
                    <w:overflowPunct/>
                    <w:topLinePunct w:val="0"/>
                    <w:autoSpaceDE/>
                    <w:autoSpaceDN/>
                    <w:bidi w:val="0"/>
                    <w:adjustRightInd/>
                    <w:snapToGrid/>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一般固废</w:t>
                  </w:r>
                </w:p>
              </w:tc>
              <w:tc>
                <w:tcPr>
                  <w:tcW w:w="1126" w:type="pct"/>
                  <w:tcBorders>
                    <w:tl2br w:val="nil"/>
                    <w:tr2bl w:val="nil"/>
                  </w:tcBorders>
                  <w:tcMar>
                    <w:top w:w="15" w:type="dxa"/>
                    <w:left w:w="15" w:type="dxa"/>
                    <w:right w:w="15" w:type="dxa"/>
                  </w:tcMar>
                  <w:vAlign w:val="center"/>
                </w:tcPr>
                <w:p w14:paraId="2042DF1E">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left"/>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现有项目一般固废暂存区位于前处理车间北侧室外，占地面积约100m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vertAlign w:val="baseline"/>
                      <w:lang w:val="en-US" w:eastAsia="zh-CN"/>
                      <w14:textFill>
                        <w14:solidFill>
                          <w14:schemeClr w14:val="tx1"/>
                        </w14:solidFill>
                      </w14:textFill>
                    </w:rPr>
                    <w:t>；固废暂存库位于综合楼，</w:t>
                  </w:r>
                  <w:r>
                    <w:rPr>
                      <w:rFonts w:hint="eastAsia" w:cs="Times New Roman"/>
                      <w:color w:val="000000" w:themeColor="text1"/>
                      <w:sz w:val="21"/>
                      <w:szCs w:val="21"/>
                      <w:highlight w:val="none"/>
                      <w:lang w:val="en-US" w:eastAsia="zh-CN"/>
                      <w14:textFill>
                        <w14:solidFill>
                          <w14:schemeClr w14:val="tx1"/>
                        </w14:solidFill>
                      </w14:textFill>
                    </w:rPr>
                    <w:t>占地面积约50m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w:t>
                  </w:r>
                </w:p>
              </w:tc>
              <w:tc>
                <w:tcPr>
                  <w:tcW w:w="1302" w:type="pct"/>
                  <w:tcBorders>
                    <w:tl2br w:val="nil"/>
                    <w:tr2bl w:val="nil"/>
                  </w:tcBorders>
                  <w:tcMar>
                    <w:top w:w="15" w:type="dxa"/>
                    <w:left w:w="15" w:type="dxa"/>
                    <w:right w:w="15" w:type="dxa"/>
                  </w:tcMar>
                  <w:vAlign w:val="center"/>
                </w:tcPr>
                <w:p w14:paraId="298EDAB9">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left"/>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分拣废渣、废渣、废捕集袋</w:t>
                  </w: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废包装材料及废胶囊材料、除尘灰</w:t>
                  </w: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废布袋</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废离子交换树脂</w:t>
                  </w:r>
                  <w:r>
                    <w:rPr>
                      <w:rFonts w:hint="eastAsia" w:cs="Times New Roman"/>
                      <w:color w:val="000000" w:themeColor="text1"/>
                      <w:sz w:val="21"/>
                      <w:szCs w:val="21"/>
                      <w:highlight w:val="none"/>
                      <w:lang w:val="en-US" w:eastAsia="zh-CN"/>
                      <w14:textFill>
                        <w14:solidFill>
                          <w14:schemeClr w14:val="tx1"/>
                        </w14:solidFill>
                      </w14:textFill>
                    </w:rPr>
                    <w:t>、中药渣、污水处理站污泥</w:t>
                  </w:r>
                  <w:r>
                    <w:rPr>
                      <w:rFonts w:hint="default" w:ascii="Times New Roman" w:hAnsi="Times New Roman" w:eastAsia="宋体" w:cs="Times New Roman"/>
                      <w:color w:val="000000" w:themeColor="text1"/>
                      <w:sz w:val="21"/>
                      <w:szCs w:val="21"/>
                      <w:highlight w:val="none"/>
                      <w14:textFill>
                        <w14:solidFill>
                          <w14:schemeClr w14:val="tx1"/>
                        </w14:solidFill>
                      </w14:textFill>
                    </w:rPr>
                    <w:t>集中收集后暂存于一般固废暂存区，交由有利用、处置能力的企业依法依规进行利用处置</w:t>
                  </w:r>
                  <w:r>
                    <w:rPr>
                      <w:rFonts w:hint="eastAsia" w:cs="Times New Roman"/>
                      <w:color w:val="000000" w:themeColor="text1"/>
                      <w:sz w:val="21"/>
                      <w:szCs w:val="21"/>
                      <w:highlight w:val="none"/>
                      <w:lang w:eastAsia="zh-CN"/>
                      <w14:textFill>
                        <w14:solidFill>
                          <w14:schemeClr w14:val="tx1"/>
                        </w14:solidFill>
                      </w14:textFill>
                    </w:rPr>
                    <w:t>。</w:t>
                  </w:r>
                </w:p>
              </w:tc>
              <w:tc>
                <w:tcPr>
                  <w:tcW w:w="1239" w:type="pct"/>
                  <w:tcBorders>
                    <w:tl2br w:val="nil"/>
                    <w:tr2bl w:val="nil"/>
                  </w:tcBorders>
                  <w:tcMar>
                    <w:top w:w="15" w:type="dxa"/>
                    <w:left w:w="15" w:type="dxa"/>
                    <w:right w:w="15" w:type="dxa"/>
                  </w:tcMar>
                  <w:vAlign w:val="center"/>
                </w:tcPr>
                <w:p w14:paraId="7A3017C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left"/>
                    <w:textAlignment w:val="center"/>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分拣废渣、废渣、废捕集袋</w:t>
                  </w: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废包装材料及废胶囊材料、除尘灰</w:t>
                  </w: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废布袋</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废离子交换树脂</w:t>
                  </w:r>
                  <w:r>
                    <w:rPr>
                      <w:rFonts w:hint="eastAsia" w:cs="Times New Roman"/>
                      <w:color w:val="000000" w:themeColor="text1"/>
                      <w:sz w:val="21"/>
                      <w:szCs w:val="21"/>
                      <w:highlight w:val="none"/>
                      <w:lang w:val="en-US" w:eastAsia="zh-CN"/>
                      <w14:textFill>
                        <w14:solidFill>
                          <w14:schemeClr w14:val="tx1"/>
                        </w14:solidFill>
                      </w14:textFill>
                    </w:rPr>
                    <w:t>、中药渣、污水处理站污泥</w:t>
                  </w:r>
                  <w:r>
                    <w:rPr>
                      <w:rFonts w:hint="default" w:ascii="Times New Roman" w:hAnsi="Times New Roman" w:eastAsia="宋体" w:cs="Times New Roman"/>
                      <w:color w:val="000000" w:themeColor="text1"/>
                      <w:sz w:val="21"/>
                      <w:szCs w:val="21"/>
                      <w:highlight w:val="none"/>
                      <w14:textFill>
                        <w14:solidFill>
                          <w14:schemeClr w14:val="tx1"/>
                        </w14:solidFill>
                      </w14:textFill>
                    </w:rPr>
                    <w:t>集中收集后暂存于一般固废暂存区，交由有利用、处置能力的企业依法依规进行利用处置</w:t>
                  </w:r>
                  <w:r>
                    <w:rPr>
                      <w:rFonts w:hint="eastAsia" w:cs="Times New Roman"/>
                      <w:color w:val="000000" w:themeColor="text1"/>
                      <w:sz w:val="21"/>
                      <w:szCs w:val="21"/>
                      <w:highlight w:val="none"/>
                      <w:lang w:eastAsia="zh-CN"/>
                      <w14:textFill>
                        <w14:solidFill>
                          <w14:schemeClr w14:val="tx1"/>
                        </w14:solidFill>
                      </w14:textFill>
                    </w:rPr>
                    <w:t>。</w:t>
                  </w:r>
                </w:p>
              </w:tc>
              <w:tc>
                <w:tcPr>
                  <w:tcW w:w="366" w:type="pct"/>
                  <w:tcBorders>
                    <w:tl2br w:val="nil"/>
                    <w:tr2bl w:val="nil"/>
                  </w:tcBorders>
                  <w:tcMar>
                    <w:top w:w="15" w:type="dxa"/>
                    <w:left w:w="15" w:type="dxa"/>
                    <w:right w:w="15" w:type="dxa"/>
                  </w:tcMar>
                  <w:vAlign w:val="center"/>
                </w:tcPr>
                <w:p w14:paraId="61833933">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依托</w:t>
                  </w:r>
                  <w:r>
                    <w:rPr>
                      <w:rFonts w:hint="eastAsia" w:cs="Times New Roman"/>
                      <w:color w:val="000000" w:themeColor="text1"/>
                      <w:kern w:val="0"/>
                      <w:sz w:val="21"/>
                      <w:szCs w:val="21"/>
                      <w:highlight w:val="none"/>
                      <w:lang w:val="en-US" w:eastAsia="zh-CN" w:bidi="ar"/>
                      <w14:textFill>
                        <w14:solidFill>
                          <w14:schemeClr w14:val="tx1"/>
                        </w14:solidFill>
                      </w14:textFill>
                    </w:rPr>
                    <w:t>现有，不变</w:t>
                  </w:r>
                </w:p>
              </w:tc>
            </w:tr>
            <w:tr w14:paraId="14285BD4">
              <w:tblPrEx>
                <w:tblBorders>
                  <w:top w:val="double" w:color="000000" w:sz="4" w:space="0"/>
                  <w:left w:val="none" w:color="auto" w:sz="0" w:space="0"/>
                  <w:bottom w:val="double" w:color="000000" w:sz="4" w:space="0"/>
                  <w:right w:val="none" w:color="auto" w:sz="0" w:space="0"/>
                  <w:insideH w:val="single" w:color="000000" w:sz="4" w:space="0"/>
                  <w:insideV w:val="single" w:color="000000" w:sz="8" w:space="0"/>
                </w:tblBorders>
                <w:tblCellMar>
                  <w:top w:w="0" w:type="dxa"/>
                  <w:left w:w="0" w:type="dxa"/>
                  <w:bottom w:w="0" w:type="dxa"/>
                  <w:right w:w="0" w:type="dxa"/>
                </w:tblCellMar>
              </w:tblPrEx>
              <w:trPr>
                <w:trHeight w:val="340" w:hRule="atLeast"/>
              </w:trPr>
              <w:tc>
                <w:tcPr>
                  <w:tcW w:w="418" w:type="pct"/>
                  <w:vMerge w:val="continue"/>
                  <w:tcBorders>
                    <w:tl2br w:val="nil"/>
                    <w:tr2bl w:val="nil"/>
                  </w:tcBorders>
                  <w:noWrap/>
                  <w:tcMar>
                    <w:top w:w="15" w:type="dxa"/>
                    <w:left w:w="15" w:type="dxa"/>
                    <w:right w:w="15" w:type="dxa"/>
                  </w:tcMar>
                  <w:vAlign w:val="center"/>
                </w:tcPr>
                <w:p w14:paraId="5EA7690F">
                  <w:pPr>
                    <w:keepNext w:val="0"/>
                    <w:keepLines w:val="0"/>
                    <w:pageBreakBefore w:val="0"/>
                    <w:suppressLineNumbers w:val="0"/>
                    <w:kinsoku/>
                    <w:overflowPunct/>
                    <w:topLinePunct w:val="0"/>
                    <w:autoSpaceDE/>
                    <w:autoSpaceDN/>
                    <w:bidi w:val="0"/>
                    <w:adjustRightInd/>
                    <w:snapToGrid/>
                    <w:spacing w:before="0" w:beforeAutospacing="0" w:after="0" w:afterAutospacing="0"/>
                    <w:ind w:left="0" w:right="0"/>
                    <w:rPr>
                      <w:rFonts w:hint="default" w:ascii="Times New Roman" w:hAnsi="Times New Roman" w:cs="Times New Roman"/>
                      <w:color w:val="000000" w:themeColor="text1"/>
                      <w:sz w:val="21"/>
                      <w:szCs w:val="21"/>
                      <w:highlight w:val="none"/>
                      <w14:textFill>
                        <w14:solidFill>
                          <w14:schemeClr w14:val="tx1"/>
                        </w14:solidFill>
                      </w14:textFill>
                    </w:rPr>
                  </w:pPr>
                </w:p>
              </w:tc>
              <w:tc>
                <w:tcPr>
                  <w:tcW w:w="355" w:type="pct"/>
                  <w:vMerge w:val="continue"/>
                  <w:tcBorders>
                    <w:tl2br w:val="nil"/>
                    <w:tr2bl w:val="nil"/>
                  </w:tcBorders>
                  <w:tcMar>
                    <w:top w:w="15" w:type="dxa"/>
                    <w:left w:w="15" w:type="dxa"/>
                    <w:right w:w="15" w:type="dxa"/>
                  </w:tcMar>
                  <w:vAlign w:val="center"/>
                </w:tcPr>
                <w:p w14:paraId="54AF4ABF">
                  <w:pPr>
                    <w:keepNext w:val="0"/>
                    <w:keepLines w:val="0"/>
                    <w:pageBreakBefore w:val="0"/>
                    <w:suppressLineNumbers w:val="0"/>
                    <w:kinsoku/>
                    <w:overflowPunct/>
                    <w:topLinePunct w:val="0"/>
                    <w:autoSpaceDE/>
                    <w:autoSpaceDN/>
                    <w:bidi w:val="0"/>
                    <w:adjustRightInd/>
                    <w:snapToGrid/>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192" w:type="pct"/>
                  <w:tcBorders>
                    <w:tl2br w:val="nil"/>
                    <w:tr2bl w:val="nil"/>
                  </w:tcBorders>
                  <w:tcMar>
                    <w:top w:w="15" w:type="dxa"/>
                    <w:left w:w="15" w:type="dxa"/>
                    <w:right w:w="15" w:type="dxa"/>
                  </w:tcMar>
                  <w:vAlign w:val="center"/>
                </w:tcPr>
                <w:p w14:paraId="398D31B5">
                  <w:pPr>
                    <w:keepNext w:val="0"/>
                    <w:keepLines w:val="0"/>
                    <w:pageBreakBefore w:val="0"/>
                    <w:suppressLineNumbers w:val="0"/>
                    <w:kinsoku/>
                    <w:overflowPunct/>
                    <w:topLinePunct w:val="0"/>
                    <w:autoSpaceDE/>
                    <w:autoSpaceDN/>
                    <w:bidi w:val="0"/>
                    <w:adjustRightInd/>
                    <w:snapToGrid/>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危险废物</w:t>
                  </w:r>
                </w:p>
              </w:tc>
              <w:tc>
                <w:tcPr>
                  <w:tcW w:w="1126" w:type="pct"/>
                  <w:tcBorders>
                    <w:tl2br w:val="nil"/>
                    <w:tr2bl w:val="nil"/>
                  </w:tcBorders>
                  <w:tcMar>
                    <w:top w:w="15" w:type="dxa"/>
                    <w:left w:w="15" w:type="dxa"/>
                    <w:right w:w="15" w:type="dxa"/>
                  </w:tcMar>
                  <w:vAlign w:val="center"/>
                </w:tcPr>
                <w:p w14:paraId="4BF4BF16">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现有项目危废贮存库位于前处理车间西南侧，占地面积约80.29m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vertAlign w:val="baseline"/>
                      <w:lang w:val="en-US" w:eastAsia="zh-CN"/>
                      <w14:textFill>
                        <w14:solidFill>
                          <w14:schemeClr w14:val="tx1"/>
                        </w14:solidFill>
                      </w14:textFill>
                    </w:rPr>
                    <w:t>，内部分3个独立库区，内部为微负压设计，危废贮存库废气经负压收集+二级活性炭吸附装置处理后，由15m高排气筒有组织排放。</w:t>
                  </w:r>
                </w:p>
              </w:tc>
              <w:tc>
                <w:tcPr>
                  <w:tcW w:w="1302" w:type="pct"/>
                  <w:tcBorders>
                    <w:tl2br w:val="nil"/>
                    <w:tr2bl w:val="nil"/>
                  </w:tcBorders>
                  <w:tcMar>
                    <w:top w:w="15" w:type="dxa"/>
                    <w:left w:w="15" w:type="dxa"/>
                    <w:right w:w="15" w:type="dxa"/>
                  </w:tcMar>
                  <w:vAlign w:val="center"/>
                </w:tcPr>
                <w:p w14:paraId="111F9BE8">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left"/>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化学检验废液</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废化学试剂瓶</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、废弃薄层板</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废活性炭暂存于</w:t>
                  </w:r>
                  <w:r>
                    <w:rPr>
                      <w:rFonts w:hint="eastAsia" w:cs="Times New Roman"/>
                      <w:color w:val="000000" w:themeColor="text1"/>
                      <w:sz w:val="21"/>
                      <w:szCs w:val="21"/>
                      <w:highlight w:val="none"/>
                      <w:lang w:val="en-US" w:eastAsia="zh-CN"/>
                      <w14:textFill>
                        <w14:solidFill>
                          <w14:schemeClr w14:val="tx1"/>
                        </w14:solidFill>
                      </w14:textFill>
                    </w:rPr>
                    <w:t>危废贮存库</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，委托有资质单位处理。</w:t>
                  </w:r>
                </w:p>
              </w:tc>
              <w:tc>
                <w:tcPr>
                  <w:tcW w:w="1239" w:type="pct"/>
                  <w:tcBorders>
                    <w:tl2br w:val="nil"/>
                    <w:tr2bl w:val="nil"/>
                  </w:tcBorders>
                  <w:tcMar>
                    <w:top w:w="15" w:type="dxa"/>
                    <w:left w:w="15" w:type="dxa"/>
                    <w:right w:w="15" w:type="dxa"/>
                  </w:tcMar>
                  <w:vAlign w:val="center"/>
                </w:tcPr>
                <w:p w14:paraId="53A79349">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left"/>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化学检验废液</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废化学试剂瓶</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、废弃薄层板</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废活性炭暂存于</w:t>
                  </w:r>
                  <w:r>
                    <w:rPr>
                      <w:rFonts w:hint="eastAsia" w:cs="Times New Roman"/>
                      <w:color w:val="000000" w:themeColor="text1"/>
                      <w:sz w:val="21"/>
                      <w:szCs w:val="21"/>
                      <w:highlight w:val="none"/>
                      <w:lang w:val="en-US" w:eastAsia="zh-CN"/>
                      <w14:textFill>
                        <w14:solidFill>
                          <w14:schemeClr w14:val="tx1"/>
                        </w14:solidFill>
                      </w14:textFill>
                    </w:rPr>
                    <w:t>危废贮存库</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，委托有资质单位处理。</w:t>
                  </w:r>
                </w:p>
              </w:tc>
              <w:tc>
                <w:tcPr>
                  <w:tcW w:w="366" w:type="pct"/>
                  <w:tcBorders>
                    <w:tl2br w:val="nil"/>
                    <w:tr2bl w:val="nil"/>
                  </w:tcBorders>
                  <w:tcMar>
                    <w:top w:w="15" w:type="dxa"/>
                    <w:left w:w="15" w:type="dxa"/>
                    <w:right w:w="15" w:type="dxa"/>
                  </w:tcMar>
                  <w:vAlign w:val="center"/>
                </w:tcPr>
                <w:p w14:paraId="62A4DB12">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依托</w:t>
                  </w:r>
                  <w:r>
                    <w:rPr>
                      <w:rFonts w:hint="eastAsia" w:cs="Times New Roman"/>
                      <w:color w:val="000000" w:themeColor="text1"/>
                      <w:kern w:val="0"/>
                      <w:sz w:val="21"/>
                      <w:szCs w:val="21"/>
                      <w:highlight w:val="none"/>
                      <w:lang w:val="en-US" w:eastAsia="zh-CN" w:bidi="ar"/>
                      <w14:textFill>
                        <w14:solidFill>
                          <w14:schemeClr w14:val="tx1"/>
                        </w14:solidFill>
                      </w14:textFill>
                    </w:rPr>
                    <w:t>现有，不变</w:t>
                  </w:r>
                </w:p>
              </w:tc>
            </w:tr>
            <w:tr w14:paraId="7C7958B7">
              <w:tblPrEx>
                <w:tblBorders>
                  <w:top w:val="double" w:color="000000" w:sz="4" w:space="0"/>
                  <w:left w:val="none" w:color="auto" w:sz="0" w:space="0"/>
                  <w:bottom w:val="double" w:color="000000" w:sz="4" w:space="0"/>
                  <w:right w:val="none" w:color="auto" w:sz="0" w:space="0"/>
                  <w:insideH w:val="single" w:color="000000" w:sz="4" w:space="0"/>
                  <w:insideV w:val="single" w:color="000000" w:sz="8" w:space="0"/>
                </w:tblBorders>
                <w:tblCellMar>
                  <w:top w:w="0" w:type="dxa"/>
                  <w:left w:w="0" w:type="dxa"/>
                  <w:bottom w:w="0" w:type="dxa"/>
                  <w:right w:w="0" w:type="dxa"/>
                </w:tblCellMar>
              </w:tblPrEx>
              <w:trPr>
                <w:trHeight w:val="340" w:hRule="atLeast"/>
              </w:trPr>
              <w:tc>
                <w:tcPr>
                  <w:tcW w:w="418" w:type="pct"/>
                  <w:vMerge w:val="continue"/>
                  <w:tcBorders>
                    <w:tl2br w:val="nil"/>
                    <w:tr2bl w:val="nil"/>
                  </w:tcBorders>
                  <w:noWrap/>
                  <w:tcMar>
                    <w:top w:w="15" w:type="dxa"/>
                    <w:left w:w="15" w:type="dxa"/>
                    <w:right w:w="15" w:type="dxa"/>
                  </w:tcMar>
                  <w:vAlign w:val="center"/>
                </w:tcPr>
                <w:p w14:paraId="4A5E4001">
                  <w:pPr>
                    <w:keepNext w:val="0"/>
                    <w:keepLines w:val="0"/>
                    <w:pageBreakBefore w:val="0"/>
                    <w:suppressLineNumbers w:val="0"/>
                    <w:kinsoku/>
                    <w:overflowPunct/>
                    <w:topLinePunct w:val="0"/>
                    <w:autoSpaceDE/>
                    <w:autoSpaceDN/>
                    <w:bidi w:val="0"/>
                    <w:adjustRightInd/>
                    <w:snapToGrid/>
                    <w:spacing w:before="0" w:beforeAutospacing="0" w:after="0" w:afterAutospacing="0"/>
                    <w:ind w:left="0" w:right="0"/>
                    <w:rPr>
                      <w:rFonts w:hint="default" w:ascii="Times New Roman" w:hAnsi="Times New Roman" w:cs="Times New Roman"/>
                      <w:color w:val="000000" w:themeColor="text1"/>
                      <w:sz w:val="21"/>
                      <w:szCs w:val="21"/>
                      <w:highlight w:val="none"/>
                      <w14:textFill>
                        <w14:solidFill>
                          <w14:schemeClr w14:val="tx1"/>
                        </w14:solidFill>
                      </w14:textFill>
                    </w:rPr>
                  </w:pPr>
                </w:p>
              </w:tc>
              <w:tc>
                <w:tcPr>
                  <w:tcW w:w="547" w:type="pct"/>
                  <w:gridSpan w:val="2"/>
                  <w:tcBorders>
                    <w:tl2br w:val="nil"/>
                    <w:tr2bl w:val="nil"/>
                  </w:tcBorders>
                  <w:tcMar>
                    <w:top w:w="15" w:type="dxa"/>
                    <w:left w:w="15" w:type="dxa"/>
                    <w:right w:w="15" w:type="dxa"/>
                  </w:tcMar>
                  <w:vAlign w:val="center"/>
                </w:tcPr>
                <w:p w14:paraId="649DEC21">
                  <w:pPr>
                    <w:keepNext w:val="0"/>
                    <w:keepLines w:val="0"/>
                    <w:pageBreakBefore w:val="0"/>
                    <w:suppressLineNumbers w:val="0"/>
                    <w:kinsoku/>
                    <w:overflowPunct/>
                    <w:topLinePunct w:val="0"/>
                    <w:autoSpaceDE/>
                    <w:autoSpaceDN/>
                    <w:bidi w:val="0"/>
                    <w:adjustRightInd/>
                    <w:snapToGrid/>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地下水、土壤</w:t>
                  </w:r>
                </w:p>
              </w:tc>
              <w:tc>
                <w:tcPr>
                  <w:tcW w:w="1126" w:type="pct"/>
                  <w:tcBorders>
                    <w:tl2br w:val="nil"/>
                    <w:tr2bl w:val="nil"/>
                  </w:tcBorders>
                  <w:tcMar>
                    <w:top w:w="15" w:type="dxa"/>
                    <w:left w:w="15" w:type="dxa"/>
                    <w:right w:w="15" w:type="dxa"/>
                  </w:tcMar>
                  <w:vAlign w:val="center"/>
                </w:tcPr>
                <w:p w14:paraId="6CB54CA3">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left"/>
                    <w:textAlignment w:val="cente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废水处理站、危废贮存库为</w:t>
                  </w:r>
                  <w:r>
                    <w:rPr>
                      <w:rFonts w:hint="default" w:ascii="Times New Roman" w:hAnsi="Times New Roman" w:cs="Times New Roman"/>
                      <w:color w:val="000000" w:themeColor="text1"/>
                      <w:sz w:val="21"/>
                      <w:szCs w:val="21"/>
                      <w:highlight w:val="none"/>
                      <w14:textFill>
                        <w14:solidFill>
                          <w14:schemeClr w14:val="tx1"/>
                        </w14:solidFill>
                      </w14:textFill>
                    </w:rPr>
                    <w:t>重点防渗</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区</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eastAsia" w:cs="Times New Roman"/>
                      <w:color w:val="000000" w:themeColor="text1"/>
                      <w:sz w:val="21"/>
                      <w:szCs w:val="21"/>
                      <w:highlight w:val="none"/>
                      <w:vertAlign w:val="baseline"/>
                      <w:lang w:val="en-US" w:eastAsia="zh-CN"/>
                      <w14:textFill>
                        <w14:solidFill>
                          <w14:schemeClr w14:val="tx1"/>
                        </w14:solidFill>
                      </w14:textFill>
                    </w:rPr>
                    <w:t>前处理车间</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eastAsia" w:cs="Times New Roman"/>
                      <w:color w:val="000000" w:themeColor="text1"/>
                      <w:sz w:val="21"/>
                      <w:szCs w:val="21"/>
                      <w:highlight w:val="none"/>
                      <w:vertAlign w:val="baseline"/>
                      <w:lang w:val="en-US" w:eastAsia="zh-CN"/>
                      <w14:textFill>
                        <w14:solidFill>
                          <w14:schemeClr w14:val="tx1"/>
                        </w14:solidFill>
                      </w14:textFill>
                    </w:rPr>
                    <w:t>综合制剂车间</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eastAsia" w:cs="Times New Roman"/>
                      <w:color w:val="000000" w:themeColor="text1"/>
                      <w:sz w:val="21"/>
                      <w:szCs w:val="21"/>
                      <w:highlight w:val="none"/>
                      <w:vertAlign w:val="baseline"/>
                      <w:lang w:val="en-US" w:eastAsia="zh-CN"/>
                      <w14:textFill>
                        <w14:solidFill>
                          <w14:schemeClr w14:val="tx1"/>
                        </w14:solidFill>
                      </w14:textFill>
                    </w:rPr>
                    <w:t>综合仓库</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为一般防渗区；</w:t>
                  </w:r>
                  <w:r>
                    <w:rPr>
                      <w:rFonts w:hint="eastAsia" w:cs="Times New Roman"/>
                      <w:color w:val="000000" w:themeColor="text1"/>
                      <w:sz w:val="21"/>
                      <w:szCs w:val="21"/>
                      <w:highlight w:val="none"/>
                      <w:vertAlign w:val="baseline"/>
                      <w:lang w:val="en-US" w:eastAsia="zh-CN"/>
                      <w14:textFill>
                        <w14:solidFill>
                          <w14:schemeClr w14:val="tx1"/>
                        </w14:solidFill>
                      </w14:textFill>
                    </w:rPr>
                    <w:t>综合楼</w:t>
                  </w: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及厂区运输道路等为简单防渗区。</w:t>
                  </w:r>
                </w:p>
              </w:tc>
              <w:tc>
                <w:tcPr>
                  <w:tcW w:w="1302" w:type="pct"/>
                  <w:tcBorders>
                    <w:tl2br w:val="nil"/>
                    <w:tr2bl w:val="nil"/>
                  </w:tcBorders>
                  <w:tcMar>
                    <w:top w:w="15" w:type="dxa"/>
                    <w:left w:w="15" w:type="dxa"/>
                    <w:right w:w="15" w:type="dxa"/>
                  </w:tcMar>
                  <w:vAlign w:val="center"/>
                </w:tcPr>
                <w:p w14:paraId="642500B1">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left"/>
                    <w:textAlignment w:val="center"/>
                    <w:rPr>
                      <w:rFonts w:hint="default"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新建</w:t>
                  </w:r>
                  <w:r>
                    <w:rPr>
                      <w:rFonts w:hint="eastAsia" w:cs="Times New Roman"/>
                      <w:color w:val="000000" w:themeColor="text1"/>
                      <w:sz w:val="21"/>
                      <w:szCs w:val="21"/>
                      <w:highlight w:val="none"/>
                      <w:vertAlign w:val="baseline"/>
                      <w:lang w:val="en-US" w:eastAsia="zh-CN"/>
                      <w14:textFill>
                        <w14:solidFill>
                          <w14:schemeClr w14:val="tx1"/>
                        </w14:solidFill>
                      </w14:textFill>
                    </w:rPr>
                    <w:t>创新制剂车间</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为一般防渗区；新建</w:t>
                  </w: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成品</w:t>
                  </w:r>
                  <w:r>
                    <w:rPr>
                      <w:rFonts w:hint="eastAsia" w:cs="Times New Roman"/>
                      <w:color w:val="000000" w:themeColor="text1"/>
                      <w:sz w:val="21"/>
                      <w:szCs w:val="21"/>
                      <w:highlight w:val="none"/>
                      <w:vertAlign w:val="baseline"/>
                      <w:lang w:val="en-US" w:eastAsia="zh-CN"/>
                      <w14:textFill>
                        <w14:solidFill>
                          <w14:schemeClr w14:val="tx1"/>
                        </w14:solidFill>
                      </w14:textFill>
                    </w:rPr>
                    <w:t>库</w:t>
                  </w: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为简单防渗区。</w:t>
                  </w:r>
                </w:p>
              </w:tc>
              <w:tc>
                <w:tcPr>
                  <w:tcW w:w="1239" w:type="pct"/>
                  <w:tcBorders>
                    <w:tl2br w:val="nil"/>
                    <w:tr2bl w:val="nil"/>
                  </w:tcBorders>
                  <w:tcMar>
                    <w:top w:w="15" w:type="dxa"/>
                    <w:left w:w="15" w:type="dxa"/>
                    <w:right w:w="15" w:type="dxa"/>
                  </w:tcMar>
                  <w:vAlign w:val="center"/>
                </w:tcPr>
                <w:p w14:paraId="3C6FB1F5">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leftChars="0" w:right="0" w:rightChars="0"/>
                    <w:jc w:val="left"/>
                    <w:textAlignment w:val="center"/>
                    <w:rPr>
                      <w:rFonts w:hint="eastAsia"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废水处理站、危废贮存库为</w:t>
                  </w:r>
                  <w:r>
                    <w:rPr>
                      <w:rFonts w:hint="default" w:ascii="Times New Roman" w:hAnsi="Times New Roman" w:cs="Times New Roman"/>
                      <w:color w:val="000000" w:themeColor="text1"/>
                      <w:sz w:val="21"/>
                      <w:szCs w:val="21"/>
                      <w:highlight w:val="none"/>
                      <w14:textFill>
                        <w14:solidFill>
                          <w14:schemeClr w14:val="tx1"/>
                        </w14:solidFill>
                      </w14:textFill>
                    </w:rPr>
                    <w:t>重点防渗</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区</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eastAsia" w:cs="Times New Roman"/>
                      <w:color w:val="000000" w:themeColor="text1"/>
                      <w:sz w:val="21"/>
                      <w:szCs w:val="21"/>
                      <w:highlight w:val="none"/>
                      <w:vertAlign w:val="baseline"/>
                      <w:lang w:val="en-US" w:eastAsia="zh-CN"/>
                      <w14:textFill>
                        <w14:solidFill>
                          <w14:schemeClr w14:val="tx1"/>
                        </w14:solidFill>
                      </w14:textFill>
                    </w:rPr>
                    <w:t>前处理车间</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eastAsia" w:cs="Times New Roman"/>
                      <w:color w:val="000000" w:themeColor="text1"/>
                      <w:sz w:val="21"/>
                      <w:szCs w:val="21"/>
                      <w:highlight w:val="none"/>
                      <w:vertAlign w:val="baseline"/>
                      <w:lang w:val="en-US" w:eastAsia="zh-CN"/>
                      <w14:textFill>
                        <w14:solidFill>
                          <w14:schemeClr w14:val="tx1"/>
                        </w14:solidFill>
                      </w14:textFill>
                    </w:rPr>
                    <w:t>综合制剂车间</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eastAsia" w:cs="Times New Roman"/>
                      <w:color w:val="000000" w:themeColor="text1"/>
                      <w:sz w:val="21"/>
                      <w:szCs w:val="21"/>
                      <w:highlight w:val="none"/>
                      <w:vertAlign w:val="baseline"/>
                      <w:lang w:val="en-US" w:eastAsia="zh-CN"/>
                      <w14:textFill>
                        <w14:solidFill>
                          <w14:schemeClr w14:val="tx1"/>
                        </w14:solidFill>
                      </w14:textFill>
                    </w:rPr>
                    <w:t>综合仓库、创新制剂车间</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为一般防渗区；</w:t>
                  </w: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成品</w:t>
                  </w:r>
                  <w:r>
                    <w:rPr>
                      <w:rFonts w:hint="eastAsia" w:cs="Times New Roman"/>
                      <w:color w:val="000000" w:themeColor="text1"/>
                      <w:sz w:val="21"/>
                      <w:szCs w:val="21"/>
                      <w:highlight w:val="none"/>
                      <w:vertAlign w:val="baseline"/>
                      <w:lang w:val="en-US" w:eastAsia="zh-CN"/>
                      <w14:textFill>
                        <w14:solidFill>
                          <w14:schemeClr w14:val="tx1"/>
                        </w14:solidFill>
                      </w14:textFill>
                    </w:rPr>
                    <w:t>库、综合楼</w:t>
                  </w: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及厂区运输道路等为简单防渗区。</w:t>
                  </w:r>
                </w:p>
              </w:tc>
              <w:tc>
                <w:tcPr>
                  <w:tcW w:w="366" w:type="pct"/>
                  <w:tcBorders>
                    <w:tl2br w:val="nil"/>
                    <w:tr2bl w:val="nil"/>
                  </w:tcBorders>
                  <w:tcMar>
                    <w:top w:w="15" w:type="dxa"/>
                    <w:left w:w="15" w:type="dxa"/>
                    <w:right w:w="15" w:type="dxa"/>
                  </w:tcMar>
                  <w:vAlign w:val="center"/>
                </w:tcPr>
                <w:p w14:paraId="02CA22B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新建</w:t>
                  </w:r>
                  <w:r>
                    <w:rPr>
                      <w:rFonts w:hint="eastAsia" w:cs="Times New Roman"/>
                      <w:color w:val="000000" w:themeColor="text1"/>
                      <w:kern w:val="0"/>
                      <w:sz w:val="21"/>
                      <w:szCs w:val="21"/>
                      <w:highlight w:val="none"/>
                      <w:lang w:val="en-US" w:eastAsia="zh-CN" w:bidi="ar"/>
                      <w14:textFill>
                        <w14:solidFill>
                          <w14:schemeClr w14:val="tx1"/>
                        </w14:solidFill>
                      </w14:textFill>
                    </w:rPr>
                    <w:t>+依托</w:t>
                  </w:r>
                </w:p>
              </w:tc>
            </w:tr>
          </w:tbl>
          <w:p w14:paraId="3859D280">
            <w:pPr>
              <w:keepNext w:val="0"/>
              <w:keepLines w:val="0"/>
              <w:suppressLineNumbers w:val="0"/>
              <w:spacing w:before="120" w:beforeLines="50" w:beforeAutospacing="0" w:after="0" w:afterAutospacing="0" w:line="360" w:lineRule="auto"/>
              <w:ind w:left="422" w:right="0"/>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依托工程可行性见</w:t>
            </w:r>
            <w:r>
              <w:rPr>
                <w:rFonts w:hint="eastAsia" w:ascii="Times New Roman" w:hAnsi="Times New Roman" w:cs="Times New Roman"/>
                <w:color w:val="000000" w:themeColor="text1"/>
                <w:sz w:val="24"/>
                <w:highlight w:val="none"/>
                <w:lang w:val="en-US" w:eastAsia="zh-CN"/>
                <w14:textFill>
                  <w14:solidFill>
                    <w14:schemeClr w14:val="tx1"/>
                  </w14:solidFill>
                </w14:textFill>
              </w:rPr>
              <w:t>下</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表。</w:t>
            </w:r>
          </w:p>
          <w:p w14:paraId="7F5911F7">
            <w:pPr>
              <w:keepNext w:val="0"/>
              <w:keepLines w:val="0"/>
              <w:numPr>
                <w:ilvl w:val="0"/>
                <w:numId w:val="5"/>
              </w:numPr>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依托工程可行性</w:t>
            </w:r>
          </w:p>
          <w:tbl>
            <w:tblPr>
              <w:tblStyle w:val="36"/>
              <w:tblW w:w="499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15"/>
              <w:gridCol w:w="6692"/>
            </w:tblGrid>
            <w:tr w14:paraId="575BA5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72" w:type="pct"/>
                  <w:tcBorders>
                    <w:tl2br w:val="nil"/>
                    <w:tr2bl w:val="nil"/>
                  </w:tcBorders>
                  <w:noWrap w:val="0"/>
                  <w:vAlign w:val="top"/>
                </w:tcPr>
                <w:p w14:paraId="45A18B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依托工程</w:t>
                  </w:r>
                </w:p>
              </w:tc>
              <w:tc>
                <w:tcPr>
                  <w:tcW w:w="4027" w:type="pct"/>
                  <w:tcBorders>
                    <w:tl2br w:val="nil"/>
                    <w:tr2bl w:val="nil"/>
                  </w:tcBorders>
                  <w:noWrap w:val="0"/>
                  <w:vAlign w:val="top"/>
                </w:tcPr>
                <w:p w14:paraId="289E75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可行性</w:t>
                  </w:r>
                </w:p>
              </w:tc>
            </w:tr>
            <w:tr w14:paraId="54A16E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72" w:type="pct"/>
                  <w:tcBorders>
                    <w:tl2br w:val="nil"/>
                    <w:tr2bl w:val="nil"/>
                  </w:tcBorders>
                  <w:shd w:val="clear" w:color="auto" w:fill="auto"/>
                  <w:noWrap w:val="0"/>
                  <w:vAlign w:val="center"/>
                </w:tcPr>
                <w:p w14:paraId="23EBCB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废水处理站</w:t>
                  </w:r>
                </w:p>
              </w:tc>
              <w:tc>
                <w:tcPr>
                  <w:tcW w:w="4027" w:type="pct"/>
                  <w:tcBorders>
                    <w:tl2br w:val="nil"/>
                    <w:tr2bl w:val="nil"/>
                  </w:tcBorders>
                  <w:shd w:val="clear" w:color="auto" w:fill="auto"/>
                  <w:noWrap w:val="0"/>
                  <w:vAlign w:val="top"/>
                </w:tcPr>
                <w:p w14:paraId="3BA00B2C">
                  <w:pPr>
                    <w:keepNext w:val="0"/>
                    <w:keepLines w:val="0"/>
                    <w:widowControl/>
                    <w:suppressLineNumbers w:val="0"/>
                    <w:spacing w:before="0" w:beforeAutospacing="0" w:after="0" w:afterAutospacing="0" w:line="360" w:lineRule="auto"/>
                    <w:ind w:left="0" w:right="0" w:firstLine="482"/>
                    <w:rPr>
                      <w:rFonts w:hint="default" w:ascii="Times New Roman" w:hAnsi="Times New Roman" w:eastAsia="宋体" w:cs="Times New Roman"/>
                      <w:color w:val="000000" w:themeColor="text1"/>
                      <w:spacing w:val="3"/>
                      <w:kern w:val="2"/>
                      <w:sz w:val="21"/>
                      <w:szCs w:val="21"/>
                      <w:highlight w:val="none"/>
                      <w:lang w:val="en-US" w:eastAsia="zh-CN" w:bidi="ar-SA"/>
                      <w14:textFill>
                        <w14:solidFill>
                          <w14:schemeClr w14:val="tx1"/>
                        </w14:solidFill>
                      </w14:textFill>
                    </w:rPr>
                  </w:pPr>
                  <w:r>
                    <w:rPr>
                      <w:rFonts w:hint="default" w:ascii="Times New Roman" w:hAnsi="Times New Roman" w:cs="Times New Roman"/>
                      <w:b w:val="0"/>
                      <w:bCs w:val="0"/>
                      <w:color w:val="000000" w:themeColor="text1"/>
                      <w:kern w:val="0"/>
                      <w:sz w:val="21"/>
                      <w:szCs w:val="21"/>
                      <w:highlight w:val="none"/>
                      <w:lang w:val="en-US" w:eastAsia="zh-CN"/>
                      <w14:textFill>
                        <w14:solidFill>
                          <w14:schemeClr w14:val="tx1"/>
                        </w14:solidFill>
                      </w14:textFill>
                    </w:rPr>
                    <w:t>本项目</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废水</w:t>
                  </w:r>
                  <w:r>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t>排放量为</w:t>
                  </w:r>
                  <w:r>
                    <w:rPr>
                      <w:rFonts w:hint="default" w:cs="Times New Roman"/>
                      <w:color w:val="000000" w:themeColor="text1"/>
                      <w:sz w:val="21"/>
                      <w:szCs w:val="21"/>
                      <w:highlight w:val="none"/>
                      <w:lang w:val="en-US" w:eastAsia="zh-CN" w:bidi="ar-SA"/>
                      <w14:textFill>
                        <w14:solidFill>
                          <w14:schemeClr w14:val="tx1"/>
                        </w14:solidFill>
                      </w14:textFill>
                    </w:rPr>
                    <w:t>1548</w:t>
                  </w:r>
                  <w:r>
                    <w:rPr>
                      <w:rFonts w:hint="eastAsia" w:cs="Times New Roman"/>
                      <w:color w:val="000000" w:themeColor="text1"/>
                      <w:sz w:val="21"/>
                      <w:szCs w:val="21"/>
                      <w:highlight w:val="none"/>
                      <w:lang w:val="en-US" w:eastAsia="zh-CN" w:bidi="ar-SA"/>
                      <w14:textFill>
                        <w14:solidFill>
                          <w14:schemeClr w14:val="tx1"/>
                        </w14:solidFill>
                      </w14:textFill>
                    </w:rPr>
                    <w:t>5</w:t>
                  </w:r>
                  <w:r>
                    <w:rPr>
                      <w:rFonts w:hint="default" w:cs="Times New Roman"/>
                      <w:color w:val="000000" w:themeColor="text1"/>
                      <w:sz w:val="21"/>
                      <w:szCs w:val="21"/>
                      <w:highlight w:val="none"/>
                      <w:lang w:val="en-US" w:eastAsia="zh-CN" w:bidi="ar-SA"/>
                      <w14:textFill>
                        <w14:solidFill>
                          <w14:schemeClr w14:val="tx1"/>
                        </w14:solidFill>
                      </w14:textFill>
                    </w:rPr>
                    <w:t>.</w:t>
                  </w:r>
                  <w:r>
                    <w:rPr>
                      <w:rFonts w:hint="eastAsia" w:cs="Times New Roman"/>
                      <w:color w:val="000000" w:themeColor="text1"/>
                      <w:sz w:val="21"/>
                      <w:szCs w:val="21"/>
                      <w:highlight w:val="none"/>
                      <w:lang w:val="en-US" w:eastAsia="zh-CN" w:bidi="ar-SA"/>
                      <w14:textFill>
                        <w14:solidFill>
                          <w14:schemeClr w14:val="tx1"/>
                        </w14:solidFill>
                      </w14:textFill>
                    </w:rPr>
                    <w:t>9</w:t>
                  </w:r>
                  <w:r>
                    <w:rPr>
                      <w:rFonts w:hint="default" w:cs="Times New Roman"/>
                      <w:color w:val="000000" w:themeColor="text1"/>
                      <w:sz w:val="21"/>
                      <w:szCs w:val="21"/>
                      <w:highlight w:val="none"/>
                      <w:lang w:val="en-US" w:eastAsia="zh-CN" w:bidi="ar-SA"/>
                      <w14:textFill>
                        <w14:solidFill>
                          <w14:schemeClr w14:val="tx1"/>
                        </w14:solidFill>
                      </w14:textFill>
                    </w:rPr>
                    <w:t>30</w:t>
                  </w: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m</w:t>
                  </w:r>
                  <w:r>
                    <w:rPr>
                      <w:rFonts w:hint="default" w:ascii="Times New Roman" w:hAnsi="Times New Roman" w:eastAsia="宋体" w:cs="Times New Roman"/>
                      <w:b w:val="0"/>
                      <w:bCs/>
                      <w:color w:val="000000" w:themeColor="text1"/>
                      <w:kern w:val="2"/>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/a</w:t>
                  </w:r>
                  <w:r>
                    <w:rPr>
                      <w:rFonts w:hint="eastAsia" w:cs="Times New Roman"/>
                      <w:b w:val="0"/>
                      <w:bCs/>
                      <w:color w:val="000000" w:themeColor="text1"/>
                      <w:kern w:val="2"/>
                      <w:sz w:val="21"/>
                      <w:szCs w:val="21"/>
                      <w:highlight w:val="none"/>
                      <w:lang w:val="en-US" w:eastAsia="zh-CN" w:bidi="ar-SA"/>
                      <w14:textFill>
                        <w14:solidFill>
                          <w14:schemeClr w14:val="tx1"/>
                        </w14:solidFill>
                      </w14:textFill>
                    </w:rPr>
                    <w:t>（61.944</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kern w:val="2"/>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/d</w:t>
                  </w:r>
                  <w:r>
                    <w:rPr>
                      <w:rFonts w:hint="eastAsia" w:cs="Times New Roman"/>
                      <w:b w:val="0"/>
                      <w:bCs/>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，项目</w:t>
                  </w:r>
                  <w:r>
                    <w:rPr>
                      <w:rFonts w:hint="eastAsia" w:cs="Times New Roman"/>
                      <w:color w:val="000000" w:themeColor="text1"/>
                      <w:sz w:val="21"/>
                      <w:szCs w:val="21"/>
                      <w:highlight w:val="none"/>
                      <w:lang w:val="en-US" w:eastAsia="zh-CN"/>
                      <w14:textFill>
                        <w14:solidFill>
                          <w14:schemeClr w14:val="tx1"/>
                        </w14:solidFill>
                      </w14:textFill>
                    </w:rPr>
                    <w:t>建成后</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废水</w:t>
                  </w:r>
                  <w:r>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t>排放量为</w:t>
                  </w:r>
                  <w:r>
                    <w:rPr>
                      <w:rFonts w:hint="eastAsia" w:cs="Times New Roman"/>
                      <w:color w:val="000000" w:themeColor="text1"/>
                      <w:kern w:val="0"/>
                      <w:sz w:val="21"/>
                      <w:szCs w:val="21"/>
                      <w:highlight w:val="none"/>
                      <w:lang w:val="en-US" w:eastAsia="zh-CN"/>
                      <w14:textFill>
                        <w14:solidFill>
                          <w14:schemeClr w14:val="tx1"/>
                        </w14:solidFill>
                      </w14:textFill>
                    </w:rPr>
                    <w:t>173485.93</w:t>
                  </w:r>
                  <w:r>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t>m</w:t>
                  </w:r>
                  <w:r>
                    <w:rPr>
                      <w:rFonts w:hint="eastAsia" w:ascii="Times New Roman" w:hAnsi="Times New Roman" w:cs="Times New Roman"/>
                      <w:color w:val="000000" w:themeColor="text1"/>
                      <w:kern w:val="0"/>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kern w:val="0"/>
                      <w:sz w:val="21"/>
                      <w:szCs w:val="21"/>
                      <w:highlight w:val="none"/>
                      <w14:textFill>
                        <w14:solidFill>
                          <w14:schemeClr w14:val="tx1"/>
                        </w14:solidFill>
                      </w14:textFill>
                    </w:rPr>
                    <w:t>/a</w:t>
                  </w:r>
                  <w:r>
                    <w:rPr>
                      <w:rFonts w:hint="eastAsia" w:ascii="Times New Roman" w:hAnsi="Times New Roman" w:cs="Times New Roman"/>
                      <w:color w:val="000000" w:themeColor="text1"/>
                      <w:kern w:val="0"/>
                      <w:sz w:val="21"/>
                      <w:szCs w:val="21"/>
                      <w:highlight w:val="none"/>
                      <w:lang w:eastAsia="zh-CN"/>
                      <w14:textFill>
                        <w14:solidFill>
                          <w14:schemeClr w14:val="tx1"/>
                        </w14:solidFill>
                      </w14:textFill>
                    </w:rPr>
                    <w:t>（</w:t>
                  </w:r>
                  <w:r>
                    <w:rPr>
                      <w:rFonts w:hint="eastAsia" w:cs="Times New Roman"/>
                      <w:color w:val="000000" w:themeColor="text1"/>
                      <w:kern w:val="0"/>
                      <w:sz w:val="21"/>
                      <w:szCs w:val="21"/>
                      <w:highlight w:val="none"/>
                      <w:lang w:val="en-US" w:eastAsia="zh-CN"/>
                      <w14:textFill>
                        <w14:solidFill>
                          <w14:schemeClr w14:val="tx1"/>
                        </w14:solidFill>
                      </w14:textFill>
                    </w:rPr>
                    <w:t>693.944</w:t>
                  </w:r>
                  <w:r>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t>m</w:t>
                  </w:r>
                  <w:r>
                    <w:rPr>
                      <w:rFonts w:hint="eastAsia" w:ascii="Times New Roman" w:hAnsi="Times New Roman" w:cs="Times New Roman"/>
                      <w:color w:val="000000" w:themeColor="text1"/>
                      <w:kern w:val="0"/>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kern w:val="0"/>
                      <w:sz w:val="21"/>
                      <w:szCs w:val="21"/>
                      <w:highlight w:val="none"/>
                      <w14:textFill>
                        <w14:solidFill>
                          <w14:schemeClr w14:val="tx1"/>
                        </w14:solidFill>
                      </w14:textFill>
                    </w:rPr>
                    <w:t>/d</w:t>
                  </w:r>
                  <w:r>
                    <w:rPr>
                      <w:rFonts w:hint="eastAsia" w:ascii="Times New Roman" w:hAnsi="Times New Roman" w:cs="Times New Roman"/>
                      <w:color w:val="000000" w:themeColor="text1"/>
                      <w:kern w:val="0"/>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现有项目</w:t>
                  </w:r>
                  <w:r>
                    <w:rPr>
                      <w:rFonts w:hint="eastAsia" w:cs="Times New Roman"/>
                      <w:color w:val="000000" w:themeColor="text1"/>
                      <w:kern w:val="0"/>
                      <w:sz w:val="21"/>
                      <w:szCs w:val="21"/>
                      <w:highlight w:val="none"/>
                      <w:lang w:val="en-US" w:eastAsia="zh-CN" w:bidi="ar"/>
                      <w14:textFill>
                        <w14:solidFill>
                          <w14:schemeClr w14:val="tx1"/>
                        </w14:solidFill>
                      </w14:textFill>
                    </w:rPr>
                    <w:t>废水处理站处理能力为800m</w:t>
                  </w:r>
                  <w:r>
                    <w:rPr>
                      <w:rFonts w:hint="eastAsia" w:cs="Times New Roman"/>
                      <w:color w:val="000000" w:themeColor="text1"/>
                      <w:kern w:val="0"/>
                      <w:sz w:val="21"/>
                      <w:szCs w:val="21"/>
                      <w:highlight w:val="none"/>
                      <w:vertAlign w:val="superscript"/>
                      <w:lang w:val="en-US" w:eastAsia="zh-CN" w:bidi="ar"/>
                      <w14:textFill>
                        <w14:solidFill>
                          <w14:schemeClr w14:val="tx1"/>
                        </w14:solidFill>
                      </w14:textFill>
                    </w:rPr>
                    <w:t>3</w:t>
                  </w:r>
                  <w:r>
                    <w:rPr>
                      <w:rFonts w:hint="eastAsia" w:cs="Times New Roman"/>
                      <w:color w:val="000000" w:themeColor="text1"/>
                      <w:kern w:val="0"/>
                      <w:sz w:val="21"/>
                      <w:szCs w:val="21"/>
                      <w:highlight w:val="none"/>
                      <w:lang w:val="en-US" w:eastAsia="zh-CN" w:bidi="ar"/>
                      <w14:textFill>
                        <w14:solidFill>
                          <w14:schemeClr w14:val="tx1"/>
                        </w14:solidFill>
                      </w14:textFill>
                    </w:rPr>
                    <w:t>/d，</w:t>
                  </w:r>
                  <w:r>
                    <w:rPr>
                      <w:rFonts w:hint="eastAsia" w:cs="Times New Roman"/>
                      <w:color w:val="000000" w:themeColor="text1"/>
                      <w:kern w:val="2"/>
                      <w:sz w:val="21"/>
                      <w:szCs w:val="21"/>
                      <w:highlight w:val="none"/>
                      <w:lang w:val="en-US" w:eastAsia="zh-CN" w:bidi="ar"/>
                      <w14:textFill>
                        <w14:solidFill>
                          <w14:schemeClr w14:val="tx1"/>
                        </w14:solidFill>
                      </w14:textFill>
                    </w:rPr>
                    <w:t>本项目使用的药材种类与现有项目相同，废水水质变化不大，</w:t>
                  </w: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所以本项目建成后依托现有污水处理系统可行。</w:t>
                  </w:r>
                </w:p>
              </w:tc>
            </w:tr>
            <w:tr w14:paraId="4962BB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72" w:type="pct"/>
                  <w:tcBorders>
                    <w:tl2br w:val="nil"/>
                    <w:tr2bl w:val="nil"/>
                  </w:tcBorders>
                  <w:shd w:val="clear" w:color="auto" w:fill="auto"/>
                  <w:noWrap w:val="0"/>
                  <w:vAlign w:val="center"/>
                </w:tcPr>
                <w:p w14:paraId="2CB2E4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default"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提取车间和综合制剂车间</w:t>
                  </w:r>
                </w:p>
              </w:tc>
              <w:tc>
                <w:tcPr>
                  <w:tcW w:w="4027" w:type="pct"/>
                  <w:tcBorders>
                    <w:tl2br w:val="nil"/>
                    <w:tr2bl w:val="nil"/>
                  </w:tcBorders>
                  <w:shd w:val="clear" w:color="auto" w:fill="auto"/>
                  <w:noWrap w:val="0"/>
                  <w:vAlign w:val="top"/>
                </w:tcPr>
                <w:p w14:paraId="3C6A2A31">
                  <w:pPr>
                    <w:keepNext w:val="0"/>
                    <w:keepLines w:val="0"/>
                    <w:widowControl/>
                    <w:suppressLineNumbers w:val="0"/>
                    <w:spacing w:before="0" w:beforeAutospacing="0" w:after="0" w:afterAutospacing="0" w:line="360" w:lineRule="auto"/>
                    <w:ind w:left="0" w:right="0" w:firstLine="482"/>
                    <w:rPr>
                      <w:rFonts w:hint="default" w:ascii="Times New Roman" w:hAnsi="Times New Roman"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本项目片剂增加4亿片/a、胶囊剂增加1亿粒/a、颗粒剂不变，生产时间增加4h/d，现有项目片剂产量为2亿片/a、胶囊剂为4亿粒/a，生产时间为10h/d，项目建成后片剂总产量为6亿片/a、胶囊剂为5亿粒/a，生产时间为14h/d，且本项目再通过对车间设备产能提升和优化非工艺时间增加片剂和胶囊剂产品产能，所以本项目建成后增加产能依托</w:t>
                  </w:r>
                  <w:r>
                    <w:rPr>
                      <w:rFonts w:hint="eastAsia" w:cs="Times New Roman"/>
                      <w:color w:val="000000" w:themeColor="text1"/>
                      <w:sz w:val="21"/>
                      <w:szCs w:val="21"/>
                      <w:highlight w:val="none"/>
                      <w:vertAlign w:val="baseline"/>
                      <w:lang w:val="en-US" w:eastAsia="zh-CN"/>
                      <w14:textFill>
                        <w14:solidFill>
                          <w14:schemeClr w14:val="tx1"/>
                        </w14:solidFill>
                      </w14:textFill>
                    </w:rPr>
                    <w:t>提取车间和综合制剂车间可行。</w:t>
                  </w:r>
                </w:p>
              </w:tc>
            </w:tr>
            <w:tr w14:paraId="0EB499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72" w:type="pct"/>
                  <w:tcBorders>
                    <w:tl2br w:val="nil"/>
                    <w:tr2bl w:val="nil"/>
                  </w:tcBorders>
                  <w:shd w:val="clear" w:color="auto" w:fill="auto"/>
                  <w:noWrap w:val="0"/>
                  <w:vAlign w:val="center"/>
                </w:tcPr>
                <w:p w14:paraId="4A9081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eastAsia"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片碱库</w:t>
                  </w:r>
                </w:p>
              </w:tc>
              <w:tc>
                <w:tcPr>
                  <w:tcW w:w="4027" w:type="pct"/>
                  <w:tcBorders>
                    <w:tl2br w:val="nil"/>
                    <w:tr2bl w:val="nil"/>
                  </w:tcBorders>
                  <w:shd w:val="clear" w:color="auto" w:fill="auto"/>
                  <w:noWrap w:val="0"/>
                  <w:vAlign w:val="top"/>
                </w:tcPr>
                <w:p w14:paraId="2B7721DD">
                  <w:pPr>
                    <w:keepNext w:val="0"/>
                    <w:keepLines w:val="0"/>
                    <w:widowControl/>
                    <w:suppressLineNumbers w:val="0"/>
                    <w:spacing w:before="0" w:beforeAutospacing="0" w:after="0" w:afterAutospacing="0" w:line="360" w:lineRule="auto"/>
                    <w:ind w:left="0" w:right="0" w:firstLine="482"/>
                    <w:rPr>
                      <w:rFonts w:hint="default"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本项目增加片碱用量为20t/a，现有项目片碱用量为50t/a，项目建成后片碱用量为70t/a。</w:t>
                  </w:r>
                  <w:r>
                    <w:rPr>
                      <w:rFonts w:hint="eastAsia" w:cs="Times New Roman"/>
                      <w:color w:val="000000" w:themeColor="text1"/>
                      <w:sz w:val="21"/>
                      <w:szCs w:val="21"/>
                      <w:highlight w:val="none"/>
                      <w:vertAlign w:val="baseline"/>
                      <w:lang w:val="en-US" w:eastAsia="zh-CN"/>
                      <w14:textFill>
                        <w14:solidFill>
                          <w14:schemeClr w14:val="tx1"/>
                        </w14:solidFill>
                      </w14:textFill>
                    </w:rPr>
                    <w:t>片碱库占地面积为</w:t>
                  </w:r>
                  <w:r>
                    <w:rPr>
                      <w:rFonts w:hint="eastAsia" w:cs="Times New Roman"/>
                      <w:color w:val="000000" w:themeColor="text1"/>
                      <w:sz w:val="21"/>
                      <w:szCs w:val="21"/>
                      <w:highlight w:val="none"/>
                      <w:lang w:val="en-US" w:eastAsia="zh-CN"/>
                      <w14:textFill>
                        <w14:solidFill>
                          <w14:schemeClr w14:val="tx1"/>
                        </w14:solidFill>
                      </w14:textFill>
                    </w:rPr>
                    <w:t>50m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w:t>
                  </w:r>
                  <w:r>
                    <w:rPr>
                      <w:rFonts w:hint="eastAsia" w:cs="Times New Roman"/>
                      <w:b w:val="0"/>
                      <w:bCs w:val="0"/>
                      <w:color w:val="000000" w:themeColor="text1"/>
                      <w:kern w:val="0"/>
                      <w:sz w:val="21"/>
                      <w:szCs w:val="21"/>
                      <w:highlight w:val="none"/>
                      <w:lang w:val="en-US" w:eastAsia="zh-CN"/>
                      <w14:textFill>
                        <w14:solidFill>
                          <w14:schemeClr w14:val="tx1"/>
                        </w14:solidFill>
                      </w14:textFill>
                    </w:rPr>
                    <w:t>最大储存量10t，现有项目年周转次数为5次/a（50t），本项目建成后年周转次数为7次/a（70t）=70t/a，所以本项目建成后增加片碱用量依托现有</w:t>
                  </w:r>
                  <w:r>
                    <w:rPr>
                      <w:rFonts w:hint="eastAsia" w:cs="Times New Roman"/>
                      <w:color w:val="000000" w:themeColor="text1"/>
                      <w:sz w:val="21"/>
                      <w:szCs w:val="21"/>
                      <w:highlight w:val="none"/>
                      <w:vertAlign w:val="baseline"/>
                      <w:lang w:val="en-US" w:eastAsia="zh-CN"/>
                      <w14:textFill>
                        <w14:solidFill>
                          <w14:schemeClr w14:val="tx1"/>
                        </w14:solidFill>
                      </w14:textFill>
                    </w:rPr>
                    <w:t>片碱库贮存可行。</w:t>
                  </w:r>
                </w:p>
              </w:tc>
            </w:tr>
            <w:tr w14:paraId="428DEE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72" w:type="pct"/>
                  <w:tcBorders>
                    <w:tl2br w:val="nil"/>
                    <w:tr2bl w:val="nil"/>
                  </w:tcBorders>
                  <w:shd w:val="clear" w:color="auto" w:fill="auto"/>
                  <w:noWrap w:val="0"/>
                  <w:vAlign w:val="center"/>
                </w:tcPr>
                <w:p w14:paraId="4D6BB9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eastAsia"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乙醇储罐</w:t>
                  </w:r>
                </w:p>
              </w:tc>
              <w:tc>
                <w:tcPr>
                  <w:tcW w:w="4027" w:type="pct"/>
                  <w:tcBorders>
                    <w:tl2br w:val="nil"/>
                    <w:tr2bl w:val="nil"/>
                  </w:tcBorders>
                  <w:shd w:val="clear" w:color="auto" w:fill="auto"/>
                  <w:noWrap w:val="0"/>
                  <w:vAlign w:val="top"/>
                </w:tcPr>
                <w:p w14:paraId="285DD939">
                  <w:pPr>
                    <w:keepNext w:val="0"/>
                    <w:keepLines w:val="0"/>
                    <w:widowControl/>
                    <w:suppressLineNumbers w:val="0"/>
                    <w:spacing w:before="0" w:beforeAutospacing="0" w:after="0" w:afterAutospacing="0" w:line="360" w:lineRule="auto"/>
                    <w:ind w:left="0" w:right="0" w:firstLine="482"/>
                    <w:rPr>
                      <w:rFonts w:hint="default"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本项目增加乙醇用量为4t/a，现有项目乙醇用量为12t/a，项目建成后乙醇用量为16t/a。现有项目设2个乙醇储罐（1用1备），每个储罐容积为3t，填充率为80%，最大储存量2.4t，现有项目年周转次数为5次/a，本项目建成后年周转次数为7次/a（16.8t/a）＞16t/a，所以本项目建成后增加乙醇用量依托现有乙醇储罐</w:t>
                  </w:r>
                  <w:r>
                    <w:rPr>
                      <w:rFonts w:hint="eastAsia" w:cs="Times New Roman"/>
                      <w:color w:val="000000" w:themeColor="text1"/>
                      <w:sz w:val="21"/>
                      <w:szCs w:val="21"/>
                      <w:highlight w:val="none"/>
                      <w:vertAlign w:val="baseline"/>
                      <w:lang w:val="en-US" w:eastAsia="zh-CN"/>
                      <w14:textFill>
                        <w14:solidFill>
                          <w14:schemeClr w14:val="tx1"/>
                        </w14:solidFill>
                      </w14:textFill>
                    </w:rPr>
                    <w:t>贮存可行。</w:t>
                  </w:r>
                </w:p>
              </w:tc>
            </w:tr>
          </w:tbl>
          <w:p w14:paraId="4AEAF38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p>
          <w:p w14:paraId="308AF0B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p>
          <w:p w14:paraId="591B1AF6">
            <w:pPr>
              <w:pStyle w:val="25"/>
              <w:keepNext w:val="0"/>
              <w:keepLines w:val="0"/>
              <w:suppressLineNumbers w:val="0"/>
              <w:spacing w:before="0" w:beforeAutospacing="0" w:afterAutospacing="0"/>
              <w:ind w:left="0" w:leftChars="0" w:right="0" w:firstLine="0" w:firstLineChars="0"/>
              <w:rPr>
                <w:rFonts w:hint="default"/>
                <w:color w:val="000000" w:themeColor="text1"/>
                <w:highlight w:val="none"/>
                <w:lang w:val="en-US" w:eastAsia="zh-CN"/>
                <w14:textFill>
                  <w14:solidFill>
                    <w14:schemeClr w14:val="tx1"/>
                  </w14:solidFill>
                </w14:textFill>
              </w:rPr>
            </w:pPr>
          </w:p>
        </w:tc>
      </w:tr>
    </w:tbl>
    <w:p w14:paraId="1236CA5D">
      <w:pPr>
        <w:pStyle w:val="8"/>
        <w:adjustRightInd w:val="0"/>
        <w:snapToGrid w:val="0"/>
        <w:spacing w:before="0" w:beforeAutospacing="0" w:after="0" w:afterAutospacing="0"/>
        <w:jc w:val="center"/>
        <w:rPr>
          <w:rFonts w:hint="eastAsia" w:cs="宋体"/>
          <w:color w:val="000000" w:themeColor="text1"/>
          <w:sz w:val="21"/>
          <w:szCs w:val="21"/>
          <w:highlight w:val="none"/>
          <w14:textFill>
            <w14:solidFill>
              <w14:schemeClr w14:val="tx1"/>
            </w14:solidFill>
          </w14:textFill>
        </w:rPr>
        <w:sectPr>
          <w:footerReference r:id="rId10" w:type="default"/>
          <w:pgSz w:w="11906" w:h="16838"/>
          <w:pgMar w:top="1701" w:right="1531" w:bottom="1701" w:left="1531" w:header="851" w:footer="992" w:gutter="0"/>
          <w:pgBorders>
            <w:top w:val="none" w:sz="0" w:space="0"/>
            <w:left w:val="none" w:sz="0" w:space="0"/>
            <w:bottom w:val="none" w:sz="0" w:space="0"/>
            <w:right w:val="none" w:sz="0" w:space="0"/>
          </w:pgBorders>
          <w:pgNumType w:fmt="numberInDash" w:start="1"/>
          <w:cols w:space="0" w:num="1"/>
          <w:rtlGutter w:val="0"/>
          <w:docGrid w:type="lines" w:linePitch="312" w:charSpace="0"/>
        </w:sectPr>
      </w:pPr>
    </w:p>
    <w:tbl>
      <w:tblPr>
        <w:tblStyle w:val="35"/>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559"/>
        <w:gridCol w:w="13088"/>
      </w:tblGrid>
      <w:tr w14:paraId="6238AD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92" w:hRule="atLeast"/>
          <w:jc w:val="center"/>
        </w:trPr>
        <w:tc>
          <w:tcPr>
            <w:tcW w:w="205" w:type="pct"/>
            <w:noWrap w:val="0"/>
            <w:vAlign w:val="center"/>
          </w:tcPr>
          <w:p w14:paraId="0107E8F9">
            <w:pPr>
              <w:pStyle w:val="8"/>
              <w:keepNext w:val="0"/>
              <w:keepLines w:val="0"/>
              <w:suppressLineNumbers w:val="0"/>
              <w:adjustRightInd w:val="0"/>
              <w:snapToGrid w:val="0"/>
              <w:spacing w:before="0" w:beforeAutospacing="0" w:after="0" w:afterAutospacing="0"/>
              <w:ind w:left="0" w:right="0"/>
              <w:jc w:val="center"/>
              <w:rPr>
                <w:rFonts w:hint="default"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建设内容</w:t>
            </w:r>
          </w:p>
        </w:tc>
        <w:tc>
          <w:tcPr>
            <w:tcW w:w="4794" w:type="pct"/>
            <w:noWrap w:val="0"/>
            <w:vAlign w:val="top"/>
          </w:tcPr>
          <w:p w14:paraId="209226A1">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2" w:firstLineChars="200"/>
              <w:jc w:val="left"/>
              <w:textAlignment w:val="auto"/>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3.4产品方案</w:t>
            </w:r>
          </w:p>
          <w:p w14:paraId="6196EE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3.4.1</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本项目</w:t>
            </w:r>
            <w:r>
              <w:rPr>
                <w:rFonts w:hint="default" w:ascii="Times New Roman" w:hAnsi="Times New Roman" w:eastAsia="宋体" w:cs="Times New Roman"/>
                <w:b w:val="0"/>
                <w:color w:val="000000" w:themeColor="text1"/>
                <w:sz w:val="24"/>
                <w:szCs w:val="24"/>
                <w:highlight w:val="none"/>
                <w:lang w:val="en-US" w:eastAsia="zh-CN"/>
                <w14:textFill>
                  <w14:solidFill>
                    <w14:schemeClr w14:val="tx1"/>
                  </w14:solidFill>
                </w14:textFill>
              </w:rPr>
              <w:t>产品质量执行《中华人民共和国药典（2020版）》第一部，</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产品方案详见下表：</w:t>
            </w:r>
          </w:p>
          <w:p w14:paraId="44011EA7">
            <w:pPr>
              <w:keepNext w:val="0"/>
              <w:keepLines w:val="0"/>
              <w:pageBreakBefore w:val="0"/>
              <w:widowControl w:val="0"/>
              <w:numPr>
                <w:ilvl w:val="0"/>
                <w:numId w:val="5"/>
              </w:numPr>
              <w:suppressLineNumbers w:val="0"/>
              <w:kinsoku/>
              <w:wordWrap/>
              <w:overflowPunct/>
              <w:topLinePunct w:val="0"/>
              <w:autoSpaceDE/>
              <w:autoSpaceDN/>
              <w:bidi w:val="0"/>
              <w:adjustRightInd/>
              <w:snapToGrid w:val="0"/>
              <w:spacing w:before="157" w:beforeLines="50" w:beforeAutospacing="0" w:after="0" w:afterLines="0" w:afterAutospacing="0"/>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zh-CN" w:eastAsia="en-US"/>
                <w14:textFill>
                  <w14:solidFill>
                    <w14:schemeClr w14:val="tx1"/>
                  </w14:solidFill>
                </w14:textFill>
              </w:rPr>
              <w:t xml:space="preserve">  </w:t>
            </w:r>
            <w:r>
              <w:rPr>
                <w:rFonts w:hint="eastAsia" w:cs="Times New Roman"/>
                <w:b/>
                <w:bCs/>
                <w:color w:val="000000" w:themeColor="text1"/>
                <w:sz w:val="21"/>
                <w:szCs w:val="21"/>
                <w:highlight w:val="none"/>
                <w:lang w:val="en-US" w:eastAsia="zh-CN"/>
                <w14:textFill>
                  <w14:solidFill>
                    <w14:schemeClr w14:val="tx1"/>
                  </w14:solidFill>
                </w14:textFill>
              </w:rPr>
              <w:t>本项目实施前后前处理车间产品方案变化情况</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表</w:t>
            </w:r>
          </w:p>
          <w:tbl>
            <w:tblPr>
              <w:tblStyle w:val="57"/>
              <w:tblW w:w="4998" w:type="pct"/>
              <w:tblInd w:w="0" w:type="dxa"/>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49"/>
              <w:gridCol w:w="894"/>
              <w:gridCol w:w="2861"/>
              <w:gridCol w:w="1267"/>
              <w:gridCol w:w="1532"/>
              <w:gridCol w:w="1965"/>
              <w:gridCol w:w="1748"/>
              <w:gridCol w:w="1751"/>
            </w:tblGrid>
            <w:tr w14:paraId="1F8BD3D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30" w:type="pct"/>
                  <w:vAlign w:val="center"/>
                </w:tcPr>
                <w:p w14:paraId="05B0D0AC">
                  <w:pPr>
                    <w:keepNext w:val="0"/>
                    <w:keepLines w:val="0"/>
                    <w:suppressLineNumbers w:val="0"/>
                    <w:spacing w:before="0" w:beforeAutospacing="0" w:after="0" w:afterAutospacing="0"/>
                    <w:ind w:left="0" w:right="0"/>
                    <w:jc w:val="center"/>
                    <w:rPr>
                      <w:rFonts w:hint="default" w:ascii="Times New Roman" w:hAnsi="Times New Roman" w:cs="Times New Roman"/>
                      <w:b/>
                      <w:bCs w:val="0"/>
                      <w:color w:val="000000" w:themeColor="text1"/>
                      <w:sz w:val="21"/>
                      <w:szCs w:val="21"/>
                      <w:highlight w:val="none"/>
                      <w:lang w:val="en-US" w:eastAsia="zh-CN"/>
                      <w14:textFill>
                        <w14:solidFill>
                          <w14:schemeClr w14:val="tx1"/>
                        </w14:solidFill>
                      </w14:textFill>
                    </w:rPr>
                  </w:pPr>
                  <w:r>
                    <w:rPr>
                      <w:rFonts w:hint="eastAsia" w:cs="Times New Roman"/>
                      <w:b/>
                      <w:bCs w:val="0"/>
                      <w:color w:val="000000" w:themeColor="text1"/>
                      <w:sz w:val="21"/>
                      <w:szCs w:val="21"/>
                      <w:highlight w:val="none"/>
                      <w:lang w:val="en-US" w:eastAsia="zh-CN"/>
                      <w14:textFill>
                        <w14:solidFill>
                          <w14:schemeClr w14:val="tx1"/>
                        </w14:solidFill>
                      </w14:textFill>
                    </w:rPr>
                    <w:t>车间</w:t>
                  </w:r>
                </w:p>
              </w:tc>
              <w:tc>
                <w:tcPr>
                  <w:tcW w:w="347" w:type="pct"/>
                  <w:vAlign w:val="center"/>
                </w:tcPr>
                <w:p w14:paraId="55468B4F">
                  <w:pPr>
                    <w:keepNext w:val="0"/>
                    <w:keepLines w:val="0"/>
                    <w:suppressLineNumbers w:val="0"/>
                    <w:spacing w:before="0" w:beforeAutospacing="0" w:after="0" w:afterAutospacing="0"/>
                    <w:ind w:left="0" w:right="0"/>
                    <w:jc w:val="center"/>
                    <w:rPr>
                      <w:rFonts w:hint="default" w:cs="Times New Roman"/>
                      <w:b/>
                      <w:bCs w:val="0"/>
                      <w:color w:val="000000" w:themeColor="text1"/>
                      <w:sz w:val="21"/>
                      <w:szCs w:val="21"/>
                      <w:highlight w:val="none"/>
                      <w:lang w:val="en-US" w:eastAsia="zh-CN"/>
                      <w14:textFill>
                        <w14:solidFill>
                          <w14:schemeClr w14:val="tx1"/>
                        </w14:solidFill>
                      </w14:textFill>
                    </w:rPr>
                  </w:pPr>
                  <w:r>
                    <w:rPr>
                      <w:rFonts w:hint="eastAsia" w:cs="Times New Roman"/>
                      <w:b/>
                      <w:bCs w:val="0"/>
                      <w:color w:val="000000" w:themeColor="text1"/>
                      <w:sz w:val="21"/>
                      <w:szCs w:val="21"/>
                      <w:highlight w:val="none"/>
                      <w:lang w:val="en-US" w:eastAsia="zh-CN"/>
                      <w14:textFill>
                        <w14:solidFill>
                          <w14:schemeClr w14:val="tx1"/>
                        </w14:solidFill>
                      </w14:textFill>
                    </w:rPr>
                    <w:t>剂型</w:t>
                  </w:r>
                </w:p>
              </w:tc>
              <w:tc>
                <w:tcPr>
                  <w:tcW w:w="1111" w:type="pct"/>
                  <w:vAlign w:val="center"/>
                </w:tcPr>
                <w:p w14:paraId="0E56010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val="0"/>
                      <w:color w:val="000000" w:themeColor="text1"/>
                      <w:sz w:val="21"/>
                      <w:szCs w:val="21"/>
                      <w:highlight w:val="none"/>
                      <w:lang w:val="en-US" w:eastAsia="zh-CN"/>
                      <w14:textFill>
                        <w14:solidFill>
                          <w14:schemeClr w14:val="tx1"/>
                        </w14:solidFill>
                      </w14:textFill>
                    </w:rPr>
                    <w:t>名称</w:t>
                  </w:r>
                </w:p>
              </w:tc>
              <w:tc>
                <w:tcPr>
                  <w:tcW w:w="491" w:type="pct"/>
                  <w:shd w:val="clear" w:color="auto" w:fill="auto"/>
                  <w:vAlign w:val="center"/>
                </w:tcPr>
                <w:p w14:paraId="72673B7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val="0"/>
                      <w:color w:val="000000" w:themeColor="text1"/>
                      <w:szCs w:val="21"/>
                      <w:highlight w:val="none"/>
                      <w14:textFill>
                        <w14:solidFill>
                          <w14:schemeClr w14:val="tx1"/>
                        </w14:solidFill>
                      </w14:textFill>
                    </w:rPr>
                    <w:t>包装</w:t>
                  </w:r>
                  <w:r>
                    <w:rPr>
                      <w:rFonts w:hint="default" w:ascii="Times New Roman" w:hAnsi="Times New Roman" w:eastAsia="宋体" w:cs="Times New Roman"/>
                      <w:b/>
                      <w:bCs w:val="0"/>
                      <w:color w:val="000000" w:themeColor="text1"/>
                      <w:szCs w:val="21"/>
                      <w:highlight w:val="none"/>
                      <w14:textFill>
                        <w14:solidFill>
                          <w14:schemeClr w14:val="tx1"/>
                        </w14:solidFill>
                      </w14:textFill>
                    </w:rPr>
                    <w:t>规格</w:t>
                  </w:r>
                </w:p>
              </w:tc>
              <w:tc>
                <w:tcPr>
                  <w:tcW w:w="595" w:type="pct"/>
                  <w:shd w:val="clear" w:color="auto" w:fill="auto"/>
                  <w:vAlign w:val="center"/>
                </w:tcPr>
                <w:p w14:paraId="4B7DFA2C">
                  <w:pPr>
                    <w:keepNext w:val="0"/>
                    <w:keepLines w:val="0"/>
                    <w:suppressLineNumbers w:val="0"/>
                    <w:spacing w:before="0" w:beforeAutospacing="0" w:after="0" w:afterAutospacing="0"/>
                    <w:ind w:left="0" w:leftChars="0" w:right="0" w:rightChars="0"/>
                    <w:jc w:val="center"/>
                    <w:rPr>
                      <w:rFonts w:hint="default" w:cs="Times New Roman"/>
                      <w:b/>
                      <w:bCs w:val="0"/>
                      <w:color w:val="000000" w:themeColor="text1"/>
                      <w:szCs w:val="21"/>
                      <w:highlight w:val="none"/>
                      <w:lang w:val="en-US" w:eastAsia="zh-CN"/>
                      <w14:textFill>
                        <w14:solidFill>
                          <w14:schemeClr w14:val="tx1"/>
                        </w14:solidFill>
                      </w14:textFill>
                    </w:rPr>
                  </w:pPr>
                  <w:r>
                    <w:rPr>
                      <w:rFonts w:hint="eastAsia" w:cs="Times New Roman"/>
                      <w:b/>
                      <w:bCs w:val="0"/>
                      <w:color w:val="000000" w:themeColor="text1"/>
                      <w:szCs w:val="21"/>
                      <w:highlight w:val="none"/>
                      <w:lang w:val="en-US" w:eastAsia="zh-CN"/>
                      <w14:textFill>
                        <w14:solidFill>
                          <w14:schemeClr w14:val="tx1"/>
                        </w14:solidFill>
                      </w14:textFill>
                    </w:rPr>
                    <w:t>现有产品重量</w:t>
                  </w:r>
                  <w:r>
                    <w:rPr>
                      <w:rFonts w:hint="default" w:ascii="Times New Roman" w:hAnsi="Times New Roman" w:eastAsia="宋体" w:cs="Times New Roman"/>
                      <w:b/>
                      <w:bCs w:val="0"/>
                      <w:color w:val="000000" w:themeColor="text1"/>
                      <w:kern w:val="0"/>
                      <w:sz w:val="21"/>
                      <w:szCs w:val="21"/>
                      <w:highlight w:val="none"/>
                      <w:lang w:eastAsia="zh-CN"/>
                      <w14:textFill>
                        <w14:solidFill>
                          <w14:schemeClr w14:val="tx1"/>
                        </w14:solidFill>
                      </w14:textFill>
                    </w:rPr>
                    <w:t>（</w:t>
                  </w:r>
                  <w:r>
                    <w:rPr>
                      <w:rFonts w:hint="default" w:ascii="Times New Roman" w:hAnsi="Times New Roman" w:eastAsia="宋体" w:cs="Times New Roman"/>
                      <w:b/>
                      <w:bCs w:val="0"/>
                      <w:color w:val="000000" w:themeColor="text1"/>
                      <w:kern w:val="0"/>
                      <w:sz w:val="21"/>
                      <w:szCs w:val="21"/>
                      <w:highlight w:val="none"/>
                      <w:lang w:val="en-US" w:eastAsia="zh-CN"/>
                      <w14:textFill>
                        <w14:solidFill>
                          <w14:schemeClr w14:val="tx1"/>
                        </w14:solidFill>
                      </w14:textFill>
                    </w:rPr>
                    <w:t>t/a</w:t>
                  </w:r>
                  <w:r>
                    <w:rPr>
                      <w:rFonts w:hint="default" w:ascii="Times New Roman" w:hAnsi="Times New Roman" w:eastAsia="宋体" w:cs="Times New Roman"/>
                      <w:b/>
                      <w:bCs w:val="0"/>
                      <w:color w:val="000000" w:themeColor="text1"/>
                      <w:kern w:val="0"/>
                      <w:sz w:val="21"/>
                      <w:szCs w:val="21"/>
                      <w:highlight w:val="none"/>
                      <w:lang w:eastAsia="zh-CN"/>
                      <w14:textFill>
                        <w14:solidFill>
                          <w14:schemeClr w14:val="tx1"/>
                        </w14:solidFill>
                      </w14:textFill>
                    </w:rPr>
                    <w:t>）</w:t>
                  </w:r>
                </w:p>
              </w:tc>
              <w:tc>
                <w:tcPr>
                  <w:tcW w:w="763" w:type="pct"/>
                  <w:shd w:val="clear" w:color="auto" w:fill="auto"/>
                  <w:vAlign w:val="center"/>
                </w:tcPr>
                <w:p w14:paraId="123105C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val="0"/>
                      <w:color w:val="000000" w:themeColor="text1"/>
                      <w:kern w:val="2"/>
                      <w:sz w:val="21"/>
                      <w:szCs w:val="21"/>
                      <w:highlight w:val="none"/>
                      <w:lang w:val="en-US" w:eastAsia="zh-CN" w:bidi="ar-SA"/>
                      <w14:textFill>
                        <w14:solidFill>
                          <w14:schemeClr w14:val="tx1"/>
                        </w14:solidFill>
                      </w14:textFill>
                    </w:rPr>
                  </w:pPr>
                  <w:r>
                    <w:rPr>
                      <w:rFonts w:hint="eastAsia" w:cs="Times New Roman"/>
                      <w:b/>
                      <w:bCs w:val="0"/>
                      <w:color w:val="000000" w:themeColor="text1"/>
                      <w:sz w:val="21"/>
                      <w:szCs w:val="21"/>
                      <w:highlight w:val="none"/>
                      <w:lang w:val="en-US" w:eastAsia="zh-CN"/>
                      <w14:textFill>
                        <w14:solidFill>
                          <w14:schemeClr w14:val="tx1"/>
                        </w14:solidFill>
                      </w14:textFill>
                    </w:rPr>
                    <w:t>本项目产品重量</w:t>
                  </w:r>
                  <w:r>
                    <w:rPr>
                      <w:rFonts w:hint="default" w:ascii="Times New Roman" w:hAnsi="Times New Roman" w:eastAsia="宋体" w:cs="Times New Roman"/>
                      <w:b/>
                      <w:bCs w:val="0"/>
                      <w:color w:val="000000" w:themeColor="text1"/>
                      <w:kern w:val="0"/>
                      <w:sz w:val="21"/>
                      <w:szCs w:val="21"/>
                      <w:highlight w:val="none"/>
                      <w:lang w:eastAsia="zh-CN"/>
                      <w14:textFill>
                        <w14:solidFill>
                          <w14:schemeClr w14:val="tx1"/>
                        </w14:solidFill>
                      </w14:textFill>
                    </w:rPr>
                    <w:t>（</w:t>
                  </w:r>
                  <w:r>
                    <w:rPr>
                      <w:rFonts w:hint="default" w:ascii="Times New Roman" w:hAnsi="Times New Roman" w:eastAsia="宋体" w:cs="Times New Roman"/>
                      <w:b/>
                      <w:bCs w:val="0"/>
                      <w:color w:val="000000" w:themeColor="text1"/>
                      <w:kern w:val="0"/>
                      <w:sz w:val="21"/>
                      <w:szCs w:val="21"/>
                      <w:highlight w:val="none"/>
                      <w:lang w:val="en-US" w:eastAsia="zh-CN"/>
                      <w14:textFill>
                        <w14:solidFill>
                          <w14:schemeClr w14:val="tx1"/>
                        </w14:solidFill>
                      </w14:textFill>
                    </w:rPr>
                    <w:t>t/a</w:t>
                  </w:r>
                  <w:r>
                    <w:rPr>
                      <w:rFonts w:hint="default" w:ascii="Times New Roman" w:hAnsi="Times New Roman" w:eastAsia="宋体" w:cs="Times New Roman"/>
                      <w:b/>
                      <w:bCs w:val="0"/>
                      <w:color w:val="000000" w:themeColor="text1"/>
                      <w:kern w:val="0"/>
                      <w:sz w:val="21"/>
                      <w:szCs w:val="21"/>
                      <w:highlight w:val="none"/>
                      <w:lang w:eastAsia="zh-CN"/>
                      <w14:textFill>
                        <w14:solidFill>
                          <w14:schemeClr w14:val="tx1"/>
                        </w14:solidFill>
                      </w14:textFill>
                    </w:rPr>
                    <w:t>）</w:t>
                  </w:r>
                </w:p>
              </w:tc>
              <w:tc>
                <w:tcPr>
                  <w:tcW w:w="679" w:type="pct"/>
                  <w:shd w:val="clear" w:color="auto" w:fill="auto"/>
                  <w:vAlign w:val="center"/>
                </w:tcPr>
                <w:p w14:paraId="6B56CF8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val="0"/>
                      <w:color w:val="000000" w:themeColor="text1"/>
                      <w:kern w:val="2"/>
                      <w:sz w:val="21"/>
                      <w:szCs w:val="21"/>
                      <w:highlight w:val="none"/>
                      <w:lang w:val="en-US" w:eastAsia="zh-CN" w:bidi="ar-SA"/>
                      <w14:textFill>
                        <w14:solidFill>
                          <w14:schemeClr w14:val="tx1"/>
                        </w14:solidFill>
                      </w14:textFill>
                    </w:rPr>
                  </w:pPr>
                  <w:r>
                    <w:rPr>
                      <w:rFonts w:hint="eastAsia" w:cs="Times New Roman"/>
                      <w:b/>
                      <w:bCs w:val="0"/>
                      <w:color w:val="000000" w:themeColor="text1"/>
                      <w:kern w:val="0"/>
                      <w:sz w:val="21"/>
                      <w:szCs w:val="21"/>
                      <w:highlight w:val="none"/>
                      <w:lang w:val="en-US" w:eastAsia="zh-CN"/>
                      <w14:textFill>
                        <w14:solidFill>
                          <w14:schemeClr w14:val="tx1"/>
                        </w14:solidFill>
                      </w14:textFill>
                    </w:rPr>
                    <w:t>项目建成后全厂产品重量</w:t>
                  </w:r>
                  <w:r>
                    <w:rPr>
                      <w:rFonts w:hint="default" w:ascii="Times New Roman" w:hAnsi="Times New Roman" w:eastAsia="宋体" w:cs="Times New Roman"/>
                      <w:b/>
                      <w:bCs w:val="0"/>
                      <w:color w:val="000000" w:themeColor="text1"/>
                      <w:kern w:val="0"/>
                      <w:sz w:val="21"/>
                      <w:szCs w:val="21"/>
                      <w:highlight w:val="none"/>
                      <w:lang w:eastAsia="zh-CN"/>
                      <w14:textFill>
                        <w14:solidFill>
                          <w14:schemeClr w14:val="tx1"/>
                        </w14:solidFill>
                      </w14:textFill>
                    </w:rPr>
                    <w:t>（</w:t>
                  </w:r>
                  <w:r>
                    <w:rPr>
                      <w:rFonts w:hint="default" w:ascii="Times New Roman" w:hAnsi="Times New Roman" w:eastAsia="宋体" w:cs="Times New Roman"/>
                      <w:b/>
                      <w:bCs w:val="0"/>
                      <w:color w:val="000000" w:themeColor="text1"/>
                      <w:kern w:val="0"/>
                      <w:sz w:val="21"/>
                      <w:szCs w:val="21"/>
                      <w:highlight w:val="none"/>
                      <w:lang w:val="en-US" w:eastAsia="zh-CN"/>
                      <w14:textFill>
                        <w14:solidFill>
                          <w14:schemeClr w14:val="tx1"/>
                        </w14:solidFill>
                      </w14:textFill>
                    </w:rPr>
                    <w:t>t/a</w:t>
                  </w:r>
                  <w:r>
                    <w:rPr>
                      <w:rFonts w:hint="default" w:ascii="Times New Roman" w:hAnsi="Times New Roman" w:eastAsia="宋体" w:cs="Times New Roman"/>
                      <w:b/>
                      <w:bCs w:val="0"/>
                      <w:color w:val="000000" w:themeColor="text1"/>
                      <w:kern w:val="0"/>
                      <w:sz w:val="21"/>
                      <w:szCs w:val="21"/>
                      <w:highlight w:val="none"/>
                      <w:lang w:eastAsia="zh-CN"/>
                      <w14:textFill>
                        <w14:solidFill>
                          <w14:schemeClr w14:val="tx1"/>
                        </w14:solidFill>
                      </w14:textFill>
                    </w:rPr>
                    <w:t>）</w:t>
                  </w:r>
                </w:p>
              </w:tc>
              <w:tc>
                <w:tcPr>
                  <w:tcW w:w="680" w:type="pct"/>
                  <w:shd w:val="clear" w:color="auto" w:fill="auto"/>
                  <w:vAlign w:val="center"/>
                </w:tcPr>
                <w:p w14:paraId="19E20934">
                  <w:pPr>
                    <w:keepNext w:val="0"/>
                    <w:keepLines w:val="0"/>
                    <w:suppressLineNumbers w:val="0"/>
                    <w:spacing w:before="0" w:beforeAutospacing="0" w:after="0" w:afterAutospacing="0"/>
                    <w:ind w:left="0" w:leftChars="0" w:right="0" w:rightChars="0"/>
                    <w:jc w:val="center"/>
                    <w:rPr>
                      <w:rFonts w:hint="default" w:cs="Times New Roman"/>
                      <w:b/>
                      <w:bCs w:val="0"/>
                      <w:color w:val="000000" w:themeColor="text1"/>
                      <w:kern w:val="0"/>
                      <w:sz w:val="21"/>
                      <w:szCs w:val="21"/>
                      <w:highlight w:val="none"/>
                      <w:lang w:val="en-US" w:eastAsia="zh-CN"/>
                      <w14:textFill>
                        <w14:solidFill>
                          <w14:schemeClr w14:val="tx1"/>
                        </w14:solidFill>
                      </w14:textFill>
                    </w:rPr>
                  </w:pPr>
                  <w:r>
                    <w:rPr>
                      <w:rFonts w:hint="eastAsia" w:cs="Times New Roman"/>
                      <w:b/>
                      <w:bCs w:val="0"/>
                      <w:color w:val="000000" w:themeColor="text1"/>
                      <w:kern w:val="0"/>
                      <w:sz w:val="21"/>
                      <w:szCs w:val="21"/>
                      <w:highlight w:val="none"/>
                      <w:lang w:val="en-US" w:eastAsia="zh-CN"/>
                      <w14:textFill>
                        <w14:solidFill>
                          <w14:schemeClr w14:val="tx1"/>
                        </w14:solidFill>
                      </w14:textFill>
                    </w:rPr>
                    <w:t>变化情况</w:t>
                  </w:r>
                  <w:r>
                    <w:rPr>
                      <w:rFonts w:hint="default" w:ascii="Times New Roman" w:hAnsi="Times New Roman" w:eastAsia="宋体" w:cs="Times New Roman"/>
                      <w:b/>
                      <w:bCs w:val="0"/>
                      <w:color w:val="000000" w:themeColor="text1"/>
                      <w:kern w:val="0"/>
                      <w:sz w:val="21"/>
                      <w:szCs w:val="21"/>
                      <w:highlight w:val="none"/>
                      <w:lang w:eastAsia="zh-CN"/>
                      <w14:textFill>
                        <w14:solidFill>
                          <w14:schemeClr w14:val="tx1"/>
                        </w14:solidFill>
                      </w14:textFill>
                    </w:rPr>
                    <w:t>（</w:t>
                  </w:r>
                  <w:r>
                    <w:rPr>
                      <w:rFonts w:hint="default" w:ascii="Times New Roman" w:hAnsi="Times New Roman" w:eastAsia="宋体" w:cs="Times New Roman"/>
                      <w:b/>
                      <w:bCs w:val="0"/>
                      <w:color w:val="000000" w:themeColor="text1"/>
                      <w:kern w:val="0"/>
                      <w:sz w:val="21"/>
                      <w:szCs w:val="21"/>
                      <w:highlight w:val="none"/>
                      <w:lang w:val="en-US" w:eastAsia="zh-CN"/>
                      <w14:textFill>
                        <w14:solidFill>
                          <w14:schemeClr w14:val="tx1"/>
                        </w14:solidFill>
                      </w14:textFill>
                    </w:rPr>
                    <w:t>t/a</w:t>
                  </w:r>
                  <w:r>
                    <w:rPr>
                      <w:rFonts w:hint="default" w:ascii="Times New Roman" w:hAnsi="Times New Roman" w:eastAsia="宋体" w:cs="Times New Roman"/>
                      <w:b/>
                      <w:bCs w:val="0"/>
                      <w:color w:val="000000" w:themeColor="text1"/>
                      <w:kern w:val="0"/>
                      <w:sz w:val="21"/>
                      <w:szCs w:val="21"/>
                      <w:highlight w:val="none"/>
                      <w:lang w:eastAsia="zh-CN"/>
                      <w14:textFill>
                        <w14:solidFill>
                          <w14:schemeClr w14:val="tx1"/>
                        </w14:solidFill>
                      </w14:textFill>
                    </w:rPr>
                    <w:t>）</w:t>
                  </w:r>
                </w:p>
              </w:tc>
            </w:tr>
            <w:tr w14:paraId="5D760E1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30" w:type="pct"/>
                  <w:vMerge w:val="restart"/>
                  <w:vAlign w:val="center"/>
                </w:tcPr>
                <w:p w14:paraId="17C16D74">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bidi="en-US"/>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bidi="en-US"/>
                      <w14:textFill>
                        <w14:solidFill>
                          <w14:schemeClr w14:val="tx1"/>
                        </w14:solidFill>
                      </w14:textFill>
                    </w:rPr>
                    <w:t>前处理车间</w:t>
                  </w:r>
                </w:p>
              </w:tc>
              <w:tc>
                <w:tcPr>
                  <w:tcW w:w="347" w:type="pct"/>
                  <w:vMerge w:val="restart"/>
                  <w:vAlign w:val="center"/>
                </w:tcPr>
                <w:p w14:paraId="35576EDE">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bidi="en-US"/>
                      <w14:textFill>
                        <w14:solidFill>
                          <w14:schemeClr w14:val="tx1"/>
                        </w14:solidFill>
                      </w14:textFill>
                    </w:rPr>
                  </w:pPr>
                  <w:r>
                    <w:rPr>
                      <w:rFonts w:hint="eastAsia" w:cs="Times New Roman"/>
                      <w:color w:val="000000" w:themeColor="text1"/>
                      <w:sz w:val="21"/>
                      <w:szCs w:val="21"/>
                      <w:highlight w:val="none"/>
                      <w:lang w:val="en-US" w:eastAsia="zh-CN" w:bidi="en-US"/>
                      <w14:textFill>
                        <w14:solidFill>
                          <w14:schemeClr w14:val="tx1"/>
                        </w14:solidFill>
                      </w14:textFill>
                    </w:rPr>
                    <w:t>炮制药材</w:t>
                  </w:r>
                </w:p>
              </w:tc>
              <w:tc>
                <w:tcPr>
                  <w:tcW w:w="1111" w:type="pct"/>
                  <w:vAlign w:val="center"/>
                </w:tcPr>
                <w:p w14:paraId="36F210F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bidi="en-US"/>
                      <w14:textFill>
                        <w14:solidFill>
                          <w14:schemeClr w14:val="tx1"/>
                        </w14:solidFill>
                      </w14:textFill>
                    </w:rPr>
                  </w:pPr>
                  <w:r>
                    <w:rPr>
                      <w:rFonts w:hint="eastAsia" w:cs="Times New Roman"/>
                      <w:color w:val="000000" w:themeColor="text1"/>
                      <w:sz w:val="21"/>
                      <w:szCs w:val="21"/>
                      <w:highlight w:val="none"/>
                      <w:lang w:val="en-US" w:eastAsia="zh-CN" w:bidi="en-US"/>
                      <w14:textFill>
                        <w14:solidFill>
                          <w14:schemeClr w14:val="tx1"/>
                        </w14:solidFill>
                      </w14:textFill>
                    </w:rPr>
                    <w:t>经典名方1</w:t>
                  </w:r>
                </w:p>
              </w:tc>
              <w:tc>
                <w:tcPr>
                  <w:tcW w:w="491" w:type="pct"/>
                  <w:shd w:val="clear" w:color="auto" w:fill="auto"/>
                  <w:vAlign w:val="center"/>
                </w:tcPr>
                <w:p w14:paraId="581506C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cs="Times New Roman"/>
                      <w:color w:val="000000" w:themeColor="text1"/>
                      <w:sz w:val="21"/>
                      <w:szCs w:val="21"/>
                      <w:highlight w:val="none"/>
                      <w:lang w:val="en-US" w:eastAsia="zh-CN" w:bidi="en-US"/>
                      <w14:textFill>
                        <w14:solidFill>
                          <w14:schemeClr w14:val="tx1"/>
                        </w14:solidFill>
                      </w14:textFill>
                    </w:rPr>
                    <w:t>/</w:t>
                  </w:r>
                </w:p>
              </w:tc>
              <w:tc>
                <w:tcPr>
                  <w:tcW w:w="595" w:type="pct"/>
                  <w:shd w:val="clear" w:color="auto" w:fill="auto"/>
                  <w:vAlign w:val="center"/>
                </w:tcPr>
                <w:p w14:paraId="37EA6CA0">
                  <w:pPr>
                    <w:keepNext w:val="0"/>
                    <w:keepLines w:val="0"/>
                    <w:suppressLineNumbers w:val="0"/>
                    <w:spacing w:before="0" w:beforeAutospacing="0" w:after="0" w:afterAutospacing="0"/>
                    <w:ind w:left="0" w:leftChars="0" w:right="0" w:rightChars="0"/>
                    <w:jc w:val="center"/>
                    <w:rPr>
                      <w:rFonts w:hint="default" w:cs="Times New Roman"/>
                      <w:color w:val="000000" w:themeColor="text1"/>
                      <w:sz w:val="21"/>
                      <w:szCs w:val="21"/>
                      <w:highlight w:val="none"/>
                      <w:lang w:val="en-US" w:eastAsia="zh-CN" w:bidi="en-US"/>
                      <w14:textFill>
                        <w14:solidFill>
                          <w14:schemeClr w14:val="tx1"/>
                        </w14:solidFill>
                      </w14:textFill>
                    </w:rPr>
                  </w:pPr>
                  <w:r>
                    <w:rPr>
                      <w:rFonts w:hint="eastAsia" w:cs="Times New Roman"/>
                      <w:color w:val="000000" w:themeColor="text1"/>
                      <w:sz w:val="21"/>
                      <w:szCs w:val="21"/>
                      <w:highlight w:val="none"/>
                      <w:lang w:val="en-US" w:eastAsia="zh-CN" w:bidi="en-US"/>
                      <w14:textFill>
                        <w14:solidFill>
                          <w14:schemeClr w14:val="tx1"/>
                        </w14:solidFill>
                      </w14:textFill>
                    </w:rPr>
                    <w:t>0</w:t>
                  </w:r>
                </w:p>
              </w:tc>
              <w:tc>
                <w:tcPr>
                  <w:tcW w:w="763" w:type="pct"/>
                  <w:shd w:val="clear" w:color="auto" w:fill="auto"/>
                  <w:vAlign w:val="center"/>
                </w:tcPr>
                <w:p w14:paraId="564BA4C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28.5</w:t>
                  </w:r>
                </w:p>
              </w:tc>
              <w:tc>
                <w:tcPr>
                  <w:tcW w:w="679" w:type="pct"/>
                  <w:shd w:val="clear" w:color="auto" w:fill="auto"/>
                  <w:vAlign w:val="center"/>
                </w:tcPr>
                <w:p w14:paraId="02A0440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28.5</w:t>
                  </w:r>
                </w:p>
              </w:tc>
              <w:tc>
                <w:tcPr>
                  <w:tcW w:w="680" w:type="pct"/>
                  <w:shd w:val="clear" w:color="auto" w:fill="auto"/>
                  <w:vAlign w:val="center"/>
                </w:tcPr>
                <w:p w14:paraId="23F492C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Cs w:val="21"/>
                      <w:highlight w:val="none"/>
                      <w14:textFill>
                        <w14:solidFill>
                          <w14:schemeClr w14:val="tx1"/>
                        </w14:solidFill>
                      </w14:textFill>
                    </w:rPr>
                    <w:t>28.5</w:t>
                  </w:r>
                </w:p>
              </w:tc>
            </w:tr>
            <w:tr w14:paraId="1CB54E8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30" w:type="pct"/>
                  <w:vMerge w:val="continue"/>
                  <w:vAlign w:val="center"/>
                </w:tcPr>
                <w:p w14:paraId="125E0CE9">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tc>
              <w:tc>
                <w:tcPr>
                  <w:tcW w:w="347" w:type="pct"/>
                  <w:vMerge w:val="continue"/>
                  <w:vAlign w:val="center"/>
                </w:tcPr>
                <w:p w14:paraId="449A476C">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tc>
              <w:tc>
                <w:tcPr>
                  <w:tcW w:w="1111" w:type="pct"/>
                  <w:vAlign w:val="center"/>
                </w:tcPr>
                <w:p w14:paraId="5A98695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bidi="en-US"/>
                      <w14:textFill>
                        <w14:solidFill>
                          <w14:schemeClr w14:val="tx1"/>
                        </w14:solidFill>
                      </w14:textFill>
                    </w:rPr>
                    <w:t>经典名方2</w:t>
                  </w:r>
                </w:p>
              </w:tc>
              <w:tc>
                <w:tcPr>
                  <w:tcW w:w="491" w:type="pct"/>
                  <w:shd w:val="clear" w:color="auto" w:fill="auto"/>
                  <w:vAlign w:val="center"/>
                </w:tcPr>
                <w:p w14:paraId="49733BE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595" w:type="pct"/>
                  <w:shd w:val="clear" w:color="auto" w:fill="auto"/>
                  <w:vAlign w:val="center"/>
                </w:tcPr>
                <w:p w14:paraId="1204EF82">
                  <w:pPr>
                    <w:keepNext w:val="0"/>
                    <w:keepLines w:val="0"/>
                    <w:suppressLineNumbers w:val="0"/>
                    <w:spacing w:before="0" w:beforeAutospacing="0" w:after="0" w:afterAutospacing="0"/>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bidi="en-US"/>
                      <w14:textFill>
                        <w14:solidFill>
                          <w14:schemeClr w14:val="tx1"/>
                        </w14:solidFill>
                      </w14:textFill>
                    </w:rPr>
                    <w:t>0</w:t>
                  </w:r>
                </w:p>
              </w:tc>
              <w:tc>
                <w:tcPr>
                  <w:tcW w:w="763" w:type="pct"/>
                  <w:shd w:val="clear" w:color="auto" w:fill="auto"/>
                  <w:vAlign w:val="center"/>
                </w:tcPr>
                <w:p w14:paraId="519C4AE3">
                  <w:pPr>
                    <w:keepNext w:val="0"/>
                    <w:keepLines w:val="0"/>
                    <w:suppressLineNumbers w:val="0"/>
                    <w:autoSpaceDE w:val="0"/>
                    <w:autoSpaceDN w:val="0"/>
                    <w:adjustRightInd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28.5</w:t>
                  </w:r>
                </w:p>
              </w:tc>
              <w:tc>
                <w:tcPr>
                  <w:tcW w:w="679" w:type="pct"/>
                  <w:shd w:val="clear" w:color="auto" w:fill="auto"/>
                  <w:vAlign w:val="center"/>
                </w:tcPr>
                <w:p w14:paraId="2872EB61">
                  <w:pPr>
                    <w:keepNext w:val="0"/>
                    <w:keepLines w:val="0"/>
                    <w:suppressLineNumbers w:val="0"/>
                    <w:autoSpaceDE w:val="0"/>
                    <w:autoSpaceDN w:val="0"/>
                    <w:adjustRightIn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28.5</w:t>
                  </w:r>
                </w:p>
              </w:tc>
              <w:tc>
                <w:tcPr>
                  <w:tcW w:w="680" w:type="pct"/>
                  <w:shd w:val="clear" w:color="auto" w:fill="auto"/>
                  <w:vAlign w:val="center"/>
                </w:tcPr>
                <w:p w14:paraId="7A6150AC">
                  <w:pPr>
                    <w:keepNext w:val="0"/>
                    <w:keepLines w:val="0"/>
                    <w:suppressLineNumbers w:val="0"/>
                    <w:autoSpaceDE w:val="0"/>
                    <w:autoSpaceDN w:val="0"/>
                    <w:adjustRightInd w:val="0"/>
                    <w:spacing w:before="0" w:beforeAutospacing="0" w:after="0" w:afterAutospacing="0"/>
                    <w:ind w:left="0" w:leftChars="0" w:right="0" w:rightChars="0"/>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Cs w:val="21"/>
                      <w:highlight w:val="none"/>
                      <w14:textFill>
                        <w14:solidFill>
                          <w14:schemeClr w14:val="tx1"/>
                        </w14:solidFill>
                      </w14:textFill>
                    </w:rPr>
                    <w:t>28.5</w:t>
                  </w:r>
                </w:p>
              </w:tc>
            </w:tr>
            <w:tr w14:paraId="019C591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0" w:type="pct"/>
                  <w:vMerge w:val="continue"/>
                  <w:vAlign w:val="center"/>
                </w:tcPr>
                <w:p w14:paraId="335A0E6E">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p>
              </w:tc>
              <w:tc>
                <w:tcPr>
                  <w:tcW w:w="347" w:type="pct"/>
                  <w:vMerge w:val="continue"/>
                  <w:vAlign w:val="center"/>
                </w:tcPr>
                <w:p w14:paraId="250DA93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p>
              </w:tc>
              <w:tc>
                <w:tcPr>
                  <w:tcW w:w="1111" w:type="pct"/>
                  <w:vAlign w:val="center"/>
                </w:tcPr>
                <w:p w14:paraId="0152290C">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lang w:val="en-US" w:eastAsia="zh-CN" w:bidi="en-US"/>
                      <w14:textFill>
                        <w14:solidFill>
                          <w14:schemeClr w14:val="tx1"/>
                        </w14:solidFill>
                      </w14:textFill>
                    </w:rPr>
                    <w:t>经典名方3</w:t>
                  </w:r>
                </w:p>
              </w:tc>
              <w:tc>
                <w:tcPr>
                  <w:tcW w:w="491" w:type="pct"/>
                  <w:shd w:val="clear" w:color="auto" w:fill="auto"/>
                  <w:vAlign w:val="center"/>
                </w:tcPr>
                <w:p w14:paraId="2E77D9C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595" w:type="pct"/>
                  <w:shd w:val="clear" w:color="auto" w:fill="auto"/>
                  <w:vAlign w:val="center"/>
                </w:tcPr>
                <w:p w14:paraId="33389C5C">
                  <w:pPr>
                    <w:keepNext w:val="0"/>
                    <w:keepLines w:val="0"/>
                    <w:suppressLineNumbers w:val="0"/>
                    <w:spacing w:before="0" w:beforeAutospacing="0" w:after="0" w:afterAutospacing="0"/>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bidi="en-US"/>
                      <w14:textFill>
                        <w14:solidFill>
                          <w14:schemeClr w14:val="tx1"/>
                        </w14:solidFill>
                      </w14:textFill>
                    </w:rPr>
                    <w:t>0</w:t>
                  </w:r>
                </w:p>
              </w:tc>
              <w:tc>
                <w:tcPr>
                  <w:tcW w:w="763" w:type="pct"/>
                  <w:shd w:val="clear" w:color="auto" w:fill="auto"/>
                  <w:vAlign w:val="center"/>
                </w:tcPr>
                <w:p w14:paraId="12C34113">
                  <w:pPr>
                    <w:keepNext w:val="0"/>
                    <w:keepLines w:val="0"/>
                    <w:suppressLineNumbers w:val="0"/>
                    <w:autoSpaceDE w:val="0"/>
                    <w:autoSpaceDN w:val="0"/>
                    <w:adjustRightInd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28.5</w:t>
                  </w:r>
                </w:p>
              </w:tc>
              <w:tc>
                <w:tcPr>
                  <w:tcW w:w="679" w:type="pct"/>
                  <w:shd w:val="clear" w:color="auto" w:fill="auto"/>
                  <w:vAlign w:val="center"/>
                </w:tcPr>
                <w:p w14:paraId="15E91663">
                  <w:pPr>
                    <w:keepNext w:val="0"/>
                    <w:keepLines w:val="0"/>
                    <w:suppressLineNumbers w:val="0"/>
                    <w:autoSpaceDE w:val="0"/>
                    <w:autoSpaceDN w:val="0"/>
                    <w:adjustRightIn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28.5</w:t>
                  </w:r>
                </w:p>
              </w:tc>
              <w:tc>
                <w:tcPr>
                  <w:tcW w:w="680" w:type="pct"/>
                  <w:shd w:val="clear" w:color="auto" w:fill="auto"/>
                  <w:vAlign w:val="center"/>
                </w:tcPr>
                <w:p w14:paraId="2213EDF3">
                  <w:pPr>
                    <w:keepNext w:val="0"/>
                    <w:keepLines w:val="0"/>
                    <w:suppressLineNumbers w:val="0"/>
                    <w:autoSpaceDE w:val="0"/>
                    <w:autoSpaceDN w:val="0"/>
                    <w:adjustRightInd w:val="0"/>
                    <w:spacing w:before="0" w:beforeAutospacing="0" w:after="0" w:afterAutospacing="0"/>
                    <w:ind w:left="0" w:leftChars="0" w:right="0" w:rightChars="0"/>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Cs w:val="21"/>
                      <w:highlight w:val="none"/>
                      <w14:textFill>
                        <w14:solidFill>
                          <w14:schemeClr w14:val="tx1"/>
                        </w14:solidFill>
                      </w14:textFill>
                    </w:rPr>
                    <w:t>28.5</w:t>
                  </w:r>
                </w:p>
              </w:tc>
            </w:tr>
            <w:tr w14:paraId="261878D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30" w:type="pct"/>
                  <w:vMerge w:val="continue"/>
                  <w:vAlign w:val="center"/>
                </w:tcPr>
                <w:p w14:paraId="1B8E14C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pPr>
                </w:p>
              </w:tc>
              <w:tc>
                <w:tcPr>
                  <w:tcW w:w="347" w:type="pct"/>
                  <w:vMerge w:val="continue"/>
                  <w:vAlign w:val="center"/>
                </w:tcPr>
                <w:p w14:paraId="38B8BF2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pPr>
                </w:p>
              </w:tc>
              <w:tc>
                <w:tcPr>
                  <w:tcW w:w="1111" w:type="pct"/>
                  <w:vAlign w:val="center"/>
                </w:tcPr>
                <w:p w14:paraId="74DD942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pPr>
                  <w:r>
                    <w:rPr>
                      <w:rFonts w:hint="eastAsia" w:cs="Times New Roman"/>
                      <w:color w:val="000000" w:themeColor="text1"/>
                      <w:sz w:val="21"/>
                      <w:szCs w:val="21"/>
                      <w:highlight w:val="none"/>
                      <w:lang w:val="en-US" w:eastAsia="zh-CN" w:bidi="en-US"/>
                      <w14:textFill>
                        <w14:solidFill>
                          <w14:schemeClr w14:val="tx1"/>
                        </w14:solidFill>
                      </w14:textFill>
                    </w:rPr>
                    <w:t>经典名方4</w:t>
                  </w:r>
                </w:p>
              </w:tc>
              <w:tc>
                <w:tcPr>
                  <w:tcW w:w="491" w:type="pct"/>
                  <w:shd w:val="clear" w:color="auto" w:fill="auto"/>
                  <w:vAlign w:val="center"/>
                </w:tcPr>
                <w:p w14:paraId="79CB1EC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595" w:type="pct"/>
                  <w:shd w:val="clear" w:color="auto" w:fill="auto"/>
                  <w:vAlign w:val="center"/>
                </w:tcPr>
                <w:p w14:paraId="59AD3218">
                  <w:pPr>
                    <w:keepNext w:val="0"/>
                    <w:keepLines w:val="0"/>
                    <w:suppressLineNumbers w:val="0"/>
                    <w:spacing w:before="0" w:beforeAutospacing="0" w:after="0" w:afterAutospacing="0"/>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bidi="en-US"/>
                      <w14:textFill>
                        <w14:solidFill>
                          <w14:schemeClr w14:val="tx1"/>
                        </w14:solidFill>
                      </w14:textFill>
                    </w:rPr>
                    <w:t>0</w:t>
                  </w:r>
                </w:p>
              </w:tc>
              <w:tc>
                <w:tcPr>
                  <w:tcW w:w="763" w:type="pct"/>
                  <w:shd w:val="clear" w:color="auto" w:fill="auto"/>
                  <w:vAlign w:val="center"/>
                </w:tcPr>
                <w:p w14:paraId="4F829B8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28.5</w:t>
                  </w:r>
                </w:p>
              </w:tc>
              <w:tc>
                <w:tcPr>
                  <w:tcW w:w="679" w:type="pct"/>
                  <w:shd w:val="clear" w:color="auto" w:fill="auto"/>
                  <w:vAlign w:val="center"/>
                </w:tcPr>
                <w:p w14:paraId="649629AD">
                  <w:pPr>
                    <w:keepNext w:val="0"/>
                    <w:keepLines w:val="0"/>
                    <w:suppressLineNumbers w:val="0"/>
                    <w:spacing w:before="0" w:beforeAutospacing="0" w:after="0" w:afterAutospacing="0"/>
                    <w:ind w:left="0" w:leftChars="0" w:right="0" w:rightChars="0"/>
                    <w:jc w:val="center"/>
                    <w:rPr>
                      <w:rFonts w:hint="default" w:ascii="Times New Roman" w:hAnsi="Times New Roman"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28.5</w:t>
                  </w:r>
                </w:p>
              </w:tc>
              <w:tc>
                <w:tcPr>
                  <w:tcW w:w="680" w:type="pct"/>
                  <w:shd w:val="clear" w:color="auto" w:fill="auto"/>
                  <w:vAlign w:val="center"/>
                </w:tcPr>
                <w:p w14:paraId="13B37CD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Cs w:val="21"/>
                      <w:highlight w:val="none"/>
                      <w14:textFill>
                        <w14:solidFill>
                          <w14:schemeClr w14:val="tx1"/>
                        </w14:solidFill>
                      </w14:textFill>
                    </w:rPr>
                    <w:t>28.5</w:t>
                  </w:r>
                </w:p>
              </w:tc>
            </w:tr>
            <w:tr w14:paraId="0FAB1DC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0" w:type="pct"/>
                  <w:vMerge w:val="continue"/>
                  <w:vAlign w:val="center"/>
                </w:tcPr>
                <w:p w14:paraId="00A271D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pPr>
                </w:p>
              </w:tc>
              <w:tc>
                <w:tcPr>
                  <w:tcW w:w="347" w:type="pct"/>
                  <w:vMerge w:val="continue"/>
                  <w:vAlign w:val="center"/>
                </w:tcPr>
                <w:p w14:paraId="1ED22FD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pPr>
                </w:p>
              </w:tc>
              <w:tc>
                <w:tcPr>
                  <w:tcW w:w="1111" w:type="pct"/>
                  <w:vAlign w:val="center"/>
                </w:tcPr>
                <w:p w14:paraId="7B1C356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pPr>
                  <w: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t>其他中药材</w:t>
                  </w:r>
                </w:p>
              </w:tc>
              <w:tc>
                <w:tcPr>
                  <w:tcW w:w="491" w:type="pct"/>
                  <w:shd w:val="clear" w:color="auto" w:fill="auto"/>
                  <w:vAlign w:val="center"/>
                </w:tcPr>
                <w:p w14:paraId="14D2025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cs="Times New Roman"/>
                      <w:color w:val="000000" w:themeColor="text1"/>
                      <w:sz w:val="21"/>
                      <w:szCs w:val="21"/>
                      <w:highlight w:val="none"/>
                      <w:lang w:val="en-US" w:eastAsia="zh-CN" w:bidi="en-US"/>
                      <w14:textFill>
                        <w14:solidFill>
                          <w14:schemeClr w14:val="tx1"/>
                        </w14:solidFill>
                      </w14:textFill>
                    </w:rPr>
                    <w:t>/</w:t>
                  </w:r>
                </w:p>
              </w:tc>
              <w:tc>
                <w:tcPr>
                  <w:tcW w:w="595" w:type="pct"/>
                  <w:shd w:val="clear" w:color="auto" w:fill="auto"/>
                  <w:vAlign w:val="center"/>
                </w:tcPr>
                <w:p w14:paraId="0993D1BD">
                  <w:pPr>
                    <w:keepNext w:val="0"/>
                    <w:keepLines w:val="0"/>
                    <w:suppressLineNumbers w:val="0"/>
                    <w:spacing w:before="0" w:beforeAutospacing="0" w:after="0" w:afterAutospacing="0"/>
                    <w:ind w:left="0" w:leftChars="0" w:right="0" w:rightChars="0"/>
                    <w:jc w:val="center"/>
                    <w:rPr>
                      <w:rFonts w:hint="eastAsia" w:cs="Times New Roman"/>
                      <w:color w:val="000000" w:themeColor="text1"/>
                      <w:sz w:val="21"/>
                      <w:szCs w:val="21"/>
                      <w:highlight w:val="none"/>
                      <w:lang w:val="en-US" w:eastAsia="zh-CN" w:bidi="en-US"/>
                      <w14:textFill>
                        <w14:solidFill>
                          <w14:schemeClr w14:val="tx1"/>
                        </w14:solidFill>
                      </w14:textFill>
                    </w:rPr>
                  </w:pPr>
                  <w:r>
                    <w:rPr>
                      <w:rFonts w:hint="eastAsia" w:cs="Times New Roman"/>
                      <w:color w:val="000000" w:themeColor="text1"/>
                      <w:sz w:val="21"/>
                      <w:szCs w:val="21"/>
                      <w:highlight w:val="none"/>
                      <w:lang w:val="en-US" w:eastAsia="zh-CN" w:bidi="en-US"/>
                      <w14:textFill>
                        <w14:solidFill>
                          <w14:schemeClr w14:val="tx1"/>
                        </w14:solidFill>
                      </w14:textFill>
                    </w:rPr>
                    <w:t>0</w:t>
                  </w:r>
                </w:p>
              </w:tc>
              <w:tc>
                <w:tcPr>
                  <w:tcW w:w="763" w:type="pct"/>
                  <w:shd w:val="clear" w:color="auto" w:fill="auto"/>
                  <w:vAlign w:val="center"/>
                </w:tcPr>
                <w:p w14:paraId="7F1D1EE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28.5</w:t>
                  </w:r>
                </w:p>
              </w:tc>
              <w:tc>
                <w:tcPr>
                  <w:tcW w:w="679" w:type="pct"/>
                  <w:shd w:val="clear" w:color="auto" w:fill="auto"/>
                  <w:vAlign w:val="center"/>
                </w:tcPr>
                <w:p w14:paraId="49289CB7">
                  <w:pPr>
                    <w:keepNext w:val="0"/>
                    <w:keepLines w:val="0"/>
                    <w:suppressLineNumbers w:val="0"/>
                    <w:spacing w:before="0" w:beforeAutospacing="0" w:after="0" w:afterAutospacing="0"/>
                    <w:ind w:left="0" w:leftChars="0" w:right="0" w:rightChars="0"/>
                    <w:jc w:val="center"/>
                    <w:rPr>
                      <w:rFonts w:hint="default" w:ascii="Times New Roman" w:hAnsi="Times New Roman"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28.5</w:t>
                  </w:r>
                </w:p>
              </w:tc>
              <w:tc>
                <w:tcPr>
                  <w:tcW w:w="680" w:type="pct"/>
                  <w:shd w:val="clear" w:color="auto" w:fill="auto"/>
                  <w:vAlign w:val="center"/>
                </w:tcPr>
                <w:p w14:paraId="12098A8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Cs w:val="21"/>
                      <w:highlight w:val="none"/>
                      <w14:textFill>
                        <w14:solidFill>
                          <w14:schemeClr w14:val="tx1"/>
                        </w14:solidFill>
                      </w14:textFill>
                    </w:rPr>
                    <w:t>28.5</w:t>
                  </w:r>
                </w:p>
              </w:tc>
            </w:tr>
            <w:tr w14:paraId="0BC521E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30" w:type="pct"/>
                  <w:vMerge w:val="continue"/>
                  <w:vAlign w:val="center"/>
                </w:tcPr>
                <w:p w14:paraId="5E237B6F">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00" w:themeColor="text1"/>
                      <w:szCs w:val="21"/>
                      <w:highlight w:val="none"/>
                      <w14:textFill>
                        <w14:solidFill>
                          <w14:schemeClr w14:val="tx1"/>
                        </w14:solidFill>
                      </w14:textFill>
                    </w:rPr>
                  </w:pPr>
                </w:p>
              </w:tc>
              <w:tc>
                <w:tcPr>
                  <w:tcW w:w="1950" w:type="pct"/>
                  <w:gridSpan w:val="3"/>
                  <w:vAlign w:val="center"/>
                </w:tcPr>
                <w:p w14:paraId="3C69B7D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kern w:val="2"/>
                      <w:sz w:val="21"/>
                      <w:szCs w:val="21"/>
                      <w:highlight w:val="none"/>
                      <w:lang w:val="en-US" w:eastAsia="zh-CN" w:bidi="en-US"/>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t>前处理车间总产</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能</w:t>
                  </w:r>
                </w:p>
              </w:tc>
              <w:tc>
                <w:tcPr>
                  <w:tcW w:w="595" w:type="pct"/>
                  <w:shd w:val="clear" w:color="auto" w:fill="auto"/>
                  <w:vAlign w:val="center"/>
                </w:tcPr>
                <w:p w14:paraId="5F40AC3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0</w:t>
                  </w:r>
                </w:p>
              </w:tc>
              <w:tc>
                <w:tcPr>
                  <w:tcW w:w="763" w:type="pct"/>
                  <w:shd w:val="clear" w:color="auto" w:fill="auto"/>
                  <w:vAlign w:val="center"/>
                </w:tcPr>
                <w:p w14:paraId="0FB8A70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142.5</w:t>
                  </w:r>
                </w:p>
              </w:tc>
              <w:tc>
                <w:tcPr>
                  <w:tcW w:w="679" w:type="pct"/>
                  <w:shd w:val="clear" w:color="auto" w:fill="auto"/>
                  <w:vAlign w:val="center"/>
                </w:tcPr>
                <w:p w14:paraId="206A9D8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142.5</w:t>
                  </w:r>
                </w:p>
              </w:tc>
              <w:tc>
                <w:tcPr>
                  <w:tcW w:w="680" w:type="pct"/>
                  <w:shd w:val="clear" w:color="auto" w:fill="auto"/>
                  <w:vAlign w:val="center"/>
                </w:tcPr>
                <w:p w14:paraId="70594076">
                  <w:pPr>
                    <w:keepNext w:val="0"/>
                    <w:keepLines w:val="0"/>
                    <w:suppressLineNumbers w:val="0"/>
                    <w:spacing w:before="0" w:beforeAutospacing="0" w:after="0" w:afterAutospacing="0"/>
                    <w:ind w:left="0" w:leftChars="0" w:right="0" w:rightChars="0"/>
                    <w:jc w:val="center"/>
                    <w:rPr>
                      <w:rFonts w:hint="eastAsia"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+142.5</w:t>
                  </w:r>
                </w:p>
              </w:tc>
            </w:tr>
          </w:tbl>
          <w:p w14:paraId="18CA11EF">
            <w:pPr>
              <w:keepNext w:val="0"/>
              <w:keepLines w:val="0"/>
              <w:pageBreakBefore w:val="0"/>
              <w:widowControl w:val="0"/>
              <w:numPr>
                <w:ilvl w:val="0"/>
                <w:numId w:val="5"/>
              </w:numPr>
              <w:suppressLineNumbers w:val="0"/>
              <w:kinsoku/>
              <w:wordWrap/>
              <w:overflowPunct/>
              <w:topLinePunct w:val="0"/>
              <w:autoSpaceDE/>
              <w:autoSpaceDN/>
              <w:bidi w:val="0"/>
              <w:adjustRightInd/>
              <w:snapToGrid w:val="0"/>
              <w:spacing w:before="157" w:beforeLines="50" w:beforeAutospacing="0" w:after="0" w:afterLines="0" w:afterAutospacing="0"/>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zh-CN" w:eastAsia="en-US"/>
                <w14:textFill>
                  <w14:solidFill>
                    <w14:schemeClr w14:val="tx1"/>
                  </w14:solidFill>
                </w14:textFill>
              </w:rPr>
              <w:t xml:space="preserve">  </w:t>
            </w:r>
            <w:r>
              <w:rPr>
                <w:rFonts w:hint="eastAsia" w:cs="Times New Roman"/>
                <w:b/>
                <w:bCs/>
                <w:color w:val="000000" w:themeColor="text1"/>
                <w:sz w:val="21"/>
                <w:szCs w:val="21"/>
                <w:highlight w:val="none"/>
                <w:lang w:val="en-US" w:eastAsia="zh-CN"/>
                <w14:textFill>
                  <w14:solidFill>
                    <w14:schemeClr w14:val="tx1"/>
                  </w14:solidFill>
                </w14:textFill>
              </w:rPr>
              <w:t>本项目实施前后创新制剂车间产品方案变化情况</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表</w:t>
            </w:r>
          </w:p>
          <w:tbl>
            <w:tblPr>
              <w:tblStyle w:val="57"/>
              <w:tblW w:w="4998" w:type="pct"/>
              <w:tblInd w:w="0" w:type="dxa"/>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896"/>
              <w:gridCol w:w="2865"/>
              <w:gridCol w:w="1261"/>
              <w:gridCol w:w="1545"/>
              <w:gridCol w:w="1946"/>
              <w:gridCol w:w="1748"/>
              <w:gridCol w:w="1756"/>
            </w:tblGrid>
            <w:tr w14:paraId="4C46568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30" w:type="pct"/>
                  <w:vAlign w:val="center"/>
                </w:tcPr>
                <w:p w14:paraId="08DAAA65">
                  <w:pPr>
                    <w:keepNext w:val="0"/>
                    <w:keepLines w:val="0"/>
                    <w:suppressLineNumbers w:val="0"/>
                    <w:spacing w:before="0" w:beforeAutospacing="0" w:after="0" w:afterAutospacing="0"/>
                    <w:ind w:left="0" w:right="0"/>
                    <w:jc w:val="center"/>
                    <w:rPr>
                      <w:rFonts w:hint="default" w:ascii="Times New Roman" w:hAnsi="Times New Roman" w:cs="Times New Roman"/>
                      <w:b/>
                      <w:bCs w:val="0"/>
                      <w:color w:val="000000" w:themeColor="text1"/>
                      <w:sz w:val="21"/>
                      <w:szCs w:val="21"/>
                      <w:highlight w:val="none"/>
                      <w:lang w:val="en-US" w:eastAsia="zh-CN"/>
                      <w14:textFill>
                        <w14:solidFill>
                          <w14:schemeClr w14:val="tx1"/>
                        </w14:solidFill>
                      </w14:textFill>
                    </w:rPr>
                  </w:pPr>
                  <w:r>
                    <w:rPr>
                      <w:rFonts w:hint="eastAsia" w:cs="Times New Roman"/>
                      <w:b/>
                      <w:bCs w:val="0"/>
                      <w:color w:val="000000" w:themeColor="text1"/>
                      <w:sz w:val="21"/>
                      <w:szCs w:val="21"/>
                      <w:highlight w:val="none"/>
                      <w:lang w:val="en-US" w:eastAsia="zh-CN"/>
                      <w14:textFill>
                        <w14:solidFill>
                          <w14:schemeClr w14:val="tx1"/>
                        </w14:solidFill>
                      </w14:textFill>
                    </w:rPr>
                    <w:t>车间</w:t>
                  </w:r>
                </w:p>
              </w:tc>
              <w:tc>
                <w:tcPr>
                  <w:tcW w:w="348" w:type="pct"/>
                  <w:vAlign w:val="center"/>
                </w:tcPr>
                <w:p w14:paraId="076D23A8">
                  <w:pPr>
                    <w:keepNext w:val="0"/>
                    <w:keepLines w:val="0"/>
                    <w:suppressLineNumbers w:val="0"/>
                    <w:spacing w:before="0" w:beforeAutospacing="0" w:after="0" w:afterAutospacing="0"/>
                    <w:ind w:left="0" w:right="0"/>
                    <w:jc w:val="center"/>
                    <w:rPr>
                      <w:rFonts w:hint="default" w:cs="Times New Roman"/>
                      <w:b/>
                      <w:bCs w:val="0"/>
                      <w:color w:val="000000" w:themeColor="text1"/>
                      <w:sz w:val="21"/>
                      <w:szCs w:val="21"/>
                      <w:highlight w:val="none"/>
                      <w:lang w:val="en-US" w:eastAsia="zh-CN"/>
                      <w14:textFill>
                        <w14:solidFill>
                          <w14:schemeClr w14:val="tx1"/>
                        </w14:solidFill>
                      </w14:textFill>
                    </w:rPr>
                  </w:pPr>
                  <w:r>
                    <w:rPr>
                      <w:rFonts w:hint="eastAsia" w:cs="Times New Roman"/>
                      <w:b/>
                      <w:bCs w:val="0"/>
                      <w:color w:val="000000" w:themeColor="text1"/>
                      <w:sz w:val="21"/>
                      <w:szCs w:val="21"/>
                      <w:highlight w:val="none"/>
                      <w:lang w:val="en-US" w:eastAsia="zh-CN"/>
                      <w14:textFill>
                        <w14:solidFill>
                          <w14:schemeClr w14:val="tx1"/>
                        </w14:solidFill>
                      </w14:textFill>
                    </w:rPr>
                    <w:t>剂型</w:t>
                  </w:r>
                </w:p>
              </w:tc>
              <w:tc>
                <w:tcPr>
                  <w:tcW w:w="1113" w:type="pct"/>
                  <w:vAlign w:val="center"/>
                </w:tcPr>
                <w:p w14:paraId="55CA8BD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val="0"/>
                      <w:color w:val="000000" w:themeColor="text1"/>
                      <w:sz w:val="21"/>
                      <w:szCs w:val="21"/>
                      <w:highlight w:val="none"/>
                      <w:lang w:val="en-US" w:eastAsia="zh-CN"/>
                      <w14:textFill>
                        <w14:solidFill>
                          <w14:schemeClr w14:val="tx1"/>
                        </w14:solidFill>
                      </w14:textFill>
                    </w:rPr>
                    <w:t>名称</w:t>
                  </w:r>
                </w:p>
              </w:tc>
              <w:tc>
                <w:tcPr>
                  <w:tcW w:w="490" w:type="pct"/>
                  <w:shd w:val="clear" w:color="auto" w:fill="auto"/>
                  <w:vAlign w:val="center"/>
                </w:tcPr>
                <w:p w14:paraId="436F460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val="0"/>
                      <w:color w:val="000000" w:themeColor="text1"/>
                      <w:szCs w:val="21"/>
                      <w:highlight w:val="none"/>
                      <w14:textFill>
                        <w14:solidFill>
                          <w14:schemeClr w14:val="tx1"/>
                        </w14:solidFill>
                      </w14:textFill>
                    </w:rPr>
                    <w:t>包装</w:t>
                  </w:r>
                  <w:r>
                    <w:rPr>
                      <w:rFonts w:hint="default" w:ascii="Times New Roman" w:hAnsi="Times New Roman" w:eastAsia="宋体" w:cs="Times New Roman"/>
                      <w:b/>
                      <w:bCs w:val="0"/>
                      <w:color w:val="000000" w:themeColor="text1"/>
                      <w:szCs w:val="21"/>
                      <w:highlight w:val="none"/>
                      <w14:textFill>
                        <w14:solidFill>
                          <w14:schemeClr w14:val="tx1"/>
                        </w14:solidFill>
                      </w14:textFill>
                    </w:rPr>
                    <w:t>规格</w:t>
                  </w:r>
                </w:p>
              </w:tc>
              <w:tc>
                <w:tcPr>
                  <w:tcW w:w="600" w:type="pct"/>
                  <w:shd w:val="clear" w:color="auto" w:fill="auto"/>
                  <w:vAlign w:val="center"/>
                </w:tcPr>
                <w:p w14:paraId="67325209">
                  <w:pPr>
                    <w:keepNext w:val="0"/>
                    <w:keepLines w:val="0"/>
                    <w:suppressLineNumbers w:val="0"/>
                    <w:spacing w:before="0" w:beforeAutospacing="0" w:after="0" w:afterAutospacing="0"/>
                    <w:ind w:left="0" w:leftChars="0" w:right="0" w:rightChars="0"/>
                    <w:jc w:val="center"/>
                    <w:rPr>
                      <w:rFonts w:hint="default" w:cs="Times New Roman"/>
                      <w:b/>
                      <w:bCs w:val="0"/>
                      <w:color w:val="000000" w:themeColor="text1"/>
                      <w:szCs w:val="21"/>
                      <w:highlight w:val="none"/>
                      <w:lang w:val="en-US" w:eastAsia="zh-CN"/>
                      <w14:textFill>
                        <w14:solidFill>
                          <w14:schemeClr w14:val="tx1"/>
                        </w14:solidFill>
                      </w14:textFill>
                    </w:rPr>
                  </w:pPr>
                  <w:r>
                    <w:rPr>
                      <w:rFonts w:hint="eastAsia" w:cs="Times New Roman"/>
                      <w:b/>
                      <w:bCs w:val="0"/>
                      <w:color w:val="000000" w:themeColor="text1"/>
                      <w:szCs w:val="21"/>
                      <w:highlight w:val="none"/>
                      <w:lang w:val="en-US" w:eastAsia="zh-CN"/>
                      <w14:textFill>
                        <w14:solidFill>
                          <w14:schemeClr w14:val="tx1"/>
                        </w14:solidFill>
                      </w14:textFill>
                    </w:rPr>
                    <w:t>现有产品重量</w:t>
                  </w:r>
                  <w:r>
                    <w:rPr>
                      <w:rFonts w:hint="default" w:ascii="Times New Roman" w:hAnsi="Times New Roman" w:eastAsia="宋体" w:cs="Times New Roman"/>
                      <w:b/>
                      <w:bCs w:val="0"/>
                      <w:color w:val="000000" w:themeColor="text1"/>
                      <w:kern w:val="0"/>
                      <w:sz w:val="21"/>
                      <w:szCs w:val="21"/>
                      <w:highlight w:val="none"/>
                      <w:lang w:eastAsia="zh-CN"/>
                      <w14:textFill>
                        <w14:solidFill>
                          <w14:schemeClr w14:val="tx1"/>
                        </w14:solidFill>
                      </w14:textFill>
                    </w:rPr>
                    <w:t>（</w:t>
                  </w:r>
                  <w:r>
                    <w:rPr>
                      <w:rFonts w:hint="default" w:ascii="Times New Roman" w:hAnsi="Times New Roman" w:eastAsia="宋体" w:cs="Times New Roman"/>
                      <w:b/>
                      <w:bCs w:val="0"/>
                      <w:color w:val="000000" w:themeColor="text1"/>
                      <w:kern w:val="0"/>
                      <w:sz w:val="21"/>
                      <w:szCs w:val="21"/>
                      <w:highlight w:val="none"/>
                      <w:lang w:val="en-US" w:eastAsia="zh-CN"/>
                      <w14:textFill>
                        <w14:solidFill>
                          <w14:schemeClr w14:val="tx1"/>
                        </w14:solidFill>
                      </w14:textFill>
                    </w:rPr>
                    <w:t>t/a</w:t>
                  </w:r>
                  <w:r>
                    <w:rPr>
                      <w:rFonts w:hint="default" w:ascii="Times New Roman" w:hAnsi="Times New Roman" w:eastAsia="宋体" w:cs="Times New Roman"/>
                      <w:b/>
                      <w:bCs w:val="0"/>
                      <w:color w:val="000000" w:themeColor="text1"/>
                      <w:kern w:val="0"/>
                      <w:sz w:val="21"/>
                      <w:szCs w:val="21"/>
                      <w:highlight w:val="none"/>
                      <w:lang w:eastAsia="zh-CN"/>
                      <w14:textFill>
                        <w14:solidFill>
                          <w14:schemeClr w14:val="tx1"/>
                        </w14:solidFill>
                      </w14:textFill>
                    </w:rPr>
                    <w:t>）</w:t>
                  </w:r>
                </w:p>
              </w:tc>
              <w:tc>
                <w:tcPr>
                  <w:tcW w:w="756" w:type="pct"/>
                  <w:shd w:val="clear" w:color="auto" w:fill="auto"/>
                  <w:vAlign w:val="center"/>
                </w:tcPr>
                <w:p w14:paraId="6D67630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val="0"/>
                      <w:color w:val="000000" w:themeColor="text1"/>
                      <w:kern w:val="2"/>
                      <w:sz w:val="21"/>
                      <w:szCs w:val="21"/>
                      <w:highlight w:val="none"/>
                      <w:lang w:val="en-US" w:eastAsia="zh-CN" w:bidi="ar-SA"/>
                      <w14:textFill>
                        <w14:solidFill>
                          <w14:schemeClr w14:val="tx1"/>
                        </w14:solidFill>
                      </w14:textFill>
                    </w:rPr>
                  </w:pPr>
                  <w:r>
                    <w:rPr>
                      <w:rFonts w:hint="eastAsia" w:cs="Times New Roman"/>
                      <w:b/>
                      <w:bCs w:val="0"/>
                      <w:color w:val="000000" w:themeColor="text1"/>
                      <w:sz w:val="21"/>
                      <w:szCs w:val="21"/>
                      <w:highlight w:val="none"/>
                      <w:lang w:val="en-US" w:eastAsia="zh-CN"/>
                      <w14:textFill>
                        <w14:solidFill>
                          <w14:schemeClr w14:val="tx1"/>
                        </w14:solidFill>
                      </w14:textFill>
                    </w:rPr>
                    <w:t>本项目产品重量</w:t>
                  </w:r>
                  <w:r>
                    <w:rPr>
                      <w:rFonts w:hint="default" w:ascii="Times New Roman" w:hAnsi="Times New Roman" w:eastAsia="宋体" w:cs="Times New Roman"/>
                      <w:b/>
                      <w:bCs w:val="0"/>
                      <w:color w:val="000000" w:themeColor="text1"/>
                      <w:kern w:val="0"/>
                      <w:sz w:val="21"/>
                      <w:szCs w:val="21"/>
                      <w:highlight w:val="none"/>
                      <w:lang w:eastAsia="zh-CN"/>
                      <w14:textFill>
                        <w14:solidFill>
                          <w14:schemeClr w14:val="tx1"/>
                        </w14:solidFill>
                      </w14:textFill>
                    </w:rPr>
                    <w:t>（</w:t>
                  </w:r>
                  <w:r>
                    <w:rPr>
                      <w:rFonts w:hint="default" w:ascii="Times New Roman" w:hAnsi="Times New Roman" w:eastAsia="宋体" w:cs="Times New Roman"/>
                      <w:b/>
                      <w:bCs w:val="0"/>
                      <w:color w:val="000000" w:themeColor="text1"/>
                      <w:kern w:val="0"/>
                      <w:sz w:val="21"/>
                      <w:szCs w:val="21"/>
                      <w:highlight w:val="none"/>
                      <w:lang w:val="en-US" w:eastAsia="zh-CN"/>
                      <w14:textFill>
                        <w14:solidFill>
                          <w14:schemeClr w14:val="tx1"/>
                        </w14:solidFill>
                      </w14:textFill>
                    </w:rPr>
                    <w:t>t/a</w:t>
                  </w:r>
                  <w:r>
                    <w:rPr>
                      <w:rFonts w:hint="default" w:ascii="Times New Roman" w:hAnsi="Times New Roman" w:eastAsia="宋体" w:cs="Times New Roman"/>
                      <w:b/>
                      <w:bCs w:val="0"/>
                      <w:color w:val="000000" w:themeColor="text1"/>
                      <w:kern w:val="0"/>
                      <w:sz w:val="21"/>
                      <w:szCs w:val="21"/>
                      <w:highlight w:val="none"/>
                      <w:lang w:eastAsia="zh-CN"/>
                      <w14:textFill>
                        <w14:solidFill>
                          <w14:schemeClr w14:val="tx1"/>
                        </w14:solidFill>
                      </w14:textFill>
                    </w:rPr>
                    <w:t>）</w:t>
                  </w:r>
                </w:p>
              </w:tc>
              <w:tc>
                <w:tcPr>
                  <w:tcW w:w="679" w:type="pct"/>
                  <w:shd w:val="clear" w:color="auto" w:fill="auto"/>
                  <w:vAlign w:val="center"/>
                </w:tcPr>
                <w:p w14:paraId="31538E6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val="0"/>
                      <w:color w:val="000000" w:themeColor="text1"/>
                      <w:kern w:val="2"/>
                      <w:sz w:val="21"/>
                      <w:szCs w:val="21"/>
                      <w:highlight w:val="none"/>
                      <w:lang w:val="en-US" w:eastAsia="zh-CN" w:bidi="ar-SA"/>
                      <w14:textFill>
                        <w14:solidFill>
                          <w14:schemeClr w14:val="tx1"/>
                        </w14:solidFill>
                      </w14:textFill>
                    </w:rPr>
                  </w:pPr>
                  <w:r>
                    <w:rPr>
                      <w:rFonts w:hint="eastAsia" w:cs="Times New Roman"/>
                      <w:b/>
                      <w:bCs w:val="0"/>
                      <w:color w:val="000000" w:themeColor="text1"/>
                      <w:kern w:val="0"/>
                      <w:sz w:val="21"/>
                      <w:szCs w:val="21"/>
                      <w:highlight w:val="none"/>
                      <w:lang w:val="en-US" w:eastAsia="zh-CN"/>
                      <w14:textFill>
                        <w14:solidFill>
                          <w14:schemeClr w14:val="tx1"/>
                        </w14:solidFill>
                      </w14:textFill>
                    </w:rPr>
                    <w:t>项目建成后全厂产品重量</w:t>
                  </w:r>
                  <w:r>
                    <w:rPr>
                      <w:rFonts w:hint="default" w:ascii="Times New Roman" w:hAnsi="Times New Roman" w:eastAsia="宋体" w:cs="Times New Roman"/>
                      <w:b/>
                      <w:bCs w:val="0"/>
                      <w:color w:val="000000" w:themeColor="text1"/>
                      <w:kern w:val="0"/>
                      <w:sz w:val="21"/>
                      <w:szCs w:val="21"/>
                      <w:highlight w:val="none"/>
                      <w:lang w:eastAsia="zh-CN"/>
                      <w14:textFill>
                        <w14:solidFill>
                          <w14:schemeClr w14:val="tx1"/>
                        </w14:solidFill>
                      </w14:textFill>
                    </w:rPr>
                    <w:t>（</w:t>
                  </w:r>
                  <w:r>
                    <w:rPr>
                      <w:rFonts w:hint="default" w:ascii="Times New Roman" w:hAnsi="Times New Roman" w:eastAsia="宋体" w:cs="Times New Roman"/>
                      <w:b/>
                      <w:bCs w:val="0"/>
                      <w:color w:val="000000" w:themeColor="text1"/>
                      <w:kern w:val="0"/>
                      <w:sz w:val="21"/>
                      <w:szCs w:val="21"/>
                      <w:highlight w:val="none"/>
                      <w:lang w:val="en-US" w:eastAsia="zh-CN"/>
                      <w14:textFill>
                        <w14:solidFill>
                          <w14:schemeClr w14:val="tx1"/>
                        </w14:solidFill>
                      </w14:textFill>
                    </w:rPr>
                    <w:t>t/a</w:t>
                  </w:r>
                  <w:r>
                    <w:rPr>
                      <w:rFonts w:hint="default" w:ascii="Times New Roman" w:hAnsi="Times New Roman" w:eastAsia="宋体" w:cs="Times New Roman"/>
                      <w:b/>
                      <w:bCs w:val="0"/>
                      <w:color w:val="000000" w:themeColor="text1"/>
                      <w:kern w:val="0"/>
                      <w:sz w:val="21"/>
                      <w:szCs w:val="21"/>
                      <w:highlight w:val="none"/>
                      <w:lang w:eastAsia="zh-CN"/>
                      <w14:textFill>
                        <w14:solidFill>
                          <w14:schemeClr w14:val="tx1"/>
                        </w14:solidFill>
                      </w14:textFill>
                    </w:rPr>
                    <w:t>）</w:t>
                  </w:r>
                </w:p>
              </w:tc>
              <w:tc>
                <w:tcPr>
                  <w:tcW w:w="682" w:type="pct"/>
                  <w:shd w:val="clear" w:color="auto" w:fill="auto"/>
                  <w:vAlign w:val="center"/>
                </w:tcPr>
                <w:p w14:paraId="3BD6B663">
                  <w:pPr>
                    <w:keepNext w:val="0"/>
                    <w:keepLines w:val="0"/>
                    <w:suppressLineNumbers w:val="0"/>
                    <w:spacing w:before="0" w:beforeAutospacing="0" w:after="0" w:afterAutospacing="0"/>
                    <w:ind w:left="0" w:leftChars="0" w:right="0" w:rightChars="0"/>
                    <w:jc w:val="center"/>
                    <w:rPr>
                      <w:rFonts w:hint="default" w:cs="Times New Roman"/>
                      <w:b/>
                      <w:bCs w:val="0"/>
                      <w:color w:val="000000" w:themeColor="text1"/>
                      <w:kern w:val="0"/>
                      <w:sz w:val="21"/>
                      <w:szCs w:val="21"/>
                      <w:highlight w:val="none"/>
                      <w:lang w:val="en-US" w:eastAsia="zh-CN"/>
                      <w14:textFill>
                        <w14:solidFill>
                          <w14:schemeClr w14:val="tx1"/>
                        </w14:solidFill>
                      </w14:textFill>
                    </w:rPr>
                  </w:pPr>
                  <w:r>
                    <w:rPr>
                      <w:rFonts w:hint="eastAsia" w:cs="Times New Roman"/>
                      <w:b/>
                      <w:bCs w:val="0"/>
                      <w:color w:val="000000" w:themeColor="text1"/>
                      <w:kern w:val="0"/>
                      <w:sz w:val="21"/>
                      <w:szCs w:val="21"/>
                      <w:highlight w:val="none"/>
                      <w:lang w:val="en-US" w:eastAsia="zh-CN"/>
                      <w14:textFill>
                        <w14:solidFill>
                          <w14:schemeClr w14:val="tx1"/>
                        </w14:solidFill>
                      </w14:textFill>
                    </w:rPr>
                    <w:t>变化情况</w:t>
                  </w:r>
                  <w:r>
                    <w:rPr>
                      <w:rFonts w:hint="default" w:ascii="Times New Roman" w:hAnsi="Times New Roman" w:eastAsia="宋体" w:cs="Times New Roman"/>
                      <w:b/>
                      <w:bCs w:val="0"/>
                      <w:color w:val="000000" w:themeColor="text1"/>
                      <w:kern w:val="0"/>
                      <w:sz w:val="21"/>
                      <w:szCs w:val="21"/>
                      <w:highlight w:val="none"/>
                      <w:lang w:eastAsia="zh-CN"/>
                      <w14:textFill>
                        <w14:solidFill>
                          <w14:schemeClr w14:val="tx1"/>
                        </w14:solidFill>
                      </w14:textFill>
                    </w:rPr>
                    <w:t>（</w:t>
                  </w:r>
                  <w:r>
                    <w:rPr>
                      <w:rFonts w:hint="default" w:ascii="Times New Roman" w:hAnsi="Times New Roman" w:eastAsia="宋体" w:cs="Times New Roman"/>
                      <w:b/>
                      <w:bCs w:val="0"/>
                      <w:color w:val="000000" w:themeColor="text1"/>
                      <w:kern w:val="0"/>
                      <w:sz w:val="21"/>
                      <w:szCs w:val="21"/>
                      <w:highlight w:val="none"/>
                      <w:lang w:val="en-US" w:eastAsia="zh-CN"/>
                      <w14:textFill>
                        <w14:solidFill>
                          <w14:schemeClr w14:val="tx1"/>
                        </w14:solidFill>
                      </w14:textFill>
                    </w:rPr>
                    <w:t>t/a</w:t>
                  </w:r>
                  <w:r>
                    <w:rPr>
                      <w:rFonts w:hint="default" w:ascii="Times New Roman" w:hAnsi="Times New Roman" w:eastAsia="宋体" w:cs="Times New Roman"/>
                      <w:b/>
                      <w:bCs w:val="0"/>
                      <w:color w:val="000000" w:themeColor="text1"/>
                      <w:kern w:val="0"/>
                      <w:sz w:val="21"/>
                      <w:szCs w:val="21"/>
                      <w:highlight w:val="none"/>
                      <w:lang w:eastAsia="zh-CN"/>
                      <w14:textFill>
                        <w14:solidFill>
                          <w14:schemeClr w14:val="tx1"/>
                        </w14:solidFill>
                      </w14:textFill>
                    </w:rPr>
                    <w:t>）</w:t>
                  </w:r>
                </w:p>
              </w:tc>
            </w:tr>
            <w:tr w14:paraId="6A27E69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30" w:type="pct"/>
                  <w:vMerge w:val="restart"/>
                  <w:vAlign w:val="center"/>
                </w:tcPr>
                <w:p w14:paraId="5AA87AF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pPr>
                  <w: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t>创新制剂车间</w:t>
                  </w:r>
                </w:p>
              </w:tc>
              <w:tc>
                <w:tcPr>
                  <w:tcW w:w="348" w:type="pct"/>
                  <w:vMerge w:val="restart"/>
                  <w:vAlign w:val="center"/>
                </w:tcPr>
                <w:p w14:paraId="28EEBFC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颗粒剂</w:t>
                  </w:r>
                </w:p>
              </w:tc>
              <w:tc>
                <w:tcPr>
                  <w:tcW w:w="1113" w:type="pct"/>
                  <w:vAlign w:val="center"/>
                </w:tcPr>
                <w:p w14:paraId="2188FCC8">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参百灵颗粒</w:t>
                  </w:r>
                </w:p>
              </w:tc>
              <w:tc>
                <w:tcPr>
                  <w:tcW w:w="490" w:type="pct"/>
                  <w:shd w:val="clear" w:color="auto" w:fill="auto"/>
                  <w:vAlign w:val="center"/>
                </w:tcPr>
                <w:p w14:paraId="25DA123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10g/袋</w:t>
                  </w:r>
                </w:p>
              </w:tc>
              <w:tc>
                <w:tcPr>
                  <w:tcW w:w="600" w:type="pct"/>
                  <w:shd w:val="clear" w:color="auto" w:fill="auto"/>
                  <w:vAlign w:val="center"/>
                </w:tcPr>
                <w:p w14:paraId="393763E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szCs w:val="21"/>
                      <w:highlight w:val="none"/>
                      <w14:textFill>
                        <w14:solidFill>
                          <w14:schemeClr w14:val="tx1"/>
                        </w14:solidFill>
                      </w14:textFill>
                    </w:rPr>
                  </w:pPr>
                  <w:r>
                    <w:rPr>
                      <w:rFonts w:hint="eastAsia" w:cs="Times New Roman"/>
                      <w:color w:val="000000" w:themeColor="text1"/>
                      <w:sz w:val="21"/>
                      <w:szCs w:val="21"/>
                      <w:highlight w:val="none"/>
                      <w:lang w:val="en-US" w:eastAsia="zh-CN" w:bidi="en-US"/>
                      <w14:textFill>
                        <w14:solidFill>
                          <w14:schemeClr w14:val="tx1"/>
                        </w14:solidFill>
                      </w14:textFill>
                    </w:rPr>
                    <w:t>0</w:t>
                  </w:r>
                </w:p>
              </w:tc>
              <w:tc>
                <w:tcPr>
                  <w:tcW w:w="756" w:type="pct"/>
                  <w:shd w:val="clear" w:color="auto" w:fill="auto"/>
                  <w:vAlign w:val="center"/>
                </w:tcPr>
                <w:p w14:paraId="07205F3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1.5</w:t>
                  </w:r>
                </w:p>
              </w:tc>
              <w:tc>
                <w:tcPr>
                  <w:tcW w:w="679" w:type="pct"/>
                  <w:shd w:val="clear" w:color="auto" w:fill="auto"/>
                  <w:vAlign w:val="center"/>
                </w:tcPr>
                <w:p w14:paraId="3C30DE41">
                  <w:pPr>
                    <w:keepNext w:val="0"/>
                    <w:keepLines w:val="0"/>
                    <w:suppressLineNumbers w:val="0"/>
                    <w:spacing w:before="0" w:beforeAutospacing="0" w:after="0" w:afterAutospacing="0"/>
                    <w:ind w:left="0" w:leftChars="0" w:right="0" w:rightChars="0"/>
                    <w:jc w:val="center"/>
                    <w:rPr>
                      <w:rFonts w:hint="default" w:ascii="Times New Roman" w:hAnsi="Times New Roman"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1.5</w:t>
                  </w:r>
                </w:p>
              </w:tc>
              <w:tc>
                <w:tcPr>
                  <w:tcW w:w="1756" w:type="dxa"/>
                  <w:shd w:val="clear" w:color="auto" w:fill="auto"/>
                  <w:vAlign w:val="center"/>
                </w:tcPr>
                <w:p w14:paraId="78F0DBB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Cs w:val="21"/>
                      <w:highlight w:val="none"/>
                      <w14:textFill>
                        <w14:solidFill>
                          <w14:schemeClr w14:val="tx1"/>
                        </w14:solidFill>
                      </w14:textFill>
                    </w:rPr>
                    <w:t>1.5</w:t>
                  </w:r>
                </w:p>
              </w:tc>
            </w:tr>
            <w:tr w14:paraId="0DC33C8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330" w:type="pct"/>
                  <w:vMerge w:val="continue"/>
                  <w:vAlign w:val="center"/>
                </w:tcPr>
                <w:p w14:paraId="42C5B4F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pPr>
                </w:p>
              </w:tc>
              <w:tc>
                <w:tcPr>
                  <w:tcW w:w="348" w:type="pct"/>
                  <w:vMerge w:val="continue"/>
                  <w:vAlign w:val="center"/>
                </w:tcPr>
                <w:p w14:paraId="053F8B7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pPr>
                </w:p>
              </w:tc>
              <w:tc>
                <w:tcPr>
                  <w:tcW w:w="1113" w:type="pct"/>
                  <w:vMerge w:val="restart"/>
                  <w:vAlign w:val="center"/>
                </w:tcPr>
                <w:p w14:paraId="013E9202">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表实感冒颗粒</w:t>
                  </w:r>
                </w:p>
              </w:tc>
              <w:tc>
                <w:tcPr>
                  <w:tcW w:w="490" w:type="pct"/>
                  <w:shd w:val="clear" w:color="auto" w:fill="auto"/>
                  <w:vAlign w:val="center"/>
                </w:tcPr>
                <w:p w14:paraId="066BE63D">
                  <w:pPr>
                    <w:keepNext w:val="0"/>
                    <w:keepLines w:val="0"/>
                    <w:suppressLineNumbers w:val="0"/>
                    <w:autoSpaceDE w:val="0"/>
                    <w:autoSpaceDN w:val="0"/>
                    <w:adjustRightInd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0"/>
                      <w:szCs w:val="21"/>
                      <w:highlight w:val="none"/>
                      <w14:textFill>
                        <w14:solidFill>
                          <w14:schemeClr w14:val="tx1"/>
                        </w14:solidFill>
                      </w14:textFill>
                    </w:rPr>
                    <w:t>5g/袋</w:t>
                  </w:r>
                </w:p>
              </w:tc>
              <w:tc>
                <w:tcPr>
                  <w:tcW w:w="600" w:type="pct"/>
                  <w:shd w:val="clear" w:color="auto" w:fill="auto"/>
                  <w:vAlign w:val="center"/>
                </w:tcPr>
                <w:p w14:paraId="45C8B6EA">
                  <w:pPr>
                    <w:keepNext w:val="0"/>
                    <w:keepLines w:val="0"/>
                    <w:suppressLineNumbers w:val="0"/>
                    <w:autoSpaceDE w:val="0"/>
                    <w:autoSpaceDN w:val="0"/>
                    <w:adjustRightInd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14:textFill>
                        <w14:solidFill>
                          <w14:schemeClr w14:val="tx1"/>
                        </w14:solidFill>
                      </w14:textFill>
                    </w:rPr>
                  </w:pPr>
                  <w:r>
                    <w:rPr>
                      <w:rFonts w:hint="eastAsia" w:cs="Times New Roman"/>
                      <w:color w:val="000000" w:themeColor="text1"/>
                      <w:sz w:val="21"/>
                      <w:szCs w:val="21"/>
                      <w:highlight w:val="none"/>
                      <w:lang w:val="en-US" w:eastAsia="zh-CN" w:bidi="en-US"/>
                      <w14:textFill>
                        <w14:solidFill>
                          <w14:schemeClr w14:val="tx1"/>
                        </w14:solidFill>
                      </w14:textFill>
                    </w:rPr>
                    <w:t>0</w:t>
                  </w:r>
                </w:p>
              </w:tc>
              <w:tc>
                <w:tcPr>
                  <w:tcW w:w="756" w:type="pct"/>
                  <w:shd w:val="clear" w:color="auto" w:fill="auto"/>
                  <w:vAlign w:val="center"/>
                </w:tcPr>
                <w:p w14:paraId="418FC727">
                  <w:pPr>
                    <w:keepNext w:val="0"/>
                    <w:keepLines w:val="0"/>
                    <w:suppressLineNumbers w:val="0"/>
                    <w:autoSpaceDE w:val="0"/>
                    <w:autoSpaceDN w:val="0"/>
                    <w:adjustRightIn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0.</w:t>
                  </w:r>
                  <w:r>
                    <w:rPr>
                      <w:rFonts w:hint="eastAsia" w:cs="Times New Roman"/>
                      <w:color w:val="000000" w:themeColor="text1"/>
                      <w:szCs w:val="21"/>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szCs w:val="21"/>
                      <w:highlight w:val="none"/>
                      <w14:textFill>
                        <w14:solidFill>
                          <w14:schemeClr w14:val="tx1"/>
                        </w14:solidFill>
                      </w14:textFill>
                    </w:rPr>
                    <w:t>5</w:t>
                  </w:r>
                </w:p>
              </w:tc>
              <w:tc>
                <w:tcPr>
                  <w:tcW w:w="679" w:type="pct"/>
                  <w:shd w:val="clear" w:color="auto" w:fill="auto"/>
                  <w:vAlign w:val="center"/>
                </w:tcPr>
                <w:p w14:paraId="39C4D356">
                  <w:pPr>
                    <w:keepNext w:val="0"/>
                    <w:keepLines w:val="0"/>
                    <w:suppressLineNumbers w:val="0"/>
                    <w:autoSpaceDE w:val="0"/>
                    <w:autoSpaceDN w:val="0"/>
                    <w:adjustRightInd w:val="0"/>
                    <w:spacing w:before="0" w:beforeAutospacing="0" w:after="0" w:afterAutospacing="0"/>
                    <w:ind w:left="0" w:leftChars="0" w:right="0" w:rightChars="0"/>
                    <w:jc w:val="center"/>
                    <w:rPr>
                      <w:rFonts w:hint="default" w:ascii="Times New Roman" w:hAnsi="Times New Roman"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0.</w:t>
                  </w:r>
                  <w:r>
                    <w:rPr>
                      <w:rFonts w:hint="eastAsia" w:cs="Times New Roman"/>
                      <w:color w:val="000000" w:themeColor="text1"/>
                      <w:szCs w:val="21"/>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szCs w:val="21"/>
                      <w:highlight w:val="none"/>
                      <w14:textFill>
                        <w14:solidFill>
                          <w14:schemeClr w14:val="tx1"/>
                        </w14:solidFill>
                      </w14:textFill>
                    </w:rPr>
                    <w:t>5</w:t>
                  </w:r>
                </w:p>
              </w:tc>
              <w:tc>
                <w:tcPr>
                  <w:tcW w:w="1756" w:type="dxa"/>
                  <w:shd w:val="clear" w:color="auto" w:fill="auto"/>
                  <w:vAlign w:val="center"/>
                </w:tcPr>
                <w:p w14:paraId="3F903C2A">
                  <w:pPr>
                    <w:keepNext w:val="0"/>
                    <w:keepLines w:val="0"/>
                    <w:suppressLineNumbers w:val="0"/>
                    <w:autoSpaceDE w:val="0"/>
                    <w:autoSpaceDN w:val="0"/>
                    <w:adjustRightInd w:val="0"/>
                    <w:spacing w:before="0" w:beforeAutospacing="0" w:after="0" w:afterAutospacing="0"/>
                    <w:ind w:left="0" w:leftChars="0" w:right="0" w:rightChars="0"/>
                    <w:jc w:val="center"/>
                    <w:rPr>
                      <w:rFonts w:hint="eastAsia" w:ascii="Times New Roman" w:hAnsi="Times New Roman" w:eastAsia="宋体"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Cs w:val="21"/>
                      <w:highlight w:val="none"/>
                      <w14:textFill>
                        <w14:solidFill>
                          <w14:schemeClr w14:val="tx1"/>
                        </w14:solidFill>
                      </w14:textFill>
                    </w:rPr>
                    <w:t>0.</w:t>
                  </w:r>
                  <w:r>
                    <w:rPr>
                      <w:rFonts w:hint="eastAsia" w:cs="Times New Roman"/>
                      <w:color w:val="000000" w:themeColor="text1"/>
                      <w:szCs w:val="21"/>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szCs w:val="21"/>
                      <w:highlight w:val="none"/>
                      <w14:textFill>
                        <w14:solidFill>
                          <w14:schemeClr w14:val="tx1"/>
                        </w14:solidFill>
                      </w14:textFill>
                    </w:rPr>
                    <w:t>5</w:t>
                  </w:r>
                </w:p>
              </w:tc>
            </w:tr>
            <w:tr w14:paraId="57D06EA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330" w:type="pct"/>
                  <w:vMerge w:val="continue"/>
                  <w:vAlign w:val="center"/>
                </w:tcPr>
                <w:p w14:paraId="76EC3588">
                  <w:pPr>
                    <w:keepNext w:val="0"/>
                    <w:keepLines w:val="0"/>
                    <w:suppressLineNumbers w:val="0"/>
                    <w:autoSpaceDE w:val="0"/>
                    <w:autoSpaceDN w:val="0"/>
                    <w:adjustRightInd w:val="0"/>
                    <w:spacing w:before="0" w:beforeAutospacing="0" w:after="0" w:afterAutospacing="0"/>
                    <w:ind w:left="0" w:leftChars="0" w:right="0" w:rightChars="0"/>
                    <w:jc w:val="center"/>
                    <w:rPr>
                      <w:rFonts w:hint="default"/>
                      <w:color w:val="000000" w:themeColor="text1"/>
                      <w:highlight w:val="none"/>
                      <w14:textFill>
                        <w14:solidFill>
                          <w14:schemeClr w14:val="tx1"/>
                        </w14:solidFill>
                      </w14:textFill>
                    </w:rPr>
                  </w:pPr>
                </w:p>
              </w:tc>
              <w:tc>
                <w:tcPr>
                  <w:tcW w:w="348" w:type="pct"/>
                  <w:vMerge w:val="continue"/>
                  <w:vAlign w:val="center"/>
                </w:tcPr>
                <w:p w14:paraId="1169A1D8">
                  <w:pPr>
                    <w:keepNext w:val="0"/>
                    <w:keepLines w:val="0"/>
                    <w:suppressLineNumbers w:val="0"/>
                    <w:autoSpaceDE w:val="0"/>
                    <w:autoSpaceDN w:val="0"/>
                    <w:adjustRightInd w:val="0"/>
                    <w:spacing w:before="0" w:beforeAutospacing="0" w:after="0" w:afterAutospacing="0"/>
                    <w:ind w:left="0" w:leftChars="0" w:right="0" w:rightChars="0"/>
                    <w:jc w:val="center"/>
                    <w:rPr>
                      <w:rFonts w:hint="default"/>
                      <w:color w:val="000000" w:themeColor="text1"/>
                      <w:highlight w:val="none"/>
                      <w14:textFill>
                        <w14:solidFill>
                          <w14:schemeClr w14:val="tx1"/>
                        </w14:solidFill>
                      </w14:textFill>
                    </w:rPr>
                  </w:pPr>
                </w:p>
              </w:tc>
              <w:tc>
                <w:tcPr>
                  <w:tcW w:w="1113" w:type="pct"/>
                  <w:vMerge w:val="continue"/>
                  <w:vAlign w:val="center"/>
                </w:tcPr>
                <w:p w14:paraId="6B381C57">
                  <w:pPr>
                    <w:keepNext w:val="0"/>
                    <w:keepLines w:val="0"/>
                    <w:suppressLineNumbers w:val="0"/>
                    <w:autoSpaceDE w:val="0"/>
                    <w:autoSpaceDN w:val="0"/>
                    <w:adjustRightInd w:val="0"/>
                    <w:spacing w:before="0" w:beforeAutospacing="0" w:after="0" w:afterAutospacing="0"/>
                    <w:ind w:left="0" w:leftChars="0" w:right="0" w:rightChars="0"/>
                    <w:jc w:val="center"/>
                    <w:rPr>
                      <w:rFonts w:hint="default"/>
                      <w:color w:val="000000" w:themeColor="text1"/>
                      <w:highlight w:val="none"/>
                      <w14:textFill>
                        <w14:solidFill>
                          <w14:schemeClr w14:val="tx1"/>
                        </w14:solidFill>
                      </w14:textFill>
                    </w:rPr>
                  </w:pPr>
                </w:p>
              </w:tc>
              <w:tc>
                <w:tcPr>
                  <w:tcW w:w="490" w:type="pct"/>
                  <w:shd w:val="clear" w:color="auto" w:fill="auto"/>
                  <w:vAlign w:val="center"/>
                </w:tcPr>
                <w:p w14:paraId="5A2ACF1B">
                  <w:pPr>
                    <w:keepNext w:val="0"/>
                    <w:keepLines w:val="0"/>
                    <w:suppressLineNumbers w:val="0"/>
                    <w:autoSpaceDE w:val="0"/>
                    <w:autoSpaceDN w:val="0"/>
                    <w:adjustRightInd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14:textFill>
                        <w14:solidFill>
                          <w14:schemeClr w14:val="tx1"/>
                        </w14:solidFill>
                      </w14:textFill>
                    </w:rPr>
                    <w:t>10g/袋</w:t>
                  </w:r>
                </w:p>
              </w:tc>
              <w:tc>
                <w:tcPr>
                  <w:tcW w:w="600" w:type="pct"/>
                  <w:shd w:val="clear" w:color="auto" w:fill="auto"/>
                  <w:vAlign w:val="center"/>
                </w:tcPr>
                <w:p w14:paraId="2B3B46B6">
                  <w:pPr>
                    <w:keepNext w:val="0"/>
                    <w:keepLines w:val="0"/>
                    <w:suppressLineNumbers w:val="0"/>
                    <w:autoSpaceDE w:val="0"/>
                    <w:autoSpaceDN w:val="0"/>
                    <w:adjustRightInd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14:textFill>
                        <w14:solidFill>
                          <w14:schemeClr w14:val="tx1"/>
                        </w14:solidFill>
                      </w14:textFill>
                    </w:rPr>
                  </w:pPr>
                  <w:r>
                    <w:rPr>
                      <w:rFonts w:hint="eastAsia" w:cs="Times New Roman"/>
                      <w:color w:val="000000" w:themeColor="text1"/>
                      <w:sz w:val="21"/>
                      <w:szCs w:val="21"/>
                      <w:highlight w:val="none"/>
                      <w:lang w:val="en-US" w:eastAsia="zh-CN" w:bidi="en-US"/>
                      <w14:textFill>
                        <w14:solidFill>
                          <w14:schemeClr w14:val="tx1"/>
                        </w14:solidFill>
                      </w14:textFill>
                    </w:rPr>
                    <w:t>0</w:t>
                  </w:r>
                </w:p>
              </w:tc>
              <w:tc>
                <w:tcPr>
                  <w:tcW w:w="756" w:type="pct"/>
                  <w:shd w:val="clear" w:color="auto" w:fill="auto"/>
                  <w:vAlign w:val="center"/>
                </w:tcPr>
                <w:p w14:paraId="1EEC7CF3">
                  <w:pPr>
                    <w:keepNext w:val="0"/>
                    <w:keepLines w:val="0"/>
                    <w:suppressLineNumbers w:val="0"/>
                    <w:autoSpaceDE w:val="0"/>
                    <w:autoSpaceDN w:val="0"/>
                    <w:adjustRightIn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0.</w:t>
                  </w:r>
                  <w:r>
                    <w:rPr>
                      <w:rFonts w:hint="eastAsia" w:cs="Times New Roman"/>
                      <w:color w:val="000000" w:themeColor="text1"/>
                      <w:szCs w:val="21"/>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szCs w:val="21"/>
                      <w:highlight w:val="none"/>
                      <w14:textFill>
                        <w14:solidFill>
                          <w14:schemeClr w14:val="tx1"/>
                        </w14:solidFill>
                      </w14:textFill>
                    </w:rPr>
                    <w:t>5</w:t>
                  </w:r>
                </w:p>
              </w:tc>
              <w:tc>
                <w:tcPr>
                  <w:tcW w:w="679" w:type="pct"/>
                  <w:shd w:val="clear" w:color="auto" w:fill="auto"/>
                  <w:vAlign w:val="center"/>
                </w:tcPr>
                <w:p w14:paraId="6BD65A9C">
                  <w:pPr>
                    <w:keepNext w:val="0"/>
                    <w:keepLines w:val="0"/>
                    <w:suppressLineNumbers w:val="0"/>
                    <w:autoSpaceDE w:val="0"/>
                    <w:autoSpaceDN w:val="0"/>
                    <w:adjustRightIn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0.</w:t>
                  </w:r>
                  <w:r>
                    <w:rPr>
                      <w:rFonts w:hint="eastAsia" w:cs="Times New Roman"/>
                      <w:color w:val="000000" w:themeColor="text1"/>
                      <w:szCs w:val="21"/>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szCs w:val="21"/>
                      <w:highlight w:val="none"/>
                      <w14:textFill>
                        <w14:solidFill>
                          <w14:schemeClr w14:val="tx1"/>
                        </w14:solidFill>
                      </w14:textFill>
                    </w:rPr>
                    <w:t>5</w:t>
                  </w:r>
                </w:p>
              </w:tc>
              <w:tc>
                <w:tcPr>
                  <w:tcW w:w="1756" w:type="dxa"/>
                  <w:shd w:val="clear" w:color="auto" w:fill="auto"/>
                  <w:vAlign w:val="center"/>
                </w:tcPr>
                <w:p w14:paraId="5CA731BD">
                  <w:pPr>
                    <w:keepNext w:val="0"/>
                    <w:keepLines w:val="0"/>
                    <w:suppressLineNumbers w:val="0"/>
                    <w:autoSpaceDE w:val="0"/>
                    <w:autoSpaceDN w:val="0"/>
                    <w:adjustRightInd w:val="0"/>
                    <w:spacing w:before="0" w:beforeAutospacing="0" w:after="0" w:afterAutospacing="0"/>
                    <w:ind w:left="0" w:leftChars="0" w:right="0" w:rightChars="0"/>
                    <w:jc w:val="center"/>
                    <w:rPr>
                      <w:rFonts w:hint="eastAsia" w:ascii="Times New Roman" w:hAnsi="Times New Roman" w:eastAsia="宋体"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Cs w:val="21"/>
                      <w:highlight w:val="none"/>
                      <w14:textFill>
                        <w14:solidFill>
                          <w14:schemeClr w14:val="tx1"/>
                        </w14:solidFill>
                      </w14:textFill>
                    </w:rPr>
                    <w:t>0.</w:t>
                  </w:r>
                  <w:r>
                    <w:rPr>
                      <w:rFonts w:hint="eastAsia" w:cs="Times New Roman"/>
                      <w:color w:val="000000" w:themeColor="text1"/>
                      <w:szCs w:val="21"/>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szCs w:val="21"/>
                      <w:highlight w:val="none"/>
                      <w14:textFill>
                        <w14:solidFill>
                          <w14:schemeClr w14:val="tx1"/>
                        </w14:solidFill>
                      </w14:textFill>
                    </w:rPr>
                    <w:t>5</w:t>
                  </w:r>
                </w:p>
              </w:tc>
            </w:tr>
            <w:tr w14:paraId="382CEA6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30" w:type="pct"/>
                  <w:vMerge w:val="continue"/>
                  <w:vAlign w:val="center"/>
                </w:tcPr>
                <w:p w14:paraId="64C9E75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pPr>
                </w:p>
              </w:tc>
              <w:tc>
                <w:tcPr>
                  <w:tcW w:w="348" w:type="pct"/>
                  <w:vMerge w:val="continue"/>
                  <w:vAlign w:val="center"/>
                </w:tcPr>
                <w:p w14:paraId="4400D26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pPr>
                </w:p>
              </w:tc>
              <w:tc>
                <w:tcPr>
                  <w:tcW w:w="1113" w:type="pct"/>
                  <w:vAlign w:val="center"/>
                </w:tcPr>
                <w:p w14:paraId="1D4EEA0F">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暑湿感冒颗粒</w:t>
                  </w:r>
                </w:p>
              </w:tc>
              <w:tc>
                <w:tcPr>
                  <w:tcW w:w="490" w:type="pct"/>
                  <w:shd w:val="clear" w:color="auto" w:fill="auto"/>
                  <w:vAlign w:val="center"/>
                </w:tcPr>
                <w:p w14:paraId="2C7EB178">
                  <w:pPr>
                    <w:keepNext w:val="0"/>
                    <w:keepLines w:val="0"/>
                    <w:suppressLineNumbers w:val="0"/>
                    <w:autoSpaceDE w:val="0"/>
                    <w:autoSpaceDN w:val="0"/>
                    <w:adjustRightInd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0"/>
                      <w:szCs w:val="21"/>
                      <w:highlight w:val="none"/>
                      <w14:textFill>
                        <w14:solidFill>
                          <w14:schemeClr w14:val="tx1"/>
                        </w14:solidFill>
                      </w14:textFill>
                    </w:rPr>
                    <w:t>10g/袋</w:t>
                  </w:r>
                </w:p>
              </w:tc>
              <w:tc>
                <w:tcPr>
                  <w:tcW w:w="600" w:type="pct"/>
                  <w:shd w:val="clear" w:color="auto" w:fill="auto"/>
                  <w:vAlign w:val="center"/>
                </w:tcPr>
                <w:p w14:paraId="14347726">
                  <w:pPr>
                    <w:keepNext w:val="0"/>
                    <w:keepLines w:val="0"/>
                    <w:suppressLineNumbers w:val="0"/>
                    <w:autoSpaceDE w:val="0"/>
                    <w:autoSpaceDN w:val="0"/>
                    <w:adjustRightInd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14:textFill>
                        <w14:solidFill>
                          <w14:schemeClr w14:val="tx1"/>
                        </w14:solidFill>
                      </w14:textFill>
                    </w:rPr>
                  </w:pPr>
                  <w:r>
                    <w:rPr>
                      <w:rFonts w:hint="eastAsia" w:cs="Times New Roman"/>
                      <w:color w:val="000000" w:themeColor="text1"/>
                      <w:sz w:val="21"/>
                      <w:szCs w:val="21"/>
                      <w:highlight w:val="none"/>
                      <w:lang w:val="en-US" w:eastAsia="zh-CN" w:bidi="en-US"/>
                      <w14:textFill>
                        <w14:solidFill>
                          <w14:schemeClr w14:val="tx1"/>
                        </w14:solidFill>
                      </w14:textFill>
                    </w:rPr>
                    <w:t>0</w:t>
                  </w:r>
                </w:p>
              </w:tc>
              <w:tc>
                <w:tcPr>
                  <w:tcW w:w="756" w:type="pct"/>
                  <w:shd w:val="clear" w:color="auto" w:fill="auto"/>
                  <w:vAlign w:val="center"/>
                </w:tcPr>
                <w:p w14:paraId="67CF7F18">
                  <w:pPr>
                    <w:keepNext w:val="0"/>
                    <w:keepLines w:val="0"/>
                    <w:suppressLineNumbers w:val="0"/>
                    <w:autoSpaceDE w:val="0"/>
                    <w:autoSpaceDN w:val="0"/>
                    <w:adjustRightIn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0.5</w:t>
                  </w:r>
                </w:p>
              </w:tc>
              <w:tc>
                <w:tcPr>
                  <w:tcW w:w="679" w:type="pct"/>
                  <w:shd w:val="clear" w:color="auto" w:fill="auto"/>
                  <w:vAlign w:val="center"/>
                </w:tcPr>
                <w:p w14:paraId="7D66F6C6">
                  <w:pPr>
                    <w:keepNext w:val="0"/>
                    <w:keepLines w:val="0"/>
                    <w:suppressLineNumbers w:val="0"/>
                    <w:autoSpaceDE w:val="0"/>
                    <w:autoSpaceDN w:val="0"/>
                    <w:adjustRightInd w:val="0"/>
                    <w:spacing w:before="0" w:beforeAutospacing="0" w:after="0" w:afterAutospacing="0"/>
                    <w:ind w:left="0" w:leftChars="0" w:right="0" w:rightChars="0"/>
                    <w:jc w:val="center"/>
                    <w:rPr>
                      <w:rFonts w:hint="default" w:ascii="Times New Roman" w:hAnsi="Times New Roman"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0.5</w:t>
                  </w:r>
                </w:p>
              </w:tc>
              <w:tc>
                <w:tcPr>
                  <w:tcW w:w="1756" w:type="dxa"/>
                  <w:shd w:val="clear" w:color="auto" w:fill="auto"/>
                  <w:vAlign w:val="center"/>
                </w:tcPr>
                <w:p w14:paraId="737AD392">
                  <w:pPr>
                    <w:keepNext w:val="0"/>
                    <w:keepLines w:val="0"/>
                    <w:suppressLineNumbers w:val="0"/>
                    <w:autoSpaceDE w:val="0"/>
                    <w:autoSpaceDN w:val="0"/>
                    <w:adjustRightInd w:val="0"/>
                    <w:spacing w:before="0" w:beforeAutospacing="0" w:after="0" w:afterAutospacing="0"/>
                    <w:ind w:left="0" w:leftChars="0" w:right="0" w:rightChars="0"/>
                    <w:jc w:val="center"/>
                    <w:rPr>
                      <w:rFonts w:hint="eastAsia" w:ascii="Times New Roman" w:hAnsi="Times New Roman" w:eastAsia="宋体"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Cs w:val="21"/>
                      <w:highlight w:val="none"/>
                      <w14:textFill>
                        <w14:solidFill>
                          <w14:schemeClr w14:val="tx1"/>
                        </w14:solidFill>
                      </w14:textFill>
                    </w:rPr>
                    <w:t>0.5</w:t>
                  </w:r>
                </w:p>
              </w:tc>
            </w:tr>
            <w:tr w14:paraId="2FFDC72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30" w:type="pct"/>
                  <w:vMerge w:val="continue"/>
                  <w:vAlign w:val="center"/>
                </w:tcPr>
                <w:p w14:paraId="1CCCE6B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pPr>
                </w:p>
              </w:tc>
              <w:tc>
                <w:tcPr>
                  <w:tcW w:w="348" w:type="pct"/>
                  <w:vMerge w:val="continue"/>
                  <w:vAlign w:val="center"/>
                </w:tcPr>
                <w:p w14:paraId="1DB3C88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pPr>
                </w:p>
              </w:tc>
              <w:tc>
                <w:tcPr>
                  <w:tcW w:w="1113" w:type="pct"/>
                  <w:vAlign w:val="center"/>
                </w:tcPr>
                <w:p w14:paraId="3A1BB71F">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散痈解毒颗粒</w:t>
                  </w:r>
                </w:p>
              </w:tc>
              <w:tc>
                <w:tcPr>
                  <w:tcW w:w="490" w:type="pct"/>
                  <w:shd w:val="clear" w:color="auto" w:fill="auto"/>
                  <w:vAlign w:val="center"/>
                </w:tcPr>
                <w:p w14:paraId="13772DA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0"/>
                      <w:szCs w:val="21"/>
                      <w:highlight w:val="none"/>
                      <w14:textFill>
                        <w14:solidFill>
                          <w14:schemeClr w14:val="tx1"/>
                        </w14:solidFill>
                      </w14:textFill>
                    </w:rPr>
                    <w:t>10g/袋</w:t>
                  </w:r>
                </w:p>
              </w:tc>
              <w:tc>
                <w:tcPr>
                  <w:tcW w:w="600" w:type="pct"/>
                  <w:shd w:val="clear" w:color="auto" w:fill="auto"/>
                  <w:vAlign w:val="center"/>
                </w:tcPr>
                <w:p w14:paraId="0FFEDC9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14:textFill>
                        <w14:solidFill>
                          <w14:schemeClr w14:val="tx1"/>
                        </w14:solidFill>
                      </w14:textFill>
                    </w:rPr>
                  </w:pPr>
                  <w:r>
                    <w:rPr>
                      <w:rFonts w:hint="eastAsia" w:cs="Times New Roman"/>
                      <w:color w:val="000000" w:themeColor="text1"/>
                      <w:sz w:val="21"/>
                      <w:szCs w:val="21"/>
                      <w:highlight w:val="none"/>
                      <w:lang w:val="en-US" w:eastAsia="zh-CN" w:bidi="en-US"/>
                      <w14:textFill>
                        <w14:solidFill>
                          <w14:schemeClr w14:val="tx1"/>
                        </w14:solidFill>
                      </w14:textFill>
                    </w:rPr>
                    <w:t>0</w:t>
                  </w:r>
                </w:p>
              </w:tc>
              <w:tc>
                <w:tcPr>
                  <w:tcW w:w="756" w:type="pct"/>
                  <w:shd w:val="clear" w:color="auto" w:fill="auto"/>
                  <w:vAlign w:val="center"/>
                </w:tcPr>
                <w:p w14:paraId="0AD947F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0.5</w:t>
                  </w:r>
                </w:p>
              </w:tc>
              <w:tc>
                <w:tcPr>
                  <w:tcW w:w="679" w:type="pct"/>
                  <w:shd w:val="clear" w:color="auto" w:fill="auto"/>
                  <w:vAlign w:val="center"/>
                </w:tcPr>
                <w:p w14:paraId="1F290711">
                  <w:pPr>
                    <w:keepNext w:val="0"/>
                    <w:keepLines w:val="0"/>
                    <w:suppressLineNumbers w:val="0"/>
                    <w:spacing w:before="0" w:beforeAutospacing="0" w:after="0" w:afterAutospacing="0"/>
                    <w:ind w:left="0" w:leftChars="0" w:right="0" w:rightChars="0"/>
                    <w:jc w:val="center"/>
                    <w:rPr>
                      <w:rFonts w:hint="default" w:ascii="Times New Roman" w:hAnsi="Times New Roman"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0.5</w:t>
                  </w:r>
                </w:p>
              </w:tc>
              <w:tc>
                <w:tcPr>
                  <w:tcW w:w="1756" w:type="dxa"/>
                  <w:shd w:val="clear" w:color="auto" w:fill="auto"/>
                  <w:vAlign w:val="center"/>
                </w:tcPr>
                <w:p w14:paraId="6C48304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Cs w:val="21"/>
                      <w:highlight w:val="none"/>
                      <w14:textFill>
                        <w14:solidFill>
                          <w14:schemeClr w14:val="tx1"/>
                        </w14:solidFill>
                      </w14:textFill>
                    </w:rPr>
                    <w:t>0.5</w:t>
                  </w:r>
                </w:p>
              </w:tc>
            </w:tr>
            <w:tr w14:paraId="4B05D7B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330" w:type="pct"/>
                  <w:vMerge w:val="continue"/>
                  <w:vAlign w:val="center"/>
                </w:tcPr>
                <w:p w14:paraId="1F329B9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pPr>
                </w:p>
              </w:tc>
              <w:tc>
                <w:tcPr>
                  <w:tcW w:w="348" w:type="pct"/>
                  <w:vMerge w:val="continue"/>
                  <w:vAlign w:val="center"/>
                </w:tcPr>
                <w:p w14:paraId="1EB65C3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pPr>
                </w:p>
              </w:tc>
              <w:tc>
                <w:tcPr>
                  <w:tcW w:w="1113" w:type="pct"/>
                  <w:vMerge w:val="restart"/>
                  <w:vAlign w:val="center"/>
                </w:tcPr>
                <w:p w14:paraId="7EF8F908">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经典名方颗粒</w:t>
                  </w:r>
                </w:p>
              </w:tc>
              <w:tc>
                <w:tcPr>
                  <w:tcW w:w="490" w:type="pct"/>
                  <w:shd w:val="clear" w:color="auto" w:fill="auto"/>
                  <w:vAlign w:val="center"/>
                </w:tcPr>
                <w:p w14:paraId="0B6C55E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0"/>
                      <w:szCs w:val="21"/>
                      <w:highlight w:val="none"/>
                      <w14:textFill>
                        <w14:solidFill>
                          <w14:schemeClr w14:val="tx1"/>
                        </w14:solidFill>
                      </w14:textFill>
                    </w:rPr>
                    <w:t>5g/袋</w:t>
                  </w:r>
                </w:p>
              </w:tc>
              <w:tc>
                <w:tcPr>
                  <w:tcW w:w="600" w:type="pct"/>
                  <w:shd w:val="clear" w:color="auto" w:fill="auto"/>
                  <w:vAlign w:val="center"/>
                </w:tcPr>
                <w:p w14:paraId="0897D4E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14:textFill>
                        <w14:solidFill>
                          <w14:schemeClr w14:val="tx1"/>
                        </w14:solidFill>
                      </w14:textFill>
                    </w:rPr>
                  </w:pPr>
                  <w:r>
                    <w:rPr>
                      <w:rFonts w:hint="eastAsia" w:cs="Times New Roman"/>
                      <w:color w:val="000000" w:themeColor="text1"/>
                      <w:sz w:val="21"/>
                      <w:szCs w:val="21"/>
                      <w:highlight w:val="none"/>
                      <w:lang w:val="en-US" w:eastAsia="zh-CN" w:bidi="en-US"/>
                      <w14:textFill>
                        <w14:solidFill>
                          <w14:schemeClr w14:val="tx1"/>
                        </w14:solidFill>
                      </w14:textFill>
                    </w:rPr>
                    <w:t>0</w:t>
                  </w:r>
                </w:p>
              </w:tc>
              <w:tc>
                <w:tcPr>
                  <w:tcW w:w="756" w:type="pct"/>
                  <w:shd w:val="clear" w:color="auto" w:fill="auto"/>
                  <w:vAlign w:val="center"/>
                </w:tcPr>
                <w:p w14:paraId="1FEE752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c>
                <w:tcPr>
                  <w:tcW w:w="679" w:type="pct"/>
                  <w:shd w:val="clear" w:color="auto" w:fill="auto"/>
                  <w:vAlign w:val="center"/>
                </w:tcPr>
                <w:p w14:paraId="1D7FA78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c>
                <w:tcPr>
                  <w:tcW w:w="1756" w:type="dxa"/>
                  <w:shd w:val="clear" w:color="auto" w:fill="auto"/>
                  <w:vAlign w:val="center"/>
                </w:tcPr>
                <w:p w14:paraId="2F792C3D">
                  <w:pPr>
                    <w:keepNext w:val="0"/>
                    <w:keepLines w:val="0"/>
                    <w:suppressLineNumbers w:val="0"/>
                    <w:spacing w:before="0" w:beforeAutospacing="0" w:after="0" w:afterAutospacing="0"/>
                    <w:ind w:left="0" w:leftChars="0" w:right="0" w:rightChars="0"/>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r>
            <w:tr w14:paraId="419C57C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330" w:type="pct"/>
                  <w:vMerge w:val="continue"/>
                  <w:vAlign w:val="center"/>
                </w:tcPr>
                <w:p w14:paraId="66F1D3DD">
                  <w:pPr>
                    <w:keepNext w:val="0"/>
                    <w:keepLines w:val="0"/>
                    <w:suppressLineNumbers w:val="0"/>
                    <w:spacing w:before="0" w:beforeAutospacing="0" w:after="0" w:afterAutospacing="0"/>
                    <w:ind w:left="0" w:leftChars="0" w:right="0" w:rightChars="0"/>
                    <w:jc w:val="center"/>
                    <w:rPr>
                      <w:rFonts w:hint="default"/>
                      <w:color w:val="000000" w:themeColor="text1"/>
                      <w:highlight w:val="none"/>
                      <w14:textFill>
                        <w14:solidFill>
                          <w14:schemeClr w14:val="tx1"/>
                        </w14:solidFill>
                      </w14:textFill>
                    </w:rPr>
                  </w:pPr>
                </w:p>
              </w:tc>
              <w:tc>
                <w:tcPr>
                  <w:tcW w:w="348" w:type="pct"/>
                  <w:vMerge w:val="continue"/>
                  <w:vAlign w:val="center"/>
                </w:tcPr>
                <w:p w14:paraId="5D9818FA">
                  <w:pPr>
                    <w:keepNext w:val="0"/>
                    <w:keepLines w:val="0"/>
                    <w:suppressLineNumbers w:val="0"/>
                    <w:spacing w:before="0" w:beforeAutospacing="0" w:after="0" w:afterAutospacing="0"/>
                    <w:ind w:left="0" w:leftChars="0" w:right="0" w:rightChars="0"/>
                    <w:jc w:val="center"/>
                    <w:rPr>
                      <w:rFonts w:hint="default"/>
                      <w:color w:val="000000" w:themeColor="text1"/>
                      <w:highlight w:val="none"/>
                      <w14:textFill>
                        <w14:solidFill>
                          <w14:schemeClr w14:val="tx1"/>
                        </w14:solidFill>
                      </w14:textFill>
                    </w:rPr>
                  </w:pPr>
                </w:p>
              </w:tc>
              <w:tc>
                <w:tcPr>
                  <w:tcW w:w="1113" w:type="pct"/>
                  <w:vMerge w:val="continue"/>
                  <w:vAlign w:val="center"/>
                </w:tcPr>
                <w:p w14:paraId="414B3EC0">
                  <w:pPr>
                    <w:keepNext w:val="0"/>
                    <w:keepLines w:val="0"/>
                    <w:suppressLineNumbers w:val="0"/>
                    <w:spacing w:before="0" w:beforeAutospacing="0" w:after="0" w:afterAutospacing="0"/>
                    <w:ind w:left="0" w:leftChars="0" w:right="0" w:rightChars="0"/>
                    <w:jc w:val="center"/>
                    <w:rPr>
                      <w:rFonts w:hint="default"/>
                      <w:color w:val="000000" w:themeColor="text1"/>
                      <w:highlight w:val="none"/>
                      <w14:textFill>
                        <w14:solidFill>
                          <w14:schemeClr w14:val="tx1"/>
                        </w14:solidFill>
                      </w14:textFill>
                    </w:rPr>
                  </w:pPr>
                </w:p>
              </w:tc>
              <w:tc>
                <w:tcPr>
                  <w:tcW w:w="490" w:type="pct"/>
                  <w:shd w:val="clear" w:color="auto" w:fill="auto"/>
                  <w:vAlign w:val="center"/>
                </w:tcPr>
                <w:p w14:paraId="36CF689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14:textFill>
                        <w14:solidFill>
                          <w14:schemeClr w14:val="tx1"/>
                        </w14:solidFill>
                      </w14:textFill>
                    </w:rPr>
                    <w:t>10g/袋</w:t>
                  </w:r>
                </w:p>
              </w:tc>
              <w:tc>
                <w:tcPr>
                  <w:tcW w:w="600" w:type="pct"/>
                  <w:shd w:val="clear" w:color="auto" w:fill="auto"/>
                  <w:vAlign w:val="center"/>
                </w:tcPr>
                <w:p w14:paraId="38BCD1F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14:textFill>
                        <w14:solidFill>
                          <w14:schemeClr w14:val="tx1"/>
                        </w14:solidFill>
                      </w14:textFill>
                    </w:rPr>
                  </w:pPr>
                  <w:r>
                    <w:rPr>
                      <w:rFonts w:hint="eastAsia" w:cs="Times New Roman"/>
                      <w:color w:val="000000" w:themeColor="text1"/>
                      <w:sz w:val="21"/>
                      <w:szCs w:val="21"/>
                      <w:highlight w:val="none"/>
                      <w:lang w:val="en-US" w:eastAsia="zh-CN" w:bidi="en-US"/>
                      <w14:textFill>
                        <w14:solidFill>
                          <w14:schemeClr w14:val="tx1"/>
                        </w14:solidFill>
                      </w14:textFill>
                    </w:rPr>
                    <w:t>0</w:t>
                  </w:r>
                </w:p>
              </w:tc>
              <w:tc>
                <w:tcPr>
                  <w:tcW w:w="756" w:type="pct"/>
                  <w:shd w:val="clear" w:color="auto" w:fill="auto"/>
                  <w:vAlign w:val="center"/>
                </w:tcPr>
                <w:p w14:paraId="39EDE58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1</w:t>
                  </w:r>
                </w:p>
              </w:tc>
              <w:tc>
                <w:tcPr>
                  <w:tcW w:w="679" w:type="pct"/>
                  <w:shd w:val="clear" w:color="auto" w:fill="auto"/>
                  <w:vAlign w:val="center"/>
                </w:tcPr>
                <w:p w14:paraId="3DB5950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1</w:t>
                  </w:r>
                </w:p>
              </w:tc>
              <w:tc>
                <w:tcPr>
                  <w:tcW w:w="1756" w:type="dxa"/>
                  <w:shd w:val="clear" w:color="auto" w:fill="auto"/>
                  <w:vAlign w:val="center"/>
                </w:tcPr>
                <w:p w14:paraId="53E89CAD">
                  <w:pPr>
                    <w:keepNext w:val="0"/>
                    <w:keepLines w:val="0"/>
                    <w:suppressLineNumbers w:val="0"/>
                    <w:spacing w:before="0" w:beforeAutospacing="0" w:after="0" w:afterAutospacing="0"/>
                    <w:ind w:left="0" w:leftChars="0" w:right="0" w:rightChars="0"/>
                    <w:jc w:val="center"/>
                    <w:rPr>
                      <w:rFonts w:hint="eastAsia"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+1</w:t>
                  </w:r>
                </w:p>
              </w:tc>
            </w:tr>
            <w:tr w14:paraId="28BE16E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330" w:type="pct"/>
                  <w:vMerge w:val="continue"/>
                  <w:vAlign w:val="center"/>
                </w:tcPr>
                <w:p w14:paraId="48476841">
                  <w:pPr>
                    <w:keepNext w:val="0"/>
                    <w:keepLines w:val="0"/>
                    <w:suppressLineNumbers w:val="0"/>
                    <w:spacing w:before="0" w:beforeAutospacing="0" w:after="0" w:afterAutospacing="0"/>
                    <w:ind w:left="0" w:leftChars="0" w:right="0" w:rightChars="0"/>
                    <w:jc w:val="center"/>
                    <w:rPr>
                      <w:rFonts w:hint="default"/>
                      <w:color w:val="000000" w:themeColor="text1"/>
                      <w:highlight w:val="none"/>
                      <w14:textFill>
                        <w14:solidFill>
                          <w14:schemeClr w14:val="tx1"/>
                        </w14:solidFill>
                      </w14:textFill>
                    </w:rPr>
                  </w:pPr>
                </w:p>
              </w:tc>
              <w:tc>
                <w:tcPr>
                  <w:tcW w:w="1951" w:type="pct"/>
                  <w:gridSpan w:val="3"/>
                  <w:vAlign w:val="center"/>
                </w:tcPr>
                <w:p w14:paraId="245C28B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颗粒剂</w:t>
                  </w:r>
                  <w:r>
                    <w:rPr>
                      <w:rFonts w:hint="eastAsia" w:cs="Times New Roman"/>
                      <w:b w:val="0"/>
                      <w:bCs w:val="0"/>
                      <w:color w:val="000000" w:themeColor="text1"/>
                      <w:kern w:val="0"/>
                      <w:sz w:val="21"/>
                      <w:szCs w:val="21"/>
                      <w:highlight w:val="none"/>
                      <w:lang w:val="en-US" w:eastAsia="zh-CN"/>
                      <w14:textFill>
                        <w14:solidFill>
                          <w14:schemeClr w14:val="tx1"/>
                        </w14:solidFill>
                      </w14:textFill>
                    </w:rPr>
                    <w:t>总计</w:t>
                  </w:r>
                </w:p>
              </w:tc>
              <w:tc>
                <w:tcPr>
                  <w:tcW w:w="600" w:type="pct"/>
                  <w:vAlign w:val="center"/>
                </w:tcPr>
                <w:p w14:paraId="28DB8F4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bidi="en-US"/>
                      <w14:textFill>
                        <w14:solidFill>
                          <w14:schemeClr w14:val="tx1"/>
                        </w14:solidFill>
                      </w14:textFill>
                    </w:rPr>
                    <w:t>0</w:t>
                  </w:r>
                </w:p>
              </w:tc>
              <w:tc>
                <w:tcPr>
                  <w:tcW w:w="756" w:type="pct"/>
                  <w:shd w:val="clear" w:color="auto" w:fill="auto"/>
                  <w:vAlign w:val="center"/>
                </w:tcPr>
                <w:p w14:paraId="55B8B4D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0"/>
                      <w:szCs w:val="21"/>
                      <w:highlight w:val="none"/>
                      <w:lang w:val="en-US" w:eastAsia="zh-CN"/>
                      <w14:textFill>
                        <w14:solidFill>
                          <w14:schemeClr w14:val="tx1"/>
                        </w14:solidFill>
                      </w14:textFill>
                    </w:rPr>
                    <w:t>5</w:t>
                  </w:r>
                </w:p>
              </w:tc>
              <w:tc>
                <w:tcPr>
                  <w:tcW w:w="679" w:type="pct"/>
                  <w:shd w:val="clear" w:color="auto" w:fill="auto"/>
                  <w:vAlign w:val="center"/>
                </w:tcPr>
                <w:p w14:paraId="0E27C97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color w:val="000000" w:themeColor="text1"/>
                      <w:sz w:val="21"/>
                      <w:szCs w:val="21"/>
                      <w:highlight w:val="none"/>
                      <w:lang w:val="en-US" w:eastAsia="zh-CN" w:bidi="en-US"/>
                      <w14:textFill>
                        <w14:solidFill>
                          <w14:schemeClr w14:val="tx1"/>
                        </w14:solidFill>
                      </w14:textFill>
                    </w:rPr>
                    <w:t>5</w:t>
                  </w:r>
                </w:p>
              </w:tc>
              <w:tc>
                <w:tcPr>
                  <w:tcW w:w="1756" w:type="dxa"/>
                  <w:shd w:val="clear" w:color="auto" w:fill="auto"/>
                  <w:vAlign w:val="center"/>
                </w:tcPr>
                <w:p w14:paraId="344EA23E">
                  <w:pPr>
                    <w:keepNext w:val="0"/>
                    <w:keepLines w:val="0"/>
                    <w:suppressLineNumbers w:val="0"/>
                    <w:spacing w:before="0" w:beforeAutospacing="0" w:after="0" w:afterAutospacing="0"/>
                    <w:ind w:left="0" w:leftChars="0" w:right="0" w:rightChars="0"/>
                    <w:jc w:val="center"/>
                    <w:rPr>
                      <w:rFonts w:hint="eastAsia" w:cs="Times New Roman"/>
                      <w:b w:val="0"/>
                      <w:bCs w:val="0"/>
                      <w:color w:val="000000" w:themeColor="text1"/>
                      <w:sz w:val="21"/>
                      <w:szCs w:val="21"/>
                      <w:highlight w:val="none"/>
                      <w:lang w:val="en-US" w:eastAsia="zh-CN" w:bidi="en-US"/>
                      <w14:textFill>
                        <w14:solidFill>
                          <w14:schemeClr w14:val="tx1"/>
                        </w14:solidFill>
                      </w14:textFill>
                    </w:rPr>
                  </w:pPr>
                  <w:r>
                    <w:rPr>
                      <w:rFonts w:hint="eastAsia" w:cs="Times New Roman"/>
                      <w:b w:val="0"/>
                      <w:bCs w:val="0"/>
                      <w:color w:val="000000" w:themeColor="text1"/>
                      <w:sz w:val="21"/>
                      <w:szCs w:val="21"/>
                      <w:highlight w:val="none"/>
                      <w:lang w:val="en-US" w:eastAsia="zh-CN" w:bidi="en-US"/>
                      <w14:textFill>
                        <w14:solidFill>
                          <w14:schemeClr w14:val="tx1"/>
                        </w14:solidFill>
                      </w14:textFill>
                    </w:rPr>
                    <w:t>+5</w:t>
                  </w:r>
                </w:p>
              </w:tc>
            </w:tr>
            <w:tr w14:paraId="42E4E93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330" w:type="pct"/>
                  <w:vMerge w:val="continue"/>
                  <w:vAlign w:val="center"/>
                </w:tcPr>
                <w:p w14:paraId="2FBFC82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pPr>
                </w:p>
              </w:tc>
              <w:tc>
                <w:tcPr>
                  <w:tcW w:w="348" w:type="pct"/>
                  <w:vMerge w:val="restart"/>
                  <w:vAlign w:val="center"/>
                </w:tcPr>
                <w:p w14:paraId="721C82D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片剂</w:t>
                  </w:r>
                </w:p>
              </w:tc>
              <w:tc>
                <w:tcPr>
                  <w:tcW w:w="1113" w:type="pct"/>
                  <w:vMerge w:val="restart"/>
                  <w:vAlign w:val="center"/>
                </w:tcPr>
                <w:p w14:paraId="31F9F749">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气滞胃痛片</w:t>
                  </w:r>
                </w:p>
              </w:tc>
              <w:tc>
                <w:tcPr>
                  <w:tcW w:w="490" w:type="pct"/>
                  <w:shd w:val="clear" w:color="auto" w:fill="auto"/>
                  <w:vAlign w:val="center"/>
                </w:tcPr>
                <w:p w14:paraId="670CF94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0"/>
                      <w:szCs w:val="21"/>
                      <w:highlight w:val="none"/>
                      <w14:textFill>
                        <w14:solidFill>
                          <w14:schemeClr w14:val="tx1"/>
                        </w14:solidFill>
                      </w14:textFill>
                    </w:rPr>
                    <w:t>0.25g/片</w:t>
                  </w:r>
                </w:p>
              </w:tc>
              <w:tc>
                <w:tcPr>
                  <w:tcW w:w="600" w:type="pct"/>
                  <w:shd w:val="clear" w:color="auto" w:fill="auto"/>
                  <w:vAlign w:val="center"/>
                </w:tcPr>
                <w:p w14:paraId="0E007B81">
                  <w:pPr>
                    <w:keepNext w:val="0"/>
                    <w:keepLines w:val="0"/>
                    <w:suppressLineNumbers w:val="0"/>
                    <w:autoSpaceDE w:val="0"/>
                    <w:autoSpaceDN w:val="0"/>
                    <w:adjustRightInd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14:textFill>
                        <w14:solidFill>
                          <w14:schemeClr w14:val="tx1"/>
                        </w14:solidFill>
                      </w14:textFill>
                    </w:rPr>
                  </w:pPr>
                  <w:r>
                    <w:rPr>
                      <w:rFonts w:hint="eastAsia" w:cs="Times New Roman"/>
                      <w:color w:val="000000" w:themeColor="text1"/>
                      <w:sz w:val="21"/>
                      <w:szCs w:val="21"/>
                      <w:highlight w:val="none"/>
                      <w:lang w:val="en-US" w:eastAsia="zh-CN" w:bidi="en-US"/>
                      <w14:textFill>
                        <w14:solidFill>
                          <w14:schemeClr w14:val="tx1"/>
                        </w14:solidFill>
                      </w14:textFill>
                    </w:rPr>
                    <w:t>0</w:t>
                  </w:r>
                </w:p>
              </w:tc>
              <w:tc>
                <w:tcPr>
                  <w:tcW w:w="756" w:type="pct"/>
                  <w:shd w:val="clear" w:color="auto" w:fill="auto"/>
                  <w:vAlign w:val="center"/>
                </w:tcPr>
                <w:p w14:paraId="5F683F1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0.5</w:t>
                  </w:r>
                </w:p>
              </w:tc>
              <w:tc>
                <w:tcPr>
                  <w:tcW w:w="679" w:type="pct"/>
                  <w:shd w:val="clear" w:color="auto" w:fill="auto"/>
                  <w:vAlign w:val="center"/>
                </w:tcPr>
                <w:p w14:paraId="7951186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0.5</w:t>
                  </w:r>
                </w:p>
              </w:tc>
              <w:tc>
                <w:tcPr>
                  <w:tcW w:w="1756" w:type="dxa"/>
                  <w:shd w:val="clear" w:color="auto" w:fill="auto"/>
                  <w:vAlign w:val="center"/>
                </w:tcPr>
                <w:p w14:paraId="5AE29B17">
                  <w:pPr>
                    <w:keepNext w:val="0"/>
                    <w:keepLines w:val="0"/>
                    <w:suppressLineNumbers w:val="0"/>
                    <w:spacing w:before="0" w:beforeAutospacing="0" w:after="0" w:afterAutospacing="0"/>
                    <w:ind w:left="0" w:leftChars="0" w:right="0" w:rightChars="0"/>
                    <w:jc w:val="center"/>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+0.5</w:t>
                  </w:r>
                </w:p>
              </w:tc>
            </w:tr>
            <w:tr w14:paraId="175DBFF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330" w:type="pct"/>
                  <w:vMerge w:val="continue"/>
                  <w:vAlign w:val="center"/>
                </w:tcPr>
                <w:p w14:paraId="3C7218AD">
                  <w:pPr>
                    <w:keepNext w:val="0"/>
                    <w:keepLines w:val="0"/>
                    <w:suppressLineNumbers w:val="0"/>
                    <w:spacing w:before="0" w:beforeAutospacing="0" w:after="0" w:afterAutospacing="0"/>
                    <w:ind w:left="0" w:leftChars="0" w:right="0" w:rightChars="0"/>
                    <w:jc w:val="center"/>
                    <w:rPr>
                      <w:rFonts w:hint="default"/>
                      <w:color w:val="000000" w:themeColor="text1"/>
                      <w:highlight w:val="none"/>
                      <w14:textFill>
                        <w14:solidFill>
                          <w14:schemeClr w14:val="tx1"/>
                        </w14:solidFill>
                      </w14:textFill>
                    </w:rPr>
                  </w:pPr>
                </w:p>
              </w:tc>
              <w:tc>
                <w:tcPr>
                  <w:tcW w:w="348" w:type="pct"/>
                  <w:vMerge w:val="continue"/>
                  <w:vAlign w:val="center"/>
                </w:tcPr>
                <w:p w14:paraId="57B8961B">
                  <w:pPr>
                    <w:keepNext w:val="0"/>
                    <w:keepLines w:val="0"/>
                    <w:suppressLineNumbers w:val="0"/>
                    <w:spacing w:before="0" w:beforeAutospacing="0" w:after="0" w:afterAutospacing="0"/>
                    <w:ind w:left="0" w:leftChars="0" w:right="0" w:rightChars="0"/>
                    <w:jc w:val="center"/>
                    <w:rPr>
                      <w:rFonts w:hint="default"/>
                      <w:color w:val="000000" w:themeColor="text1"/>
                      <w:highlight w:val="none"/>
                      <w14:textFill>
                        <w14:solidFill>
                          <w14:schemeClr w14:val="tx1"/>
                        </w14:solidFill>
                      </w14:textFill>
                    </w:rPr>
                  </w:pPr>
                </w:p>
              </w:tc>
              <w:tc>
                <w:tcPr>
                  <w:tcW w:w="1113" w:type="pct"/>
                  <w:vMerge w:val="continue"/>
                  <w:vAlign w:val="center"/>
                </w:tcPr>
                <w:p w14:paraId="706153C9">
                  <w:pPr>
                    <w:keepNext w:val="0"/>
                    <w:keepLines w:val="0"/>
                    <w:suppressLineNumbers w:val="0"/>
                    <w:spacing w:before="0" w:beforeAutospacing="0" w:after="0" w:afterAutospacing="0"/>
                    <w:ind w:left="0" w:leftChars="0" w:right="0" w:rightChars="0"/>
                    <w:jc w:val="center"/>
                    <w:rPr>
                      <w:rFonts w:hint="default"/>
                      <w:color w:val="000000" w:themeColor="text1"/>
                      <w:highlight w:val="none"/>
                      <w14:textFill>
                        <w14:solidFill>
                          <w14:schemeClr w14:val="tx1"/>
                        </w14:solidFill>
                      </w14:textFill>
                    </w:rPr>
                  </w:pPr>
                </w:p>
              </w:tc>
              <w:tc>
                <w:tcPr>
                  <w:tcW w:w="490" w:type="pct"/>
                  <w:shd w:val="clear" w:color="auto" w:fill="auto"/>
                  <w:vAlign w:val="center"/>
                </w:tcPr>
                <w:p w14:paraId="5B655C2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14:textFill>
                        <w14:solidFill>
                          <w14:schemeClr w14:val="tx1"/>
                        </w14:solidFill>
                      </w14:textFill>
                    </w:rPr>
                    <w:t>0.5g/片</w:t>
                  </w:r>
                </w:p>
              </w:tc>
              <w:tc>
                <w:tcPr>
                  <w:tcW w:w="600" w:type="pct"/>
                  <w:shd w:val="clear" w:color="auto" w:fill="auto"/>
                  <w:vAlign w:val="center"/>
                </w:tcPr>
                <w:p w14:paraId="1CDCD6A3">
                  <w:pPr>
                    <w:keepNext w:val="0"/>
                    <w:keepLines w:val="0"/>
                    <w:suppressLineNumbers w:val="0"/>
                    <w:autoSpaceDE w:val="0"/>
                    <w:autoSpaceDN w:val="0"/>
                    <w:adjustRightInd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14:textFill>
                        <w14:solidFill>
                          <w14:schemeClr w14:val="tx1"/>
                        </w14:solidFill>
                      </w14:textFill>
                    </w:rPr>
                  </w:pPr>
                  <w:r>
                    <w:rPr>
                      <w:rFonts w:hint="eastAsia" w:cs="Times New Roman"/>
                      <w:color w:val="000000" w:themeColor="text1"/>
                      <w:sz w:val="21"/>
                      <w:szCs w:val="21"/>
                      <w:highlight w:val="none"/>
                      <w:lang w:val="en-US" w:eastAsia="zh-CN" w:bidi="en-US"/>
                      <w14:textFill>
                        <w14:solidFill>
                          <w14:schemeClr w14:val="tx1"/>
                        </w14:solidFill>
                      </w14:textFill>
                    </w:rPr>
                    <w:t>0</w:t>
                  </w:r>
                </w:p>
              </w:tc>
              <w:tc>
                <w:tcPr>
                  <w:tcW w:w="756" w:type="pct"/>
                  <w:shd w:val="clear" w:color="auto" w:fill="auto"/>
                  <w:vAlign w:val="center"/>
                </w:tcPr>
                <w:p w14:paraId="7C3FFAA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0.5</w:t>
                  </w:r>
                </w:p>
              </w:tc>
              <w:tc>
                <w:tcPr>
                  <w:tcW w:w="679" w:type="pct"/>
                  <w:shd w:val="clear" w:color="auto" w:fill="auto"/>
                  <w:vAlign w:val="center"/>
                </w:tcPr>
                <w:p w14:paraId="1ABABE7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0.5</w:t>
                  </w:r>
                </w:p>
              </w:tc>
              <w:tc>
                <w:tcPr>
                  <w:tcW w:w="1756" w:type="dxa"/>
                  <w:shd w:val="clear" w:color="auto" w:fill="auto"/>
                  <w:vAlign w:val="center"/>
                </w:tcPr>
                <w:p w14:paraId="2709F2E2">
                  <w:pPr>
                    <w:keepNext w:val="0"/>
                    <w:keepLines w:val="0"/>
                    <w:suppressLineNumbers w:val="0"/>
                    <w:spacing w:before="0" w:beforeAutospacing="0" w:after="0" w:afterAutospacing="0"/>
                    <w:ind w:left="0" w:leftChars="0" w:right="0" w:rightChars="0"/>
                    <w:jc w:val="center"/>
                    <w:rPr>
                      <w:rFonts w:hint="eastAsia"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+0.5</w:t>
                  </w:r>
                </w:p>
              </w:tc>
            </w:tr>
            <w:tr w14:paraId="6E11E08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30" w:type="pct"/>
                  <w:vMerge w:val="continue"/>
                  <w:vAlign w:val="center"/>
                </w:tcPr>
                <w:p w14:paraId="166CCB0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pPr>
                </w:p>
              </w:tc>
              <w:tc>
                <w:tcPr>
                  <w:tcW w:w="348" w:type="pct"/>
                  <w:vMerge w:val="continue"/>
                  <w:vAlign w:val="center"/>
                </w:tcPr>
                <w:p w14:paraId="2D8816D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pPr>
                </w:p>
              </w:tc>
              <w:tc>
                <w:tcPr>
                  <w:tcW w:w="1113" w:type="pct"/>
                  <w:vAlign w:val="center"/>
                </w:tcPr>
                <w:p w14:paraId="348AED45">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阴虚胃痛片</w:t>
                  </w:r>
                </w:p>
              </w:tc>
              <w:tc>
                <w:tcPr>
                  <w:tcW w:w="490" w:type="pct"/>
                  <w:shd w:val="clear" w:color="auto" w:fill="auto"/>
                  <w:vAlign w:val="center"/>
                </w:tcPr>
                <w:p w14:paraId="63B2352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0"/>
                      <w:szCs w:val="21"/>
                      <w:highlight w:val="none"/>
                      <w14:textFill>
                        <w14:solidFill>
                          <w14:schemeClr w14:val="tx1"/>
                        </w14:solidFill>
                      </w14:textFill>
                    </w:rPr>
                    <w:t>0.25g/片</w:t>
                  </w:r>
                </w:p>
              </w:tc>
              <w:tc>
                <w:tcPr>
                  <w:tcW w:w="600" w:type="pct"/>
                  <w:shd w:val="clear" w:color="auto" w:fill="auto"/>
                  <w:vAlign w:val="center"/>
                </w:tcPr>
                <w:p w14:paraId="0D909EE8">
                  <w:pPr>
                    <w:keepNext w:val="0"/>
                    <w:keepLines w:val="0"/>
                    <w:suppressLineNumbers w:val="0"/>
                    <w:autoSpaceDE w:val="0"/>
                    <w:autoSpaceDN w:val="0"/>
                    <w:adjustRightInd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14:textFill>
                        <w14:solidFill>
                          <w14:schemeClr w14:val="tx1"/>
                        </w14:solidFill>
                      </w14:textFill>
                    </w:rPr>
                  </w:pPr>
                  <w:r>
                    <w:rPr>
                      <w:rFonts w:hint="eastAsia" w:cs="Times New Roman"/>
                      <w:color w:val="000000" w:themeColor="text1"/>
                      <w:sz w:val="21"/>
                      <w:szCs w:val="21"/>
                      <w:highlight w:val="none"/>
                      <w:lang w:val="en-US" w:eastAsia="zh-CN" w:bidi="en-US"/>
                      <w14:textFill>
                        <w14:solidFill>
                          <w14:schemeClr w14:val="tx1"/>
                        </w14:solidFill>
                      </w14:textFill>
                    </w:rPr>
                    <w:t>0</w:t>
                  </w:r>
                </w:p>
              </w:tc>
              <w:tc>
                <w:tcPr>
                  <w:tcW w:w="756" w:type="pct"/>
                  <w:shd w:val="clear" w:color="auto" w:fill="auto"/>
                  <w:vAlign w:val="center"/>
                </w:tcPr>
                <w:p w14:paraId="246401E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1</w:t>
                  </w:r>
                </w:p>
              </w:tc>
              <w:tc>
                <w:tcPr>
                  <w:tcW w:w="679" w:type="pct"/>
                  <w:shd w:val="clear" w:color="auto" w:fill="auto"/>
                  <w:vAlign w:val="center"/>
                </w:tcPr>
                <w:p w14:paraId="5747D012">
                  <w:pPr>
                    <w:keepNext w:val="0"/>
                    <w:keepLines w:val="0"/>
                    <w:suppressLineNumbers w:val="0"/>
                    <w:spacing w:before="0" w:beforeAutospacing="0" w:after="0" w:afterAutospacing="0"/>
                    <w:ind w:left="0" w:leftChars="0" w:right="0" w:rightChars="0"/>
                    <w:jc w:val="center"/>
                    <w:rPr>
                      <w:rFonts w:hint="default" w:ascii="Times New Roman" w:hAnsi="Times New Roman"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1</w:t>
                  </w:r>
                </w:p>
              </w:tc>
              <w:tc>
                <w:tcPr>
                  <w:tcW w:w="1756" w:type="dxa"/>
                  <w:shd w:val="clear" w:color="auto" w:fill="auto"/>
                  <w:vAlign w:val="center"/>
                </w:tcPr>
                <w:p w14:paraId="63CFC74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Cs w:val="21"/>
                      <w:highlight w:val="none"/>
                      <w14:textFill>
                        <w14:solidFill>
                          <w14:schemeClr w14:val="tx1"/>
                        </w14:solidFill>
                      </w14:textFill>
                    </w:rPr>
                    <w:t>1</w:t>
                  </w:r>
                </w:p>
              </w:tc>
            </w:tr>
            <w:tr w14:paraId="23201E7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30" w:type="pct"/>
                  <w:vMerge w:val="continue"/>
                  <w:vAlign w:val="center"/>
                </w:tcPr>
                <w:p w14:paraId="71851C5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pPr>
                </w:p>
              </w:tc>
              <w:tc>
                <w:tcPr>
                  <w:tcW w:w="1951" w:type="pct"/>
                  <w:gridSpan w:val="3"/>
                  <w:vAlign w:val="center"/>
                </w:tcPr>
                <w:p w14:paraId="26C4DE1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片剂</w:t>
                  </w:r>
                  <w:r>
                    <w:rPr>
                      <w:rFonts w:hint="eastAsia" w:cs="Times New Roman"/>
                      <w:b w:val="0"/>
                      <w:bCs w:val="0"/>
                      <w:color w:val="000000" w:themeColor="text1"/>
                      <w:kern w:val="0"/>
                      <w:sz w:val="21"/>
                      <w:szCs w:val="21"/>
                      <w:highlight w:val="none"/>
                      <w:lang w:val="en-US" w:eastAsia="zh-CN"/>
                      <w14:textFill>
                        <w14:solidFill>
                          <w14:schemeClr w14:val="tx1"/>
                        </w14:solidFill>
                      </w14:textFill>
                    </w:rPr>
                    <w:t>总计</w:t>
                  </w:r>
                </w:p>
              </w:tc>
              <w:tc>
                <w:tcPr>
                  <w:tcW w:w="600" w:type="pct"/>
                  <w:shd w:val="clear" w:color="auto" w:fill="auto"/>
                  <w:vAlign w:val="center"/>
                </w:tcPr>
                <w:p w14:paraId="520162CE">
                  <w:pPr>
                    <w:keepNext w:val="0"/>
                    <w:keepLines w:val="0"/>
                    <w:suppressLineNumbers w:val="0"/>
                    <w:autoSpaceDE w:val="0"/>
                    <w:autoSpaceDN w:val="0"/>
                    <w:adjustRightInd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bidi="en-US"/>
                      <w14:textFill>
                        <w14:solidFill>
                          <w14:schemeClr w14:val="tx1"/>
                        </w14:solidFill>
                      </w14:textFill>
                    </w:rPr>
                    <w:t>0</w:t>
                  </w:r>
                </w:p>
              </w:tc>
              <w:tc>
                <w:tcPr>
                  <w:tcW w:w="756" w:type="pct"/>
                  <w:shd w:val="clear" w:color="auto" w:fill="auto"/>
                  <w:vAlign w:val="center"/>
                </w:tcPr>
                <w:p w14:paraId="6C28FEA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en-US"/>
                      <w14:textFill>
                        <w14:solidFill>
                          <w14:schemeClr w14:val="tx1"/>
                        </w14:solidFill>
                      </w14:textFill>
                    </w:rPr>
                  </w:pPr>
                  <w:r>
                    <w:rPr>
                      <w:rFonts w:hint="eastAsia" w:cs="Times New Roman"/>
                      <w:b w:val="0"/>
                      <w:bCs w:val="0"/>
                      <w:color w:val="000000" w:themeColor="text1"/>
                      <w:szCs w:val="21"/>
                      <w:highlight w:val="none"/>
                      <w:lang w:val="en-US" w:eastAsia="zh-CN"/>
                      <w14:textFill>
                        <w14:solidFill>
                          <w14:schemeClr w14:val="tx1"/>
                        </w14:solidFill>
                      </w14:textFill>
                    </w:rPr>
                    <w:t>2</w:t>
                  </w:r>
                </w:p>
              </w:tc>
              <w:tc>
                <w:tcPr>
                  <w:tcW w:w="679" w:type="pct"/>
                  <w:shd w:val="clear" w:color="auto" w:fill="auto"/>
                  <w:vAlign w:val="center"/>
                </w:tcPr>
                <w:p w14:paraId="1DDE476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Cs w:val="21"/>
                      <w:highlight w:val="none"/>
                      <w:lang w:val="en-US" w:eastAsia="zh-CN"/>
                      <w14:textFill>
                        <w14:solidFill>
                          <w14:schemeClr w14:val="tx1"/>
                        </w14:solidFill>
                      </w14:textFill>
                    </w:rPr>
                    <w:t>2</w:t>
                  </w:r>
                </w:p>
              </w:tc>
              <w:tc>
                <w:tcPr>
                  <w:tcW w:w="1756" w:type="dxa"/>
                  <w:shd w:val="clear" w:color="auto" w:fill="auto"/>
                  <w:vAlign w:val="center"/>
                </w:tcPr>
                <w:p w14:paraId="0783971E">
                  <w:pPr>
                    <w:keepNext w:val="0"/>
                    <w:keepLines w:val="0"/>
                    <w:suppressLineNumbers w:val="0"/>
                    <w:spacing w:before="0" w:beforeAutospacing="0" w:after="0" w:afterAutospacing="0"/>
                    <w:ind w:left="0" w:leftChars="0" w:right="0" w:rightChars="0"/>
                    <w:jc w:val="center"/>
                    <w:rPr>
                      <w:rFonts w:hint="eastAsia" w:cs="Times New Roman"/>
                      <w:b w:val="0"/>
                      <w:bCs w:val="0"/>
                      <w:color w:val="000000" w:themeColor="text1"/>
                      <w:szCs w:val="21"/>
                      <w:highlight w:val="none"/>
                      <w:lang w:val="en-US" w:eastAsia="zh-CN"/>
                      <w14:textFill>
                        <w14:solidFill>
                          <w14:schemeClr w14:val="tx1"/>
                        </w14:solidFill>
                      </w14:textFill>
                    </w:rPr>
                  </w:pPr>
                  <w:r>
                    <w:rPr>
                      <w:rFonts w:hint="eastAsia" w:cs="Times New Roman"/>
                      <w:b w:val="0"/>
                      <w:bCs w:val="0"/>
                      <w:color w:val="000000" w:themeColor="text1"/>
                      <w:szCs w:val="21"/>
                      <w:highlight w:val="none"/>
                      <w:lang w:val="en-US" w:eastAsia="zh-CN"/>
                      <w14:textFill>
                        <w14:solidFill>
                          <w14:schemeClr w14:val="tx1"/>
                        </w14:solidFill>
                      </w14:textFill>
                    </w:rPr>
                    <w:t>+2</w:t>
                  </w:r>
                </w:p>
              </w:tc>
            </w:tr>
            <w:tr w14:paraId="1E0C6B4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30" w:type="pct"/>
                  <w:vMerge w:val="continue"/>
                  <w:vAlign w:val="center"/>
                </w:tcPr>
                <w:p w14:paraId="3E32EF1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pPr>
                </w:p>
              </w:tc>
              <w:tc>
                <w:tcPr>
                  <w:tcW w:w="348" w:type="pct"/>
                  <w:vMerge w:val="restart"/>
                  <w:vAlign w:val="center"/>
                </w:tcPr>
                <w:p w14:paraId="218D2EA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胶囊剂</w:t>
                  </w:r>
                </w:p>
              </w:tc>
              <w:tc>
                <w:tcPr>
                  <w:tcW w:w="1113" w:type="pct"/>
                  <w:vAlign w:val="center"/>
                </w:tcPr>
                <w:p w14:paraId="75392A27">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阴虚胃痛胶囊</w:t>
                  </w:r>
                </w:p>
              </w:tc>
              <w:tc>
                <w:tcPr>
                  <w:tcW w:w="490" w:type="pct"/>
                  <w:shd w:val="clear" w:color="auto" w:fill="auto"/>
                  <w:vAlign w:val="center"/>
                </w:tcPr>
                <w:p w14:paraId="2A39F71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0"/>
                      <w:szCs w:val="21"/>
                      <w:highlight w:val="none"/>
                      <w14:textFill>
                        <w14:solidFill>
                          <w14:schemeClr w14:val="tx1"/>
                        </w14:solidFill>
                      </w14:textFill>
                    </w:rPr>
                    <w:t>0.38g/粒</w:t>
                  </w:r>
                </w:p>
              </w:tc>
              <w:tc>
                <w:tcPr>
                  <w:tcW w:w="600" w:type="pct"/>
                  <w:shd w:val="clear" w:color="auto" w:fill="auto"/>
                  <w:vAlign w:val="center"/>
                </w:tcPr>
                <w:p w14:paraId="399799A4">
                  <w:pPr>
                    <w:keepNext w:val="0"/>
                    <w:keepLines w:val="0"/>
                    <w:suppressLineNumbers w:val="0"/>
                    <w:autoSpaceDE w:val="0"/>
                    <w:autoSpaceDN w:val="0"/>
                    <w:adjustRightInd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14:textFill>
                        <w14:solidFill>
                          <w14:schemeClr w14:val="tx1"/>
                        </w14:solidFill>
                      </w14:textFill>
                    </w:rPr>
                  </w:pPr>
                  <w:r>
                    <w:rPr>
                      <w:rFonts w:hint="eastAsia" w:cs="Times New Roman"/>
                      <w:color w:val="000000" w:themeColor="text1"/>
                      <w:sz w:val="21"/>
                      <w:szCs w:val="21"/>
                      <w:highlight w:val="none"/>
                      <w:lang w:val="en-US" w:eastAsia="zh-CN" w:bidi="en-US"/>
                      <w14:textFill>
                        <w14:solidFill>
                          <w14:schemeClr w14:val="tx1"/>
                        </w14:solidFill>
                      </w14:textFill>
                    </w:rPr>
                    <w:t>0</w:t>
                  </w:r>
                </w:p>
              </w:tc>
              <w:tc>
                <w:tcPr>
                  <w:tcW w:w="756" w:type="pct"/>
                  <w:shd w:val="clear" w:color="auto" w:fill="auto"/>
                  <w:vAlign w:val="center"/>
                </w:tcPr>
                <w:p w14:paraId="7A75C9F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0.8</w:t>
                  </w:r>
                </w:p>
              </w:tc>
              <w:tc>
                <w:tcPr>
                  <w:tcW w:w="679" w:type="pct"/>
                  <w:shd w:val="clear" w:color="auto" w:fill="auto"/>
                  <w:vAlign w:val="center"/>
                </w:tcPr>
                <w:p w14:paraId="18A8ECD0">
                  <w:pPr>
                    <w:keepNext w:val="0"/>
                    <w:keepLines w:val="0"/>
                    <w:suppressLineNumbers w:val="0"/>
                    <w:spacing w:before="0" w:beforeAutospacing="0" w:after="0" w:afterAutospacing="0"/>
                    <w:ind w:left="0" w:leftChars="0" w:right="0" w:rightChars="0"/>
                    <w:jc w:val="center"/>
                    <w:rPr>
                      <w:rFonts w:hint="default" w:ascii="Times New Roman" w:hAnsi="Times New Roman"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0.8</w:t>
                  </w:r>
                </w:p>
              </w:tc>
              <w:tc>
                <w:tcPr>
                  <w:tcW w:w="1756" w:type="dxa"/>
                  <w:shd w:val="clear" w:color="auto" w:fill="auto"/>
                  <w:vAlign w:val="center"/>
                </w:tcPr>
                <w:p w14:paraId="40C6514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Cs w:val="21"/>
                      <w:highlight w:val="none"/>
                      <w14:textFill>
                        <w14:solidFill>
                          <w14:schemeClr w14:val="tx1"/>
                        </w14:solidFill>
                      </w14:textFill>
                    </w:rPr>
                    <w:t>0.8</w:t>
                  </w:r>
                </w:p>
              </w:tc>
            </w:tr>
            <w:tr w14:paraId="56CBF7B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30" w:type="pct"/>
                  <w:vMerge w:val="continue"/>
                  <w:vAlign w:val="center"/>
                </w:tcPr>
                <w:p w14:paraId="7C94C2E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pPr>
                </w:p>
              </w:tc>
              <w:tc>
                <w:tcPr>
                  <w:tcW w:w="348" w:type="pct"/>
                  <w:vMerge w:val="continue"/>
                  <w:vAlign w:val="center"/>
                </w:tcPr>
                <w:p w14:paraId="5CA182B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pPr>
                </w:p>
              </w:tc>
              <w:tc>
                <w:tcPr>
                  <w:tcW w:w="1113" w:type="pct"/>
                  <w:vAlign w:val="center"/>
                </w:tcPr>
                <w:p w14:paraId="154905AC">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寒湿痹胶囊</w:t>
                  </w:r>
                </w:p>
              </w:tc>
              <w:tc>
                <w:tcPr>
                  <w:tcW w:w="490" w:type="pct"/>
                  <w:shd w:val="clear" w:color="auto" w:fill="auto"/>
                  <w:vAlign w:val="center"/>
                </w:tcPr>
                <w:p w14:paraId="60270A1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0"/>
                      <w:szCs w:val="21"/>
                      <w:highlight w:val="none"/>
                      <w14:textFill>
                        <w14:solidFill>
                          <w14:schemeClr w14:val="tx1"/>
                        </w14:solidFill>
                      </w14:textFill>
                    </w:rPr>
                    <w:t>0.5</w:t>
                  </w:r>
                  <w:r>
                    <w:rPr>
                      <w:rFonts w:hint="default" w:ascii="Times New Roman" w:hAnsi="Times New Roman" w:eastAsia="宋体" w:cs="Times New Roman"/>
                      <w:color w:val="000000" w:themeColor="text1"/>
                      <w:kern w:val="0"/>
                      <w:szCs w:val="21"/>
                      <w:highlight w:val="none"/>
                      <w14:textFill>
                        <w14:solidFill>
                          <w14:schemeClr w14:val="tx1"/>
                        </w14:solidFill>
                      </w14:textFill>
                    </w:rPr>
                    <w:t>g/</w:t>
                  </w:r>
                  <w:r>
                    <w:rPr>
                      <w:rFonts w:hint="eastAsia" w:ascii="Times New Roman" w:hAnsi="Times New Roman" w:eastAsia="宋体" w:cs="Times New Roman"/>
                      <w:color w:val="000000" w:themeColor="text1"/>
                      <w:kern w:val="0"/>
                      <w:szCs w:val="21"/>
                      <w:highlight w:val="none"/>
                      <w14:textFill>
                        <w14:solidFill>
                          <w14:schemeClr w14:val="tx1"/>
                        </w14:solidFill>
                      </w14:textFill>
                    </w:rPr>
                    <w:t>粒</w:t>
                  </w:r>
                </w:p>
              </w:tc>
              <w:tc>
                <w:tcPr>
                  <w:tcW w:w="600" w:type="pct"/>
                  <w:shd w:val="clear" w:color="auto" w:fill="auto"/>
                  <w:vAlign w:val="center"/>
                </w:tcPr>
                <w:p w14:paraId="47B18D2E">
                  <w:pPr>
                    <w:keepNext w:val="0"/>
                    <w:keepLines w:val="0"/>
                    <w:suppressLineNumbers w:val="0"/>
                    <w:autoSpaceDE w:val="0"/>
                    <w:autoSpaceDN w:val="0"/>
                    <w:adjustRightInd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14:textFill>
                        <w14:solidFill>
                          <w14:schemeClr w14:val="tx1"/>
                        </w14:solidFill>
                      </w14:textFill>
                    </w:rPr>
                  </w:pPr>
                  <w:r>
                    <w:rPr>
                      <w:rFonts w:hint="eastAsia" w:cs="Times New Roman"/>
                      <w:color w:val="000000" w:themeColor="text1"/>
                      <w:sz w:val="21"/>
                      <w:szCs w:val="21"/>
                      <w:highlight w:val="none"/>
                      <w:lang w:val="en-US" w:eastAsia="zh-CN" w:bidi="en-US"/>
                      <w14:textFill>
                        <w14:solidFill>
                          <w14:schemeClr w14:val="tx1"/>
                        </w14:solidFill>
                      </w14:textFill>
                    </w:rPr>
                    <w:t>0</w:t>
                  </w:r>
                </w:p>
              </w:tc>
              <w:tc>
                <w:tcPr>
                  <w:tcW w:w="756" w:type="pct"/>
                  <w:shd w:val="clear" w:color="auto" w:fill="auto"/>
                  <w:vAlign w:val="center"/>
                </w:tcPr>
                <w:p w14:paraId="04CBD8D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1</w:t>
                  </w:r>
                </w:p>
              </w:tc>
              <w:tc>
                <w:tcPr>
                  <w:tcW w:w="679" w:type="pct"/>
                  <w:shd w:val="clear" w:color="auto" w:fill="auto"/>
                  <w:vAlign w:val="center"/>
                </w:tcPr>
                <w:p w14:paraId="697DBD36">
                  <w:pPr>
                    <w:keepNext w:val="0"/>
                    <w:keepLines w:val="0"/>
                    <w:suppressLineNumbers w:val="0"/>
                    <w:spacing w:before="0" w:beforeAutospacing="0" w:after="0" w:afterAutospacing="0"/>
                    <w:ind w:left="0" w:leftChars="0" w:right="0" w:rightChars="0"/>
                    <w:jc w:val="center"/>
                    <w:rPr>
                      <w:rFonts w:hint="default" w:ascii="Times New Roman" w:hAnsi="Times New Roman"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1</w:t>
                  </w:r>
                </w:p>
              </w:tc>
              <w:tc>
                <w:tcPr>
                  <w:tcW w:w="1756" w:type="dxa"/>
                  <w:shd w:val="clear" w:color="auto" w:fill="auto"/>
                  <w:vAlign w:val="center"/>
                </w:tcPr>
                <w:p w14:paraId="3779347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Cs w:val="21"/>
                      <w:highlight w:val="none"/>
                      <w14:textFill>
                        <w14:solidFill>
                          <w14:schemeClr w14:val="tx1"/>
                        </w14:solidFill>
                      </w14:textFill>
                    </w:rPr>
                    <w:t>1</w:t>
                  </w:r>
                </w:p>
              </w:tc>
            </w:tr>
            <w:tr w14:paraId="340C666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30" w:type="pct"/>
                  <w:vMerge w:val="continue"/>
                  <w:vAlign w:val="center"/>
                </w:tcPr>
                <w:p w14:paraId="07EEEF6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pPr>
                </w:p>
              </w:tc>
              <w:tc>
                <w:tcPr>
                  <w:tcW w:w="348" w:type="pct"/>
                  <w:vMerge w:val="continue"/>
                  <w:vAlign w:val="center"/>
                </w:tcPr>
                <w:p w14:paraId="4B18AFA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pPr>
                </w:p>
              </w:tc>
              <w:tc>
                <w:tcPr>
                  <w:tcW w:w="1113" w:type="pct"/>
                  <w:vAlign w:val="center"/>
                </w:tcPr>
                <w:p w14:paraId="2826B3F9">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尪痹胶囊</w:t>
                  </w:r>
                </w:p>
              </w:tc>
              <w:tc>
                <w:tcPr>
                  <w:tcW w:w="490" w:type="pct"/>
                  <w:shd w:val="clear" w:color="auto" w:fill="auto"/>
                  <w:vAlign w:val="center"/>
                </w:tcPr>
                <w:p w14:paraId="2249246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en-US"/>
                      <w14:textFill>
                        <w14:solidFill>
                          <w14:schemeClr w14:val="tx1"/>
                        </w14:solidFill>
                      </w14:textFill>
                    </w:rPr>
                  </w:pPr>
                  <w:r>
                    <w:rPr>
                      <w:rFonts w:hint="eastAsia" w:ascii="Times New Roman" w:hAnsi="Times New Roman" w:eastAsia="宋体" w:cs="Times New Roman"/>
                      <w:color w:val="000000" w:themeColor="text1"/>
                      <w:kern w:val="0"/>
                      <w:szCs w:val="21"/>
                      <w:highlight w:val="none"/>
                      <w14:textFill>
                        <w14:solidFill>
                          <w14:schemeClr w14:val="tx1"/>
                        </w14:solidFill>
                      </w14:textFill>
                    </w:rPr>
                    <w:t>0.55g/粒</w:t>
                  </w:r>
                </w:p>
              </w:tc>
              <w:tc>
                <w:tcPr>
                  <w:tcW w:w="600" w:type="pct"/>
                  <w:shd w:val="clear" w:color="auto" w:fill="auto"/>
                  <w:vAlign w:val="center"/>
                </w:tcPr>
                <w:p w14:paraId="6D034CD1">
                  <w:pPr>
                    <w:keepNext w:val="0"/>
                    <w:keepLines w:val="0"/>
                    <w:suppressLineNumbers w:val="0"/>
                    <w:autoSpaceDE w:val="0"/>
                    <w:autoSpaceDN w:val="0"/>
                    <w:adjustRightInd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14:textFill>
                        <w14:solidFill>
                          <w14:schemeClr w14:val="tx1"/>
                        </w14:solidFill>
                      </w14:textFill>
                    </w:rPr>
                  </w:pPr>
                  <w:r>
                    <w:rPr>
                      <w:rFonts w:hint="eastAsia" w:cs="Times New Roman"/>
                      <w:color w:val="000000" w:themeColor="text1"/>
                      <w:sz w:val="21"/>
                      <w:szCs w:val="21"/>
                      <w:highlight w:val="none"/>
                      <w:lang w:val="en-US" w:eastAsia="zh-CN" w:bidi="en-US"/>
                      <w14:textFill>
                        <w14:solidFill>
                          <w14:schemeClr w14:val="tx1"/>
                        </w14:solidFill>
                      </w14:textFill>
                    </w:rPr>
                    <w:t>0</w:t>
                  </w:r>
                </w:p>
              </w:tc>
              <w:tc>
                <w:tcPr>
                  <w:tcW w:w="756" w:type="pct"/>
                  <w:shd w:val="clear" w:color="auto" w:fill="auto"/>
                  <w:vAlign w:val="center"/>
                </w:tcPr>
                <w:p w14:paraId="4B0099B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1.7</w:t>
                  </w:r>
                </w:p>
              </w:tc>
              <w:tc>
                <w:tcPr>
                  <w:tcW w:w="679" w:type="pct"/>
                  <w:shd w:val="clear" w:color="auto" w:fill="auto"/>
                  <w:vAlign w:val="center"/>
                </w:tcPr>
                <w:p w14:paraId="53D39271">
                  <w:pPr>
                    <w:keepNext w:val="0"/>
                    <w:keepLines w:val="0"/>
                    <w:suppressLineNumbers w:val="0"/>
                    <w:spacing w:before="0" w:beforeAutospacing="0" w:after="0" w:afterAutospacing="0"/>
                    <w:ind w:left="0" w:leftChars="0" w:right="0" w:rightChars="0"/>
                    <w:jc w:val="center"/>
                    <w:rPr>
                      <w:rFonts w:hint="default" w:ascii="Times New Roman" w:hAnsi="Times New Roman"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1.7</w:t>
                  </w:r>
                </w:p>
              </w:tc>
              <w:tc>
                <w:tcPr>
                  <w:tcW w:w="1756" w:type="dxa"/>
                  <w:shd w:val="clear" w:color="auto" w:fill="auto"/>
                  <w:vAlign w:val="center"/>
                </w:tcPr>
                <w:p w14:paraId="741CF81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Cs w:val="21"/>
                      <w:highlight w:val="none"/>
                      <w14:textFill>
                        <w14:solidFill>
                          <w14:schemeClr w14:val="tx1"/>
                        </w14:solidFill>
                      </w14:textFill>
                    </w:rPr>
                    <w:t>1.7</w:t>
                  </w:r>
                </w:p>
              </w:tc>
            </w:tr>
            <w:tr w14:paraId="242BAB8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30" w:type="pct"/>
                  <w:vMerge w:val="continue"/>
                  <w:vAlign w:val="center"/>
                </w:tcPr>
                <w:p w14:paraId="571CC68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pPr>
                </w:p>
              </w:tc>
              <w:tc>
                <w:tcPr>
                  <w:tcW w:w="1951" w:type="pct"/>
                  <w:gridSpan w:val="3"/>
                  <w:vAlign w:val="center"/>
                </w:tcPr>
                <w:p w14:paraId="067B5A6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胶囊剂</w:t>
                  </w:r>
                  <w:r>
                    <w:rPr>
                      <w:rFonts w:hint="eastAsia" w:cs="Times New Roman"/>
                      <w:b w:val="0"/>
                      <w:bCs w:val="0"/>
                      <w:color w:val="000000" w:themeColor="text1"/>
                      <w:kern w:val="0"/>
                      <w:sz w:val="21"/>
                      <w:szCs w:val="21"/>
                      <w:highlight w:val="none"/>
                      <w:lang w:val="en-US" w:eastAsia="zh-CN"/>
                      <w14:textFill>
                        <w14:solidFill>
                          <w14:schemeClr w14:val="tx1"/>
                        </w14:solidFill>
                      </w14:textFill>
                    </w:rPr>
                    <w:t>总计</w:t>
                  </w:r>
                </w:p>
              </w:tc>
              <w:tc>
                <w:tcPr>
                  <w:tcW w:w="600" w:type="pct"/>
                  <w:vAlign w:val="center"/>
                </w:tcPr>
                <w:p w14:paraId="787FD5E3">
                  <w:pPr>
                    <w:keepNext w:val="0"/>
                    <w:keepLines w:val="0"/>
                    <w:suppressLineNumbers w:val="0"/>
                    <w:autoSpaceDE w:val="0"/>
                    <w:autoSpaceDN w:val="0"/>
                    <w:adjustRightInd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bidi="en-US"/>
                      <w14:textFill>
                        <w14:solidFill>
                          <w14:schemeClr w14:val="tx1"/>
                        </w14:solidFill>
                      </w14:textFill>
                    </w:rPr>
                    <w:t>0</w:t>
                  </w:r>
                </w:p>
              </w:tc>
              <w:tc>
                <w:tcPr>
                  <w:tcW w:w="756" w:type="pct"/>
                  <w:shd w:val="clear" w:color="auto" w:fill="auto"/>
                  <w:vAlign w:val="center"/>
                </w:tcPr>
                <w:p w14:paraId="61F6ED2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en-US"/>
                      <w14:textFill>
                        <w14:solidFill>
                          <w14:schemeClr w14:val="tx1"/>
                        </w14:solidFill>
                      </w14:textFill>
                    </w:rPr>
                  </w:pPr>
                  <w:r>
                    <w:rPr>
                      <w:rFonts w:hint="eastAsia" w:cs="Times New Roman"/>
                      <w:b w:val="0"/>
                      <w:bCs w:val="0"/>
                      <w:color w:val="000000" w:themeColor="text1"/>
                      <w:szCs w:val="21"/>
                      <w:highlight w:val="none"/>
                      <w:lang w:val="en-US" w:eastAsia="zh-CN"/>
                      <w14:textFill>
                        <w14:solidFill>
                          <w14:schemeClr w14:val="tx1"/>
                        </w14:solidFill>
                      </w14:textFill>
                    </w:rPr>
                    <w:t>3.5</w:t>
                  </w:r>
                </w:p>
              </w:tc>
              <w:tc>
                <w:tcPr>
                  <w:tcW w:w="679" w:type="pct"/>
                  <w:shd w:val="clear" w:color="auto" w:fill="auto"/>
                  <w:vAlign w:val="center"/>
                </w:tcPr>
                <w:p w14:paraId="2F50F9C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Cs w:val="21"/>
                      <w:highlight w:val="none"/>
                      <w:lang w:val="en-US" w:eastAsia="zh-CN"/>
                      <w14:textFill>
                        <w14:solidFill>
                          <w14:schemeClr w14:val="tx1"/>
                        </w14:solidFill>
                      </w14:textFill>
                    </w:rPr>
                    <w:t>3.5</w:t>
                  </w:r>
                </w:p>
              </w:tc>
              <w:tc>
                <w:tcPr>
                  <w:tcW w:w="1756" w:type="dxa"/>
                  <w:shd w:val="clear" w:color="auto" w:fill="auto"/>
                  <w:vAlign w:val="center"/>
                </w:tcPr>
                <w:p w14:paraId="693D3E70">
                  <w:pPr>
                    <w:keepNext w:val="0"/>
                    <w:keepLines w:val="0"/>
                    <w:suppressLineNumbers w:val="0"/>
                    <w:spacing w:before="0" w:beforeAutospacing="0" w:after="0" w:afterAutospacing="0"/>
                    <w:ind w:left="0" w:leftChars="0" w:right="0" w:rightChars="0"/>
                    <w:jc w:val="center"/>
                    <w:rPr>
                      <w:rFonts w:hint="eastAsia" w:cs="Times New Roman"/>
                      <w:b w:val="0"/>
                      <w:bCs w:val="0"/>
                      <w:color w:val="000000" w:themeColor="text1"/>
                      <w:szCs w:val="21"/>
                      <w:highlight w:val="none"/>
                      <w:lang w:val="en-US" w:eastAsia="zh-CN"/>
                      <w14:textFill>
                        <w14:solidFill>
                          <w14:schemeClr w14:val="tx1"/>
                        </w14:solidFill>
                      </w14:textFill>
                    </w:rPr>
                  </w:pPr>
                  <w:r>
                    <w:rPr>
                      <w:rFonts w:hint="eastAsia" w:cs="Times New Roman"/>
                      <w:b w:val="0"/>
                      <w:bCs w:val="0"/>
                      <w:color w:val="000000" w:themeColor="text1"/>
                      <w:szCs w:val="21"/>
                      <w:highlight w:val="none"/>
                      <w:lang w:val="en-US" w:eastAsia="zh-CN"/>
                      <w14:textFill>
                        <w14:solidFill>
                          <w14:schemeClr w14:val="tx1"/>
                        </w14:solidFill>
                      </w14:textFill>
                    </w:rPr>
                    <w:t>+3.5</w:t>
                  </w:r>
                </w:p>
              </w:tc>
            </w:tr>
            <w:tr w14:paraId="5E13936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30" w:type="pct"/>
                  <w:vMerge w:val="continue"/>
                  <w:vAlign w:val="center"/>
                </w:tcPr>
                <w:p w14:paraId="7641607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highlight w:val="none"/>
                      <w14:textFill>
                        <w14:solidFill>
                          <w14:schemeClr w14:val="tx1"/>
                        </w14:solidFill>
                      </w14:textFill>
                    </w:rPr>
                  </w:pPr>
                </w:p>
              </w:tc>
              <w:tc>
                <w:tcPr>
                  <w:tcW w:w="1951" w:type="pct"/>
                  <w:gridSpan w:val="3"/>
                  <w:vAlign w:val="center"/>
                </w:tcPr>
                <w:p w14:paraId="2E5221C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t>创新制剂车间总产</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能</w:t>
                  </w:r>
                </w:p>
              </w:tc>
              <w:tc>
                <w:tcPr>
                  <w:tcW w:w="600" w:type="pct"/>
                  <w:vAlign w:val="center"/>
                </w:tcPr>
                <w:p w14:paraId="589D5EAF">
                  <w:pPr>
                    <w:keepNext w:val="0"/>
                    <w:keepLines w:val="0"/>
                    <w:suppressLineNumbers w:val="0"/>
                    <w:autoSpaceDE w:val="0"/>
                    <w:autoSpaceDN w:val="0"/>
                    <w:adjustRightInd w:val="0"/>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pPr>
                  <w:r>
                    <w:rPr>
                      <w:rFonts w:hint="eastAsia" w:cs="Times New Roman"/>
                      <w:b w:val="0"/>
                      <w:bCs w:val="0"/>
                      <w:color w:val="000000" w:themeColor="text1"/>
                      <w:sz w:val="21"/>
                      <w:szCs w:val="21"/>
                      <w:highlight w:val="none"/>
                      <w:lang w:val="en-US" w:eastAsia="zh-CN" w:bidi="en-US"/>
                      <w14:textFill>
                        <w14:solidFill>
                          <w14:schemeClr w14:val="tx1"/>
                        </w14:solidFill>
                      </w14:textFill>
                    </w:rPr>
                    <w:t>0</w:t>
                  </w:r>
                </w:p>
              </w:tc>
              <w:tc>
                <w:tcPr>
                  <w:tcW w:w="756" w:type="pct"/>
                  <w:shd w:val="clear" w:color="auto" w:fill="auto"/>
                  <w:vAlign w:val="center"/>
                </w:tcPr>
                <w:p w14:paraId="49DE167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Cs w:val="21"/>
                      <w:highlight w:val="none"/>
                      <w:lang w:val="en-US" w:eastAsia="zh-CN"/>
                      <w14:textFill>
                        <w14:solidFill>
                          <w14:schemeClr w14:val="tx1"/>
                        </w14:solidFill>
                      </w14:textFill>
                    </w:rPr>
                    <w:t>10.5</w:t>
                  </w:r>
                </w:p>
              </w:tc>
              <w:tc>
                <w:tcPr>
                  <w:tcW w:w="679" w:type="pct"/>
                  <w:shd w:val="clear" w:color="auto" w:fill="auto"/>
                  <w:vAlign w:val="center"/>
                </w:tcPr>
                <w:p w14:paraId="4A19784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Cs w:val="21"/>
                      <w:highlight w:val="none"/>
                      <w:lang w:val="en-US" w:eastAsia="zh-CN"/>
                      <w14:textFill>
                        <w14:solidFill>
                          <w14:schemeClr w14:val="tx1"/>
                        </w14:solidFill>
                      </w14:textFill>
                    </w:rPr>
                    <w:t>10.5</w:t>
                  </w:r>
                </w:p>
              </w:tc>
              <w:tc>
                <w:tcPr>
                  <w:tcW w:w="1756" w:type="dxa"/>
                  <w:shd w:val="clear" w:color="auto" w:fill="auto"/>
                  <w:vAlign w:val="center"/>
                </w:tcPr>
                <w:p w14:paraId="708C18C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szCs w:val="21"/>
                      <w:highlight w:val="none"/>
                      <w:lang w:val="en-US" w:eastAsia="zh-CN"/>
                      <w14:textFill>
                        <w14:solidFill>
                          <w14:schemeClr w14:val="tx1"/>
                        </w14:solidFill>
                      </w14:textFill>
                    </w:rPr>
                  </w:pPr>
                  <w:r>
                    <w:rPr>
                      <w:rFonts w:hint="eastAsia" w:cs="Times New Roman"/>
                      <w:b w:val="0"/>
                      <w:bCs w:val="0"/>
                      <w:color w:val="000000" w:themeColor="text1"/>
                      <w:szCs w:val="21"/>
                      <w:highlight w:val="no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Cs w:val="21"/>
                      <w:highlight w:val="none"/>
                      <w:lang w:val="en-US" w:eastAsia="zh-CN"/>
                      <w14:textFill>
                        <w14:solidFill>
                          <w14:schemeClr w14:val="tx1"/>
                        </w14:solidFill>
                      </w14:textFill>
                    </w:rPr>
                    <w:t>10.5</w:t>
                  </w:r>
                </w:p>
              </w:tc>
            </w:tr>
          </w:tbl>
          <w:p w14:paraId="5D47938E">
            <w:pPr>
              <w:keepNext w:val="0"/>
              <w:keepLines w:val="0"/>
              <w:pageBreakBefore w:val="0"/>
              <w:widowControl w:val="0"/>
              <w:numPr>
                <w:ilvl w:val="0"/>
                <w:numId w:val="5"/>
              </w:numPr>
              <w:suppressLineNumbers w:val="0"/>
              <w:kinsoku/>
              <w:wordWrap/>
              <w:overflowPunct/>
              <w:topLinePunct w:val="0"/>
              <w:autoSpaceDE/>
              <w:autoSpaceDN/>
              <w:bidi w:val="0"/>
              <w:adjustRightInd/>
              <w:snapToGrid w:val="0"/>
              <w:spacing w:before="157" w:beforeLines="50" w:beforeAutospacing="0" w:after="0" w:afterLines="0" w:afterAutospacing="0"/>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zh-CN" w:eastAsia="en-US"/>
                <w14:textFill>
                  <w14:solidFill>
                    <w14:schemeClr w14:val="tx1"/>
                  </w14:solidFill>
                </w14:textFill>
              </w:rPr>
              <w:t xml:space="preserve">  </w:t>
            </w:r>
            <w:r>
              <w:rPr>
                <w:rFonts w:hint="eastAsia" w:cs="Times New Roman"/>
                <w:b/>
                <w:bCs/>
                <w:color w:val="000000" w:themeColor="text1"/>
                <w:sz w:val="21"/>
                <w:szCs w:val="21"/>
                <w:highlight w:val="none"/>
                <w:lang w:val="en-US" w:eastAsia="zh-CN"/>
                <w14:textFill>
                  <w14:solidFill>
                    <w14:schemeClr w14:val="tx1"/>
                  </w14:solidFill>
                </w14:textFill>
              </w:rPr>
              <w:t>本项目实施前后综合制剂车间产品方案变化情况</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表</w:t>
            </w:r>
          </w:p>
          <w:tbl>
            <w:tblPr>
              <w:tblStyle w:val="57"/>
              <w:tblW w:w="4998" w:type="pct"/>
              <w:tblInd w:w="0" w:type="dxa"/>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25"/>
              <w:gridCol w:w="548"/>
              <w:gridCol w:w="1751"/>
              <w:gridCol w:w="1023"/>
              <w:gridCol w:w="992"/>
              <w:gridCol w:w="943"/>
              <w:gridCol w:w="1394"/>
              <w:gridCol w:w="956"/>
              <w:gridCol w:w="1507"/>
              <w:gridCol w:w="1074"/>
              <w:gridCol w:w="1077"/>
              <w:gridCol w:w="1077"/>
            </w:tblGrid>
            <w:tr w14:paraId="3112B94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04" w:type="pct"/>
                  <w:vAlign w:val="center"/>
                </w:tcPr>
                <w:p w14:paraId="6F04B746">
                  <w:pPr>
                    <w:keepNext w:val="0"/>
                    <w:keepLines w:val="0"/>
                    <w:suppressLineNumbers w:val="0"/>
                    <w:spacing w:before="0" w:beforeAutospacing="0" w:after="0" w:afterAutospacing="0"/>
                    <w:ind w:left="0" w:right="0"/>
                    <w:jc w:val="center"/>
                    <w:rPr>
                      <w:rFonts w:hint="default" w:ascii="Times New Roman" w:hAnsi="Times New Roman" w:cs="Times New Roman"/>
                      <w:b/>
                      <w:bCs w:val="0"/>
                      <w:color w:val="000000" w:themeColor="text1"/>
                      <w:sz w:val="21"/>
                      <w:szCs w:val="21"/>
                      <w:highlight w:val="none"/>
                      <w:lang w:val="en-US" w:eastAsia="zh-CN"/>
                      <w14:textFill>
                        <w14:solidFill>
                          <w14:schemeClr w14:val="tx1"/>
                        </w14:solidFill>
                      </w14:textFill>
                    </w:rPr>
                  </w:pPr>
                  <w:r>
                    <w:rPr>
                      <w:rFonts w:hint="eastAsia" w:cs="Times New Roman"/>
                      <w:b/>
                      <w:bCs w:val="0"/>
                      <w:color w:val="000000" w:themeColor="text1"/>
                      <w:sz w:val="21"/>
                      <w:szCs w:val="21"/>
                      <w:highlight w:val="none"/>
                      <w:lang w:val="en-US" w:eastAsia="zh-CN"/>
                      <w14:textFill>
                        <w14:solidFill>
                          <w14:schemeClr w14:val="tx1"/>
                        </w14:solidFill>
                      </w14:textFill>
                    </w:rPr>
                    <w:t>车间</w:t>
                  </w:r>
                </w:p>
              </w:tc>
              <w:tc>
                <w:tcPr>
                  <w:tcW w:w="213" w:type="pct"/>
                  <w:vAlign w:val="center"/>
                </w:tcPr>
                <w:p w14:paraId="31F6B586">
                  <w:pPr>
                    <w:keepNext w:val="0"/>
                    <w:keepLines w:val="0"/>
                    <w:suppressLineNumbers w:val="0"/>
                    <w:spacing w:before="0" w:beforeAutospacing="0" w:after="0" w:afterAutospacing="0"/>
                    <w:ind w:left="0" w:right="0"/>
                    <w:jc w:val="center"/>
                    <w:rPr>
                      <w:rFonts w:hint="default" w:cs="Times New Roman"/>
                      <w:b/>
                      <w:bCs w:val="0"/>
                      <w:color w:val="000000" w:themeColor="text1"/>
                      <w:sz w:val="21"/>
                      <w:szCs w:val="21"/>
                      <w:highlight w:val="none"/>
                      <w:lang w:val="en-US" w:eastAsia="zh-CN"/>
                      <w14:textFill>
                        <w14:solidFill>
                          <w14:schemeClr w14:val="tx1"/>
                        </w14:solidFill>
                      </w14:textFill>
                    </w:rPr>
                  </w:pPr>
                  <w:r>
                    <w:rPr>
                      <w:rFonts w:hint="eastAsia" w:cs="Times New Roman"/>
                      <w:b/>
                      <w:bCs w:val="0"/>
                      <w:color w:val="000000" w:themeColor="text1"/>
                      <w:sz w:val="21"/>
                      <w:szCs w:val="21"/>
                      <w:highlight w:val="none"/>
                      <w:lang w:val="en-US" w:eastAsia="zh-CN"/>
                      <w14:textFill>
                        <w14:solidFill>
                          <w14:schemeClr w14:val="tx1"/>
                        </w14:solidFill>
                      </w14:textFill>
                    </w:rPr>
                    <w:t>剂型</w:t>
                  </w:r>
                </w:p>
              </w:tc>
              <w:tc>
                <w:tcPr>
                  <w:tcW w:w="680" w:type="pct"/>
                  <w:vAlign w:val="center"/>
                </w:tcPr>
                <w:p w14:paraId="406F913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val="0"/>
                      <w:color w:val="000000" w:themeColor="text1"/>
                      <w:sz w:val="21"/>
                      <w:szCs w:val="21"/>
                      <w:highlight w:val="none"/>
                      <w:lang w:val="en-US" w:eastAsia="zh-CN"/>
                      <w14:textFill>
                        <w14:solidFill>
                          <w14:schemeClr w14:val="tx1"/>
                        </w14:solidFill>
                      </w14:textFill>
                    </w:rPr>
                    <w:t>名称</w:t>
                  </w:r>
                </w:p>
              </w:tc>
              <w:tc>
                <w:tcPr>
                  <w:tcW w:w="396" w:type="pct"/>
                  <w:shd w:val="clear" w:color="auto" w:fill="auto"/>
                  <w:vAlign w:val="center"/>
                </w:tcPr>
                <w:p w14:paraId="58E3448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val="0"/>
                      <w:color w:val="000000" w:themeColor="text1"/>
                      <w:szCs w:val="21"/>
                      <w:highlight w:val="none"/>
                      <w14:textFill>
                        <w14:solidFill>
                          <w14:schemeClr w14:val="tx1"/>
                        </w14:solidFill>
                      </w14:textFill>
                    </w:rPr>
                    <w:t>包装</w:t>
                  </w:r>
                  <w:r>
                    <w:rPr>
                      <w:rFonts w:hint="default" w:ascii="Times New Roman" w:hAnsi="Times New Roman" w:eastAsia="宋体" w:cs="Times New Roman"/>
                      <w:b/>
                      <w:bCs w:val="0"/>
                      <w:color w:val="000000" w:themeColor="text1"/>
                      <w:szCs w:val="21"/>
                      <w:highlight w:val="none"/>
                      <w14:textFill>
                        <w14:solidFill>
                          <w14:schemeClr w14:val="tx1"/>
                        </w14:solidFill>
                      </w14:textFill>
                    </w:rPr>
                    <w:t>规格</w:t>
                  </w:r>
                </w:p>
              </w:tc>
              <w:tc>
                <w:tcPr>
                  <w:tcW w:w="385" w:type="pct"/>
                  <w:shd w:val="clear" w:color="auto" w:fill="auto"/>
                  <w:vAlign w:val="center"/>
                </w:tcPr>
                <w:p w14:paraId="2386829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val="0"/>
                      <w:color w:val="000000" w:themeColor="text1"/>
                      <w:szCs w:val="21"/>
                      <w:highlight w:val="none"/>
                      <w:lang w:val="en-US" w:eastAsia="zh-CN"/>
                      <w14:textFill>
                        <w14:solidFill>
                          <w14:schemeClr w14:val="tx1"/>
                        </w14:solidFill>
                      </w14:textFill>
                    </w:rPr>
                  </w:pPr>
                  <w:r>
                    <w:rPr>
                      <w:rFonts w:hint="eastAsia" w:cs="Times New Roman"/>
                      <w:b/>
                      <w:bCs w:val="0"/>
                      <w:color w:val="000000" w:themeColor="text1"/>
                      <w:szCs w:val="21"/>
                      <w:highlight w:val="none"/>
                      <w:lang w:val="en-US" w:eastAsia="zh-CN"/>
                      <w14:textFill>
                        <w14:solidFill>
                          <w14:schemeClr w14:val="tx1"/>
                        </w14:solidFill>
                      </w14:textFill>
                    </w:rPr>
                    <w:t>现有产品数量</w:t>
                  </w:r>
                  <w:r>
                    <w:rPr>
                      <w:rFonts w:hint="eastAsia" w:cs="Times New Roman"/>
                      <w:b/>
                      <w:bCs w:val="0"/>
                      <w:color w:val="000000" w:themeColor="text1"/>
                      <w:kern w:val="0"/>
                      <w:sz w:val="21"/>
                      <w:szCs w:val="21"/>
                      <w:highlight w:val="none"/>
                      <w:lang w:val="en-US" w:eastAsia="zh-CN"/>
                      <w14:textFill>
                        <w14:solidFill>
                          <w14:schemeClr w14:val="tx1"/>
                        </w14:solidFill>
                      </w14:textFill>
                    </w:rPr>
                    <w:t>（</w:t>
                  </w: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亿</w:t>
                  </w:r>
                  <w:r>
                    <w:rPr>
                      <w:rFonts w:hint="default" w:ascii="Times New Roman" w:hAnsi="Times New Roman" w:eastAsia="宋体" w:cs="Times New Roman"/>
                      <w:b/>
                      <w:bCs w:val="0"/>
                      <w:color w:val="000000" w:themeColor="text1"/>
                      <w:kern w:val="0"/>
                      <w:sz w:val="21"/>
                      <w:szCs w:val="21"/>
                      <w:highlight w:val="none"/>
                      <w:lang w:val="en-US" w:eastAsia="zh-CN"/>
                      <w14:textFill>
                        <w14:solidFill>
                          <w14:schemeClr w14:val="tx1"/>
                        </w14:solidFill>
                      </w14:textFill>
                    </w:rPr>
                    <w:t>袋</w:t>
                  </w:r>
                  <w:r>
                    <w:rPr>
                      <w:rFonts w:hint="eastAsia" w:cs="Times New Roman"/>
                      <w:b/>
                      <w:bCs w:val="0"/>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b/>
                      <w:bCs w:val="0"/>
                      <w:color w:val="000000" w:themeColor="text1"/>
                      <w:kern w:val="0"/>
                      <w:sz w:val="21"/>
                      <w:szCs w:val="21"/>
                      <w:highlight w:val="none"/>
                      <w:lang w:val="en-US" w:eastAsia="zh-CN"/>
                      <w14:textFill>
                        <w14:solidFill>
                          <w14:schemeClr w14:val="tx1"/>
                        </w14:solidFill>
                      </w14:textFill>
                    </w:rPr>
                    <w:t>片</w:t>
                  </w:r>
                  <w:r>
                    <w:rPr>
                      <w:rFonts w:hint="eastAsia" w:cs="Times New Roman"/>
                      <w:b/>
                      <w:bCs w:val="0"/>
                      <w:color w:val="000000" w:themeColor="text1"/>
                      <w:kern w:val="0"/>
                      <w:sz w:val="21"/>
                      <w:szCs w:val="21"/>
                      <w:highlight w:val="none"/>
                      <w:lang w:val="en-US" w:eastAsia="zh-CN"/>
                      <w14:textFill>
                        <w14:solidFill>
                          <w14:schemeClr w14:val="tx1"/>
                        </w14:solidFill>
                      </w14:textFill>
                    </w:rPr>
                    <w:t>/</w:t>
                  </w:r>
                  <w:r>
                    <w:rPr>
                      <w:rFonts w:hint="default" w:ascii="Times New Roman" w:hAnsi="Times New Roman" w:eastAsia="宋体" w:cs="Times New Roman"/>
                      <w:b/>
                      <w:bCs w:val="0"/>
                      <w:color w:val="000000" w:themeColor="text1"/>
                      <w:kern w:val="0"/>
                      <w:sz w:val="21"/>
                      <w:szCs w:val="21"/>
                      <w:highlight w:val="none"/>
                      <w:lang w:val="en-US" w:eastAsia="zh-CN"/>
                      <w14:textFill>
                        <w14:solidFill>
                          <w14:schemeClr w14:val="tx1"/>
                        </w14:solidFill>
                      </w14:textFill>
                    </w:rPr>
                    <w:t>粒</w:t>
                  </w:r>
                  <w:r>
                    <w:rPr>
                      <w:rFonts w:hint="eastAsia" w:cs="Times New Roman"/>
                      <w:b/>
                      <w:bCs w:val="0"/>
                      <w:color w:val="000000" w:themeColor="text1"/>
                      <w:kern w:val="0"/>
                      <w:sz w:val="21"/>
                      <w:szCs w:val="21"/>
                      <w:highlight w:val="none"/>
                      <w:lang w:val="en-US" w:eastAsia="zh-CN"/>
                      <w14:textFill>
                        <w14:solidFill>
                          <w14:schemeClr w14:val="tx1"/>
                        </w14:solidFill>
                      </w14:textFill>
                    </w:rPr>
                    <w:t>）</w:t>
                  </w:r>
                </w:p>
              </w:tc>
              <w:tc>
                <w:tcPr>
                  <w:tcW w:w="366" w:type="pct"/>
                  <w:shd w:val="clear" w:color="auto" w:fill="auto"/>
                  <w:vAlign w:val="center"/>
                </w:tcPr>
                <w:p w14:paraId="7FC27BB5">
                  <w:pPr>
                    <w:keepNext w:val="0"/>
                    <w:keepLines w:val="0"/>
                    <w:suppressLineNumbers w:val="0"/>
                    <w:spacing w:before="0" w:beforeAutospacing="0" w:after="0" w:afterAutospacing="0"/>
                    <w:ind w:left="0" w:leftChars="0" w:right="0" w:rightChars="0"/>
                    <w:jc w:val="center"/>
                    <w:rPr>
                      <w:rFonts w:hint="default" w:cs="Times New Roman"/>
                      <w:b/>
                      <w:bCs w:val="0"/>
                      <w:color w:val="000000" w:themeColor="text1"/>
                      <w:szCs w:val="21"/>
                      <w:highlight w:val="none"/>
                      <w:lang w:val="en-US" w:eastAsia="zh-CN"/>
                      <w14:textFill>
                        <w14:solidFill>
                          <w14:schemeClr w14:val="tx1"/>
                        </w14:solidFill>
                      </w14:textFill>
                    </w:rPr>
                  </w:pPr>
                  <w:r>
                    <w:rPr>
                      <w:rFonts w:hint="eastAsia" w:cs="Times New Roman"/>
                      <w:b/>
                      <w:bCs w:val="0"/>
                      <w:color w:val="000000" w:themeColor="text1"/>
                      <w:szCs w:val="21"/>
                      <w:highlight w:val="none"/>
                      <w:lang w:val="en-US" w:eastAsia="zh-CN"/>
                      <w14:textFill>
                        <w14:solidFill>
                          <w14:schemeClr w14:val="tx1"/>
                        </w14:solidFill>
                      </w14:textFill>
                    </w:rPr>
                    <w:t>现有产品重量</w:t>
                  </w:r>
                  <w:r>
                    <w:rPr>
                      <w:rFonts w:hint="default" w:ascii="Times New Roman" w:hAnsi="Times New Roman" w:eastAsia="宋体" w:cs="Times New Roman"/>
                      <w:b/>
                      <w:bCs w:val="0"/>
                      <w:color w:val="000000" w:themeColor="text1"/>
                      <w:kern w:val="0"/>
                      <w:sz w:val="21"/>
                      <w:szCs w:val="21"/>
                      <w:highlight w:val="none"/>
                      <w:lang w:eastAsia="zh-CN"/>
                      <w14:textFill>
                        <w14:solidFill>
                          <w14:schemeClr w14:val="tx1"/>
                        </w14:solidFill>
                      </w14:textFill>
                    </w:rPr>
                    <w:t>（</w:t>
                  </w:r>
                  <w:r>
                    <w:rPr>
                      <w:rFonts w:hint="default" w:ascii="Times New Roman" w:hAnsi="Times New Roman" w:eastAsia="宋体" w:cs="Times New Roman"/>
                      <w:b/>
                      <w:bCs w:val="0"/>
                      <w:color w:val="000000" w:themeColor="text1"/>
                      <w:kern w:val="0"/>
                      <w:sz w:val="21"/>
                      <w:szCs w:val="21"/>
                      <w:highlight w:val="none"/>
                      <w:lang w:val="en-US" w:eastAsia="zh-CN"/>
                      <w14:textFill>
                        <w14:solidFill>
                          <w14:schemeClr w14:val="tx1"/>
                        </w14:solidFill>
                      </w14:textFill>
                    </w:rPr>
                    <w:t>t/a</w:t>
                  </w:r>
                  <w:r>
                    <w:rPr>
                      <w:rFonts w:hint="default" w:ascii="Times New Roman" w:hAnsi="Times New Roman" w:eastAsia="宋体" w:cs="Times New Roman"/>
                      <w:b/>
                      <w:bCs w:val="0"/>
                      <w:color w:val="000000" w:themeColor="text1"/>
                      <w:kern w:val="0"/>
                      <w:sz w:val="21"/>
                      <w:szCs w:val="21"/>
                      <w:highlight w:val="none"/>
                      <w:lang w:eastAsia="zh-CN"/>
                      <w14:textFill>
                        <w14:solidFill>
                          <w14:schemeClr w14:val="tx1"/>
                        </w14:solidFill>
                      </w14:textFill>
                    </w:rPr>
                    <w:t>）</w:t>
                  </w:r>
                </w:p>
              </w:tc>
              <w:tc>
                <w:tcPr>
                  <w:tcW w:w="541" w:type="pct"/>
                  <w:shd w:val="clear" w:color="auto" w:fill="auto"/>
                  <w:vAlign w:val="center"/>
                </w:tcPr>
                <w:p w14:paraId="4B7942B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pPr>
                  <w:r>
                    <w:rPr>
                      <w:rFonts w:hint="eastAsia" w:cs="Times New Roman"/>
                      <w:b/>
                      <w:bCs w:val="0"/>
                      <w:color w:val="000000" w:themeColor="text1"/>
                      <w:kern w:val="0"/>
                      <w:sz w:val="21"/>
                      <w:szCs w:val="21"/>
                      <w:highlight w:val="none"/>
                      <w:lang w:val="en-US" w:eastAsia="zh-CN"/>
                      <w14:textFill>
                        <w14:solidFill>
                          <w14:schemeClr w14:val="tx1"/>
                        </w14:solidFill>
                      </w14:textFill>
                    </w:rPr>
                    <w:t>本项目产品数量（</w:t>
                  </w: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亿</w:t>
                  </w:r>
                  <w:r>
                    <w:rPr>
                      <w:rFonts w:hint="default" w:ascii="Times New Roman" w:hAnsi="Times New Roman" w:eastAsia="宋体" w:cs="Times New Roman"/>
                      <w:b/>
                      <w:bCs w:val="0"/>
                      <w:color w:val="000000" w:themeColor="text1"/>
                      <w:kern w:val="0"/>
                      <w:sz w:val="21"/>
                      <w:szCs w:val="21"/>
                      <w:highlight w:val="none"/>
                      <w:lang w:val="en-US" w:eastAsia="zh-CN"/>
                      <w14:textFill>
                        <w14:solidFill>
                          <w14:schemeClr w14:val="tx1"/>
                        </w14:solidFill>
                      </w14:textFill>
                    </w:rPr>
                    <w:t>袋</w:t>
                  </w:r>
                  <w:r>
                    <w:rPr>
                      <w:rFonts w:hint="eastAsia" w:cs="Times New Roman"/>
                      <w:b/>
                      <w:bCs w:val="0"/>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b/>
                      <w:bCs w:val="0"/>
                      <w:color w:val="000000" w:themeColor="text1"/>
                      <w:kern w:val="0"/>
                      <w:sz w:val="21"/>
                      <w:szCs w:val="21"/>
                      <w:highlight w:val="none"/>
                      <w:lang w:val="en-US" w:eastAsia="zh-CN"/>
                      <w14:textFill>
                        <w14:solidFill>
                          <w14:schemeClr w14:val="tx1"/>
                        </w14:solidFill>
                      </w14:textFill>
                    </w:rPr>
                    <w:t>片</w:t>
                  </w:r>
                  <w:r>
                    <w:rPr>
                      <w:rFonts w:hint="eastAsia" w:cs="Times New Roman"/>
                      <w:b/>
                      <w:bCs w:val="0"/>
                      <w:color w:val="000000" w:themeColor="text1"/>
                      <w:kern w:val="0"/>
                      <w:sz w:val="21"/>
                      <w:szCs w:val="21"/>
                      <w:highlight w:val="none"/>
                      <w:lang w:val="en-US" w:eastAsia="zh-CN"/>
                      <w14:textFill>
                        <w14:solidFill>
                          <w14:schemeClr w14:val="tx1"/>
                        </w14:solidFill>
                      </w14:textFill>
                    </w:rPr>
                    <w:t>/</w:t>
                  </w:r>
                  <w:r>
                    <w:rPr>
                      <w:rFonts w:hint="default" w:ascii="Times New Roman" w:hAnsi="Times New Roman" w:eastAsia="宋体" w:cs="Times New Roman"/>
                      <w:b/>
                      <w:bCs w:val="0"/>
                      <w:color w:val="000000" w:themeColor="text1"/>
                      <w:kern w:val="0"/>
                      <w:sz w:val="21"/>
                      <w:szCs w:val="21"/>
                      <w:highlight w:val="none"/>
                      <w:lang w:val="en-US" w:eastAsia="zh-CN"/>
                      <w14:textFill>
                        <w14:solidFill>
                          <w14:schemeClr w14:val="tx1"/>
                        </w14:solidFill>
                      </w14:textFill>
                    </w:rPr>
                    <w:t>粒</w:t>
                  </w:r>
                  <w:r>
                    <w:rPr>
                      <w:rFonts w:hint="eastAsia" w:cs="Times New Roman"/>
                      <w:b/>
                      <w:bCs w:val="0"/>
                      <w:color w:val="000000" w:themeColor="text1"/>
                      <w:kern w:val="0"/>
                      <w:sz w:val="21"/>
                      <w:szCs w:val="21"/>
                      <w:highlight w:val="none"/>
                      <w:lang w:val="en-US" w:eastAsia="zh-CN"/>
                      <w14:textFill>
                        <w14:solidFill>
                          <w14:schemeClr w14:val="tx1"/>
                        </w14:solidFill>
                      </w14:textFill>
                    </w:rPr>
                    <w:t>）</w:t>
                  </w:r>
                </w:p>
              </w:tc>
              <w:tc>
                <w:tcPr>
                  <w:tcW w:w="371" w:type="pct"/>
                  <w:shd w:val="clear" w:color="auto" w:fill="auto"/>
                  <w:vAlign w:val="center"/>
                </w:tcPr>
                <w:p w14:paraId="50441EF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val="0"/>
                      <w:color w:val="000000" w:themeColor="text1"/>
                      <w:kern w:val="2"/>
                      <w:sz w:val="21"/>
                      <w:szCs w:val="21"/>
                      <w:highlight w:val="none"/>
                      <w:lang w:val="en-US" w:eastAsia="zh-CN" w:bidi="ar-SA"/>
                      <w14:textFill>
                        <w14:solidFill>
                          <w14:schemeClr w14:val="tx1"/>
                        </w14:solidFill>
                      </w14:textFill>
                    </w:rPr>
                  </w:pPr>
                  <w:r>
                    <w:rPr>
                      <w:rFonts w:hint="eastAsia" w:cs="Times New Roman"/>
                      <w:b/>
                      <w:bCs w:val="0"/>
                      <w:color w:val="000000" w:themeColor="text1"/>
                      <w:sz w:val="21"/>
                      <w:szCs w:val="21"/>
                      <w:highlight w:val="none"/>
                      <w:lang w:val="en-US" w:eastAsia="zh-CN"/>
                      <w14:textFill>
                        <w14:solidFill>
                          <w14:schemeClr w14:val="tx1"/>
                        </w14:solidFill>
                      </w14:textFill>
                    </w:rPr>
                    <w:t>本项目产品重量</w:t>
                  </w:r>
                  <w:r>
                    <w:rPr>
                      <w:rFonts w:hint="default" w:ascii="Times New Roman" w:hAnsi="Times New Roman" w:eastAsia="宋体" w:cs="Times New Roman"/>
                      <w:b/>
                      <w:bCs w:val="0"/>
                      <w:color w:val="000000" w:themeColor="text1"/>
                      <w:kern w:val="0"/>
                      <w:sz w:val="21"/>
                      <w:szCs w:val="21"/>
                      <w:highlight w:val="none"/>
                      <w:lang w:eastAsia="zh-CN"/>
                      <w14:textFill>
                        <w14:solidFill>
                          <w14:schemeClr w14:val="tx1"/>
                        </w14:solidFill>
                      </w14:textFill>
                    </w:rPr>
                    <w:t>（</w:t>
                  </w:r>
                  <w:r>
                    <w:rPr>
                      <w:rFonts w:hint="default" w:ascii="Times New Roman" w:hAnsi="Times New Roman" w:eastAsia="宋体" w:cs="Times New Roman"/>
                      <w:b/>
                      <w:bCs w:val="0"/>
                      <w:color w:val="000000" w:themeColor="text1"/>
                      <w:kern w:val="0"/>
                      <w:sz w:val="21"/>
                      <w:szCs w:val="21"/>
                      <w:highlight w:val="none"/>
                      <w:lang w:val="en-US" w:eastAsia="zh-CN"/>
                      <w14:textFill>
                        <w14:solidFill>
                          <w14:schemeClr w14:val="tx1"/>
                        </w14:solidFill>
                      </w14:textFill>
                    </w:rPr>
                    <w:t>t/a</w:t>
                  </w:r>
                  <w:r>
                    <w:rPr>
                      <w:rFonts w:hint="default" w:ascii="Times New Roman" w:hAnsi="Times New Roman" w:eastAsia="宋体" w:cs="Times New Roman"/>
                      <w:b/>
                      <w:bCs w:val="0"/>
                      <w:color w:val="000000" w:themeColor="text1"/>
                      <w:kern w:val="0"/>
                      <w:sz w:val="21"/>
                      <w:szCs w:val="21"/>
                      <w:highlight w:val="none"/>
                      <w:lang w:eastAsia="zh-CN"/>
                      <w14:textFill>
                        <w14:solidFill>
                          <w14:schemeClr w14:val="tx1"/>
                        </w14:solidFill>
                      </w14:textFill>
                    </w:rPr>
                    <w:t>）</w:t>
                  </w:r>
                </w:p>
              </w:tc>
              <w:tc>
                <w:tcPr>
                  <w:tcW w:w="585" w:type="pct"/>
                  <w:shd w:val="clear" w:color="auto" w:fill="auto"/>
                  <w:vAlign w:val="center"/>
                </w:tcPr>
                <w:p w14:paraId="346A3DC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pPr>
                  <w:r>
                    <w:rPr>
                      <w:rFonts w:hint="eastAsia" w:cs="Times New Roman"/>
                      <w:b/>
                      <w:bCs w:val="0"/>
                      <w:color w:val="000000" w:themeColor="text1"/>
                      <w:kern w:val="0"/>
                      <w:sz w:val="21"/>
                      <w:szCs w:val="21"/>
                      <w:highlight w:val="none"/>
                      <w:lang w:val="en-US" w:eastAsia="zh-CN"/>
                      <w14:textFill>
                        <w14:solidFill>
                          <w14:schemeClr w14:val="tx1"/>
                        </w14:solidFill>
                      </w14:textFill>
                    </w:rPr>
                    <w:t>项目建成后全厂产品数量（</w:t>
                  </w: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亿</w:t>
                  </w:r>
                  <w:r>
                    <w:rPr>
                      <w:rFonts w:hint="default" w:ascii="Times New Roman" w:hAnsi="Times New Roman" w:eastAsia="宋体" w:cs="Times New Roman"/>
                      <w:b/>
                      <w:bCs w:val="0"/>
                      <w:color w:val="000000" w:themeColor="text1"/>
                      <w:kern w:val="0"/>
                      <w:sz w:val="21"/>
                      <w:szCs w:val="21"/>
                      <w:highlight w:val="none"/>
                      <w:lang w:val="en-US" w:eastAsia="zh-CN"/>
                      <w14:textFill>
                        <w14:solidFill>
                          <w14:schemeClr w14:val="tx1"/>
                        </w14:solidFill>
                      </w14:textFill>
                    </w:rPr>
                    <w:t>袋</w:t>
                  </w:r>
                  <w:r>
                    <w:rPr>
                      <w:rFonts w:hint="eastAsia" w:cs="Times New Roman"/>
                      <w:b/>
                      <w:bCs w:val="0"/>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b/>
                      <w:bCs w:val="0"/>
                      <w:color w:val="000000" w:themeColor="text1"/>
                      <w:kern w:val="0"/>
                      <w:sz w:val="21"/>
                      <w:szCs w:val="21"/>
                      <w:highlight w:val="none"/>
                      <w:lang w:val="en-US" w:eastAsia="zh-CN"/>
                      <w14:textFill>
                        <w14:solidFill>
                          <w14:schemeClr w14:val="tx1"/>
                        </w14:solidFill>
                      </w14:textFill>
                    </w:rPr>
                    <w:t>片</w:t>
                  </w:r>
                  <w:r>
                    <w:rPr>
                      <w:rFonts w:hint="eastAsia" w:cs="Times New Roman"/>
                      <w:b/>
                      <w:bCs w:val="0"/>
                      <w:color w:val="000000" w:themeColor="text1"/>
                      <w:kern w:val="0"/>
                      <w:sz w:val="21"/>
                      <w:szCs w:val="21"/>
                      <w:highlight w:val="none"/>
                      <w:lang w:val="en-US" w:eastAsia="zh-CN"/>
                      <w14:textFill>
                        <w14:solidFill>
                          <w14:schemeClr w14:val="tx1"/>
                        </w14:solidFill>
                      </w14:textFill>
                    </w:rPr>
                    <w:t>/</w:t>
                  </w:r>
                  <w:r>
                    <w:rPr>
                      <w:rFonts w:hint="default" w:ascii="Times New Roman" w:hAnsi="Times New Roman" w:eastAsia="宋体" w:cs="Times New Roman"/>
                      <w:b/>
                      <w:bCs w:val="0"/>
                      <w:color w:val="000000" w:themeColor="text1"/>
                      <w:kern w:val="0"/>
                      <w:sz w:val="21"/>
                      <w:szCs w:val="21"/>
                      <w:highlight w:val="none"/>
                      <w:lang w:val="en-US" w:eastAsia="zh-CN"/>
                      <w14:textFill>
                        <w14:solidFill>
                          <w14:schemeClr w14:val="tx1"/>
                        </w14:solidFill>
                      </w14:textFill>
                    </w:rPr>
                    <w:t>粒</w:t>
                  </w:r>
                  <w:r>
                    <w:rPr>
                      <w:rFonts w:hint="eastAsia" w:cs="Times New Roman"/>
                      <w:b/>
                      <w:bCs w:val="0"/>
                      <w:color w:val="000000" w:themeColor="text1"/>
                      <w:kern w:val="0"/>
                      <w:sz w:val="21"/>
                      <w:szCs w:val="21"/>
                      <w:highlight w:val="none"/>
                      <w:lang w:val="en-US" w:eastAsia="zh-CN"/>
                      <w14:textFill>
                        <w14:solidFill>
                          <w14:schemeClr w14:val="tx1"/>
                        </w14:solidFill>
                      </w14:textFill>
                    </w:rPr>
                    <w:t>）</w:t>
                  </w:r>
                </w:p>
              </w:tc>
              <w:tc>
                <w:tcPr>
                  <w:tcW w:w="417" w:type="pct"/>
                  <w:shd w:val="clear" w:color="auto" w:fill="auto"/>
                  <w:vAlign w:val="center"/>
                </w:tcPr>
                <w:p w14:paraId="3A87C15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val="0"/>
                      <w:color w:val="000000" w:themeColor="text1"/>
                      <w:kern w:val="2"/>
                      <w:sz w:val="21"/>
                      <w:szCs w:val="21"/>
                      <w:highlight w:val="none"/>
                      <w:lang w:val="en-US" w:eastAsia="zh-CN" w:bidi="ar-SA"/>
                      <w14:textFill>
                        <w14:solidFill>
                          <w14:schemeClr w14:val="tx1"/>
                        </w14:solidFill>
                      </w14:textFill>
                    </w:rPr>
                  </w:pPr>
                  <w:r>
                    <w:rPr>
                      <w:rFonts w:hint="eastAsia" w:cs="Times New Roman"/>
                      <w:b/>
                      <w:bCs w:val="0"/>
                      <w:color w:val="000000" w:themeColor="text1"/>
                      <w:kern w:val="0"/>
                      <w:sz w:val="21"/>
                      <w:szCs w:val="21"/>
                      <w:highlight w:val="none"/>
                      <w:lang w:val="en-US" w:eastAsia="zh-CN"/>
                      <w14:textFill>
                        <w14:solidFill>
                          <w14:schemeClr w14:val="tx1"/>
                        </w14:solidFill>
                      </w14:textFill>
                    </w:rPr>
                    <w:t>项目建成后全厂产品重量</w:t>
                  </w:r>
                  <w:r>
                    <w:rPr>
                      <w:rFonts w:hint="default" w:ascii="Times New Roman" w:hAnsi="Times New Roman" w:eastAsia="宋体" w:cs="Times New Roman"/>
                      <w:b/>
                      <w:bCs w:val="0"/>
                      <w:color w:val="000000" w:themeColor="text1"/>
                      <w:kern w:val="0"/>
                      <w:sz w:val="21"/>
                      <w:szCs w:val="21"/>
                      <w:highlight w:val="none"/>
                      <w:lang w:eastAsia="zh-CN"/>
                      <w14:textFill>
                        <w14:solidFill>
                          <w14:schemeClr w14:val="tx1"/>
                        </w14:solidFill>
                      </w14:textFill>
                    </w:rPr>
                    <w:t>（</w:t>
                  </w:r>
                  <w:r>
                    <w:rPr>
                      <w:rFonts w:hint="default" w:ascii="Times New Roman" w:hAnsi="Times New Roman" w:eastAsia="宋体" w:cs="Times New Roman"/>
                      <w:b/>
                      <w:bCs w:val="0"/>
                      <w:color w:val="000000" w:themeColor="text1"/>
                      <w:kern w:val="0"/>
                      <w:sz w:val="21"/>
                      <w:szCs w:val="21"/>
                      <w:highlight w:val="none"/>
                      <w:lang w:val="en-US" w:eastAsia="zh-CN"/>
                      <w14:textFill>
                        <w14:solidFill>
                          <w14:schemeClr w14:val="tx1"/>
                        </w14:solidFill>
                      </w14:textFill>
                    </w:rPr>
                    <w:t>t/a</w:t>
                  </w:r>
                  <w:r>
                    <w:rPr>
                      <w:rFonts w:hint="default" w:ascii="Times New Roman" w:hAnsi="Times New Roman" w:eastAsia="宋体" w:cs="Times New Roman"/>
                      <w:b/>
                      <w:bCs w:val="0"/>
                      <w:color w:val="000000" w:themeColor="text1"/>
                      <w:kern w:val="0"/>
                      <w:sz w:val="21"/>
                      <w:szCs w:val="21"/>
                      <w:highlight w:val="none"/>
                      <w:lang w:eastAsia="zh-CN"/>
                      <w14:textFill>
                        <w14:solidFill>
                          <w14:schemeClr w14:val="tx1"/>
                        </w14:solidFill>
                      </w14:textFill>
                    </w:rPr>
                    <w:t>）</w:t>
                  </w:r>
                </w:p>
              </w:tc>
              <w:tc>
                <w:tcPr>
                  <w:tcW w:w="418" w:type="pct"/>
                  <w:shd w:val="clear" w:color="auto" w:fill="auto"/>
                  <w:vAlign w:val="center"/>
                </w:tcPr>
                <w:p w14:paraId="24CA5596">
                  <w:pPr>
                    <w:keepNext w:val="0"/>
                    <w:keepLines w:val="0"/>
                    <w:suppressLineNumbers w:val="0"/>
                    <w:spacing w:before="0" w:beforeAutospacing="0" w:after="0" w:afterAutospacing="0"/>
                    <w:ind w:left="0" w:leftChars="0" w:right="0" w:rightChars="0"/>
                    <w:jc w:val="center"/>
                    <w:rPr>
                      <w:rFonts w:hint="default" w:cs="Times New Roman"/>
                      <w:b/>
                      <w:bCs w:val="0"/>
                      <w:color w:val="000000" w:themeColor="text1"/>
                      <w:kern w:val="0"/>
                      <w:sz w:val="21"/>
                      <w:szCs w:val="21"/>
                      <w:highlight w:val="none"/>
                      <w:lang w:val="en-US" w:eastAsia="zh-CN"/>
                      <w14:textFill>
                        <w14:solidFill>
                          <w14:schemeClr w14:val="tx1"/>
                        </w14:solidFill>
                      </w14:textFill>
                    </w:rPr>
                  </w:pPr>
                  <w:r>
                    <w:rPr>
                      <w:rFonts w:hint="eastAsia" w:cs="Times New Roman"/>
                      <w:b/>
                      <w:bCs w:val="0"/>
                      <w:color w:val="000000" w:themeColor="text1"/>
                      <w:kern w:val="0"/>
                      <w:sz w:val="21"/>
                      <w:szCs w:val="21"/>
                      <w:highlight w:val="none"/>
                      <w:lang w:val="en-US" w:eastAsia="zh-CN"/>
                      <w14:textFill>
                        <w14:solidFill>
                          <w14:schemeClr w14:val="tx1"/>
                        </w14:solidFill>
                      </w14:textFill>
                    </w:rPr>
                    <w:t>产品数量变化情况（</w:t>
                  </w: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亿</w:t>
                  </w:r>
                  <w:r>
                    <w:rPr>
                      <w:rFonts w:hint="default" w:ascii="Times New Roman" w:hAnsi="Times New Roman" w:eastAsia="宋体" w:cs="Times New Roman"/>
                      <w:b/>
                      <w:bCs w:val="0"/>
                      <w:color w:val="000000" w:themeColor="text1"/>
                      <w:kern w:val="0"/>
                      <w:sz w:val="21"/>
                      <w:szCs w:val="21"/>
                      <w:highlight w:val="none"/>
                      <w:lang w:val="en-US" w:eastAsia="zh-CN"/>
                      <w14:textFill>
                        <w14:solidFill>
                          <w14:schemeClr w14:val="tx1"/>
                        </w14:solidFill>
                      </w14:textFill>
                    </w:rPr>
                    <w:t>袋</w:t>
                  </w:r>
                  <w:r>
                    <w:rPr>
                      <w:rFonts w:hint="eastAsia" w:cs="Times New Roman"/>
                      <w:b/>
                      <w:bCs w:val="0"/>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b/>
                      <w:bCs w:val="0"/>
                      <w:color w:val="000000" w:themeColor="text1"/>
                      <w:kern w:val="0"/>
                      <w:sz w:val="21"/>
                      <w:szCs w:val="21"/>
                      <w:highlight w:val="none"/>
                      <w:lang w:val="en-US" w:eastAsia="zh-CN"/>
                      <w14:textFill>
                        <w14:solidFill>
                          <w14:schemeClr w14:val="tx1"/>
                        </w14:solidFill>
                      </w14:textFill>
                    </w:rPr>
                    <w:t>片</w:t>
                  </w:r>
                  <w:r>
                    <w:rPr>
                      <w:rFonts w:hint="eastAsia" w:cs="Times New Roman"/>
                      <w:b/>
                      <w:bCs w:val="0"/>
                      <w:color w:val="000000" w:themeColor="text1"/>
                      <w:kern w:val="0"/>
                      <w:sz w:val="21"/>
                      <w:szCs w:val="21"/>
                      <w:highlight w:val="none"/>
                      <w:lang w:val="en-US" w:eastAsia="zh-CN"/>
                      <w14:textFill>
                        <w14:solidFill>
                          <w14:schemeClr w14:val="tx1"/>
                        </w14:solidFill>
                      </w14:textFill>
                    </w:rPr>
                    <w:t>/</w:t>
                  </w:r>
                  <w:r>
                    <w:rPr>
                      <w:rFonts w:hint="default" w:ascii="Times New Roman" w:hAnsi="Times New Roman" w:eastAsia="宋体" w:cs="Times New Roman"/>
                      <w:b/>
                      <w:bCs w:val="0"/>
                      <w:color w:val="000000" w:themeColor="text1"/>
                      <w:kern w:val="0"/>
                      <w:sz w:val="21"/>
                      <w:szCs w:val="21"/>
                      <w:highlight w:val="none"/>
                      <w:lang w:val="en-US" w:eastAsia="zh-CN"/>
                      <w14:textFill>
                        <w14:solidFill>
                          <w14:schemeClr w14:val="tx1"/>
                        </w14:solidFill>
                      </w14:textFill>
                    </w:rPr>
                    <w:t>粒</w:t>
                  </w:r>
                  <w:r>
                    <w:rPr>
                      <w:rFonts w:hint="eastAsia" w:cs="Times New Roman"/>
                      <w:b/>
                      <w:bCs w:val="0"/>
                      <w:color w:val="000000" w:themeColor="text1"/>
                      <w:kern w:val="0"/>
                      <w:sz w:val="21"/>
                      <w:szCs w:val="21"/>
                      <w:highlight w:val="none"/>
                      <w:lang w:val="en-US" w:eastAsia="zh-CN"/>
                      <w14:textFill>
                        <w14:solidFill>
                          <w14:schemeClr w14:val="tx1"/>
                        </w14:solidFill>
                      </w14:textFill>
                    </w:rPr>
                    <w:t>）</w:t>
                  </w:r>
                </w:p>
              </w:tc>
              <w:tc>
                <w:tcPr>
                  <w:tcW w:w="418" w:type="pct"/>
                  <w:shd w:val="clear" w:color="auto" w:fill="auto"/>
                  <w:vAlign w:val="center"/>
                </w:tcPr>
                <w:p w14:paraId="26ABF5E5">
                  <w:pPr>
                    <w:keepNext w:val="0"/>
                    <w:keepLines w:val="0"/>
                    <w:suppressLineNumbers w:val="0"/>
                    <w:spacing w:before="0" w:beforeAutospacing="0" w:after="0" w:afterAutospacing="0"/>
                    <w:ind w:left="0" w:leftChars="0" w:right="0" w:rightChars="0"/>
                    <w:jc w:val="center"/>
                    <w:rPr>
                      <w:rFonts w:hint="eastAsia" w:cs="Times New Roman"/>
                      <w:b/>
                      <w:bCs w:val="0"/>
                      <w:color w:val="000000" w:themeColor="text1"/>
                      <w:kern w:val="0"/>
                      <w:sz w:val="21"/>
                      <w:szCs w:val="21"/>
                      <w:highlight w:val="none"/>
                      <w:lang w:val="en-US" w:eastAsia="zh-CN"/>
                      <w14:textFill>
                        <w14:solidFill>
                          <w14:schemeClr w14:val="tx1"/>
                        </w14:solidFill>
                      </w14:textFill>
                    </w:rPr>
                  </w:pPr>
                  <w:r>
                    <w:rPr>
                      <w:rFonts w:hint="eastAsia" w:cs="Times New Roman"/>
                      <w:b/>
                      <w:bCs w:val="0"/>
                      <w:color w:val="000000" w:themeColor="text1"/>
                      <w:szCs w:val="21"/>
                      <w:highlight w:val="none"/>
                      <w:lang w:val="en-US" w:eastAsia="zh-CN"/>
                      <w14:textFill>
                        <w14:solidFill>
                          <w14:schemeClr w14:val="tx1"/>
                        </w14:solidFill>
                      </w14:textFill>
                    </w:rPr>
                    <w:t>产品重量</w:t>
                  </w:r>
                  <w:r>
                    <w:rPr>
                      <w:rFonts w:hint="eastAsia" w:cs="Times New Roman"/>
                      <w:b/>
                      <w:bCs w:val="0"/>
                      <w:color w:val="000000" w:themeColor="text1"/>
                      <w:kern w:val="0"/>
                      <w:sz w:val="21"/>
                      <w:szCs w:val="21"/>
                      <w:highlight w:val="none"/>
                      <w:lang w:val="en-US" w:eastAsia="zh-CN"/>
                      <w14:textFill>
                        <w14:solidFill>
                          <w14:schemeClr w14:val="tx1"/>
                        </w14:solidFill>
                      </w14:textFill>
                    </w:rPr>
                    <w:t>变化情况</w:t>
                  </w:r>
                  <w:r>
                    <w:rPr>
                      <w:rFonts w:hint="default" w:ascii="Times New Roman" w:hAnsi="Times New Roman" w:eastAsia="宋体" w:cs="Times New Roman"/>
                      <w:b/>
                      <w:bCs w:val="0"/>
                      <w:color w:val="000000" w:themeColor="text1"/>
                      <w:kern w:val="0"/>
                      <w:sz w:val="21"/>
                      <w:szCs w:val="21"/>
                      <w:highlight w:val="none"/>
                      <w:lang w:eastAsia="zh-CN"/>
                      <w14:textFill>
                        <w14:solidFill>
                          <w14:schemeClr w14:val="tx1"/>
                        </w14:solidFill>
                      </w14:textFill>
                    </w:rPr>
                    <w:t>（</w:t>
                  </w:r>
                  <w:r>
                    <w:rPr>
                      <w:rFonts w:hint="default" w:ascii="Times New Roman" w:hAnsi="Times New Roman" w:eastAsia="宋体" w:cs="Times New Roman"/>
                      <w:b/>
                      <w:bCs w:val="0"/>
                      <w:color w:val="000000" w:themeColor="text1"/>
                      <w:kern w:val="0"/>
                      <w:sz w:val="21"/>
                      <w:szCs w:val="21"/>
                      <w:highlight w:val="none"/>
                      <w:lang w:val="en-US" w:eastAsia="zh-CN"/>
                      <w14:textFill>
                        <w14:solidFill>
                          <w14:schemeClr w14:val="tx1"/>
                        </w14:solidFill>
                      </w14:textFill>
                    </w:rPr>
                    <w:t>t/a</w:t>
                  </w:r>
                  <w:r>
                    <w:rPr>
                      <w:rFonts w:hint="default" w:ascii="Times New Roman" w:hAnsi="Times New Roman" w:eastAsia="宋体" w:cs="Times New Roman"/>
                      <w:b/>
                      <w:bCs w:val="0"/>
                      <w:color w:val="000000" w:themeColor="text1"/>
                      <w:kern w:val="0"/>
                      <w:sz w:val="21"/>
                      <w:szCs w:val="21"/>
                      <w:highlight w:val="none"/>
                      <w:lang w:eastAsia="zh-CN"/>
                      <w14:textFill>
                        <w14:solidFill>
                          <w14:schemeClr w14:val="tx1"/>
                        </w14:solidFill>
                      </w14:textFill>
                    </w:rPr>
                    <w:t>）</w:t>
                  </w:r>
                </w:p>
              </w:tc>
            </w:tr>
            <w:tr w14:paraId="7BA3675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04" w:type="pct"/>
                  <w:vMerge w:val="restart"/>
                  <w:vAlign w:val="center"/>
                </w:tcPr>
                <w:p w14:paraId="2B3F644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综合制剂车间</w:t>
                  </w:r>
                </w:p>
              </w:tc>
              <w:tc>
                <w:tcPr>
                  <w:tcW w:w="213" w:type="pct"/>
                  <w:vMerge w:val="restart"/>
                  <w:vAlign w:val="center"/>
                </w:tcPr>
                <w:p w14:paraId="4822D422">
                  <w:pPr>
                    <w:keepNext w:val="0"/>
                    <w:keepLines w:val="0"/>
                    <w:suppressLineNumbers w:val="0"/>
                    <w:spacing w:before="0" w:beforeAutospacing="0" w:after="0" w:afterAutospacing="0"/>
                    <w:ind w:left="0" w:right="0"/>
                    <w:jc w:val="center"/>
                    <w:rPr>
                      <w:rFonts w:hint="eastAsia"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片剂</w:t>
                  </w:r>
                </w:p>
              </w:tc>
              <w:tc>
                <w:tcPr>
                  <w:tcW w:w="680" w:type="pct"/>
                  <w:vMerge w:val="restart"/>
                  <w:shd w:val="clear" w:color="auto" w:fill="auto"/>
                  <w:vAlign w:val="center"/>
                </w:tcPr>
                <w:p w14:paraId="3B8117E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气滞胃痛片</w:t>
                  </w:r>
                </w:p>
              </w:tc>
              <w:tc>
                <w:tcPr>
                  <w:tcW w:w="396" w:type="pct"/>
                  <w:shd w:val="clear" w:color="auto" w:fill="auto"/>
                  <w:vAlign w:val="center"/>
                </w:tcPr>
                <w:p w14:paraId="534F13C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0.5g/片</w:t>
                  </w:r>
                </w:p>
              </w:tc>
              <w:tc>
                <w:tcPr>
                  <w:tcW w:w="385" w:type="pct"/>
                  <w:shd w:val="clear" w:color="auto" w:fill="auto"/>
                  <w:vAlign w:val="center"/>
                </w:tcPr>
                <w:p w14:paraId="29B5B28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0.15</w:t>
                  </w:r>
                </w:p>
              </w:tc>
              <w:tc>
                <w:tcPr>
                  <w:tcW w:w="366" w:type="pct"/>
                  <w:shd w:val="clear" w:color="auto" w:fill="auto"/>
                  <w:vAlign w:val="center"/>
                </w:tcPr>
                <w:p w14:paraId="24B290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7.5</w:t>
                  </w:r>
                </w:p>
              </w:tc>
              <w:tc>
                <w:tcPr>
                  <w:tcW w:w="541" w:type="pct"/>
                  <w:shd w:val="clear" w:color="auto" w:fill="auto"/>
                  <w:vAlign w:val="center"/>
                </w:tcPr>
                <w:p w14:paraId="0CA4601F">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1.5</w:t>
                  </w:r>
                </w:p>
              </w:tc>
              <w:tc>
                <w:tcPr>
                  <w:tcW w:w="371" w:type="pct"/>
                  <w:shd w:val="clear" w:color="auto" w:fill="auto"/>
                  <w:vAlign w:val="center"/>
                </w:tcPr>
                <w:p w14:paraId="56573D6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75</w:t>
                  </w:r>
                </w:p>
              </w:tc>
              <w:tc>
                <w:tcPr>
                  <w:tcW w:w="585" w:type="pct"/>
                  <w:shd w:val="clear" w:color="auto" w:fill="auto"/>
                  <w:vAlign w:val="center"/>
                </w:tcPr>
                <w:p w14:paraId="266B054F">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1</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r>
                    <w:rPr>
                      <w:rFonts w:hint="eastAsia" w:cs="Times New Roman"/>
                      <w:b w:val="0"/>
                      <w:bCs w:val="0"/>
                      <w:color w:val="000000" w:themeColor="text1"/>
                      <w:sz w:val="21"/>
                      <w:szCs w:val="21"/>
                      <w:highlight w:val="none"/>
                      <w:lang w:val="en-US" w:eastAsia="zh-CN"/>
                      <w14:textFill>
                        <w14:solidFill>
                          <w14:schemeClr w14:val="tx1"/>
                        </w14:solidFill>
                      </w14:textFill>
                    </w:rPr>
                    <w:t>65</w:t>
                  </w:r>
                </w:p>
              </w:tc>
              <w:tc>
                <w:tcPr>
                  <w:tcW w:w="417" w:type="pct"/>
                  <w:shd w:val="clear" w:color="auto" w:fill="auto"/>
                  <w:vAlign w:val="center"/>
                </w:tcPr>
                <w:p w14:paraId="75D96BB6">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82.5</w:t>
                  </w:r>
                </w:p>
              </w:tc>
              <w:tc>
                <w:tcPr>
                  <w:tcW w:w="1077" w:type="dxa"/>
                  <w:shd w:val="clear" w:color="auto" w:fill="auto"/>
                  <w:vAlign w:val="center"/>
                </w:tcPr>
                <w:p w14:paraId="3445AB91">
                  <w:pPr>
                    <w:keepNext w:val="0"/>
                    <w:keepLines w:val="0"/>
                    <w:widowControl/>
                    <w:suppressLineNumbers w:val="0"/>
                    <w:spacing w:before="0" w:beforeAutospacing="0" w:after="0" w:afterAutospacing="0"/>
                    <w:ind w:left="0" w:leftChars="0" w:right="0" w:rightChars="0"/>
                    <w:jc w:val="center"/>
                    <w:rPr>
                      <w:rFonts w:hint="eastAsia"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+1.5</w:t>
                  </w:r>
                </w:p>
              </w:tc>
              <w:tc>
                <w:tcPr>
                  <w:tcW w:w="1077" w:type="dxa"/>
                  <w:shd w:val="clear" w:color="auto" w:fill="auto"/>
                  <w:vAlign w:val="center"/>
                </w:tcPr>
                <w:p w14:paraId="00B137AC">
                  <w:pPr>
                    <w:keepNext w:val="0"/>
                    <w:keepLines w:val="0"/>
                    <w:suppressLineNumbers w:val="0"/>
                    <w:spacing w:before="0" w:beforeAutospacing="0" w:after="0" w:afterAutospacing="0"/>
                    <w:ind w:left="0" w:leftChars="0" w:right="0" w:rightChars="0"/>
                    <w:jc w:val="center"/>
                    <w:rPr>
                      <w:rFonts w:hint="eastAsia"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+75</w:t>
                  </w:r>
                </w:p>
              </w:tc>
            </w:tr>
            <w:tr w14:paraId="349B2A8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04" w:type="pct"/>
                  <w:vMerge w:val="continue"/>
                  <w:vAlign w:val="center"/>
                </w:tcPr>
                <w:p w14:paraId="70C7A66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highlight w:val="none"/>
                      <w14:textFill>
                        <w14:solidFill>
                          <w14:schemeClr w14:val="tx1"/>
                        </w14:solidFill>
                      </w14:textFill>
                    </w:rPr>
                  </w:pPr>
                </w:p>
              </w:tc>
              <w:tc>
                <w:tcPr>
                  <w:tcW w:w="213" w:type="pct"/>
                  <w:vMerge w:val="continue"/>
                  <w:vAlign w:val="center"/>
                </w:tcPr>
                <w:p w14:paraId="0E2A68F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highlight w:val="none"/>
                      <w14:textFill>
                        <w14:solidFill>
                          <w14:schemeClr w14:val="tx1"/>
                        </w14:solidFill>
                      </w14:textFill>
                    </w:rPr>
                  </w:pPr>
                </w:p>
              </w:tc>
              <w:tc>
                <w:tcPr>
                  <w:tcW w:w="680" w:type="pct"/>
                  <w:vMerge w:val="continue"/>
                  <w:shd w:val="clear" w:color="auto" w:fill="auto"/>
                  <w:vAlign w:val="center"/>
                </w:tcPr>
                <w:p w14:paraId="1E70EE8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396" w:type="pct"/>
                  <w:shd w:val="clear" w:color="auto" w:fill="auto"/>
                  <w:vAlign w:val="center"/>
                </w:tcPr>
                <w:p w14:paraId="7924338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0.25g/片</w:t>
                  </w:r>
                </w:p>
              </w:tc>
              <w:tc>
                <w:tcPr>
                  <w:tcW w:w="385" w:type="pct"/>
                  <w:shd w:val="clear" w:color="auto" w:fill="auto"/>
                  <w:vAlign w:val="center"/>
                </w:tcPr>
                <w:p w14:paraId="294D32D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0.15</w:t>
                  </w:r>
                </w:p>
              </w:tc>
              <w:tc>
                <w:tcPr>
                  <w:tcW w:w="366" w:type="pct"/>
                  <w:shd w:val="clear" w:color="auto" w:fill="auto"/>
                  <w:vAlign w:val="center"/>
                </w:tcPr>
                <w:p w14:paraId="0D81A47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3.75</w:t>
                  </w:r>
                </w:p>
              </w:tc>
              <w:tc>
                <w:tcPr>
                  <w:tcW w:w="541" w:type="pct"/>
                  <w:shd w:val="clear" w:color="auto" w:fill="auto"/>
                  <w:vAlign w:val="center"/>
                </w:tcPr>
                <w:p w14:paraId="10D43038">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w:t>
                  </w:r>
                </w:p>
              </w:tc>
              <w:tc>
                <w:tcPr>
                  <w:tcW w:w="371" w:type="pct"/>
                  <w:shd w:val="clear" w:color="auto" w:fill="auto"/>
                  <w:vAlign w:val="center"/>
                </w:tcPr>
                <w:p w14:paraId="2FB1978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w:t>
                  </w:r>
                </w:p>
              </w:tc>
              <w:tc>
                <w:tcPr>
                  <w:tcW w:w="585" w:type="pct"/>
                  <w:shd w:val="clear" w:color="auto" w:fill="auto"/>
                  <w:vAlign w:val="center"/>
                </w:tcPr>
                <w:p w14:paraId="38CA99EB">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0.15</w:t>
                  </w:r>
                </w:p>
              </w:tc>
              <w:tc>
                <w:tcPr>
                  <w:tcW w:w="417" w:type="pct"/>
                  <w:shd w:val="clear" w:color="auto" w:fill="auto"/>
                  <w:vAlign w:val="center"/>
                </w:tcPr>
                <w:p w14:paraId="0B06470E">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3.75</w:t>
                  </w:r>
                </w:p>
              </w:tc>
              <w:tc>
                <w:tcPr>
                  <w:tcW w:w="1077" w:type="dxa"/>
                  <w:shd w:val="clear" w:color="auto" w:fill="auto"/>
                  <w:vAlign w:val="center"/>
                </w:tcPr>
                <w:p w14:paraId="16A74E87">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w:t>
                  </w:r>
                </w:p>
              </w:tc>
              <w:tc>
                <w:tcPr>
                  <w:tcW w:w="1077" w:type="dxa"/>
                  <w:shd w:val="clear" w:color="auto" w:fill="auto"/>
                  <w:vAlign w:val="center"/>
                </w:tcPr>
                <w:p w14:paraId="0ED2972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w:t>
                  </w:r>
                </w:p>
              </w:tc>
            </w:tr>
            <w:tr w14:paraId="1E0F10F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04" w:type="pct"/>
                  <w:vMerge w:val="continue"/>
                  <w:vAlign w:val="center"/>
                </w:tcPr>
                <w:p w14:paraId="00C7E50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highlight w:val="none"/>
                      <w14:textFill>
                        <w14:solidFill>
                          <w14:schemeClr w14:val="tx1"/>
                        </w14:solidFill>
                      </w14:textFill>
                    </w:rPr>
                  </w:pPr>
                </w:p>
              </w:tc>
              <w:tc>
                <w:tcPr>
                  <w:tcW w:w="213" w:type="pct"/>
                  <w:vMerge w:val="continue"/>
                  <w:vAlign w:val="center"/>
                </w:tcPr>
                <w:p w14:paraId="42AEBC4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highlight w:val="none"/>
                      <w14:textFill>
                        <w14:solidFill>
                          <w14:schemeClr w14:val="tx1"/>
                        </w14:solidFill>
                      </w14:textFill>
                    </w:rPr>
                  </w:pPr>
                </w:p>
              </w:tc>
              <w:tc>
                <w:tcPr>
                  <w:tcW w:w="680" w:type="pct"/>
                  <w:shd w:val="clear" w:color="auto" w:fill="auto"/>
                  <w:vAlign w:val="center"/>
                </w:tcPr>
                <w:p w14:paraId="53757FD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瘀血痹片</w:t>
                  </w:r>
                </w:p>
              </w:tc>
              <w:tc>
                <w:tcPr>
                  <w:tcW w:w="396" w:type="pct"/>
                  <w:shd w:val="clear" w:color="auto" w:fill="auto"/>
                  <w:vAlign w:val="center"/>
                </w:tcPr>
                <w:p w14:paraId="18256F5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0.5</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g/片</w:t>
                  </w:r>
                </w:p>
              </w:tc>
              <w:tc>
                <w:tcPr>
                  <w:tcW w:w="385" w:type="pct"/>
                  <w:shd w:val="clear" w:color="auto" w:fill="auto"/>
                  <w:vAlign w:val="center"/>
                </w:tcPr>
                <w:p w14:paraId="73F6845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1.5</w:t>
                  </w:r>
                </w:p>
              </w:tc>
              <w:tc>
                <w:tcPr>
                  <w:tcW w:w="366" w:type="pct"/>
                  <w:shd w:val="clear" w:color="auto" w:fill="auto"/>
                  <w:vAlign w:val="center"/>
                </w:tcPr>
                <w:p w14:paraId="119EC57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75</w:t>
                  </w:r>
                </w:p>
              </w:tc>
              <w:tc>
                <w:tcPr>
                  <w:tcW w:w="541" w:type="pct"/>
                  <w:shd w:val="clear" w:color="auto" w:fill="auto"/>
                  <w:vAlign w:val="center"/>
                </w:tcPr>
                <w:p w14:paraId="04F3CE75">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w:t>
                  </w:r>
                </w:p>
              </w:tc>
              <w:tc>
                <w:tcPr>
                  <w:tcW w:w="371" w:type="pct"/>
                  <w:shd w:val="clear" w:color="auto" w:fill="auto"/>
                  <w:vAlign w:val="center"/>
                </w:tcPr>
                <w:p w14:paraId="775EEC6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125</w:t>
                  </w:r>
                </w:p>
              </w:tc>
              <w:tc>
                <w:tcPr>
                  <w:tcW w:w="585" w:type="pct"/>
                  <w:shd w:val="clear" w:color="auto" w:fill="auto"/>
                  <w:vAlign w:val="center"/>
                </w:tcPr>
                <w:p w14:paraId="21998D99">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4</w:t>
                  </w:r>
                </w:p>
              </w:tc>
              <w:tc>
                <w:tcPr>
                  <w:tcW w:w="417" w:type="pct"/>
                  <w:shd w:val="clear" w:color="auto" w:fill="auto"/>
                  <w:vAlign w:val="center"/>
                </w:tcPr>
                <w:p w14:paraId="6C98375C">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200</w:t>
                  </w:r>
                </w:p>
              </w:tc>
              <w:tc>
                <w:tcPr>
                  <w:tcW w:w="1077" w:type="dxa"/>
                  <w:shd w:val="clear" w:color="auto" w:fill="auto"/>
                  <w:vAlign w:val="center"/>
                </w:tcPr>
                <w:p w14:paraId="1D5E34FC">
                  <w:pPr>
                    <w:keepNext w:val="0"/>
                    <w:keepLines w:val="0"/>
                    <w:widowControl/>
                    <w:suppressLineNumbers w:val="0"/>
                    <w:spacing w:before="0" w:beforeAutospacing="0" w:after="0" w:afterAutospacing="0"/>
                    <w:ind w:left="0" w:leftChars="0" w:right="0" w:rightChars="0"/>
                    <w:jc w:val="center"/>
                    <w:rPr>
                      <w:rFonts w:hint="eastAsia"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+2.5</w:t>
                  </w:r>
                </w:p>
              </w:tc>
              <w:tc>
                <w:tcPr>
                  <w:tcW w:w="1077" w:type="dxa"/>
                  <w:shd w:val="clear" w:color="auto" w:fill="auto"/>
                  <w:vAlign w:val="center"/>
                </w:tcPr>
                <w:p w14:paraId="2A372043">
                  <w:pPr>
                    <w:keepNext w:val="0"/>
                    <w:keepLines w:val="0"/>
                    <w:suppressLineNumbers w:val="0"/>
                    <w:spacing w:before="0" w:beforeAutospacing="0" w:after="0" w:afterAutospacing="0"/>
                    <w:ind w:left="0" w:leftChars="0" w:right="0" w:rightChars="0"/>
                    <w:jc w:val="center"/>
                    <w:rPr>
                      <w:rFonts w:hint="eastAsia"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+125</w:t>
                  </w:r>
                </w:p>
              </w:tc>
            </w:tr>
            <w:tr w14:paraId="688A773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04" w:type="pct"/>
                  <w:vMerge w:val="continue"/>
                  <w:vAlign w:val="center"/>
                </w:tcPr>
                <w:p w14:paraId="749860A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highlight w:val="none"/>
                      <w14:textFill>
                        <w14:solidFill>
                          <w14:schemeClr w14:val="tx1"/>
                        </w14:solidFill>
                      </w14:textFill>
                    </w:rPr>
                  </w:pPr>
                </w:p>
              </w:tc>
              <w:tc>
                <w:tcPr>
                  <w:tcW w:w="213" w:type="pct"/>
                  <w:vMerge w:val="continue"/>
                  <w:vAlign w:val="center"/>
                </w:tcPr>
                <w:p w14:paraId="25D5EC8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highlight w:val="none"/>
                      <w14:textFill>
                        <w14:solidFill>
                          <w14:schemeClr w14:val="tx1"/>
                        </w14:solidFill>
                      </w14:textFill>
                    </w:rPr>
                  </w:pPr>
                </w:p>
              </w:tc>
              <w:tc>
                <w:tcPr>
                  <w:tcW w:w="680" w:type="pct"/>
                  <w:shd w:val="clear" w:color="auto" w:fill="auto"/>
                  <w:vAlign w:val="center"/>
                </w:tcPr>
                <w:p w14:paraId="75B45C5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阴虚胃痛片</w:t>
                  </w:r>
                </w:p>
              </w:tc>
              <w:tc>
                <w:tcPr>
                  <w:tcW w:w="396" w:type="pct"/>
                  <w:shd w:val="clear" w:color="auto" w:fill="auto"/>
                  <w:vAlign w:val="center"/>
                </w:tcPr>
                <w:p w14:paraId="4F54622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0.25g/片</w:t>
                  </w:r>
                </w:p>
              </w:tc>
              <w:tc>
                <w:tcPr>
                  <w:tcW w:w="385" w:type="pct"/>
                  <w:shd w:val="clear" w:color="auto" w:fill="auto"/>
                  <w:vAlign w:val="center"/>
                </w:tcPr>
                <w:p w14:paraId="09CE2BC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0.2</w:t>
                  </w:r>
                </w:p>
              </w:tc>
              <w:tc>
                <w:tcPr>
                  <w:tcW w:w="366" w:type="pct"/>
                  <w:shd w:val="clear" w:color="auto" w:fill="auto"/>
                  <w:vAlign w:val="center"/>
                </w:tcPr>
                <w:p w14:paraId="504F5F2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5</w:t>
                  </w:r>
                </w:p>
              </w:tc>
              <w:tc>
                <w:tcPr>
                  <w:tcW w:w="541" w:type="pct"/>
                  <w:shd w:val="clear" w:color="auto" w:fill="auto"/>
                  <w:vAlign w:val="center"/>
                </w:tcPr>
                <w:p w14:paraId="026E0FAB">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w:t>
                  </w:r>
                </w:p>
              </w:tc>
              <w:tc>
                <w:tcPr>
                  <w:tcW w:w="371" w:type="pct"/>
                  <w:shd w:val="clear" w:color="auto" w:fill="auto"/>
                  <w:vAlign w:val="center"/>
                </w:tcPr>
                <w:p w14:paraId="44C57F4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w:t>
                  </w:r>
                </w:p>
              </w:tc>
              <w:tc>
                <w:tcPr>
                  <w:tcW w:w="585" w:type="pct"/>
                  <w:shd w:val="clear" w:color="auto" w:fill="auto"/>
                  <w:vAlign w:val="center"/>
                </w:tcPr>
                <w:p w14:paraId="68D390DB">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0.2</w:t>
                  </w:r>
                </w:p>
              </w:tc>
              <w:tc>
                <w:tcPr>
                  <w:tcW w:w="417" w:type="pct"/>
                  <w:shd w:val="clear" w:color="auto" w:fill="auto"/>
                  <w:vAlign w:val="center"/>
                </w:tcPr>
                <w:p w14:paraId="7DC57BB9">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5</w:t>
                  </w:r>
                </w:p>
              </w:tc>
              <w:tc>
                <w:tcPr>
                  <w:tcW w:w="1077" w:type="dxa"/>
                  <w:shd w:val="clear" w:color="auto" w:fill="auto"/>
                  <w:vAlign w:val="center"/>
                </w:tcPr>
                <w:p w14:paraId="76C58D9D">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w:t>
                  </w:r>
                </w:p>
              </w:tc>
              <w:tc>
                <w:tcPr>
                  <w:tcW w:w="1077" w:type="dxa"/>
                  <w:shd w:val="clear" w:color="auto" w:fill="auto"/>
                  <w:vAlign w:val="center"/>
                </w:tcPr>
                <w:p w14:paraId="1223B51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w:t>
                  </w:r>
                </w:p>
              </w:tc>
            </w:tr>
            <w:tr w14:paraId="1D7C336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04" w:type="pct"/>
                  <w:vMerge w:val="continue"/>
                  <w:vAlign w:val="center"/>
                </w:tcPr>
                <w:p w14:paraId="0038429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highlight w:val="none"/>
                      <w14:textFill>
                        <w14:solidFill>
                          <w14:schemeClr w14:val="tx1"/>
                        </w14:solidFill>
                      </w14:textFill>
                    </w:rPr>
                  </w:pPr>
                </w:p>
              </w:tc>
              <w:tc>
                <w:tcPr>
                  <w:tcW w:w="1290" w:type="pct"/>
                  <w:gridSpan w:val="3"/>
                  <w:shd w:val="clear" w:color="auto" w:fill="auto"/>
                  <w:vAlign w:val="center"/>
                </w:tcPr>
                <w:p w14:paraId="17C99DA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片剂</w:t>
                  </w:r>
                  <w:r>
                    <w:rPr>
                      <w:rFonts w:hint="eastAsia" w:cs="Times New Roman"/>
                      <w:b w:val="0"/>
                      <w:bCs w:val="0"/>
                      <w:color w:val="000000" w:themeColor="text1"/>
                      <w:kern w:val="0"/>
                      <w:sz w:val="21"/>
                      <w:szCs w:val="21"/>
                      <w:highlight w:val="none"/>
                      <w:lang w:val="en-US" w:eastAsia="zh-CN"/>
                      <w14:textFill>
                        <w14:solidFill>
                          <w14:schemeClr w14:val="tx1"/>
                        </w14:solidFill>
                      </w14:textFill>
                    </w:rPr>
                    <w:t>总计</w:t>
                  </w:r>
                </w:p>
              </w:tc>
              <w:tc>
                <w:tcPr>
                  <w:tcW w:w="385" w:type="pct"/>
                  <w:shd w:val="clear" w:color="auto" w:fill="auto"/>
                  <w:vAlign w:val="center"/>
                </w:tcPr>
                <w:p w14:paraId="3808B34B">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2</w:t>
                  </w:r>
                </w:p>
              </w:tc>
              <w:tc>
                <w:tcPr>
                  <w:tcW w:w="366" w:type="pct"/>
                  <w:shd w:val="clear" w:color="auto" w:fill="auto"/>
                  <w:vAlign w:val="center"/>
                </w:tcPr>
                <w:p w14:paraId="23A50C52">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91.25</w:t>
                  </w:r>
                </w:p>
              </w:tc>
              <w:tc>
                <w:tcPr>
                  <w:tcW w:w="541" w:type="pct"/>
                  <w:shd w:val="clear" w:color="auto" w:fill="auto"/>
                  <w:vAlign w:val="center"/>
                </w:tcPr>
                <w:p w14:paraId="0580EA4F">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Cs w:val="21"/>
                      <w:highlight w:val="none"/>
                      <w:lang w:val="en-US" w:eastAsia="zh-CN"/>
                      <w14:textFill>
                        <w14:solidFill>
                          <w14:schemeClr w14:val="tx1"/>
                        </w14:solidFill>
                      </w14:textFill>
                    </w:rPr>
                    <w:t>4</w:t>
                  </w:r>
                </w:p>
              </w:tc>
              <w:tc>
                <w:tcPr>
                  <w:tcW w:w="371" w:type="pct"/>
                  <w:shd w:val="clear" w:color="auto" w:fill="auto"/>
                  <w:vAlign w:val="center"/>
                </w:tcPr>
                <w:p w14:paraId="10C3288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Cs w:val="21"/>
                      <w:highlight w:val="none"/>
                      <w:lang w:val="en-US" w:eastAsia="zh-CN"/>
                      <w14:textFill>
                        <w14:solidFill>
                          <w14:schemeClr w14:val="tx1"/>
                        </w14:solidFill>
                      </w14:textFill>
                    </w:rPr>
                    <w:t>200</w:t>
                  </w:r>
                </w:p>
              </w:tc>
              <w:tc>
                <w:tcPr>
                  <w:tcW w:w="585" w:type="pct"/>
                  <w:shd w:val="clear" w:color="auto" w:fill="auto"/>
                  <w:vAlign w:val="center"/>
                </w:tcPr>
                <w:p w14:paraId="402AADA5">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6</w:t>
                  </w:r>
                </w:p>
              </w:tc>
              <w:tc>
                <w:tcPr>
                  <w:tcW w:w="417" w:type="pct"/>
                  <w:shd w:val="clear" w:color="auto" w:fill="auto"/>
                  <w:vAlign w:val="center"/>
                </w:tcPr>
                <w:p w14:paraId="0A421C58">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291.25</w:t>
                  </w:r>
                </w:p>
              </w:tc>
              <w:tc>
                <w:tcPr>
                  <w:tcW w:w="1077" w:type="dxa"/>
                  <w:shd w:val="clear" w:color="auto" w:fill="auto"/>
                  <w:vAlign w:val="center"/>
                </w:tcPr>
                <w:p w14:paraId="5C9A478E">
                  <w:pPr>
                    <w:keepNext w:val="0"/>
                    <w:keepLines w:val="0"/>
                    <w:widowControl/>
                    <w:suppressLineNumbers w:val="0"/>
                    <w:spacing w:before="0" w:beforeAutospacing="0" w:after="0" w:afterAutospacing="0"/>
                    <w:ind w:left="0" w:leftChars="0" w:right="0" w:rightChars="0"/>
                    <w:jc w:val="center"/>
                    <w:rPr>
                      <w:rFonts w:hint="eastAsia"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Cs w:val="21"/>
                      <w:highlight w:val="none"/>
                      <w:lang w:val="en-US" w:eastAsia="zh-CN"/>
                      <w14:textFill>
                        <w14:solidFill>
                          <w14:schemeClr w14:val="tx1"/>
                        </w14:solidFill>
                      </w14:textFill>
                    </w:rPr>
                    <w:t>+4</w:t>
                  </w:r>
                </w:p>
              </w:tc>
              <w:tc>
                <w:tcPr>
                  <w:tcW w:w="1077" w:type="dxa"/>
                  <w:shd w:val="clear" w:color="auto" w:fill="auto"/>
                  <w:vAlign w:val="center"/>
                </w:tcPr>
                <w:p w14:paraId="1DE75132">
                  <w:pPr>
                    <w:keepNext w:val="0"/>
                    <w:keepLines w:val="0"/>
                    <w:suppressLineNumbers w:val="0"/>
                    <w:spacing w:before="0" w:beforeAutospacing="0" w:after="0" w:afterAutospacing="0"/>
                    <w:ind w:left="0" w:leftChars="0" w:right="0" w:rightChars="0"/>
                    <w:jc w:val="center"/>
                    <w:rPr>
                      <w:rFonts w:hint="eastAsia"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Cs w:val="21"/>
                      <w:highlight w:val="none"/>
                      <w:lang w:val="en-US" w:eastAsia="zh-CN"/>
                      <w14:textFill>
                        <w14:solidFill>
                          <w14:schemeClr w14:val="tx1"/>
                        </w14:solidFill>
                      </w14:textFill>
                    </w:rPr>
                    <w:t>+200</w:t>
                  </w:r>
                </w:p>
              </w:tc>
            </w:tr>
            <w:tr w14:paraId="02AA4BF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04" w:type="pct"/>
                  <w:vMerge w:val="continue"/>
                  <w:vAlign w:val="center"/>
                </w:tcPr>
                <w:p w14:paraId="7EE6310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highlight w:val="none"/>
                      <w14:textFill>
                        <w14:solidFill>
                          <w14:schemeClr w14:val="tx1"/>
                        </w14:solidFill>
                      </w14:textFill>
                    </w:rPr>
                  </w:pPr>
                </w:p>
              </w:tc>
              <w:tc>
                <w:tcPr>
                  <w:tcW w:w="213" w:type="pct"/>
                  <w:vMerge w:val="restart"/>
                  <w:vAlign w:val="center"/>
                </w:tcPr>
                <w:p w14:paraId="54A932E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胶囊剂</w:t>
                  </w:r>
                </w:p>
              </w:tc>
              <w:tc>
                <w:tcPr>
                  <w:tcW w:w="680" w:type="pct"/>
                  <w:vAlign w:val="center"/>
                </w:tcPr>
                <w:p w14:paraId="2D794BB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eastAsia="zh-CN"/>
                      <w14:textFill>
                        <w14:solidFill>
                          <w14:schemeClr w14:val="tx1"/>
                        </w14:solidFill>
                      </w14:textFill>
                    </w:rPr>
                    <w:t>尪</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痹胶囊</w:t>
                  </w:r>
                </w:p>
              </w:tc>
              <w:tc>
                <w:tcPr>
                  <w:tcW w:w="396" w:type="pct"/>
                  <w:shd w:val="clear" w:color="auto" w:fill="auto"/>
                  <w:vAlign w:val="center"/>
                </w:tcPr>
                <w:p w14:paraId="3C948961">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0.55g/粒</w:t>
                  </w:r>
                </w:p>
              </w:tc>
              <w:tc>
                <w:tcPr>
                  <w:tcW w:w="385" w:type="pct"/>
                  <w:shd w:val="clear" w:color="auto" w:fill="auto"/>
                  <w:vAlign w:val="center"/>
                </w:tcPr>
                <w:p w14:paraId="67C1BC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3.5</w:t>
                  </w:r>
                </w:p>
              </w:tc>
              <w:tc>
                <w:tcPr>
                  <w:tcW w:w="366" w:type="pct"/>
                  <w:shd w:val="clear" w:color="auto" w:fill="auto"/>
                  <w:vAlign w:val="center"/>
                </w:tcPr>
                <w:p w14:paraId="6D16B8C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192.5</w:t>
                  </w:r>
                </w:p>
              </w:tc>
              <w:tc>
                <w:tcPr>
                  <w:tcW w:w="541" w:type="pct"/>
                  <w:shd w:val="clear" w:color="auto" w:fill="auto"/>
                  <w:vAlign w:val="center"/>
                </w:tcPr>
                <w:p w14:paraId="052A81EE">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c>
                <w:tcPr>
                  <w:tcW w:w="371" w:type="pct"/>
                  <w:shd w:val="clear" w:color="auto" w:fill="auto"/>
                  <w:vAlign w:val="center"/>
                </w:tcPr>
                <w:p w14:paraId="423B0AD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55</w:t>
                  </w:r>
                </w:p>
              </w:tc>
              <w:tc>
                <w:tcPr>
                  <w:tcW w:w="585" w:type="pct"/>
                  <w:shd w:val="clear" w:color="auto" w:fill="auto"/>
                  <w:vAlign w:val="center"/>
                </w:tcPr>
                <w:p w14:paraId="105BD728">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4.5</w:t>
                  </w:r>
                </w:p>
              </w:tc>
              <w:tc>
                <w:tcPr>
                  <w:tcW w:w="417" w:type="pct"/>
                  <w:shd w:val="clear" w:color="auto" w:fill="auto"/>
                  <w:vAlign w:val="center"/>
                </w:tcPr>
                <w:p w14:paraId="6CCE1897">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247.5</w:t>
                  </w:r>
                </w:p>
              </w:tc>
              <w:tc>
                <w:tcPr>
                  <w:tcW w:w="1077" w:type="dxa"/>
                  <w:shd w:val="clear" w:color="auto" w:fill="auto"/>
                  <w:vAlign w:val="center"/>
                </w:tcPr>
                <w:p w14:paraId="05D66429">
                  <w:pPr>
                    <w:keepNext w:val="0"/>
                    <w:keepLines w:val="0"/>
                    <w:widowControl/>
                    <w:suppressLineNumbers w:val="0"/>
                    <w:spacing w:before="0" w:beforeAutospacing="0" w:after="0" w:afterAutospacing="0"/>
                    <w:ind w:left="0" w:leftChars="0" w:right="0" w:rightChars="0"/>
                    <w:jc w:val="center"/>
                    <w:textAlignment w:val="center"/>
                    <w:rPr>
                      <w:rFonts w:hint="eastAsia"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+1</w:t>
                  </w:r>
                </w:p>
              </w:tc>
              <w:tc>
                <w:tcPr>
                  <w:tcW w:w="1077" w:type="dxa"/>
                  <w:shd w:val="clear" w:color="auto" w:fill="auto"/>
                  <w:vAlign w:val="center"/>
                </w:tcPr>
                <w:p w14:paraId="5D192D5A">
                  <w:pPr>
                    <w:keepNext w:val="0"/>
                    <w:keepLines w:val="0"/>
                    <w:suppressLineNumbers w:val="0"/>
                    <w:spacing w:before="0" w:beforeAutospacing="0" w:after="0" w:afterAutospacing="0"/>
                    <w:ind w:left="0" w:leftChars="0" w:right="0" w:rightChars="0"/>
                    <w:jc w:val="center"/>
                    <w:rPr>
                      <w:rFonts w:hint="eastAsia"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+55</w:t>
                  </w:r>
                </w:p>
              </w:tc>
            </w:tr>
            <w:tr w14:paraId="0C3E8D5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04" w:type="pct"/>
                  <w:vMerge w:val="continue"/>
                  <w:vAlign w:val="center"/>
                </w:tcPr>
                <w:p w14:paraId="0C1CEB9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highlight w:val="none"/>
                      <w14:textFill>
                        <w14:solidFill>
                          <w14:schemeClr w14:val="tx1"/>
                        </w14:solidFill>
                      </w14:textFill>
                    </w:rPr>
                  </w:pPr>
                </w:p>
              </w:tc>
              <w:tc>
                <w:tcPr>
                  <w:tcW w:w="213" w:type="pct"/>
                  <w:vMerge w:val="continue"/>
                  <w:vAlign w:val="center"/>
                </w:tcPr>
                <w:p w14:paraId="3900C806">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highlight w:val="none"/>
                      <w14:textFill>
                        <w14:solidFill>
                          <w14:schemeClr w14:val="tx1"/>
                        </w14:solidFill>
                      </w14:textFill>
                    </w:rPr>
                  </w:pPr>
                </w:p>
              </w:tc>
              <w:tc>
                <w:tcPr>
                  <w:tcW w:w="680" w:type="pct"/>
                  <w:vMerge w:val="restart"/>
                  <w:vAlign w:val="center"/>
                </w:tcPr>
                <w:p w14:paraId="3906A6F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气滞胃痛胶囊</w:t>
                  </w:r>
                </w:p>
              </w:tc>
              <w:tc>
                <w:tcPr>
                  <w:tcW w:w="396" w:type="pct"/>
                  <w:shd w:val="clear" w:color="auto" w:fill="auto"/>
                  <w:vAlign w:val="center"/>
                </w:tcPr>
                <w:p w14:paraId="5192A6E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0.4g/粒</w:t>
                  </w:r>
                </w:p>
              </w:tc>
              <w:tc>
                <w:tcPr>
                  <w:tcW w:w="385" w:type="pct"/>
                  <w:shd w:val="clear" w:color="auto" w:fill="auto"/>
                  <w:vAlign w:val="center"/>
                </w:tcPr>
                <w:p w14:paraId="4C1161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0.1</w:t>
                  </w:r>
                </w:p>
              </w:tc>
              <w:tc>
                <w:tcPr>
                  <w:tcW w:w="366" w:type="pct"/>
                  <w:shd w:val="clear" w:color="auto" w:fill="auto"/>
                  <w:vAlign w:val="center"/>
                </w:tcPr>
                <w:p w14:paraId="0B4F74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4</w:t>
                  </w:r>
                </w:p>
              </w:tc>
              <w:tc>
                <w:tcPr>
                  <w:tcW w:w="541" w:type="pct"/>
                  <w:shd w:val="clear" w:color="auto" w:fill="auto"/>
                  <w:vAlign w:val="center"/>
                </w:tcPr>
                <w:p w14:paraId="3738E8D8">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w:t>
                  </w:r>
                </w:p>
              </w:tc>
              <w:tc>
                <w:tcPr>
                  <w:tcW w:w="371" w:type="pct"/>
                  <w:shd w:val="clear" w:color="auto" w:fill="auto"/>
                  <w:vAlign w:val="center"/>
                </w:tcPr>
                <w:p w14:paraId="1AC10F4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w:t>
                  </w:r>
                </w:p>
              </w:tc>
              <w:tc>
                <w:tcPr>
                  <w:tcW w:w="585" w:type="pct"/>
                  <w:shd w:val="clear" w:color="auto" w:fill="auto"/>
                  <w:vAlign w:val="center"/>
                </w:tcPr>
                <w:p w14:paraId="08429CE1">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0.1</w:t>
                  </w:r>
                </w:p>
              </w:tc>
              <w:tc>
                <w:tcPr>
                  <w:tcW w:w="417" w:type="pct"/>
                  <w:shd w:val="clear" w:color="auto" w:fill="auto"/>
                  <w:vAlign w:val="center"/>
                </w:tcPr>
                <w:p w14:paraId="5A482E7E">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4</w:t>
                  </w:r>
                </w:p>
              </w:tc>
              <w:tc>
                <w:tcPr>
                  <w:tcW w:w="1077" w:type="dxa"/>
                  <w:shd w:val="clear" w:color="auto" w:fill="auto"/>
                  <w:vAlign w:val="center"/>
                </w:tcPr>
                <w:p w14:paraId="616919A7">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w:t>
                  </w:r>
                </w:p>
              </w:tc>
              <w:tc>
                <w:tcPr>
                  <w:tcW w:w="1077" w:type="dxa"/>
                  <w:shd w:val="clear" w:color="auto" w:fill="auto"/>
                  <w:vAlign w:val="center"/>
                </w:tcPr>
                <w:p w14:paraId="0993FA0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w:t>
                  </w:r>
                </w:p>
              </w:tc>
            </w:tr>
            <w:tr w14:paraId="6D6CA3C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04" w:type="pct"/>
                  <w:vMerge w:val="continue"/>
                  <w:vAlign w:val="center"/>
                </w:tcPr>
                <w:p w14:paraId="6D8C207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highlight w:val="none"/>
                      <w14:textFill>
                        <w14:solidFill>
                          <w14:schemeClr w14:val="tx1"/>
                        </w14:solidFill>
                      </w14:textFill>
                    </w:rPr>
                  </w:pPr>
                </w:p>
              </w:tc>
              <w:tc>
                <w:tcPr>
                  <w:tcW w:w="213" w:type="pct"/>
                  <w:vMerge w:val="continue"/>
                  <w:vAlign w:val="center"/>
                </w:tcPr>
                <w:p w14:paraId="57D4531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highlight w:val="none"/>
                      <w14:textFill>
                        <w14:solidFill>
                          <w14:schemeClr w14:val="tx1"/>
                        </w14:solidFill>
                      </w14:textFill>
                    </w:rPr>
                  </w:pPr>
                </w:p>
              </w:tc>
              <w:tc>
                <w:tcPr>
                  <w:tcW w:w="680" w:type="pct"/>
                  <w:vMerge w:val="continue"/>
                  <w:vAlign w:val="center"/>
                </w:tcPr>
                <w:p w14:paraId="64D99F9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pPr>
                </w:p>
              </w:tc>
              <w:tc>
                <w:tcPr>
                  <w:tcW w:w="396" w:type="pct"/>
                  <w:shd w:val="clear" w:color="auto" w:fill="auto"/>
                  <w:vAlign w:val="center"/>
                </w:tcPr>
                <w:p w14:paraId="50CF4B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0.5g/粒</w:t>
                  </w:r>
                </w:p>
              </w:tc>
              <w:tc>
                <w:tcPr>
                  <w:tcW w:w="385" w:type="pct"/>
                  <w:shd w:val="clear" w:color="auto" w:fill="auto"/>
                  <w:vAlign w:val="center"/>
                </w:tcPr>
                <w:p w14:paraId="31A7A2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0.1</w:t>
                  </w:r>
                </w:p>
              </w:tc>
              <w:tc>
                <w:tcPr>
                  <w:tcW w:w="366" w:type="pct"/>
                  <w:shd w:val="clear" w:color="auto" w:fill="auto"/>
                  <w:vAlign w:val="center"/>
                </w:tcPr>
                <w:p w14:paraId="56354DE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5</w:t>
                  </w:r>
                </w:p>
              </w:tc>
              <w:tc>
                <w:tcPr>
                  <w:tcW w:w="541" w:type="pct"/>
                  <w:shd w:val="clear" w:color="auto" w:fill="auto"/>
                  <w:vAlign w:val="center"/>
                </w:tcPr>
                <w:p w14:paraId="1C0EC702">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w:t>
                  </w:r>
                </w:p>
              </w:tc>
              <w:tc>
                <w:tcPr>
                  <w:tcW w:w="371" w:type="pct"/>
                  <w:shd w:val="clear" w:color="auto" w:fill="auto"/>
                  <w:vAlign w:val="center"/>
                </w:tcPr>
                <w:p w14:paraId="45F1CAC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w:t>
                  </w:r>
                </w:p>
              </w:tc>
              <w:tc>
                <w:tcPr>
                  <w:tcW w:w="585" w:type="pct"/>
                  <w:shd w:val="clear" w:color="auto" w:fill="auto"/>
                  <w:vAlign w:val="center"/>
                </w:tcPr>
                <w:p w14:paraId="18F320D8">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0.1</w:t>
                  </w:r>
                </w:p>
              </w:tc>
              <w:tc>
                <w:tcPr>
                  <w:tcW w:w="417" w:type="pct"/>
                  <w:shd w:val="clear" w:color="auto" w:fill="auto"/>
                  <w:vAlign w:val="center"/>
                </w:tcPr>
                <w:p w14:paraId="3328D17D">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5</w:t>
                  </w:r>
                </w:p>
              </w:tc>
              <w:tc>
                <w:tcPr>
                  <w:tcW w:w="1077" w:type="dxa"/>
                  <w:shd w:val="clear" w:color="auto" w:fill="auto"/>
                  <w:vAlign w:val="center"/>
                </w:tcPr>
                <w:p w14:paraId="17D45D52">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w:t>
                  </w:r>
                </w:p>
              </w:tc>
              <w:tc>
                <w:tcPr>
                  <w:tcW w:w="1077" w:type="dxa"/>
                  <w:shd w:val="clear" w:color="auto" w:fill="auto"/>
                  <w:vAlign w:val="center"/>
                </w:tcPr>
                <w:p w14:paraId="589EFAE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w:t>
                  </w:r>
                </w:p>
              </w:tc>
            </w:tr>
            <w:tr w14:paraId="4F339C0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04" w:type="pct"/>
                  <w:vMerge w:val="continue"/>
                  <w:vAlign w:val="center"/>
                </w:tcPr>
                <w:p w14:paraId="2D49DF7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highlight w:val="none"/>
                      <w14:textFill>
                        <w14:solidFill>
                          <w14:schemeClr w14:val="tx1"/>
                        </w14:solidFill>
                      </w14:textFill>
                    </w:rPr>
                  </w:pPr>
                </w:p>
              </w:tc>
              <w:tc>
                <w:tcPr>
                  <w:tcW w:w="213" w:type="pct"/>
                  <w:vMerge w:val="continue"/>
                  <w:vAlign w:val="center"/>
                </w:tcPr>
                <w:p w14:paraId="3720C97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highlight w:val="none"/>
                      <w14:textFill>
                        <w14:solidFill>
                          <w14:schemeClr w14:val="tx1"/>
                        </w14:solidFill>
                      </w14:textFill>
                    </w:rPr>
                  </w:pPr>
                </w:p>
              </w:tc>
              <w:tc>
                <w:tcPr>
                  <w:tcW w:w="680" w:type="pct"/>
                  <w:vAlign w:val="center"/>
                </w:tcPr>
                <w:p w14:paraId="3291FA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t>表虚感冒胶囊</w:t>
                  </w:r>
                </w:p>
              </w:tc>
              <w:tc>
                <w:tcPr>
                  <w:tcW w:w="396" w:type="pct"/>
                  <w:shd w:val="clear" w:color="auto" w:fill="auto"/>
                  <w:vAlign w:val="center"/>
                </w:tcPr>
                <w:p w14:paraId="422D190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0.5g/粒</w:t>
                  </w:r>
                </w:p>
              </w:tc>
              <w:tc>
                <w:tcPr>
                  <w:tcW w:w="385" w:type="pct"/>
                  <w:shd w:val="clear" w:color="auto" w:fill="auto"/>
                  <w:vAlign w:val="center"/>
                </w:tcPr>
                <w:p w14:paraId="5C8C1C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0.1</w:t>
                  </w:r>
                </w:p>
              </w:tc>
              <w:tc>
                <w:tcPr>
                  <w:tcW w:w="366" w:type="pct"/>
                  <w:shd w:val="clear" w:color="auto" w:fill="auto"/>
                  <w:vAlign w:val="center"/>
                </w:tcPr>
                <w:p w14:paraId="3A308F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5</w:t>
                  </w:r>
                </w:p>
              </w:tc>
              <w:tc>
                <w:tcPr>
                  <w:tcW w:w="541" w:type="pct"/>
                  <w:shd w:val="clear" w:color="auto" w:fill="auto"/>
                  <w:vAlign w:val="center"/>
                </w:tcPr>
                <w:p w14:paraId="0FD9B5C6">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w:t>
                  </w:r>
                </w:p>
              </w:tc>
              <w:tc>
                <w:tcPr>
                  <w:tcW w:w="371" w:type="pct"/>
                  <w:shd w:val="clear" w:color="auto" w:fill="auto"/>
                  <w:vAlign w:val="center"/>
                </w:tcPr>
                <w:p w14:paraId="663B746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w:t>
                  </w:r>
                </w:p>
              </w:tc>
              <w:tc>
                <w:tcPr>
                  <w:tcW w:w="585" w:type="pct"/>
                  <w:shd w:val="clear" w:color="auto" w:fill="auto"/>
                  <w:vAlign w:val="center"/>
                </w:tcPr>
                <w:p w14:paraId="182F7CC3">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0.1</w:t>
                  </w:r>
                </w:p>
              </w:tc>
              <w:tc>
                <w:tcPr>
                  <w:tcW w:w="417" w:type="pct"/>
                  <w:shd w:val="clear" w:color="auto" w:fill="auto"/>
                  <w:vAlign w:val="center"/>
                </w:tcPr>
                <w:p w14:paraId="00AC735B">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5</w:t>
                  </w:r>
                </w:p>
              </w:tc>
              <w:tc>
                <w:tcPr>
                  <w:tcW w:w="1077" w:type="dxa"/>
                  <w:shd w:val="clear" w:color="auto" w:fill="auto"/>
                  <w:vAlign w:val="center"/>
                </w:tcPr>
                <w:p w14:paraId="7F4DEAEF">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w:t>
                  </w:r>
                </w:p>
              </w:tc>
              <w:tc>
                <w:tcPr>
                  <w:tcW w:w="1077" w:type="dxa"/>
                  <w:shd w:val="clear" w:color="auto" w:fill="auto"/>
                  <w:vAlign w:val="center"/>
                </w:tcPr>
                <w:p w14:paraId="659758E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w:t>
                  </w:r>
                </w:p>
              </w:tc>
            </w:tr>
            <w:tr w14:paraId="7440A0A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04" w:type="pct"/>
                  <w:vMerge w:val="continue"/>
                  <w:vAlign w:val="center"/>
                </w:tcPr>
                <w:p w14:paraId="56BCDD7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highlight w:val="none"/>
                      <w14:textFill>
                        <w14:solidFill>
                          <w14:schemeClr w14:val="tx1"/>
                        </w14:solidFill>
                      </w14:textFill>
                    </w:rPr>
                  </w:pPr>
                </w:p>
              </w:tc>
              <w:tc>
                <w:tcPr>
                  <w:tcW w:w="213" w:type="pct"/>
                  <w:vMerge w:val="continue"/>
                  <w:vAlign w:val="center"/>
                </w:tcPr>
                <w:p w14:paraId="1C26237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highlight w:val="none"/>
                      <w14:textFill>
                        <w14:solidFill>
                          <w14:schemeClr w14:val="tx1"/>
                        </w14:solidFill>
                      </w14:textFill>
                    </w:rPr>
                  </w:pPr>
                </w:p>
              </w:tc>
              <w:tc>
                <w:tcPr>
                  <w:tcW w:w="680" w:type="pct"/>
                  <w:vAlign w:val="center"/>
                </w:tcPr>
                <w:p w14:paraId="0FFCD3E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t>阴虚胃痛胶囊</w:t>
                  </w:r>
                </w:p>
              </w:tc>
              <w:tc>
                <w:tcPr>
                  <w:tcW w:w="396" w:type="pct"/>
                  <w:shd w:val="clear" w:color="auto" w:fill="auto"/>
                  <w:vAlign w:val="center"/>
                </w:tcPr>
                <w:p w14:paraId="5C9BFF9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0.38g/粒</w:t>
                  </w:r>
                </w:p>
              </w:tc>
              <w:tc>
                <w:tcPr>
                  <w:tcW w:w="385" w:type="pct"/>
                  <w:shd w:val="clear" w:color="auto" w:fill="auto"/>
                  <w:vAlign w:val="center"/>
                </w:tcPr>
                <w:p w14:paraId="3C8402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0.1</w:t>
                  </w:r>
                </w:p>
              </w:tc>
              <w:tc>
                <w:tcPr>
                  <w:tcW w:w="366" w:type="pct"/>
                  <w:shd w:val="clear" w:color="auto" w:fill="auto"/>
                  <w:vAlign w:val="center"/>
                </w:tcPr>
                <w:p w14:paraId="255EFE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3.8</w:t>
                  </w:r>
                </w:p>
              </w:tc>
              <w:tc>
                <w:tcPr>
                  <w:tcW w:w="541" w:type="pct"/>
                  <w:shd w:val="clear" w:color="auto" w:fill="auto"/>
                  <w:vAlign w:val="center"/>
                </w:tcPr>
                <w:p w14:paraId="6092FC99">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w:t>
                  </w:r>
                </w:p>
              </w:tc>
              <w:tc>
                <w:tcPr>
                  <w:tcW w:w="371" w:type="pct"/>
                  <w:shd w:val="clear" w:color="auto" w:fill="auto"/>
                  <w:vAlign w:val="center"/>
                </w:tcPr>
                <w:p w14:paraId="317213B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w:t>
                  </w:r>
                </w:p>
              </w:tc>
              <w:tc>
                <w:tcPr>
                  <w:tcW w:w="585" w:type="pct"/>
                  <w:shd w:val="clear" w:color="auto" w:fill="auto"/>
                  <w:vAlign w:val="center"/>
                </w:tcPr>
                <w:p w14:paraId="16512D50">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0.1</w:t>
                  </w:r>
                </w:p>
              </w:tc>
              <w:tc>
                <w:tcPr>
                  <w:tcW w:w="417" w:type="pct"/>
                  <w:shd w:val="clear" w:color="auto" w:fill="auto"/>
                  <w:vAlign w:val="center"/>
                </w:tcPr>
                <w:p w14:paraId="4C106C28">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3.8</w:t>
                  </w:r>
                </w:p>
              </w:tc>
              <w:tc>
                <w:tcPr>
                  <w:tcW w:w="1077" w:type="dxa"/>
                  <w:shd w:val="clear" w:color="auto" w:fill="auto"/>
                  <w:vAlign w:val="center"/>
                </w:tcPr>
                <w:p w14:paraId="6292653B">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w:t>
                  </w:r>
                </w:p>
              </w:tc>
              <w:tc>
                <w:tcPr>
                  <w:tcW w:w="1077" w:type="dxa"/>
                  <w:shd w:val="clear" w:color="auto" w:fill="auto"/>
                  <w:vAlign w:val="center"/>
                </w:tcPr>
                <w:p w14:paraId="151E4F8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w:t>
                  </w:r>
                </w:p>
              </w:tc>
            </w:tr>
            <w:tr w14:paraId="55D0144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04" w:type="pct"/>
                  <w:vMerge w:val="continue"/>
                  <w:vAlign w:val="center"/>
                </w:tcPr>
                <w:p w14:paraId="0CA291D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highlight w:val="none"/>
                      <w14:textFill>
                        <w14:solidFill>
                          <w14:schemeClr w14:val="tx1"/>
                        </w14:solidFill>
                      </w14:textFill>
                    </w:rPr>
                  </w:pPr>
                </w:p>
              </w:tc>
              <w:tc>
                <w:tcPr>
                  <w:tcW w:w="213" w:type="pct"/>
                  <w:vMerge w:val="continue"/>
                  <w:vAlign w:val="center"/>
                </w:tcPr>
                <w:p w14:paraId="7C02FC7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highlight w:val="none"/>
                      <w14:textFill>
                        <w14:solidFill>
                          <w14:schemeClr w14:val="tx1"/>
                        </w14:solidFill>
                      </w14:textFill>
                    </w:rPr>
                  </w:pPr>
                </w:p>
              </w:tc>
              <w:tc>
                <w:tcPr>
                  <w:tcW w:w="680" w:type="pct"/>
                  <w:vAlign w:val="center"/>
                </w:tcPr>
                <w:p w14:paraId="6CE93C8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湿热痹胶囊</w:t>
                  </w:r>
                </w:p>
              </w:tc>
              <w:tc>
                <w:tcPr>
                  <w:tcW w:w="396" w:type="pct"/>
                  <w:shd w:val="clear" w:color="auto" w:fill="auto"/>
                  <w:vAlign w:val="center"/>
                </w:tcPr>
                <w:p w14:paraId="328ACF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0.37</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g/粒</w:t>
                  </w:r>
                </w:p>
              </w:tc>
              <w:tc>
                <w:tcPr>
                  <w:tcW w:w="385" w:type="pct"/>
                  <w:shd w:val="clear" w:color="auto" w:fill="auto"/>
                  <w:vAlign w:val="center"/>
                </w:tcPr>
                <w:p w14:paraId="177BC109">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0.1</w:t>
                  </w:r>
                </w:p>
              </w:tc>
              <w:tc>
                <w:tcPr>
                  <w:tcW w:w="366" w:type="pct"/>
                  <w:shd w:val="clear" w:color="auto" w:fill="auto"/>
                  <w:vAlign w:val="center"/>
                </w:tcPr>
                <w:p w14:paraId="33D046A3">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3.7</w:t>
                  </w:r>
                </w:p>
              </w:tc>
              <w:tc>
                <w:tcPr>
                  <w:tcW w:w="541" w:type="pct"/>
                  <w:shd w:val="clear" w:color="auto" w:fill="auto"/>
                  <w:vAlign w:val="center"/>
                </w:tcPr>
                <w:p w14:paraId="2678C916">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w:t>
                  </w:r>
                </w:p>
              </w:tc>
              <w:tc>
                <w:tcPr>
                  <w:tcW w:w="371" w:type="pct"/>
                  <w:shd w:val="clear" w:color="auto" w:fill="auto"/>
                  <w:vAlign w:val="center"/>
                </w:tcPr>
                <w:p w14:paraId="51A76F8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w:t>
                  </w:r>
                </w:p>
              </w:tc>
              <w:tc>
                <w:tcPr>
                  <w:tcW w:w="585" w:type="pct"/>
                  <w:shd w:val="clear" w:color="auto" w:fill="auto"/>
                  <w:vAlign w:val="center"/>
                </w:tcPr>
                <w:p w14:paraId="407860E6">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0.1</w:t>
                  </w:r>
                </w:p>
              </w:tc>
              <w:tc>
                <w:tcPr>
                  <w:tcW w:w="417" w:type="pct"/>
                  <w:shd w:val="clear" w:color="auto" w:fill="auto"/>
                  <w:vAlign w:val="center"/>
                </w:tcPr>
                <w:p w14:paraId="54F7C2BB">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3.7</w:t>
                  </w:r>
                </w:p>
              </w:tc>
              <w:tc>
                <w:tcPr>
                  <w:tcW w:w="1077" w:type="dxa"/>
                  <w:shd w:val="clear" w:color="auto" w:fill="auto"/>
                  <w:vAlign w:val="center"/>
                </w:tcPr>
                <w:p w14:paraId="5EE39447">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w:t>
                  </w:r>
                </w:p>
              </w:tc>
              <w:tc>
                <w:tcPr>
                  <w:tcW w:w="1077" w:type="dxa"/>
                  <w:shd w:val="clear" w:color="auto" w:fill="auto"/>
                  <w:vAlign w:val="center"/>
                </w:tcPr>
                <w:p w14:paraId="20AFE8B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w:t>
                  </w:r>
                </w:p>
              </w:tc>
            </w:tr>
            <w:tr w14:paraId="2032484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04" w:type="pct"/>
                  <w:vMerge w:val="continue"/>
                  <w:vAlign w:val="center"/>
                </w:tcPr>
                <w:p w14:paraId="25E70EC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highlight w:val="none"/>
                      <w14:textFill>
                        <w14:solidFill>
                          <w14:schemeClr w14:val="tx1"/>
                        </w14:solidFill>
                      </w14:textFill>
                    </w:rPr>
                  </w:pPr>
                </w:p>
              </w:tc>
              <w:tc>
                <w:tcPr>
                  <w:tcW w:w="1290" w:type="pct"/>
                  <w:gridSpan w:val="3"/>
                  <w:vAlign w:val="center"/>
                </w:tcPr>
                <w:p w14:paraId="11013B05">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胶囊剂</w:t>
                  </w:r>
                  <w:r>
                    <w:rPr>
                      <w:rFonts w:hint="eastAsia" w:cs="Times New Roman"/>
                      <w:b w:val="0"/>
                      <w:bCs w:val="0"/>
                      <w:color w:val="000000" w:themeColor="text1"/>
                      <w:kern w:val="0"/>
                      <w:sz w:val="21"/>
                      <w:szCs w:val="21"/>
                      <w:highlight w:val="none"/>
                      <w:lang w:val="en-US" w:eastAsia="zh-CN"/>
                      <w14:textFill>
                        <w14:solidFill>
                          <w14:schemeClr w14:val="tx1"/>
                        </w14:solidFill>
                      </w14:textFill>
                    </w:rPr>
                    <w:t>总计</w:t>
                  </w:r>
                </w:p>
              </w:tc>
              <w:tc>
                <w:tcPr>
                  <w:tcW w:w="385" w:type="pct"/>
                  <w:vAlign w:val="center"/>
                </w:tcPr>
                <w:p w14:paraId="06991D8F">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4</w:t>
                  </w:r>
                </w:p>
              </w:tc>
              <w:tc>
                <w:tcPr>
                  <w:tcW w:w="366" w:type="pct"/>
                  <w:vAlign w:val="center"/>
                </w:tcPr>
                <w:p w14:paraId="3B2F5FD9">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214</w:t>
                  </w:r>
                </w:p>
              </w:tc>
              <w:tc>
                <w:tcPr>
                  <w:tcW w:w="541" w:type="pct"/>
                  <w:shd w:val="clear" w:color="auto" w:fill="auto"/>
                  <w:vAlign w:val="center"/>
                </w:tcPr>
                <w:p w14:paraId="489E6A34">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Cs w:val="21"/>
                      <w:highlight w:val="none"/>
                      <w:lang w:val="en-US" w:eastAsia="zh-CN"/>
                      <w14:textFill>
                        <w14:solidFill>
                          <w14:schemeClr w14:val="tx1"/>
                        </w14:solidFill>
                      </w14:textFill>
                    </w:rPr>
                    <w:t>1</w:t>
                  </w:r>
                </w:p>
              </w:tc>
              <w:tc>
                <w:tcPr>
                  <w:tcW w:w="371" w:type="pct"/>
                  <w:shd w:val="clear" w:color="auto" w:fill="auto"/>
                  <w:vAlign w:val="center"/>
                </w:tcPr>
                <w:p w14:paraId="7C950BD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Cs w:val="21"/>
                      <w:highlight w:val="none"/>
                      <w:lang w:val="en-US" w:eastAsia="zh-CN"/>
                      <w14:textFill>
                        <w14:solidFill>
                          <w14:schemeClr w14:val="tx1"/>
                        </w14:solidFill>
                      </w14:textFill>
                    </w:rPr>
                    <w:t>55</w:t>
                  </w:r>
                </w:p>
              </w:tc>
              <w:tc>
                <w:tcPr>
                  <w:tcW w:w="585" w:type="pct"/>
                  <w:vAlign w:val="center"/>
                </w:tcPr>
                <w:p w14:paraId="4F8EB81E">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w:t>
                  </w:r>
                </w:p>
              </w:tc>
              <w:tc>
                <w:tcPr>
                  <w:tcW w:w="417" w:type="pct"/>
                  <w:shd w:val="clear" w:color="auto" w:fill="auto"/>
                  <w:vAlign w:val="center"/>
                </w:tcPr>
                <w:p w14:paraId="5C974543">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269</w:t>
                  </w:r>
                </w:p>
              </w:tc>
              <w:tc>
                <w:tcPr>
                  <w:tcW w:w="1077" w:type="dxa"/>
                  <w:shd w:val="clear" w:color="auto" w:fill="auto"/>
                  <w:vAlign w:val="center"/>
                </w:tcPr>
                <w:p w14:paraId="09BE6EBA">
                  <w:pPr>
                    <w:keepNext w:val="0"/>
                    <w:keepLines w:val="0"/>
                    <w:widowControl/>
                    <w:suppressLineNumbers w:val="0"/>
                    <w:spacing w:before="0" w:beforeAutospacing="0" w:after="0" w:afterAutospacing="0"/>
                    <w:ind w:left="0" w:leftChars="0" w:right="0" w:rightChars="0"/>
                    <w:jc w:val="center"/>
                    <w:textAlignment w:val="center"/>
                    <w:rPr>
                      <w:rFonts w:hint="eastAsia"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szCs w:val="21"/>
                      <w:highlight w:val="none"/>
                      <w:lang w:val="en-US" w:eastAsia="zh-CN"/>
                      <w14:textFill>
                        <w14:solidFill>
                          <w14:schemeClr w14:val="tx1"/>
                        </w14:solidFill>
                      </w14:textFill>
                    </w:rPr>
                    <w:t>+1</w:t>
                  </w:r>
                </w:p>
              </w:tc>
              <w:tc>
                <w:tcPr>
                  <w:tcW w:w="1077" w:type="dxa"/>
                  <w:shd w:val="clear" w:color="auto" w:fill="auto"/>
                  <w:vAlign w:val="center"/>
                </w:tcPr>
                <w:p w14:paraId="412C0838">
                  <w:pPr>
                    <w:keepNext w:val="0"/>
                    <w:keepLines w:val="0"/>
                    <w:suppressLineNumbers w:val="0"/>
                    <w:spacing w:before="0" w:beforeAutospacing="0" w:after="0" w:afterAutospacing="0"/>
                    <w:ind w:left="0" w:leftChars="0" w:right="0" w:rightChars="0"/>
                    <w:jc w:val="center"/>
                    <w:rPr>
                      <w:rFonts w:hint="eastAsia"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szCs w:val="21"/>
                      <w:highlight w:val="none"/>
                      <w:lang w:val="en-US" w:eastAsia="zh-CN"/>
                      <w14:textFill>
                        <w14:solidFill>
                          <w14:schemeClr w14:val="tx1"/>
                        </w14:solidFill>
                      </w14:textFill>
                    </w:rPr>
                    <w:t>+55</w:t>
                  </w:r>
                </w:p>
              </w:tc>
            </w:tr>
            <w:tr w14:paraId="6165A98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04" w:type="pct"/>
                  <w:vMerge w:val="continue"/>
                  <w:vAlign w:val="center"/>
                </w:tcPr>
                <w:p w14:paraId="0718C8D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Cs w:val="21"/>
                      <w:highlight w:val="none"/>
                      <w14:textFill>
                        <w14:solidFill>
                          <w14:schemeClr w14:val="tx1"/>
                        </w14:solidFill>
                      </w14:textFill>
                    </w:rPr>
                  </w:pPr>
                </w:p>
              </w:tc>
              <w:tc>
                <w:tcPr>
                  <w:tcW w:w="1290" w:type="pct"/>
                  <w:gridSpan w:val="3"/>
                  <w:vAlign w:val="center"/>
                </w:tcPr>
                <w:p w14:paraId="5575D91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t>综合制剂车间总产</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能</w:t>
                  </w:r>
                </w:p>
              </w:tc>
              <w:tc>
                <w:tcPr>
                  <w:tcW w:w="385" w:type="pct"/>
                  <w:vAlign w:val="center"/>
                </w:tcPr>
                <w:p w14:paraId="2D7E6CC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w:t>
                  </w:r>
                </w:p>
              </w:tc>
              <w:tc>
                <w:tcPr>
                  <w:tcW w:w="366" w:type="pct"/>
                  <w:vAlign w:val="center"/>
                </w:tcPr>
                <w:p w14:paraId="1788071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305.25</w:t>
                  </w:r>
                </w:p>
              </w:tc>
              <w:tc>
                <w:tcPr>
                  <w:tcW w:w="541" w:type="pct"/>
                  <w:shd w:val="clear" w:color="auto" w:fill="auto"/>
                  <w:vAlign w:val="center"/>
                </w:tcPr>
                <w:p w14:paraId="1F41A289">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p>
              </w:tc>
              <w:tc>
                <w:tcPr>
                  <w:tcW w:w="371" w:type="pct"/>
                  <w:shd w:val="clear" w:color="auto" w:fill="auto"/>
                  <w:vAlign w:val="center"/>
                </w:tcPr>
                <w:p w14:paraId="34E61A1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Cs w:val="21"/>
                      <w:highlight w:val="none"/>
                      <w:lang w:val="en-US" w:eastAsia="zh-CN"/>
                      <w14:textFill>
                        <w14:solidFill>
                          <w14:schemeClr w14:val="tx1"/>
                        </w14:solidFill>
                      </w14:textFill>
                    </w:rPr>
                    <w:t>255</w:t>
                  </w:r>
                </w:p>
              </w:tc>
              <w:tc>
                <w:tcPr>
                  <w:tcW w:w="585" w:type="pct"/>
                  <w:vAlign w:val="center"/>
                </w:tcPr>
                <w:p w14:paraId="5D2CE2AC">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w:t>
                  </w:r>
                </w:p>
              </w:tc>
              <w:tc>
                <w:tcPr>
                  <w:tcW w:w="417" w:type="pct"/>
                  <w:shd w:val="clear" w:color="auto" w:fill="auto"/>
                  <w:vAlign w:val="center"/>
                </w:tcPr>
                <w:p w14:paraId="423841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560.25</w:t>
                  </w:r>
                </w:p>
              </w:tc>
              <w:tc>
                <w:tcPr>
                  <w:tcW w:w="418" w:type="pct"/>
                  <w:shd w:val="clear" w:color="auto" w:fill="auto"/>
                  <w:vAlign w:val="center"/>
                </w:tcPr>
                <w:p w14:paraId="4DF28886">
                  <w:pPr>
                    <w:keepNext w:val="0"/>
                    <w:keepLines w:val="0"/>
                    <w:widowControl/>
                    <w:suppressLineNumbers w:val="0"/>
                    <w:spacing w:before="0" w:beforeAutospacing="0" w:after="0" w:afterAutospacing="0"/>
                    <w:ind w:left="0" w:leftChars="0" w:right="0" w:rightChars="0"/>
                    <w:jc w:val="center"/>
                    <w:textAlignment w:val="center"/>
                    <w:rPr>
                      <w:rFonts w:hint="default"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w:t>
                  </w:r>
                </w:p>
              </w:tc>
              <w:tc>
                <w:tcPr>
                  <w:tcW w:w="418" w:type="pct"/>
                  <w:shd w:val="clear" w:color="auto" w:fill="auto"/>
                  <w:vAlign w:val="center"/>
                </w:tcPr>
                <w:p w14:paraId="36F4FB40">
                  <w:pPr>
                    <w:keepNext w:val="0"/>
                    <w:keepLines w:val="0"/>
                    <w:widowControl/>
                    <w:suppressLineNumbers w:val="0"/>
                    <w:spacing w:before="0" w:beforeAutospacing="0" w:after="0" w:afterAutospacing="0"/>
                    <w:ind w:left="0" w:leftChars="0" w:right="0" w:rightChars="0"/>
                    <w:jc w:val="center"/>
                    <w:textAlignment w:val="center"/>
                    <w:rPr>
                      <w:rFonts w:hint="default"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w:t>
                  </w:r>
                  <w:r>
                    <w:rPr>
                      <w:rFonts w:hint="eastAsia" w:cs="Times New Roman"/>
                      <w:b w:val="0"/>
                      <w:bCs w:val="0"/>
                      <w:color w:val="000000" w:themeColor="text1"/>
                      <w:szCs w:val="21"/>
                      <w:highlight w:val="none"/>
                      <w:lang w:val="en-US" w:eastAsia="zh-CN"/>
                      <w14:textFill>
                        <w14:solidFill>
                          <w14:schemeClr w14:val="tx1"/>
                        </w14:solidFill>
                      </w14:textFill>
                    </w:rPr>
                    <w:t>255</w:t>
                  </w:r>
                </w:p>
              </w:tc>
            </w:tr>
          </w:tbl>
          <w:p w14:paraId="146A7653">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2" w:firstLineChars="200"/>
              <w:jc w:val="left"/>
              <w:textAlignment w:val="auto"/>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3.5主要原辅材料消耗及来源</w:t>
            </w:r>
          </w:p>
          <w:p w14:paraId="55093EB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color w:val="000000" w:themeColor="text1"/>
                <w:kern w:val="0"/>
                <w:sz w:val="24"/>
                <w:szCs w:val="24"/>
                <w:highlight w:val="none"/>
                <w:lang w:eastAsia="zh-CN" w:bidi="en-US"/>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3.5.1</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本</w:t>
            </w:r>
            <w:r>
              <w:rPr>
                <w:rFonts w:hint="default" w:ascii="Times New Roman" w:hAnsi="Times New Roman" w:cs="Times New Roman"/>
                <w:color w:val="000000" w:themeColor="text1"/>
                <w:sz w:val="24"/>
                <w:szCs w:val="24"/>
                <w:highlight w:val="none"/>
                <w14:textFill>
                  <w14:solidFill>
                    <w14:schemeClr w14:val="tx1"/>
                  </w14:solidFill>
                </w14:textFill>
              </w:rPr>
              <w:t>项目运营期主要原辅材料情况见</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下</w:t>
            </w:r>
            <w:r>
              <w:rPr>
                <w:rFonts w:hint="default" w:ascii="Times New Roman" w:hAnsi="Times New Roman" w:cs="Times New Roman"/>
                <w:color w:val="000000" w:themeColor="text1"/>
                <w:sz w:val="24"/>
                <w:szCs w:val="24"/>
                <w:highlight w:val="none"/>
                <w14:textFill>
                  <w14:solidFill>
                    <w14:schemeClr w14:val="tx1"/>
                  </w14:solidFill>
                </w14:textFill>
              </w:rPr>
              <w:t>表</w:t>
            </w:r>
            <w:r>
              <w:rPr>
                <w:rFonts w:hint="default" w:ascii="Times New Roman" w:hAnsi="Times New Roman" w:cs="Times New Roman"/>
                <w:color w:val="000000" w:themeColor="text1"/>
                <w:kern w:val="0"/>
                <w:sz w:val="24"/>
                <w:szCs w:val="24"/>
                <w:highlight w:val="none"/>
                <w:lang w:eastAsia="zh-CN" w:bidi="en-US"/>
                <w14:textFill>
                  <w14:solidFill>
                    <w14:schemeClr w14:val="tx1"/>
                  </w14:solidFill>
                </w14:textFill>
              </w:rPr>
              <w:t>：</w:t>
            </w:r>
          </w:p>
          <w:p w14:paraId="49EA62F2">
            <w:pPr>
              <w:keepNext w:val="0"/>
              <w:keepLines w:val="0"/>
              <w:numPr>
                <w:ilvl w:val="0"/>
                <w:numId w:val="5"/>
              </w:numPr>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宋体" w:cs="Times New Roman"/>
                <w:b/>
                <w:bCs/>
                <w:color w:val="000000" w:themeColor="text1"/>
                <w:sz w:val="21"/>
                <w:szCs w:val="21"/>
                <w:highlight w:val="none"/>
                <w:lang w:val="zh-CN" w:eastAsia="en-US"/>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zh-CN" w:eastAsia="en-US"/>
                <w14:textFill>
                  <w14:solidFill>
                    <w14:schemeClr w14:val="tx1"/>
                  </w14:solidFill>
                </w14:textFill>
              </w:rPr>
              <w:t xml:space="preserve">  </w:t>
            </w:r>
            <w:r>
              <w:rPr>
                <w:rFonts w:hint="eastAsia" w:cs="Times New Roman"/>
                <w:b/>
                <w:bCs/>
                <w:color w:val="000000" w:themeColor="text1"/>
                <w:sz w:val="21"/>
                <w:szCs w:val="21"/>
                <w:highlight w:val="none"/>
                <w:lang w:val="en-US" w:eastAsia="zh-CN"/>
                <w14:textFill>
                  <w14:solidFill>
                    <w14:schemeClr w14:val="tx1"/>
                  </w14:solidFill>
                </w14:textFill>
              </w:rPr>
              <w:t>本项目实施前后</w:t>
            </w:r>
            <w:r>
              <w:rPr>
                <w:rFonts w:hint="default" w:ascii="Times New Roman" w:hAnsi="Times New Roman" w:eastAsia="宋体" w:cs="Times New Roman"/>
                <w:b/>
                <w:bCs/>
                <w:color w:val="000000" w:themeColor="text1"/>
                <w:sz w:val="21"/>
                <w:szCs w:val="21"/>
                <w:highlight w:val="none"/>
                <w:lang w:val="zh-CN" w:eastAsia="en-US"/>
                <w14:textFill>
                  <w14:solidFill>
                    <w14:schemeClr w14:val="tx1"/>
                  </w14:solidFill>
                </w14:textFill>
              </w:rPr>
              <w:t>主要原辅材料</w:t>
            </w:r>
            <w:r>
              <w:rPr>
                <w:rFonts w:hint="eastAsia" w:cs="Times New Roman"/>
                <w:b/>
                <w:bCs/>
                <w:color w:val="000000" w:themeColor="text1"/>
                <w:sz w:val="21"/>
                <w:szCs w:val="21"/>
                <w:highlight w:val="none"/>
                <w:lang w:val="en-US" w:eastAsia="zh-CN"/>
                <w14:textFill>
                  <w14:solidFill>
                    <w14:schemeClr w14:val="tx1"/>
                  </w14:solidFill>
                </w14:textFill>
              </w:rPr>
              <w:t>变化情况</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表</w:t>
            </w:r>
          </w:p>
          <w:tbl>
            <w:tblPr>
              <w:tblStyle w:val="36"/>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97"/>
              <w:gridCol w:w="834"/>
              <w:gridCol w:w="1377"/>
              <w:gridCol w:w="1027"/>
              <w:gridCol w:w="1102"/>
              <w:gridCol w:w="1375"/>
              <w:gridCol w:w="1007"/>
              <w:gridCol w:w="1403"/>
              <w:gridCol w:w="1146"/>
              <w:gridCol w:w="991"/>
              <w:gridCol w:w="1035"/>
              <w:gridCol w:w="868"/>
            </w:tblGrid>
            <w:tr w14:paraId="50FD61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tcBorders>
                    <w:tl2br w:val="nil"/>
                    <w:tr2bl w:val="nil"/>
                  </w:tcBorders>
                  <w:noWrap w:val="0"/>
                  <w:vAlign w:val="center"/>
                </w:tcPr>
                <w:p w14:paraId="6BD8233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cs="Times New Roman"/>
                      <w:b/>
                      <w:bCs/>
                      <w:color w:val="000000" w:themeColor="text1"/>
                      <w:sz w:val="21"/>
                      <w:szCs w:val="21"/>
                      <w:highlight w:val="none"/>
                      <w:vertAlign w:val="baseline"/>
                      <w:lang w:val="en-US" w:eastAsia="zh-CN"/>
                      <w14:textFill>
                        <w14:solidFill>
                          <w14:schemeClr w14:val="tx1"/>
                        </w14:solidFill>
                      </w14:textFill>
                    </w:rPr>
                    <w:t>车间</w:t>
                  </w:r>
                </w:p>
              </w:tc>
              <w:tc>
                <w:tcPr>
                  <w:tcW w:w="858" w:type="pct"/>
                  <w:gridSpan w:val="2"/>
                  <w:tcBorders>
                    <w:tl2br w:val="nil"/>
                    <w:tr2bl w:val="nil"/>
                  </w:tcBorders>
                  <w:noWrap w:val="0"/>
                  <w:vAlign w:val="center"/>
                </w:tcPr>
                <w:p w14:paraId="157B043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名称</w:t>
                  </w:r>
                </w:p>
              </w:tc>
              <w:tc>
                <w:tcPr>
                  <w:tcW w:w="399" w:type="pct"/>
                  <w:tcBorders>
                    <w:tl2br w:val="nil"/>
                    <w:tr2bl w:val="nil"/>
                  </w:tcBorders>
                  <w:noWrap w:val="0"/>
                  <w:vAlign w:val="center"/>
                </w:tcPr>
                <w:p w14:paraId="4084752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cs="Times New Roman"/>
                      <w:b/>
                      <w:bCs/>
                      <w:color w:val="000000" w:themeColor="text1"/>
                      <w:sz w:val="21"/>
                      <w:szCs w:val="21"/>
                      <w:highlight w:val="none"/>
                      <w:vertAlign w:val="baseline"/>
                      <w:lang w:val="en-US" w:eastAsia="zh-CN"/>
                      <w14:textFill>
                        <w14:solidFill>
                          <w14:schemeClr w14:val="tx1"/>
                        </w14:solidFill>
                      </w14:textFill>
                    </w:rPr>
                    <w:t>现有项目年用量</w:t>
                  </w: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（t/a）</w:t>
                  </w:r>
                </w:p>
              </w:tc>
              <w:tc>
                <w:tcPr>
                  <w:tcW w:w="428" w:type="pct"/>
                  <w:tcBorders>
                    <w:tl2br w:val="nil"/>
                    <w:tr2bl w:val="nil"/>
                  </w:tcBorders>
                  <w:noWrap w:val="0"/>
                  <w:vAlign w:val="center"/>
                </w:tcPr>
                <w:p w14:paraId="27217BA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cs="Times New Roman"/>
                      <w:b/>
                      <w:bCs/>
                      <w:color w:val="000000" w:themeColor="text1"/>
                      <w:sz w:val="21"/>
                      <w:szCs w:val="21"/>
                      <w:highlight w:val="none"/>
                      <w:vertAlign w:val="baseline"/>
                      <w:lang w:val="en-US" w:eastAsia="zh-CN"/>
                      <w14:textFill>
                        <w14:solidFill>
                          <w14:schemeClr w14:val="tx1"/>
                        </w14:solidFill>
                      </w14:textFill>
                    </w:rPr>
                    <w:t>本项目年</w:t>
                  </w: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用量（t/a）</w:t>
                  </w:r>
                </w:p>
              </w:tc>
              <w:tc>
                <w:tcPr>
                  <w:tcW w:w="534" w:type="pct"/>
                  <w:tcBorders>
                    <w:tl2br w:val="nil"/>
                    <w:tr2bl w:val="nil"/>
                  </w:tcBorders>
                  <w:noWrap w:val="0"/>
                  <w:vAlign w:val="center"/>
                </w:tcPr>
                <w:p w14:paraId="3A23A32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default" w:cs="Times New Roman"/>
                      <w:b/>
                      <w:bCs/>
                      <w:color w:val="000000" w:themeColor="text1"/>
                      <w:sz w:val="21"/>
                      <w:szCs w:val="21"/>
                      <w:highlight w:val="none"/>
                      <w:vertAlign w:val="baseline"/>
                      <w:lang w:val="en-US" w:eastAsia="zh-CN"/>
                      <w14:textFill>
                        <w14:solidFill>
                          <w14:schemeClr w14:val="tx1"/>
                        </w14:solidFill>
                      </w14:textFill>
                    </w:rPr>
                  </w:pPr>
                  <w:r>
                    <w:rPr>
                      <w:rFonts w:hint="eastAsia" w:cs="Times New Roman"/>
                      <w:b/>
                      <w:bCs/>
                      <w:color w:val="000000" w:themeColor="text1"/>
                      <w:sz w:val="21"/>
                      <w:szCs w:val="21"/>
                      <w:highlight w:val="none"/>
                      <w:vertAlign w:val="baseline"/>
                      <w:lang w:val="en-US" w:eastAsia="zh-CN"/>
                      <w14:textFill>
                        <w14:solidFill>
                          <w14:schemeClr w14:val="tx1"/>
                        </w14:solidFill>
                      </w14:textFill>
                    </w:rPr>
                    <w:t>本项目建成后全厂年用量</w:t>
                  </w: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（t/a）</w:t>
                  </w:r>
                </w:p>
              </w:tc>
              <w:tc>
                <w:tcPr>
                  <w:tcW w:w="391" w:type="pct"/>
                  <w:tcBorders>
                    <w:tl2br w:val="nil"/>
                    <w:tr2bl w:val="nil"/>
                  </w:tcBorders>
                  <w:noWrap w:val="0"/>
                  <w:vAlign w:val="center"/>
                </w:tcPr>
                <w:p w14:paraId="627F83A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default" w:cs="Times New Roman"/>
                      <w:b/>
                      <w:bCs/>
                      <w:color w:val="000000" w:themeColor="text1"/>
                      <w:sz w:val="21"/>
                      <w:szCs w:val="21"/>
                      <w:highlight w:val="none"/>
                      <w:vertAlign w:val="baseline"/>
                      <w:lang w:val="en-US" w:eastAsia="zh-CN"/>
                      <w14:textFill>
                        <w14:solidFill>
                          <w14:schemeClr w14:val="tx1"/>
                        </w14:solidFill>
                      </w14:textFill>
                    </w:rPr>
                  </w:pPr>
                  <w:r>
                    <w:rPr>
                      <w:rFonts w:hint="eastAsia" w:cs="Times New Roman"/>
                      <w:b/>
                      <w:bCs/>
                      <w:color w:val="000000" w:themeColor="text1"/>
                      <w:sz w:val="21"/>
                      <w:szCs w:val="21"/>
                      <w:highlight w:val="none"/>
                      <w:vertAlign w:val="baseline"/>
                      <w:lang w:val="en-US" w:eastAsia="zh-CN"/>
                      <w14:textFill>
                        <w14:solidFill>
                          <w14:schemeClr w14:val="tx1"/>
                        </w14:solidFill>
                      </w14:textFill>
                    </w:rPr>
                    <w:t>变化情况</w:t>
                  </w: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（t/a）</w:t>
                  </w:r>
                </w:p>
              </w:tc>
              <w:tc>
                <w:tcPr>
                  <w:tcW w:w="545" w:type="pct"/>
                  <w:tcBorders>
                    <w:tl2br w:val="nil"/>
                    <w:tr2bl w:val="nil"/>
                  </w:tcBorders>
                  <w:noWrap w:val="0"/>
                  <w:vAlign w:val="center"/>
                </w:tcPr>
                <w:p w14:paraId="07C4B3F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包装规格</w:t>
                  </w:r>
                </w:p>
              </w:tc>
              <w:tc>
                <w:tcPr>
                  <w:tcW w:w="445" w:type="pct"/>
                  <w:tcBorders>
                    <w:tl2br w:val="nil"/>
                    <w:tr2bl w:val="nil"/>
                  </w:tcBorders>
                  <w:noWrap w:val="0"/>
                  <w:vAlign w:val="center"/>
                </w:tcPr>
                <w:p w14:paraId="7129235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储存位置</w:t>
                  </w:r>
                </w:p>
              </w:tc>
              <w:tc>
                <w:tcPr>
                  <w:tcW w:w="385" w:type="pct"/>
                  <w:tcBorders>
                    <w:tl2br w:val="nil"/>
                    <w:tr2bl w:val="nil"/>
                  </w:tcBorders>
                  <w:noWrap w:val="0"/>
                  <w:vAlign w:val="center"/>
                </w:tcPr>
                <w:p w14:paraId="690A2AB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最大储存量（t）</w:t>
                  </w:r>
                </w:p>
              </w:tc>
              <w:tc>
                <w:tcPr>
                  <w:tcW w:w="402" w:type="pct"/>
                  <w:tcBorders>
                    <w:tl2br w:val="nil"/>
                    <w:tr2bl w:val="nil"/>
                  </w:tcBorders>
                  <w:noWrap w:val="0"/>
                  <w:vAlign w:val="center"/>
                </w:tcPr>
                <w:p w14:paraId="5F85526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t>贮存周期（d）</w:t>
                  </w:r>
                </w:p>
              </w:tc>
              <w:tc>
                <w:tcPr>
                  <w:tcW w:w="337" w:type="pct"/>
                  <w:tcBorders>
                    <w:tl2br w:val="nil"/>
                    <w:tr2bl w:val="nil"/>
                  </w:tcBorders>
                  <w:noWrap w:val="0"/>
                  <w:vAlign w:val="center"/>
                </w:tcPr>
                <w:p w14:paraId="59AE04C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t>来源</w:t>
                  </w:r>
                </w:p>
              </w:tc>
            </w:tr>
            <w:tr w14:paraId="3C2D06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restart"/>
                  <w:tcBorders>
                    <w:tl2br w:val="nil"/>
                    <w:tr2bl w:val="nil"/>
                  </w:tcBorders>
                  <w:noWrap w:val="0"/>
                  <w:vAlign w:val="center"/>
                </w:tcPr>
                <w:p w14:paraId="45EC7C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bidi="en-US"/>
                      <w14:textFill>
                        <w14:solidFill>
                          <w14:schemeClr w14:val="tx1"/>
                        </w14:solidFill>
                      </w14:textFill>
                    </w:rPr>
                    <w:t>前处理车间</w:t>
                  </w:r>
                </w:p>
              </w:tc>
              <w:tc>
                <w:tcPr>
                  <w:tcW w:w="858" w:type="pct"/>
                  <w:gridSpan w:val="2"/>
                  <w:tcBorders>
                    <w:tl2br w:val="nil"/>
                    <w:tr2bl w:val="nil"/>
                  </w:tcBorders>
                  <w:noWrap w:val="0"/>
                  <w:vAlign w:val="center"/>
                </w:tcPr>
                <w:p w14:paraId="50A272E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南</w:t>
                  </w: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沙参</w:t>
                  </w:r>
                </w:p>
              </w:tc>
              <w:tc>
                <w:tcPr>
                  <w:tcW w:w="399" w:type="pct"/>
                  <w:tcBorders>
                    <w:tl2br w:val="nil"/>
                    <w:tr2bl w:val="nil"/>
                  </w:tcBorders>
                  <w:noWrap w:val="0"/>
                  <w:vAlign w:val="center"/>
                </w:tcPr>
                <w:p w14:paraId="3E4ED384">
                  <w:pPr>
                    <w:keepNext w:val="0"/>
                    <w:keepLines w:val="0"/>
                    <w:widowControl/>
                    <w:suppressLineNumbers w:val="0"/>
                    <w:spacing w:before="0" w:beforeAutospacing="0" w:after="0" w:afterAutospacing="0"/>
                    <w:ind w:left="0" w:right="0"/>
                    <w:jc w:val="center"/>
                    <w:rPr>
                      <w:rFonts w:hint="default"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0</w:t>
                  </w:r>
                </w:p>
              </w:tc>
              <w:tc>
                <w:tcPr>
                  <w:tcW w:w="428" w:type="pct"/>
                  <w:tcBorders>
                    <w:tl2br w:val="nil"/>
                    <w:tr2bl w:val="nil"/>
                  </w:tcBorders>
                  <w:noWrap w:val="0"/>
                  <w:vAlign w:val="center"/>
                </w:tcPr>
                <w:p w14:paraId="4A03AAC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6</w:t>
                  </w:r>
                </w:p>
              </w:tc>
              <w:tc>
                <w:tcPr>
                  <w:tcW w:w="534" w:type="pct"/>
                  <w:tcBorders>
                    <w:tl2br w:val="nil"/>
                    <w:tr2bl w:val="nil"/>
                  </w:tcBorders>
                  <w:shd w:val="clear" w:color="auto" w:fill="auto"/>
                  <w:noWrap w:val="0"/>
                  <w:vAlign w:val="center"/>
                </w:tcPr>
                <w:p w14:paraId="4347E104">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6</w:t>
                  </w:r>
                </w:p>
              </w:tc>
              <w:tc>
                <w:tcPr>
                  <w:tcW w:w="391" w:type="pct"/>
                  <w:tcBorders>
                    <w:tl2br w:val="nil"/>
                    <w:tr2bl w:val="nil"/>
                  </w:tcBorders>
                  <w:noWrap w:val="0"/>
                  <w:vAlign w:val="center"/>
                </w:tcPr>
                <w:p w14:paraId="15FD1352">
                  <w:pPr>
                    <w:keepNext w:val="0"/>
                    <w:keepLines w:val="0"/>
                    <w:widowControl/>
                    <w:suppressLineNumbers w:val="0"/>
                    <w:spacing w:before="0" w:beforeAutospacing="0" w:after="0" w:afterAutospacing="0"/>
                    <w:ind w:left="0" w:leftChars="0" w:right="0" w:rightChars="0"/>
                    <w:jc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+6</w:t>
                  </w:r>
                </w:p>
              </w:tc>
              <w:tc>
                <w:tcPr>
                  <w:tcW w:w="545" w:type="pct"/>
                  <w:tcBorders>
                    <w:tl2br w:val="nil"/>
                    <w:tr2bl w:val="nil"/>
                  </w:tcBorders>
                  <w:noWrap w:val="0"/>
                  <w:vAlign w:val="center"/>
                </w:tcPr>
                <w:p w14:paraId="5D1282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50kg/袋</w:t>
                  </w:r>
                </w:p>
              </w:tc>
              <w:tc>
                <w:tcPr>
                  <w:tcW w:w="445" w:type="pct"/>
                  <w:vMerge w:val="restart"/>
                  <w:tcBorders>
                    <w:tl2br w:val="nil"/>
                    <w:tr2bl w:val="nil"/>
                  </w:tcBorders>
                  <w:noWrap w:val="0"/>
                  <w:vAlign w:val="center"/>
                </w:tcPr>
                <w:p w14:paraId="77D1BB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综合仓库</w:t>
                  </w:r>
                </w:p>
              </w:tc>
              <w:tc>
                <w:tcPr>
                  <w:tcW w:w="385" w:type="pct"/>
                  <w:tcBorders>
                    <w:tl2br w:val="nil"/>
                    <w:tr2bl w:val="nil"/>
                  </w:tcBorders>
                  <w:noWrap w:val="0"/>
                  <w:vAlign w:val="center"/>
                </w:tcPr>
                <w:p w14:paraId="406C16A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0.72</w:t>
                  </w:r>
                </w:p>
              </w:tc>
              <w:tc>
                <w:tcPr>
                  <w:tcW w:w="402" w:type="pct"/>
                  <w:tcBorders>
                    <w:tl2br w:val="nil"/>
                    <w:tr2bl w:val="nil"/>
                  </w:tcBorders>
                  <w:noWrap w:val="0"/>
                  <w:vAlign w:val="center"/>
                </w:tcPr>
                <w:p w14:paraId="4C4659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tcBorders>
                    <w:tl2br w:val="nil"/>
                    <w:tr2bl w:val="nil"/>
                  </w:tcBorders>
                  <w:noWrap w:val="0"/>
                  <w:vAlign w:val="center"/>
                </w:tcPr>
                <w:p w14:paraId="0BE10B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75316A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continue"/>
                  <w:tcBorders>
                    <w:tl2br w:val="nil"/>
                    <w:tr2bl w:val="nil"/>
                  </w:tcBorders>
                  <w:noWrap w:val="0"/>
                  <w:vAlign w:val="center"/>
                </w:tcPr>
                <w:p w14:paraId="736DC0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p>
              </w:tc>
              <w:tc>
                <w:tcPr>
                  <w:tcW w:w="858" w:type="pct"/>
                  <w:gridSpan w:val="2"/>
                  <w:tcBorders>
                    <w:tl2br w:val="nil"/>
                    <w:tr2bl w:val="nil"/>
                  </w:tcBorders>
                  <w:noWrap w:val="0"/>
                  <w:vAlign w:val="center"/>
                </w:tcPr>
                <w:p w14:paraId="7D17FBC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麦冬</w:t>
                  </w:r>
                </w:p>
              </w:tc>
              <w:tc>
                <w:tcPr>
                  <w:tcW w:w="399" w:type="pct"/>
                  <w:tcBorders>
                    <w:tl2br w:val="nil"/>
                    <w:tr2bl w:val="nil"/>
                  </w:tcBorders>
                  <w:noWrap w:val="0"/>
                  <w:vAlign w:val="center"/>
                </w:tcPr>
                <w:p w14:paraId="400D66D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0</w:t>
                  </w:r>
                </w:p>
              </w:tc>
              <w:tc>
                <w:tcPr>
                  <w:tcW w:w="428" w:type="pct"/>
                  <w:tcBorders>
                    <w:tl2br w:val="nil"/>
                    <w:tr2bl w:val="nil"/>
                  </w:tcBorders>
                  <w:noWrap w:val="0"/>
                  <w:vAlign w:val="center"/>
                </w:tcPr>
                <w:p w14:paraId="1D331F5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8.5</w:t>
                  </w:r>
                </w:p>
              </w:tc>
              <w:tc>
                <w:tcPr>
                  <w:tcW w:w="534" w:type="pct"/>
                  <w:tcBorders>
                    <w:tl2br w:val="nil"/>
                    <w:tr2bl w:val="nil"/>
                  </w:tcBorders>
                  <w:shd w:val="clear" w:color="auto" w:fill="auto"/>
                  <w:noWrap w:val="0"/>
                  <w:vAlign w:val="center"/>
                </w:tcPr>
                <w:p w14:paraId="20BC6C46">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8.5</w:t>
                  </w:r>
                </w:p>
              </w:tc>
              <w:tc>
                <w:tcPr>
                  <w:tcW w:w="391" w:type="pct"/>
                  <w:tcBorders>
                    <w:tl2br w:val="nil"/>
                    <w:tr2bl w:val="nil"/>
                  </w:tcBorders>
                  <w:noWrap w:val="0"/>
                  <w:vAlign w:val="center"/>
                </w:tcPr>
                <w:p w14:paraId="245C3BF4">
                  <w:pPr>
                    <w:keepNext w:val="0"/>
                    <w:keepLines w:val="0"/>
                    <w:widowControl/>
                    <w:suppressLineNumbers w:val="0"/>
                    <w:spacing w:before="0" w:beforeAutospacing="0" w:after="0" w:afterAutospacing="0"/>
                    <w:ind w:left="0" w:leftChars="0" w:right="0" w:rightChars="0"/>
                    <w:jc w:val="center"/>
                    <w:rPr>
                      <w:rFonts w:hint="eastAsia"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+8.5</w:t>
                  </w:r>
                </w:p>
              </w:tc>
              <w:tc>
                <w:tcPr>
                  <w:tcW w:w="545" w:type="pct"/>
                  <w:tcBorders>
                    <w:tl2br w:val="nil"/>
                    <w:tr2bl w:val="nil"/>
                  </w:tcBorders>
                  <w:noWrap w:val="0"/>
                  <w:vAlign w:val="center"/>
                </w:tcPr>
                <w:p w14:paraId="63FC2F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50kg/袋</w:t>
                  </w:r>
                </w:p>
              </w:tc>
              <w:tc>
                <w:tcPr>
                  <w:tcW w:w="445" w:type="pct"/>
                  <w:vMerge w:val="continue"/>
                  <w:tcBorders>
                    <w:tl2br w:val="nil"/>
                    <w:tr2bl w:val="nil"/>
                  </w:tcBorders>
                  <w:noWrap w:val="0"/>
                  <w:vAlign w:val="center"/>
                </w:tcPr>
                <w:p w14:paraId="43D559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p>
              </w:tc>
              <w:tc>
                <w:tcPr>
                  <w:tcW w:w="385" w:type="pct"/>
                  <w:tcBorders>
                    <w:tl2br w:val="nil"/>
                    <w:tr2bl w:val="nil"/>
                  </w:tcBorders>
                  <w:noWrap w:val="0"/>
                  <w:vAlign w:val="center"/>
                </w:tcPr>
                <w:p w14:paraId="54D94E1A">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1.02</w:t>
                  </w:r>
                </w:p>
              </w:tc>
              <w:tc>
                <w:tcPr>
                  <w:tcW w:w="402" w:type="pct"/>
                  <w:tcBorders>
                    <w:tl2br w:val="nil"/>
                    <w:tr2bl w:val="nil"/>
                  </w:tcBorders>
                  <w:noWrap w:val="0"/>
                  <w:vAlign w:val="center"/>
                </w:tcPr>
                <w:p w14:paraId="3279F5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tcBorders>
                    <w:tl2br w:val="nil"/>
                    <w:tr2bl w:val="nil"/>
                  </w:tcBorders>
                  <w:noWrap w:val="0"/>
                  <w:vAlign w:val="center"/>
                </w:tcPr>
                <w:p w14:paraId="7B539C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3209DC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continue"/>
                  <w:tcBorders>
                    <w:tl2br w:val="nil"/>
                    <w:tr2bl w:val="nil"/>
                  </w:tcBorders>
                  <w:noWrap w:val="0"/>
                  <w:vAlign w:val="center"/>
                </w:tcPr>
                <w:p w14:paraId="230D24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858" w:type="pct"/>
                  <w:gridSpan w:val="2"/>
                  <w:tcBorders>
                    <w:tl2br w:val="nil"/>
                    <w:tr2bl w:val="nil"/>
                  </w:tcBorders>
                  <w:noWrap w:val="0"/>
                  <w:vAlign w:val="center"/>
                </w:tcPr>
                <w:p w14:paraId="1E3ADDF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甘草</w:t>
                  </w:r>
                </w:p>
              </w:tc>
              <w:tc>
                <w:tcPr>
                  <w:tcW w:w="399" w:type="pct"/>
                  <w:tcBorders>
                    <w:tl2br w:val="nil"/>
                    <w:tr2bl w:val="nil"/>
                  </w:tcBorders>
                  <w:noWrap w:val="0"/>
                  <w:vAlign w:val="center"/>
                </w:tcPr>
                <w:p w14:paraId="1D94315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0</w:t>
                  </w:r>
                </w:p>
              </w:tc>
              <w:tc>
                <w:tcPr>
                  <w:tcW w:w="428" w:type="pct"/>
                  <w:tcBorders>
                    <w:tl2br w:val="nil"/>
                    <w:tr2bl w:val="nil"/>
                  </w:tcBorders>
                  <w:noWrap w:val="0"/>
                  <w:vAlign w:val="center"/>
                </w:tcPr>
                <w:p w14:paraId="58ABE10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9.</w:t>
                  </w:r>
                  <w:r>
                    <w:rPr>
                      <w:rFonts w:hint="eastAsia" w:cs="Times New Roman"/>
                      <w:b w:val="0"/>
                      <w:bCs w:val="0"/>
                      <w:color w:val="000000" w:themeColor="text1"/>
                      <w:sz w:val="21"/>
                      <w:szCs w:val="21"/>
                      <w:highlight w:val="none"/>
                      <w:lang w:val="en-US" w:eastAsia="zh-CN"/>
                      <w14:textFill>
                        <w14:solidFill>
                          <w14:schemeClr w14:val="tx1"/>
                        </w14:solidFill>
                      </w14:textFill>
                    </w:rPr>
                    <w:t>5</w:t>
                  </w:r>
                </w:p>
              </w:tc>
              <w:tc>
                <w:tcPr>
                  <w:tcW w:w="534" w:type="pct"/>
                  <w:tcBorders>
                    <w:tl2br w:val="nil"/>
                    <w:tr2bl w:val="nil"/>
                  </w:tcBorders>
                  <w:shd w:val="clear" w:color="auto" w:fill="auto"/>
                  <w:noWrap w:val="0"/>
                  <w:vAlign w:val="center"/>
                </w:tcPr>
                <w:p w14:paraId="15F76AEE">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9.</w:t>
                  </w:r>
                  <w:r>
                    <w:rPr>
                      <w:rFonts w:hint="eastAsia" w:cs="Times New Roman"/>
                      <w:b w:val="0"/>
                      <w:bCs w:val="0"/>
                      <w:color w:val="000000" w:themeColor="text1"/>
                      <w:sz w:val="21"/>
                      <w:szCs w:val="21"/>
                      <w:highlight w:val="none"/>
                      <w:lang w:val="en-US" w:eastAsia="zh-CN"/>
                      <w14:textFill>
                        <w14:solidFill>
                          <w14:schemeClr w14:val="tx1"/>
                        </w14:solidFill>
                      </w14:textFill>
                    </w:rPr>
                    <w:t>5</w:t>
                  </w:r>
                </w:p>
              </w:tc>
              <w:tc>
                <w:tcPr>
                  <w:tcW w:w="391" w:type="pct"/>
                  <w:tcBorders>
                    <w:tl2br w:val="nil"/>
                    <w:tr2bl w:val="nil"/>
                  </w:tcBorders>
                  <w:noWrap w:val="0"/>
                  <w:vAlign w:val="center"/>
                </w:tcPr>
                <w:p w14:paraId="1ECB3DE7">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9.</w:t>
                  </w:r>
                  <w:r>
                    <w:rPr>
                      <w:rFonts w:hint="eastAsia" w:cs="Times New Roman"/>
                      <w:b w:val="0"/>
                      <w:bCs w:val="0"/>
                      <w:color w:val="000000" w:themeColor="text1"/>
                      <w:sz w:val="21"/>
                      <w:szCs w:val="21"/>
                      <w:highlight w:val="none"/>
                      <w:lang w:val="en-US" w:eastAsia="zh-CN"/>
                      <w14:textFill>
                        <w14:solidFill>
                          <w14:schemeClr w14:val="tx1"/>
                        </w14:solidFill>
                      </w14:textFill>
                    </w:rPr>
                    <w:t>5</w:t>
                  </w:r>
                </w:p>
              </w:tc>
              <w:tc>
                <w:tcPr>
                  <w:tcW w:w="545" w:type="pct"/>
                  <w:tcBorders>
                    <w:tl2br w:val="nil"/>
                    <w:tr2bl w:val="nil"/>
                  </w:tcBorders>
                  <w:noWrap w:val="0"/>
                  <w:vAlign w:val="center"/>
                </w:tcPr>
                <w:p w14:paraId="40CB0D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50kg/袋</w:t>
                  </w:r>
                </w:p>
              </w:tc>
              <w:tc>
                <w:tcPr>
                  <w:tcW w:w="445" w:type="pct"/>
                  <w:vMerge w:val="continue"/>
                  <w:tcBorders>
                    <w:tl2br w:val="nil"/>
                    <w:tr2bl w:val="nil"/>
                  </w:tcBorders>
                  <w:noWrap w:val="0"/>
                  <w:vAlign w:val="center"/>
                </w:tcPr>
                <w:p w14:paraId="580962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noWrap w:val="0"/>
                  <w:vAlign w:val="center"/>
                </w:tcPr>
                <w:p w14:paraId="212D6E98">
                  <w:pPr>
                    <w:keepNext w:val="0"/>
                    <w:keepLines w:val="0"/>
                    <w:widowControl/>
                    <w:suppressLineNumbers w:val="0"/>
                    <w:spacing w:before="0" w:beforeAutospacing="0" w:after="0" w:afterAutospacing="0"/>
                    <w:ind w:left="0" w:right="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1.14</w:t>
                  </w:r>
                </w:p>
              </w:tc>
              <w:tc>
                <w:tcPr>
                  <w:tcW w:w="402" w:type="pct"/>
                  <w:tcBorders>
                    <w:tl2br w:val="nil"/>
                    <w:tr2bl w:val="nil"/>
                  </w:tcBorders>
                  <w:noWrap w:val="0"/>
                  <w:vAlign w:val="center"/>
                </w:tcPr>
                <w:p w14:paraId="6D0C1B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tcBorders>
                    <w:tl2br w:val="nil"/>
                    <w:tr2bl w:val="nil"/>
                  </w:tcBorders>
                  <w:noWrap w:val="0"/>
                  <w:vAlign w:val="center"/>
                </w:tcPr>
                <w:p w14:paraId="2071E2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308762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continue"/>
                  <w:tcBorders>
                    <w:tl2br w:val="nil"/>
                    <w:tr2bl w:val="nil"/>
                  </w:tcBorders>
                  <w:noWrap w:val="0"/>
                  <w:vAlign w:val="center"/>
                </w:tcPr>
                <w:p w14:paraId="5E796C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858" w:type="pct"/>
                  <w:gridSpan w:val="2"/>
                  <w:tcBorders>
                    <w:tl2br w:val="nil"/>
                    <w:tr2bl w:val="nil"/>
                  </w:tcBorders>
                  <w:noWrap w:val="0"/>
                  <w:vAlign w:val="center"/>
                </w:tcPr>
                <w:p w14:paraId="14AA764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石膏</w:t>
                  </w:r>
                </w:p>
              </w:tc>
              <w:tc>
                <w:tcPr>
                  <w:tcW w:w="399" w:type="pct"/>
                  <w:tcBorders>
                    <w:tl2br w:val="nil"/>
                    <w:tr2bl w:val="nil"/>
                  </w:tcBorders>
                  <w:noWrap w:val="0"/>
                  <w:vAlign w:val="center"/>
                </w:tcPr>
                <w:p w14:paraId="318D852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0</w:t>
                  </w:r>
                </w:p>
              </w:tc>
              <w:tc>
                <w:tcPr>
                  <w:tcW w:w="428" w:type="pct"/>
                  <w:tcBorders>
                    <w:tl2br w:val="nil"/>
                    <w:tr2bl w:val="nil"/>
                  </w:tcBorders>
                  <w:noWrap w:val="0"/>
                  <w:vAlign w:val="center"/>
                </w:tcPr>
                <w:p w14:paraId="1ED77B3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10</w:t>
                  </w:r>
                </w:p>
              </w:tc>
              <w:tc>
                <w:tcPr>
                  <w:tcW w:w="534" w:type="pct"/>
                  <w:tcBorders>
                    <w:tl2br w:val="nil"/>
                    <w:tr2bl w:val="nil"/>
                  </w:tcBorders>
                  <w:shd w:val="clear" w:color="auto" w:fill="auto"/>
                  <w:noWrap w:val="0"/>
                  <w:vAlign w:val="center"/>
                </w:tcPr>
                <w:p w14:paraId="6E4DB73E">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10</w:t>
                  </w:r>
                </w:p>
              </w:tc>
              <w:tc>
                <w:tcPr>
                  <w:tcW w:w="391" w:type="pct"/>
                  <w:tcBorders>
                    <w:tl2br w:val="nil"/>
                    <w:tr2bl w:val="nil"/>
                  </w:tcBorders>
                  <w:noWrap w:val="0"/>
                  <w:vAlign w:val="center"/>
                </w:tcPr>
                <w:p w14:paraId="354A19E7">
                  <w:pPr>
                    <w:keepNext w:val="0"/>
                    <w:keepLines w:val="0"/>
                    <w:widowControl/>
                    <w:suppressLineNumbers w:val="0"/>
                    <w:spacing w:before="0" w:beforeAutospacing="0" w:after="0" w:afterAutospacing="0"/>
                    <w:ind w:left="0" w:leftChars="0" w:right="0" w:rightChars="0"/>
                    <w:jc w:val="center"/>
                    <w:rPr>
                      <w:rFonts w:hint="eastAsia"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+10</w:t>
                  </w:r>
                </w:p>
              </w:tc>
              <w:tc>
                <w:tcPr>
                  <w:tcW w:w="545" w:type="pct"/>
                  <w:tcBorders>
                    <w:tl2br w:val="nil"/>
                    <w:tr2bl w:val="nil"/>
                  </w:tcBorders>
                  <w:noWrap w:val="0"/>
                  <w:vAlign w:val="center"/>
                </w:tcPr>
                <w:p w14:paraId="0DE049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50kg/袋</w:t>
                  </w:r>
                </w:p>
              </w:tc>
              <w:tc>
                <w:tcPr>
                  <w:tcW w:w="445" w:type="pct"/>
                  <w:vMerge w:val="continue"/>
                  <w:tcBorders>
                    <w:tl2br w:val="nil"/>
                    <w:tr2bl w:val="nil"/>
                  </w:tcBorders>
                  <w:noWrap w:val="0"/>
                  <w:vAlign w:val="center"/>
                </w:tcPr>
                <w:p w14:paraId="66C5E8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noWrap w:val="0"/>
                  <w:vAlign w:val="center"/>
                </w:tcPr>
                <w:p w14:paraId="211537D1">
                  <w:pPr>
                    <w:keepNext w:val="0"/>
                    <w:keepLines w:val="0"/>
                    <w:widowControl/>
                    <w:suppressLineNumbers w:val="0"/>
                    <w:spacing w:before="0" w:beforeAutospacing="0" w:after="0" w:afterAutospacing="0"/>
                    <w:ind w:left="0" w:right="0"/>
                    <w:jc w:val="center"/>
                    <w:textAlignment w:val="top"/>
                    <w:rPr>
                      <w:rFonts w:hint="default"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20</w:t>
                  </w:r>
                </w:p>
              </w:tc>
              <w:tc>
                <w:tcPr>
                  <w:tcW w:w="402" w:type="pct"/>
                  <w:tcBorders>
                    <w:tl2br w:val="nil"/>
                    <w:tr2bl w:val="nil"/>
                  </w:tcBorders>
                  <w:noWrap w:val="0"/>
                  <w:vAlign w:val="center"/>
                </w:tcPr>
                <w:p w14:paraId="3020DE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tcBorders>
                    <w:tl2br w:val="nil"/>
                    <w:tr2bl w:val="nil"/>
                  </w:tcBorders>
                  <w:noWrap w:val="0"/>
                  <w:vAlign w:val="center"/>
                </w:tcPr>
                <w:p w14:paraId="1F374F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5796E0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1" w:type="pct"/>
                  <w:vMerge w:val="continue"/>
                  <w:tcBorders>
                    <w:tl2br w:val="nil"/>
                    <w:tr2bl w:val="nil"/>
                  </w:tcBorders>
                  <w:noWrap w:val="0"/>
                  <w:vAlign w:val="center"/>
                </w:tcPr>
                <w:p w14:paraId="337040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858" w:type="pct"/>
                  <w:gridSpan w:val="2"/>
                  <w:tcBorders>
                    <w:tl2br w:val="nil"/>
                    <w:tr2bl w:val="nil"/>
                  </w:tcBorders>
                  <w:noWrap w:val="0"/>
                  <w:vAlign w:val="center"/>
                </w:tcPr>
                <w:p w14:paraId="6DB7C9E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熟地黄</w:t>
                  </w:r>
                </w:p>
              </w:tc>
              <w:tc>
                <w:tcPr>
                  <w:tcW w:w="399" w:type="pct"/>
                  <w:tcBorders>
                    <w:tl2br w:val="nil"/>
                    <w:tr2bl w:val="nil"/>
                  </w:tcBorders>
                  <w:noWrap w:val="0"/>
                  <w:vAlign w:val="center"/>
                </w:tcPr>
                <w:p w14:paraId="5059B14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0</w:t>
                  </w:r>
                </w:p>
              </w:tc>
              <w:tc>
                <w:tcPr>
                  <w:tcW w:w="428" w:type="pct"/>
                  <w:tcBorders>
                    <w:tl2br w:val="nil"/>
                    <w:tr2bl w:val="nil"/>
                  </w:tcBorders>
                  <w:noWrap w:val="0"/>
                  <w:vAlign w:val="center"/>
                </w:tcPr>
                <w:p w14:paraId="41F43F90">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9</w:t>
                  </w:r>
                </w:p>
              </w:tc>
              <w:tc>
                <w:tcPr>
                  <w:tcW w:w="534" w:type="pct"/>
                  <w:tcBorders>
                    <w:tl2br w:val="nil"/>
                    <w:tr2bl w:val="nil"/>
                  </w:tcBorders>
                  <w:shd w:val="clear" w:color="auto" w:fill="auto"/>
                  <w:noWrap w:val="0"/>
                  <w:vAlign w:val="center"/>
                </w:tcPr>
                <w:p w14:paraId="3053ACD3">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9</w:t>
                  </w:r>
                </w:p>
              </w:tc>
              <w:tc>
                <w:tcPr>
                  <w:tcW w:w="391" w:type="pct"/>
                  <w:tcBorders>
                    <w:tl2br w:val="nil"/>
                    <w:tr2bl w:val="nil"/>
                  </w:tcBorders>
                  <w:noWrap w:val="0"/>
                  <w:vAlign w:val="center"/>
                </w:tcPr>
                <w:p w14:paraId="57CC0C7E">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9</w:t>
                  </w:r>
                </w:p>
              </w:tc>
              <w:tc>
                <w:tcPr>
                  <w:tcW w:w="545" w:type="pct"/>
                  <w:tcBorders>
                    <w:tl2br w:val="nil"/>
                    <w:tr2bl w:val="nil"/>
                  </w:tcBorders>
                  <w:noWrap w:val="0"/>
                  <w:vAlign w:val="center"/>
                </w:tcPr>
                <w:p w14:paraId="3F185A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50kg/袋</w:t>
                  </w:r>
                </w:p>
              </w:tc>
              <w:tc>
                <w:tcPr>
                  <w:tcW w:w="445" w:type="pct"/>
                  <w:vMerge w:val="continue"/>
                  <w:tcBorders>
                    <w:tl2br w:val="nil"/>
                    <w:tr2bl w:val="nil"/>
                  </w:tcBorders>
                  <w:noWrap w:val="0"/>
                  <w:vAlign w:val="center"/>
                </w:tcPr>
                <w:p w14:paraId="780FCC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noWrap w:val="0"/>
                  <w:vAlign w:val="center"/>
                </w:tcPr>
                <w:p w14:paraId="7D9E1433">
                  <w:pPr>
                    <w:keepNext w:val="0"/>
                    <w:keepLines w:val="0"/>
                    <w:widowControl/>
                    <w:suppressLineNumbers w:val="0"/>
                    <w:spacing w:before="0" w:beforeAutospacing="0" w:after="0" w:afterAutospacing="0"/>
                    <w:ind w:left="0" w:right="0"/>
                    <w:jc w:val="center"/>
                    <w:textAlignment w:val="top"/>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1.08</w:t>
                  </w:r>
                </w:p>
              </w:tc>
              <w:tc>
                <w:tcPr>
                  <w:tcW w:w="402" w:type="pct"/>
                  <w:tcBorders>
                    <w:tl2br w:val="nil"/>
                    <w:tr2bl w:val="nil"/>
                  </w:tcBorders>
                  <w:noWrap w:val="0"/>
                  <w:vAlign w:val="center"/>
                </w:tcPr>
                <w:p w14:paraId="611FFC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tcBorders>
                    <w:tl2br w:val="nil"/>
                    <w:tr2bl w:val="nil"/>
                  </w:tcBorders>
                  <w:noWrap w:val="0"/>
                  <w:vAlign w:val="center"/>
                </w:tcPr>
                <w:p w14:paraId="0747DF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21F662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continue"/>
                  <w:tcBorders>
                    <w:tl2br w:val="nil"/>
                    <w:tr2bl w:val="nil"/>
                  </w:tcBorders>
                  <w:noWrap w:val="0"/>
                  <w:vAlign w:val="center"/>
                </w:tcPr>
                <w:p w14:paraId="5D2424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858" w:type="pct"/>
                  <w:gridSpan w:val="2"/>
                  <w:tcBorders>
                    <w:tl2br w:val="nil"/>
                    <w:tr2bl w:val="nil"/>
                  </w:tcBorders>
                  <w:noWrap w:val="0"/>
                  <w:vAlign w:val="center"/>
                </w:tcPr>
                <w:p w14:paraId="29D1224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知母</w:t>
                  </w:r>
                </w:p>
              </w:tc>
              <w:tc>
                <w:tcPr>
                  <w:tcW w:w="399" w:type="pct"/>
                  <w:tcBorders>
                    <w:tl2br w:val="nil"/>
                    <w:tr2bl w:val="nil"/>
                  </w:tcBorders>
                  <w:noWrap w:val="0"/>
                  <w:vAlign w:val="center"/>
                </w:tcPr>
                <w:p w14:paraId="621F66C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0</w:t>
                  </w:r>
                </w:p>
              </w:tc>
              <w:tc>
                <w:tcPr>
                  <w:tcW w:w="428" w:type="pct"/>
                  <w:tcBorders>
                    <w:tl2br w:val="nil"/>
                    <w:tr2bl w:val="nil"/>
                  </w:tcBorders>
                  <w:noWrap w:val="0"/>
                  <w:vAlign w:val="center"/>
                </w:tcPr>
                <w:p w14:paraId="3337170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12</w:t>
                  </w:r>
                </w:p>
              </w:tc>
              <w:tc>
                <w:tcPr>
                  <w:tcW w:w="534" w:type="pct"/>
                  <w:tcBorders>
                    <w:tl2br w:val="nil"/>
                    <w:tr2bl w:val="nil"/>
                  </w:tcBorders>
                  <w:shd w:val="clear" w:color="auto" w:fill="auto"/>
                  <w:noWrap w:val="0"/>
                  <w:vAlign w:val="center"/>
                </w:tcPr>
                <w:p w14:paraId="76B85667">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12</w:t>
                  </w:r>
                </w:p>
              </w:tc>
              <w:tc>
                <w:tcPr>
                  <w:tcW w:w="391" w:type="pct"/>
                  <w:tcBorders>
                    <w:tl2br w:val="nil"/>
                    <w:tr2bl w:val="nil"/>
                  </w:tcBorders>
                  <w:noWrap w:val="0"/>
                  <w:vAlign w:val="center"/>
                </w:tcPr>
                <w:p w14:paraId="7E10C1E1">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12</w:t>
                  </w:r>
                </w:p>
              </w:tc>
              <w:tc>
                <w:tcPr>
                  <w:tcW w:w="545" w:type="pct"/>
                  <w:tcBorders>
                    <w:tl2br w:val="nil"/>
                    <w:tr2bl w:val="nil"/>
                  </w:tcBorders>
                  <w:noWrap w:val="0"/>
                  <w:vAlign w:val="center"/>
                </w:tcPr>
                <w:p w14:paraId="6F3AFD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50kg/袋</w:t>
                  </w:r>
                </w:p>
              </w:tc>
              <w:tc>
                <w:tcPr>
                  <w:tcW w:w="445" w:type="pct"/>
                  <w:vMerge w:val="continue"/>
                  <w:tcBorders>
                    <w:tl2br w:val="nil"/>
                    <w:tr2bl w:val="nil"/>
                  </w:tcBorders>
                  <w:noWrap w:val="0"/>
                  <w:vAlign w:val="center"/>
                </w:tcPr>
                <w:p w14:paraId="31F290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noWrap w:val="0"/>
                  <w:vAlign w:val="center"/>
                </w:tcPr>
                <w:p w14:paraId="149AE6A4">
                  <w:pPr>
                    <w:keepNext w:val="0"/>
                    <w:keepLines w:val="0"/>
                    <w:widowControl/>
                    <w:suppressLineNumbers w:val="0"/>
                    <w:spacing w:before="0" w:beforeAutospacing="0" w:after="0" w:afterAutospacing="0"/>
                    <w:ind w:left="0" w:right="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1.44</w:t>
                  </w:r>
                </w:p>
              </w:tc>
              <w:tc>
                <w:tcPr>
                  <w:tcW w:w="402" w:type="pct"/>
                  <w:tcBorders>
                    <w:tl2br w:val="nil"/>
                    <w:tr2bl w:val="nil"/>
                  </w:tcBorders>
                  <w:noWrap w:val="0"/>
                  <w:vAlign w:val="center"/>
                </w:tcPr>
                <w:p w14:paraId="291E33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tcBorders>
                    <w:tl2br w:val="nil"/>
                    <w:tr2bl w:val="nil"/>
                  </w:tcBorders>
                  <w:noWrap w:val="0"/>
                  <w:vAlign w:val="center"/>
                </w:tcPr>
                <w:p w14:paraId="3C3804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2648AD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continue"/>
                  <w:tcBorders>
                    <w:tl2br w:val="nil"/>
                    <w:tr2bl w:val="nil"/>
                  </w:tcBorders>
                  <w:noWrap w:val="0"/>
                  <w:vAlign w:val="center"/>
                </w:tcPr>
                <w:p w14:paraId="2618FA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858" w:type="pct"/>
                  <w:gridSpan w:val="2"/>
                  <w:tcBorders>
                    <w:tl2br w:val="nil"/>
                    <w:tr2bl w:val="nil"/>
                  </w:tcBorders>
                  <w:noWrap w:val="0"/>
                  <w:vAlign w:val="center"/>
                </w:tcPr>
                <w:p w14:paraId="2F371FF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牛膝</w:t>
                  </w:r>
                </w:p>
              </w:tc>
              <w:tc>
                <w:tcPr>
                  <w:tcW w:w="399" w:type="pct"/>
                  <w:tcBorders>
                    <w:tl2br w:val="nil"/>
                    <w:tr2bl w:val="nil"/>
                  </w:tcBorders>
                  <w:noWrap w:val="0"/>
                  <w:vAlign w:val="center"/>
                </w:tcPr>
                <w:p w14:paraId="37009AA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0</w:t>
                  </w:r>
                </w:p>
              </w:tc>
              <w:tc>
                <w:tcPr>
                  <w:tcW w:w="428" w:type="pct"/>
                  <w:tcBorders>
                    <w:tl2br w:val="nil"/>
                    <w:tr2bl w:val="nil"/>
                  </w:tcBorders>
                  <w:noWrap w:val="0"/>
                  <w:vAlign w:val="center"/>
                </w:tcPr>
                <w:p w14:paraId="2B2FE180">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3</w:t>
                  </w:r>
                </w:p>
              </w:tc>
              <w:tc>
                <w:tcPr>
                  <w:tcW w:w="534" w:type="pct"/>
                  <w:tcBorders>
                    <w:tl2br w:val="nil"/>
                    <w:tr2bl w:val="nil"/>
                  </w:tcBorders>
                  <w:shd w:val="clear" w:color="auto" w:fill="auto"/>
                  <w:noWrap w:val="0"/>
                  <w:vAlign w:val="center"/>
                </w:tcPr>
                <w:p w14:paraId="7AFBED27">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3</w:t>
                  </w:r>
                </w:p>
              </w:tc>
              <w:tc>
                <w:tcPr>
                  <w:tcW w:w="391" w:type="pct"/>
                  <w:tcBorders>
                    <w:tl2br w:val="nil"/>
                    <w:tr2bl w:val="nil"/>
                  </w:tcBorders>
                  <w:noWrap w:val="0"/>
                  <w:vAlign w:val="center"/>
                </w:tcPr>
                <w:p w14:paraId="46E06B4F">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3</w:t>
                  </w:r>
                </w:p>
              </w:tc>
              <w:tc>
                <w:tcPr>
                  <w:tcW w:w="545" w:type="pct"/>
                  <w:tcBorders>
                    <w:tl2br w:val="nil"/>
                    <w:tr2bl w:val="nil"/>
                  </w:tcBorders>
                  <w:noWrap w:val="0"/>
                  <w:vAlign w:val="center"/>
                </w:tcPr>
                <w:p w14:paraId="37C70E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50kg/袋</w:t>
                  </w:r>
                </w:p>
              </w:tc>
              <w:tc>
                <w:tcPr>
                  <w:tcW w:w="445" w:type="pct"/>
                  <w:vMerge w:val="continue"/>
                  <w:tcBorders>
                    <w:tl2br w:val="nil"/>
                    <w:tr2bl w:val="nil"/>
                  </w:tcBorders>
                  <w:noWrap w:val="0"/>
                  <w:vAlign w:val="center"/>
                </w:tcPr>
                <w:p w14:paraId="033CA8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noWrap w:val="0"/>
                  <w:vAlign w:val="center"/>
                </w:tcPr>
                <w:p w14:paraId="7D6D7816">
                  <w:pPr>
                    <w:keepNext w:val="0"/>
                    <w:keepLines w:val="0"/>
                    <w:widowControl/>
                    <w:suppressLineNumbers w:val="0"/>
                    <w:spacing w:before="0" w:beforeAutospacing="0" w:after="0" w:afterAutospacing="0"/>
                    <w:ind w:left="0" w:right="0"/>
                    <w:jc w:val="center"/>
                    <w:textAlignment w:val="top"/>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0.36</w:t>
                  </w:r>
                </w:p>
              </w:tc>
              <w:tc>
                <w:tcPr>
                  <w:tcW w:w="402" w:type="pct"/>
                  <w:tcBorders>
                    <w:tl2br w:val="nil"/>
                    <w:tr2bl w:val="nil"/>
                  </w:tcBorders>
                  <w:noWrap w:val="0"/>
                  <w:vAlign w:val="center"/>
                </w:tcPr>
                <w:p w14:paraId="1DA0F2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tcBorders>
                    <w:tl2br w:val="nil"/>
                    <w:tr2bl w:val="nil"/>
                  </w:tcBorders>
                  <w:noWrap w:val="0"/>
                  <w:vAlign w:val="center"/>
                </w:tcPr>
                <w:p w14:paraId="21F9D2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1CCD24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continue"/>
                  <w:tcBorders>
                    <w:tl2br w:val="nil"/>
                    <w:tr2bl w:val="nil"/>
                  </w:tcBorders>
                  <w:noWrap w:val="0"/>
                  <w:vAlign w:val="center"/>
                </w:tcPr>
                <w:p w14:paraId="2887C0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858" w:type="pct"/>
                  <w:gridSpan w:val="2"/>
                  <w:tcBorders>
                    <w:tl2br w:val="nil"/>
                    <w:tr2bl w:val="nil"/>
                  </w:tcBorders>
                  <w:noWrap w:val="0"/>
                  <w:vAlign w:val="center"/>
                </w:tcPr>
                <w:p w14:paraId="4EC2FB3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黄芪</w:t>
                  </w:r>
                </w:p>
              </w:tc>
              <w:tc>
                <w:tcPr>
                  <w:tcW w:w="399" w:type="pct"/>
                  <w:tcBorders>
                    <w:tl2br w:val="nil"/>
                    <w:tr2bl w:val="nil"/>
                  </w:tcBorders>
                  <w:noWrap w:val="0"/>
                  <w:vAlign w:val="center"/>
                </w:tcPr>
                <w:p w14:paraId="28B4BF4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0</w:t>
                  </w:r>
                </w:p>
              </w:tc>
              <w:tc>
                <w:tcPr>
                  <w:tcW w:w="428" w:type="pct"/>
                  <w:tcBorders>
                    <w:tl2br w:val="nil"/>
                    <w:tr2bl w:val="nil"/>
                  </w:tcBorders>
                  <w:noWrap w:val="0"/>
                  <w:vAlign w:val="center"/>
                </w:tcPr>
                <w:p w14:paraId="67AC6FA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13.5</w:t>
                  </w:r>
                </w:p>
              </w:tc>
              <w:tc>
                <w:tcPr>
                  <w:tcW w:w="534" w:type="pct"/>
                  <w:tcBorders>
                    <w:tl2br w:val="nil"/>
                    <w:tr2bl w:val="nil"/>
                  </w:tcBorders>
                  <w:shd w:val="clear" w:color="auto" w:fill="auto"/>
                  <w:noWrap w:val="0"/>
                  <w:vAlign w:val="center"/>
                </w:tcPr>
                <w:p w14:paraId="0501F2F7">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13.5</w:t>
                  </w:r>
                </w:p>
              </w:tc>
              <w:tc>
                <w:tcPr>
                  <w:tcW w:w="391" w:type="pct"/>
                  <w:tcBorders>
                    <w:tl2br w:val="nil"/>
                    <w:tr2bl w:val="nil"/>
                  </w:tcBorders>
                  <w:noWrap w:val="0"/>
                  <w:vAlign w:val="center"/>
                </w:tcPr>
                <w:p w14:paraId="1E07EE35">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13.5</w:t>
                  </w:r>
                </w:p>
              </w:tc>
              <w:tc>
                <w:tcPr>
                  <w:tcW w:w="545" w:type="pct"/>
                  <w:tcBorders>
                    <w:tl2br w:val="nil"/>
                    <w:tr2bl w:val="nil"/>
                  </w:tcBorders>
                  <w:noWrap w:val="0"/>
                  <w:vAlign w:val="center"/>
                </w:tcPr>
                <w:p w14:paraId="0C92AD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50kg/袋</w:t>
                  </w:r>
                </w:p>
              </w:tc>
              <w:tc>
                <w:tcPr>
                  <w:tcW w:w="445" w:type="pct"/>
                  <w:vMerge w:val="continue"/>
                  <w:tcBorders>
                    <w:tl2br w:val="nil"/>
                    <w:tr2bl w:val="nil"/>
                  </w:tcBorders>
                  <w:noWrap w:val="0"/>
                  <w:vAlign w:val="center"/>
                </w:tcPr>
                <w:p w14:paraId="0682E3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noWrap w:val="0"/>
                  <w:vAlign w:val="center"/>
                </w:tcPr>
                <w:p w14:paraId="309F28D0">
                  <w:pPr>
                    <w:keepNext w:val="0"/>
                    <w:keepLines w:val="0"/>
                    <w:widowControl/>
                    <w:suppressLineNumbers w:val="0"/>
                    <w:spacing w:before="0" w:beforeAutospacing="0" w:after="0" w:afterAutospacing="0"/>
                    <w:ind w:left="0" w:right="0"/>
                    <w:jc w:val="center"/>
                    <w:textAlignment w:val="top"/>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1.62</w:t>
                  </w:r>
                </w:p>
              </w:tc>
              <w:tc>
                <w:tcPr>
                  <w:tcW w:w="402" w:type="pct"/>
                  <w:tcBorders>
                    <w:tl2br w:val="nil"/>
                    <w:tr2bl w:val="nil"/>
                  </w:tcBorders>
                  <w:noWrap w:val="0"/>
                  <w:vAlign w:val="center"/>
                </w:tcPr>
                <w:p w14:paraId="5A993F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tcBorders>
                    <w:tl2br w:val="nil"/>
                    <w:tr2bl w:val="nil"/>
                  </w:tcBorders>
                  <w:noWrap w:val="0"/>
                  <w:vAlign w:val="center"/>
                </w:tcPr>
                <w:p w14:paraId="54079A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18E841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continue"/>
                  <w:tcBorders>
                    <w:tl2br w:val="nil"/>
                    <w:tr2bl w:val="nil"/>
                  </w:tcBorders>
                  <w:noWrap w:val="0"/>
                  <w:vAlign w:val="center"/>
                </w:tcPr>
                <w:p w14:paraId="5675DF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858" w:type="pct"/>
                  <w:gridSpan w:val="2"/>
                  <w:tcBorders>
                    <w:tl2br w:val="nil"/>
                    <w:tr2bl w:val="nil"/>
                  </w:tcBorders>
                  <w:noWrap w:val="0"/>
                  <w:vAlign w:val="center"/>
                </w:tcPr>
                <w:p w14:paraId="0F40BB2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柴胡</w:t>
                  </w:r>
                </w:p>
              </w:tc>
              <w:tc>
                <w:tcPr>
                  <w:tcW w:w="399" w:type="pct"/>
                  <w:tcBorders>
                    <w:tl2br w:val="nil"/>
                    <w:tr2bl w:val="nil"/>
                  </w:tcBorders>
                  <w:noWrap w:val="0"/>
                  <w:vAlign w:val="center"/>
                </w:tcPr>
                <w:p w14:paraId="6EB1738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0</w:t>
                  </w:r>
                </w:p>
              </w:tc>
              <w:tc>
                <w:tcPr>
                  <w:tcW w:w="428" w:type="pct"/>
                  <w:tcBorders>
                    <w:tl2br w:val="nil"/>
                    <w:tr2bl w:val="nil"/>
                  </w:tcBorders>
                  <w:noWrap w:val="0"/>
                  <w:vAlign w:val="center"/>
                </w:tcPr>
                <w:p w14:paraId="577AB6B1">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3</w:t>
                  </w:r>
                </w:p>
              </w:tc>
              <w:tc>
                <w:tcPr>
                  <w:tcW w:w="534" w:type="pct"/>
                  <w:tcBorders>
                    <w:tl2br w:val="nil"/>
                    <w:tr2bl w:val="nil"/>
                  </w:tcBorders>
                  <w:shd w:val="clear" w:color="auto" w:fill="auto"/>
                  <w:noWrap w:val="0"/>
                  <w:vAlign w:val="center"/>
                </w:tcPr>
                <w:p w14:paraId="6EE31908">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3</w:t>
                  </w:r>
                </w:p>
              </w:tc>
              <w:tc>
                <w:tcPr>
                  <w:tcW w:w="391" w:type="pct"/>
                  <w:tcBorders>
                    <w:tl2br w:val="nil"/>
                    <w:tr2bl w:val="nil"/>
                  </w:tcBorders>
                  <w:noWrap w:val="0"/>
                  <w:vAlign w:val="center"/>
                </w:tcPr>
                <w:p w14:paraId="0969AF23">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3</w:t>
                  </w:r>
                </w:p>
              </w:tc>
              <w:tc>
                <w:tcPr>
                  <w:tcW w:w="545" w:type="pct"/>
                  <w:tcBorders>
                    <w:tl2br w:val="nil"/>
                    <w:tr2bl w:val="nil"/>
                  </w:tcBorders>
                  <w:noWrap w:val="0"/>
                  <w:vAlign w:val="center"/>
                </w:tcPr>
                <w:p w14:paraId="07C86D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50kg/袋</w:t>
                  </w:r>
                </w:p>
              </w:tc>
              <w:tc>
                <w:tcPr>
                  <w:tcW w:w="445" w:type="pct"/>
                  <w:vMerge w:val="continue"/>
                  <w:tcBorders>
                    <w:tl2br w:val="nil"/>
                    <w:tr2bl w:val="nil"/>
                  </w:tcBorders>
                  <w:noWrap w:val="0"/>
                  <w:vAlign w:val="center"/>
                </w:tcPr>
                <w:p w14:paraId="4940F9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noWrap w:val="0"/>
                  <w:vAlign w:val="center"/>
                </w:tcPr>
                <w:p w14:paraId="0FC77FC3">
                  <w:pPr>
                    <w:keepNext w:val="0"/>
                    <w:keepLines w:val="0"/>
                    <w:widowControl/>
                    <w:suppressLineNumbers w:val="0"/>
                    <w:spacing w:before="0" w:beforeAutospacing="0" w:after="0" w:afterAutospacing="0"/>
                    <w:ind w:left="0" w:right="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0.36</w:t>
                  </w:r>
                </w:p>
              </w:tc>
              <w:tc>
                <w:tcPr>
                  <w:tcW w:w="402" w:type="pct"/>
                  <w:tcBorders>
                    <w:tl2br w:val="nil"/>
                    <w:tr2bl w:val="nil"/>
                  </w:tcBorders>
                  <w:noWrap w:val="0"/>
                  <w:vAlign w:val="center"/>
                </w:tcPr>
                <w:p w14:paraId="68493C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tcBorders>
                    <w:tl2br w:val="nil"/>
                    <w:tr2bl w:val="nil"/>
                  </w:tcBorders>
                  <w:noWrap w:val="0"/>
                  <w:vAlign w:val="center"/>
                </w:tcPr>
                <w:p w14:paraId="0035B0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79F693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continue"/>
                  <w:tcBorders>
                    <w:tl2br w:val="nil"/>
                    <w:tr2bl w:val="nil"/>
                  </w:tcBorders>
                  <w:noWrap w:val="0"/>
                  <w:vAlign w:val="center"/>
                </w:tcPr>
                <w:p w14:paraId="5B45EA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858" w:type="pct"/>
                  <w:gridSpan w:val="2"/>
                  <w:tcBorders>
                    <w:tl2br w:val="nil"/>
                    <w:tr2bl w:val="nil"/>
                  </w:tcBorders>
                  <w:noWrap w:val="0"/>
                  <w:vAlign w:val="center"/>
                </w:tcPr>
                <w:p w14:paraId="13C32B7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白芍</w:t>
                  </w:r>
                </w:p>
              </w:tc>
              <w:tc>
                <w:tcPr>
                  <w:tcW w:w="399" w:type="pct"/>
                  <w:tcBorders>
                    <w:tl2br w:val="nil"/>
                    <w:tr2bl w:val="nil"/>
                  </w:tcBorders>
                  <w:noWrap w:val="0"/>
                  <w:vAlign w:val="center"/>
                </w:tcPr>
                <w:p w14:paraId="0FF6ABCD">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0</w:t>
                  </w:r>
                </w:p>
              </w:tc>
              <w:tc>
                <w:tcPr>
                  <w:tcW w:w="428" w:type="pct"/>
                  <w:tcBorders>
                    <w:tl2br w:val="nil"/>
                    <w:tr2bl w:val="nil"/>
                  </w:tcBorders>
                  <w:noWrap w:val="0"/>
                  <w:vAlign w:val="center"/>
                </w:tcPr>
                <w:p w14:paraId="01ABCECD">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7.5</w:t>
                  </w:r>
                </w:p>
              </w:tc>
              <w:tc>
                <w:tcPr>
                  <w:tcW w:w="534" w:type="pct"/>
                  <w:tcBorders>
                    <w:tl2br w:val="nil"/>
                    <w:tr2bl w:val="nil"/>
                  </w:tcBorders>
                  <w:shd w:val="clear" w:color="auto" w:fill="auto"/>
                  <w:noWrap w:val="0"/>
                  <w:vAlign w:val="center"/>
                </w:tcPr>
                <w:p w14:paraId="6EA71760">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7.5</w:t>
                  </w:r>
                </w:p>
              </w:tc>
              <w:tc>
                <w:tcPr>
                  <w:tcW w:w="391" w:type="pct"/>
                  <w:tcBorders>
                    <w:tl2br w:val="nil"/>
                    <w:tr2bl w:val="nil"/>
                  </w:tcBorders>
                  <w:noWrap w:val="0"/>
                  <w:vAlign w:val="center"/>
                </w:tcPr>
                <w:p w14:paraId="1BDFE0B1">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7.5</w:t>
                  </w:r>
                </w:p>
              </w:tc>
              <w:tc>
                <w:tcPr>
                  <w:tcW w:w="545" w:type="pct"/>
                  <w:tcBorders>
                    <w:tl2br w:val="nil"/>
                    <w:tr2bl w:val="nil"/>
                  </w:tcBorders>
                  <w:noWrap w:val="0"/>
                  <w:vAlign w:val="center"/>
                </w:tcPr>
                <w:p w14:paraId="0770B8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50kg/袋</w:t>
                  </w:r>
                </w:p>
              </w:tc>
              <w:tc>
                <w:tcPr>
                  <w:tcW w:w="445" w:type="pct"/>
                  <w:vMerge w:val="continue"/>
                  <w:tcBorders>
                    <w:tl2br w:val="nil"/>
                    <w:tr2bl w:val="nil"/>
                  </w:tcBorders>
                  <w:noWrap w:val="0"/>
                  <w:vAlign w:val="center"/>
                </w:tcPr>
                <w:p w14:paraId="0384EC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noWrap w:val="0"/>
                  <w:vAlign w:val="center"/>
                </w:tcPr>
                <w:p w14:paraId="594A0619">
                  <w:pPr>
                    <w:keepNext w:val="0"/>
                    <w:keepLines w:val="0"/>
                    <w:widowControl/>
                    <w:suppressLineNumbers w:val="0"/>
                    <w:spacing w:before="0" w:beforeAutospacing="0" w:after="0" w:afterAutospacing="0"/>
                    <w:ind w:left="0" w:right="0"/>
                    <w:jc w:val="center"/>
                    <w:textAlignment w:val="top"/>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0.9</w:t>
                  </w:r>
                </w:p>
              </w:tc>
              <w:tc>
                <w:tcPr>
                  <w:tcW w:w="402" w:type="pct"/>
                  <w:tcBorders>
                    <w:tl2br w:val="nil"/>
                    <w:tr2bl w:val="nil"/>
                  </w:tcBorders>
                  <w:noWrap w:val="0"/>
                  <w:vAlign w:val="center"/>
                </w:tcPr>
                <w:p w14:paraId="5DBE16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tcBorders>
                    <w:tl2br w:val="nil"/>
                    <w:tr2bl w:val="nil"/>
                  </w:tcBorders>
                  <w:noWrap w:val="0"/>
                  <w:vAlign w:val="center"/>
                </w:tcPr>
                <w:p w14:paraId="3511D5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5EC590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continue"/>
                  <w:tcBorders>
                    <w:tl2br w:val="nil"/>
                    <w:tr2bl w:val="nil"/>
                  </w:tcBorders>
                  <w:noWrap w:val="0"/>
                  <w:vAlign w:val="center"/>
                </w:tcPr>
                <w:p w14:paraId="5DE98F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858" w:type="pct"/>
                  <w:gridSpan w:val="2"/>
                  <w:tcBorders>
                    <w:tl2br w:val="nil"/>
                    <w:tr2bl w:val="nil"/>
                  </w:tcBorders>
                  <w:noWrap w:val="0"/>
                  <w:vAlign w:val="center"/>
                </w:tcPr>
                <w:p w14:paraId="24B2F90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延胡索</w:t>
                  </w:r>
                </w:p>
              </w:tc>
              <w:tc>
                <w:tcPr>
                  <w:tcW w:w="399" w:type="pct"/>
                  <w:tcBorders>
                    <w:tl2br w:val="nil"/>
                    <w:tr2bl w:val="nil"/>
                  </w:tcBorders>
                  <w:noWrap w:val="0"/>
                  <w:vAlign w:val="center"/>
                </w:tcPr>
                <w:p w14:paraId="69A978F1">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0</w:t>
                  </w:r>
                </w:p>
              </w:tc>
              <w:tc>
                <w:tcPr>
                  <w:tcW w:w="428" w:type="pct"/>
                  <w:tcBorders>
                    <w:tl2br w:val="nil"/>
                    <w:tr2bl w:val="nil"/>
                  </w:tcBorders>
                  <w:noWrap w:val="0"/>
                  <w:vAlign w:val="center"/>
                </w:tcPr>
                <w:p w14:paraId="718EF4B7">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7.5</w:t>
                  </w:r>
                </w:p>
              </w:tc>
              <w:tc>
                <w:tcPr>
                  <w:tcW w:w="534" w:type="pct"/>
                  <w:tcBorders>
                    <w:tl2br w:val="nil"/>
                    <w:tr2bl w:val="nil"/>
                  </w:tcBorders>
                  <w:shd w:val="clear" w:color="auto" w:fill="auto"/>
                  <w:noWrap w:val="0"/>
                  <w:vAlign w:val="center"/>
                </w:tcPr>
                <w:p w14:paraId="497410AE">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7.5</w:t>
                  </w:r>
                </w:p>
              </w:tc>
              <w:tc>
                <w:tcPr>
                  <w:tcW w:w="391" w:type="pct"/>
                  <w:tcBorders>
                    <w:tl2br w:val="nil"/>
                    <w:tr2bl w:val="nil"/>
                  </w:tcBorders>
                  <w:noWrap w:val="0"/>
                  <w:vAlign w:val="center"/>
                </w:tcPr>
                <w:p w14:paraId="0142D3C5">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7.5</w:t>
                  </w:r>
                </w:p>
              </w:tc>
              <w:tc>
                <w:tcPr>
                  <w:tcW w:w="545" w:type="pct"/>
                  <w:tcBorders>
                    <w:tl2br w:val="nil"/>
                    <w:tr2bl w:val="nil"/>
                  </w:tcBorders>
                  <w:noWrap w:val="0"/>
                  <w:vAlign w:val="center"/>
                </w:tcPr>
                <w:p w14:paraId="695111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50kg/袋</w:t>
                  </w:r>
                </w:p>
              </w:tc>
              <w:tc>
                <w:tcPr>
                  <w:tcW w:w="445" w:type="pct"/>
                  <w:vMerge w:val="continue"/>
                  <w:tcBorders>
                    <w:tl2br w:val="nil"/>
                    <w:tr2bl w:val="nil"/>
                  </w:tcBorders>
                  <w:noWrap w:val="0"/>
                  <w:vAlign w:val="center"/>
                </w:tcPr>
                <w:p w14:paraId="6FE7C4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noWrap w:val="0"/>
                  <w:vAlign w:val="center"/>
                </w:tcPr>
                <w:p w14:paraId="45095621">
                  <w:pPr>
                    <w:keepNext w:val="0"/>
                    <w:keepLines w:val="0"/>
                    <w:widowControl/>
                    <w:suppressLineNumbers w:val="0"/>
                    <w:spacing w:before="0" w:beforeAutospacing="0" w:after="0" w:afterAutospacing="0"/>
                    <w:ind w:left="0" w:right="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0.9</w:t>
                  </w:r>
                </w:p>
              </w:tc>
              <w:tc>
                <w:tcPr>
                  <w:tcW w:w="402" w:type="pct"/>
                  <w:tcBorders>
                    <w:tl2br w:val="nil"/>
                    <w:tr2bl w:val="nil"/>
                  </w:tcBorders>
                  <w:noWrap w:val="0"/>
                  <w:vAlign w:val="center"/>
                </w:tcPr>
                <w:p w14:paraId="3C5F7A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tcBorders>
                    <w:tl2br w:val="nil"/>
                    <w:tr2bl w:val="nil"/>
                  </w:tcBorders>
                  <w:noWrap w:val="0"/>
                  <w:vAlign w:val="center"/>
                </w:tcPr>
                <w:p w14:paraId="1A74D5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107D58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continue"/>
                  <w:tcBorders>
                    <w:tl2br w:val="nil"/>
                    <w:tr2bl w:val="nil"/>
                  </w:tcBorders>
                  <w:noWrap w:val="0"/>
                  <w:vAlign w:val="center"/>
                </w:tcPr>
                <w:p w14:paraId="009F9A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858" w:type="pct"/>
                  <w:gridSpan w:val="2"/>
                  <w:tcBorders>
                    <w:tl2br w:val="nil"/>
                    <w:tr2bl w:val="nil"/>
                  </w:tcBorders>
                  <w:shd w:val="clear" w:color="auto" w:fill="auto"/>
                  <w:noWrap w:val="0"/>
                  <w:vAlign w:val="center"/>
                </w:tcPr>
                <w:p w14:paraId="4B5320E8">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香附</w:t>
                  </w:r>
                </w:p>
              </w:tc>
              <w:tc>
                <w:tcPr>
                  <w:tcW w:w="399" w:type="pct"/>
                  <w:tcBorders>
                    <w:tl2br w:val="nil"/>
                    <w:tr2bl w:val="nil"/>
                  </w:tcBorders>
                  <w:shd w:val="clear" w:color="auto" w:fill="auto"/>
                  <w:noWrap w:val="0"/>
                  <w:vAlign w:val="center"/>
                </w:tcPr>
                <w:p w14:paraId="55E79AD8">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0</w:t>
                  </w:r>
                </w:p>
              </w:tc>
              <w:tc>
                <w:tcPr>
                  <w:tcW w:w="428" w:type="pct"/>
                  <w:tcBorders>
                    <w:tl2br w:val="nil"/>
                    <w:tr2bl w:val="nil"/>
                  </w:tcBorders>
                  <w:shd w:val="clear" w:color="auto" w:fill="auto"/>
                  <w:noWrap w:val="0"/>
                  <w:vAlign w:val="center"/>
                </w:tcPr>
                <w:p w14:paraId="382EF6F3">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7.5</w:t>
                  </w:r>
                </w:p>
              </w:tc>
              <w:tc>
                <w:tcPr>
                  <w:tcW w:w="534" w:type="pct"/>
                  <w:tcBorders>
                    <w:tl2br w:val="nil"/>
                    <w:tr2bl w:val="nil"/>
                  </w:tcBorders>
                  <w:shd w:val="clear" w:color="auto" w:fill="auto"/>
                  <w:noWrap w:val="0"/>
                  <w:vAlign w:val="center"/>
                </w:tcPr>
                <w:p w14:paraId="6E6AD79D">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7.5</w:t>
                  </w:r>
                </w:p>
              </w:tc>
              <w:tc>
                <w:tcPr>
                  <w:tcW w:w="391" w:type="pct"/>
                  <w:tcBorders>
                    <w:tl2br w:val="nil"/>
                    <w:tr2bl w:val="nil"/>
                  </w:tcBorders>
                  <w:shd w:val="clear" w:color="auto" w:fill="auto"/>
                  <w:noWrap w:val="0"/>
                  <w:vAlign w:val="center"/>
                </w:tcPr>
                <w:p w14:paraId="58F4F0BD">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7.5</w:t>
                  </w:r>
                </w:p>
              </w:tc>
              <w:tc>
                <w:tcPr>
                  <w:tcW w:w="545" w:type="pct"/>
                  <w:tcBorders>
                    <w:tl2br w:val="nil"/>
                    <w:tr2bl w:val="nil"/>
                  </w:tcBorders>
                  <w:shd w:val="clear" w:color="auto" w:fill="auto"/>
                  <w:noWrap w:val="0"/>
                  <w:vAlign w:val="center"/>
                </w:tcPr>
                <w:p w14:paraId="0C20F7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50kg/袋</w:t>
                  </w:r>
                </w:p>
              </w:tc>
              <w:tc>
                <w:tcPr>
                  <w:tcW w:w="445" w:type="pct"/>
                  <w:vMerge w:val="continue"/>
                  <w:tcBorders>
                    <w:tl2br w:val="nil"/>
                    <w:tr2bl w:val="nil"/>
                  </w:tcBorders>
                  <w:shd w:val="clear" w:color="auto" w:fill="auto"/>
                  <w:noWrap w:val="0"/>
                  <w:vAlign w:val="center"/>
                </w:tcPr>
                <w:p w14:paraId="62C993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shd w:val="clear" w:color="auto" w:fill="auto"/>
                  <w:noWrap w:val="0"/>
                  <w:vAlign w:val="center"/>
                </w:tcPr>
                <w:p w14:paraId="70BDEF42">
                  <w:pPr>
                    <w:keepNext w:val="0"/>
                    <w:keepLines w:val="0"/>
                    <w:widowControl/>
                    <w:suppressLineNumbers w:val="0"/>
                    <w:spacing w:before="0" w:beforeAutospacing="0" w:after="0" w:afterAutospacing="0"/>
                    <w:ind w:left="0" w:leftChars="0" w:right="0" w:rightChars="0"/>
                    <w:jc w:val="center"/>
                    <w:textAlignment w:val="top"/>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0.9</w:t>
                  </w:r>
                </w:p>
              </w:tc>
              <w:tc>
                <w:tcPr>
                  <w:tcW w:w="402" w:type="pct"/>
                  <w:tcBorders>
                    <w:tl2br w:val="nil"/>
                    <w:tr2bl w:val="nil"/>
                  </w:tcBorders>
                  <w:shd w:val="clear" w:color="auto" w:fill="auto"/>
                  <w:noWrap w:val="0"/>
                  <w:vAlign w:val="center"/>
                </w:tcPr>
                <w:p w14:paraId="1591DA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tcBorders>
                    <w:tl2br w:val="nil"/>
                    <w:tr2bl w:val="nil"/>
                  </w:tcBorders>
                  <w:shd w:val="clear" w:color="auto" w:fill="auto"/>
                  <w:noWrap w:val="0"/>
                  <w:vAlign w:val="center"/>
                </w:tcPr>
                <w:p w14:paraId="3811B7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3BBB73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continue"/>
                  <w:tcBorders>
                    <w:tl2br w:val="nil"/>
                    <w:tr2bl w:val="nil"/>
                  </w:tcBorders>
                  <w:noWrap w:val="0"/>
                  <w:vAlign w:val="center"/>
                </w:tcPr>
                <w:p w14:paraId="3CF641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858" w:type="pct"/>
                  <w:gridSpan w:val="2"/>
                  <w:tcBorders>
                    <w:tl2br w:val="nil"/>
                    <w:tr2bl w:val="nil"/>
                  </w:tcBorders>
                  <w:noWrap w:val="0"/>
                  <w:vAlign w:val="center"/>
                </w:tcPr>
                <w:p w14:paraId="0B986A5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其它中药</w:t>
                  </w:r>
                </w:p>
              </w:tc>
              <w:tc>
                <w:tcPr>
                  <w:tcW w:w="399" w:type="pct"/>
                  <w:tcBorders>
                    <w:tl2br w:val="nil"/>
                    <w:tr2bl w:val="nil"/>
                  </w:tcBorders>
                  <w:noWrap w:val="0"/>
                  <w:vAlign w:val="center"/>
                </w:tcPr>
                <w:p w14:paraId="4CB70E60">
                  <w:pPr>
                    <w:keepNext w:val="0"/>
                    <w:keepLines w:val="0"/>
                    <w:widowControl/>
                    <w:suppressLineNumbers w:val="0"/>
                    <w:spacing w:before="0" w:beforeAutospacing="0" w:after="0" w:afterAutospacing="0"/>
                    <w:ind w:left="0" w:leftChars="0" w:right="0" w:rightChars="0"/>
                    <w:jc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0</w:t>
                  </w:r>
                </w:p>
              </w:tc>
              <w:tc>
                <w:tcPr>
                  <w:tcW w:w="428" w:type="pct"/>
                  <w:tcBorders>
                    <w:tl2br w:val="nil"/>
                    <w:tr2bl w:val="nil"/>
                  </w:tcBorders>
                  <w:noWrap w:val="0"/>
                  <w:vAlign w:val="center"/>
                </w:tcPr>
                <w:p w14:paraId="7526106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54.8</w:t>
                  </w:r>
                </w:p>
              </w:tc>
              <w:tc>
                <w:tcPr>
                  <w:tcW w:w="534" w:type="pct"/>
                  <w:tcBorders>
                    <w:tl2br w:val="nil"/>
                    <w:tr2bl w:val="nil"/>
                  </w:tcBorders>
                  <w:shd w:val="clear" w:color="auto" w:fill="auto"/>
                  <w:noWrap w:val="0"/>
                  <w:vAlign w:val="center"/>
                </w:tcPr>
                <w:p w14:paraId="7DB5D24D">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54.8</w:t>
                  </w:r>
                </w:p>
              </w:tc>
              <w:tc>
                <w:tcPr>
                  <w:tcW w:w="391" w:type="pct"/>
                  <w:tcBorders>
                    <w:tl2br w:val="nil"/>
                    <w:tr2bl w:val="nil"/>
                  </w:tcBorders>
                  <w:noWrap w:val="0"/>
                  <w:vAlign w:val="center"/>
                </w:tcPr>
                <w:p w14:paraId="044240D2">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+54.8</w:t>
                  </w:r>
                </w:p>
              </w:tc>
              <w:tc>
                <w:tcPr>
                  <w:tcW w:w="545" w:type="pct"/>
                  <w:tcBorders>
                    <w:tl2br w:val="nil"/>
                    <w:tr2bl w:val="nil"/>
                  </w:tcBorders>
                  <w:noWrap w:val="0"/>
                  <w:vAlign w:val="center"/>
                </w:tcPr>
                <w:p w14:paraId="397AD1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50kg/袋</w:t>
                  </w:r>
                </w:p>
              </w:tc>
              <w:tc>
                <w:tcPr>
                  <w:tcW w:w="445" w:type="pct"/>
                  <w:vMerge w:val="continue"/>
                  <w:tcBorders>
                    <w:tl2br w:val="nil"/>
                    <w:tr2bl w:val="nil"/>
                  </w:tcBorders>
                  <w:noWrap w:val="0"/>
                  <w:vAlign w:val="center"/>
                </w:tcPr>
                <w:p w14:paraId="3CDD7A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noWrap w:val="0"/>
                  <w:vAlign w:val="center"/>
                </w:tcPr>
                <w:p w14:paraId="6B4BF2AF">
                  <w:pPr>
                    <w:keepNext w:val="0"/>
                    <w:keepLines w:val="0"/>
                    <w:widowControl/>
                    <w:suppressLineNumbers w:val="0"/>
                    <w:spacing w:before="0" w:beforeAutospacing="0" w:after="0" w:afterAutospacing="0"/>
                    <w:ind w:left="0" w:right="0"/>
                    <w:jc w:val="center"/>
                    <w:textAlignment w:val="top"/>
                    <w:rPr>
                      <w:rFonts w:hint="default"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6.6</w:t>
                  </w:r>
                </w:p>
              </w:tc>
              <w:tc>
                <w:tcPr>
                  <w:tcW w:w="402" w:type="pct"/>
                  <w:tcBorders>
                    <w:tl2br w:val="nil"/>
                    <w:tr2bl w:val="nil"/>
                  </w:tcBorders>
                  <w:noWrap w:val="0"/>
                  <w:vAlign w:val="center"/>
                </w:tcPr>
                <w:p w14:paraId="64FD94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tcBorders>
                    <w:tl2br w:val="nil"/>
                    <w:tr2bl w:val="nil"/>
                  </w:tcBorders>
                  <w:noWrap w:val="0"/>
                  <w:vAlign w:val="center"/>
                </w:tcPr>
                <w:p w14:paraId="296CA1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3832B7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restart"/>
                  <w:tcBorders>
                    <w:tl2br w:val="nil"/>
                    <w:tr2bl w:val="nil"/>
                  </w:tcBorders>
                  <w:noWrap w:val="0"/>
                  <w:vAlign w:val="center"/>
                </w:tcPr>
                <w:p w14:paraId="26B385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t>创新制剂车间</w:t>
                  </w:r>
                </w:p>
              </w:tc>
              <w:tc>
                <w:tcPr>
                  <w:tcW w:w="858" w:type="pct"/>
                  <w:gridSpan w:val="2"/>
                  <w:tcBorders>
                    <w:tl2br w:val="nil"/>
                    <w:tr2bl w:val="nil"/>
                  </w:tcBorders>
                  <w:noWrap w:val="0"/>
                  <w:vAlign w:val="center"/>
                </w:tcPr>
                <w:p w14:paraId="1F4C584E">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蔗糖</w:t>
                  </w:r>
                </w:p>
              </w:tc>
              <w:tc>
                <w:tcPr>
                  <w:tcW w:w="399" w:type="pct"/>
                  <w:tcBorders>
                    <w:tl2br w:val="nil"/>
                    <w:tr2bl w:val="nil"/>
                  </w:tcBorders>
                  <w:noWrap w:val="0"/>
                  <w:vAlign w:val="center"/>
                </w:tcPr>
                <w:p w14:paraId="3DE6CA8B">
                  <w:pPr>
                    <w:keepNext w:val="0"/>
                    <w:keepLines w:val="0"/>
                    <w:widowControl/>
                    <w:suppressLineNumbers w:val="0"/>
                    <w:spacing w:before="0" w:beforeAutospacing="0" w:after="0" w:afterAutospacing="0"/>
                    <w:ind w:left="0" w:leftChars="0" w:right="0" w:rightChars="0"/>
                    <w:jc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0</w:t>
                  </w:r>
                </w:p>
              </w:tc>
              <w:tc>
                <w:tcPr>
                  <w:tcW w:w="428" w:type="pct"/>
                  <w:tcBorders>
                    <w:tl2br w:val="nil"/>
                    <w:tr2bl w:val="nil"/>
                  </w:tcBorders>
                  <w:noWrap w:val="0"/>
                  <w:vAlign w:val="center"/>
                </w:tcPr>
                <w:p w14:paraId="069650C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w:t>
                  </w:r>
                </w:p>
              </w:tc>
              <w:tc>
                <w:tcPr>
                  <w:tcW w:w="534" w:type="pct"/>
                  <w:tcBorders>
                    <w:tl2br w:val="nil"/>
                    <w:tr2bl w:val="nil"/>
                  </w:tcBorders>
                  <w:shd w:val="clear" w:color="auto" w:fill="auto"/>
                  <w:noWrap w:val="0"/>
                  <w:vAlign w:val="center"/>
                </w:tcPr>
                <w:p w14:paraId="41D73F27">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w:t>
                  </w:r>
                </w:p>
              </w:tc>
              <w:tc>
                <w:tcPr>
                  <w:tcW w:w="391" w:type="pct"/>
                  <w:tcBorders>
                    <w:tl2br w:val="nil"/>
                    <w:tr2bl w:val="nil"/>
                  </w:tcBorders>
                  <w:noWrap w:val="0"/>
                  <w:vAlign w:val="center"/>
                </w:tcPr>
                <w:p w14:paraId="2962F479">
                  <w:pPr>
                    <w:keepNext w:val="0"/>
                    <w:keepLines w:val="0"/>
                    <w:widowControl/>
                    <w:suppressLineNumbers w:val="0"/>
                    <w:spacing w:before="0" w:beforeAutospacing="0" w:after="0" w:afterAutospacing="0"/>
                    <w:ind w:left="0" w:leftChars="0" w:right="0" w:rightChars="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w:t>
                  </w:r>
                </w:p>
              </w:tc>
              <w:tc>
                <w:tcPr>
                  <w:tcW w:w="545" w:type="pct"/>
                  <w:tcBorders>
                    <w:tl2br w:val="nil"/>
                    <w:tr2bl w:val="nil"/>
                  </w:tcBorders>
                  <w:noWrap w:val="0"/>
                  <w:vAlign w:val="center"/>
                </w:tcPr>
                <w:p w14:paraId="7E558957">
                  <w:pPr>
                    <w:keepNext w:val="0"/>
                    <w:keepLines w:val="0"/>
                    <w:widowControl/>
                    <w:suppressLineNumbers w:val="0"/>
                    <w:spacing w:before="0" w:beforeAutospacing="0" w:after="0" w:afterAutospacing="0"/>
                    <w:ind w:left="0" w:leftChars="0" w:right="0" w:rightChars="0"/>
                    <w:jc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25kg/袋</w:t>
                  </w:r>
                </w:p>
              </w:tc>
              <w:tc>
                <w:tcPr>
                  <w:tcW w:w="445" w:type="pct"/>
                  <w:vMerge w:val="continue"/>
                  <w:tcBorders>
                    <w:tl2br w:val="nil"/>
                    <w:tr2bl w:val="nil"/>
                  </w:tcBorders>
                  <w:noWrap w:val="0"/>
                  <w:vAlign w:val="center"/>
                </w:tcPr>
                <w:p w14:paraId="7E348A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shd w:val="clear" w:color="auto" w:fill="auto"/>
                  <w:noWrap w:val="0"/>
                  <w:vAlign w:val="center"/>
                </w:tcPr>
                <w:p w14:paraId="355CA6C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24</w:t>
                  </w:r>
                </w:p>
              </w:tc>
              <w:tc>
                <w:tcPr>
                  <w:tcW w:w="402" w:type="pct"/>
                  <w:tcBorders>
                    <w:tl2br w:val="nil"/>
                    <w:tr2bl w:val="nil"/>
                  </w:tcBorders>
                  <w:noWrap w:val="0"/>
                  <w:vAlign w:val="center"/>
                </w:tcPr>
                <w:p w14:paraId="72428A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tcBorders>
                    <w:tl2br w:val="nil"/>
                    <w:tr2bl w:val="nil"/>
                  </w:tcBorders>
                  <w:noWrap w:val="0"/>
                  <w:vAlign w:val="center"/>
                </w:tcPr>
                <w:p w14:paraId="390EF2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5007B1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continue"/>
                  <w:tcBorders>
                    <w:tl2br w:val="nil"/>
                    <w:tr2bl w:val="nil"/>
                  </w:tcBorders>
                  <w:noWrap w:val="0"/>
                  <w:vAlign w:val="center"/>
                </w:tcPr>
                <w:p w14:paraId="003CCC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pPr>
                </w:p>
              </w:tc>
              <w:tc>
                <w:tcPr>
                  <w:tcW w:w="858" w:type="pct"/>
                  <w:gridSpan w:val="2"/>
                  <w:tcBorders>
                    <w:tl2br w:val="nil"/>
                    <w:tr2bl w:val="nil"/>
                  </w:tcBorders>
                  <w:noWrap w:val="0"/>
                  <w:vAlign w:val="center"/>
                </w:tcPr>
                <w:p w14:paraId="5177F373">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糊精</w:t>
                  </w:r>
                </w:p>
              </w:tc>
              <w:tc>
                <w:tcPr>
                  <w:tcW w:w="399" w:type="pct"/>
                  <w:tcBorders>
                    <w:tl2br w:val="nil"/>
                    <w:tr2bl w:val="nil"/>
                  </w:tcBorders>
                  <w:noWrap w:val="0"/>
                  <w:vAlign w:val="center"/>
                </w:tcPr>
                <w:p w14:paraId="358B7567">
                  <w:pPr>
                    <w:keepNext w:val="0"/>
                    <w:keepLines w:val="0"/>
                    <w:widowControl/>
                    <w:suppressLineNumbers w:val="0"/>
                    <w:spacing w:before="0" w:beforeAutospacing="0" w:after="0" w:afterAutospacing="0"/>
                    <w:ind w:left="0" w:leftChars="0" w:right="0" w:rightChars="0"/>
                    <w:jc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0</w:t>
                  </w:r>
                </w:p>
              </w:tc>
              <w:tc>
                <w:tcPr>
                  <w:tcW w:w="428" w:type="pct"/>
                  <w:tcBorders>
                    <w:tl2br w:val="nil"/>
                    <w:tr2bl w:val="nil"/>
                  </w:tcBorders>
                  <w:noWrap w:val="0"/>
                  <w:vAlign w:val="center"/>
                </w:tcPr>
                <w:p w14:paraId="6225444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w:t>
                  </w:r>
                </w:p>
              </w:tc>
              <w:tc>
                <w:tcPr>
                  <w:tcW w:w="534" w:type="pct"/>
                  <w:tcBorders>
                    <w:tl2br w:val="nil"/>
                    <w:tr2bl w:val="nil"/>
                  </w:tcBorders>
                  <w:shd w:val="clear" w:color="auto" w:fill="auto"/>
                  <w:noWrap w:val="0"/>
                  <w:vAlign w:val="center"/>
                </w:tcPr>
                <w:p w14:paraId="422FBBCB">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w:t>
                  </w:r>
                </w:p>
              </w:tc>
              <w:tc>
                <w:tcPr>
                  <w:tcW w:w="391" w:type="pct"/>
                  <w:tcBorders>
                    <w:tl2br w:val="nil"/>
                    <w:tr2bl w:val="nil"/>
                  </w:tcBorders>
                  <w:noWrap w:val="0"/>
                  <w:vAlign w:val="center"/>
                </w:tcPr>
                <w:p w14:paraId="1B3DCDDA">
                  <w:pPr>
                    <w:keepNext w:val="0"/>
                    <w:keepLines w:val="0"/>
                    <w:widowControl/>
                    <w:suppressLineNumbers w:val="0"/>
                    <w:spacing w:before="0" w:beforeAutospacing="0" w:after="0" w:afterAutospacing="0"/>
                    <w:ind w:left="0" w:leftChars="0" w:right="0" w:rightChars="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w:t>
                  </w:r>
                </w:p>
              </w:tc>
              <w:tc>
                <w:tcPr>
                  <w:tcW w:w="545" w:type="pct"/>
                  <w:tcBorders>
                    <w:tl2br w:val="nil"/>
                    <w:tr2bl w:val="nil"/>
                  </w:tcBorders>
                  <w:noWrap w:val="0"/>
                  <w:vAlign w:val="center"/>
                </w:tcPr>
                <w:p w14:paraId="409DF928">
                  <w:pPr>
                    <w:keepNext w:val="0"/>
                    <w:keepLines w:val="0"/>
                    <w:widowControl/>
                    <w:suppressLineNumbers w:val="0"/>
                    <w:spacing w:before="0" w:beforeAutospacing="0" w:after="0" w:afterAutospacing="0"/>
                    <w:ind w:left="0" w:leftChars="0" w:right="0" w:rightChars="0"/>
                    <w:jc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25kg/袋</w:t>
                  </w:r>
                </w:p>
              </w:tc>
              <w:tc>
                <w:tcPr>
                  <w:tcW w:w="445" w:type="pct"/>
                  <w:vMerge w:val="continue"/>
                  <w:tcBorders>
                    <w:tl2br w:val="nil"/>
                    <w:tr2bl w:val="nil"/>
                  </w:tcBorders>
                  <w:noWrap w:val="0"/>
                  <w:vAlign w:val="center"/>
                </w:tcPr>
                <w:p w14:paraId="1DF985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shd w:val="clear" w:color="auto" w:fill="auto"/>
                  <w:noWrap w:val="0"/>
                  <w:vAlign w:val="center"/>
                </w:tcPr>
                <w:p w14:paraId="16DEE71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24</w:t>
                  </w:r>
                </w:p>
              </w:tc>
              <w:tc>
                <w:tcPr>
                  <w:tcW w:w="402" w:type="pct"/>
                  <w:tcBorders>
                    <w:tl2br w:val="nil"/>
                    <w:tr2bl w:val="nil"/>
                  </w:tcBorders>
                  <w:noWrap w:val="0"/>
                  <w:vAlign w:val="center"/>
                </w:tcPr>
                <w:p w14:paraId="537E00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tcBorders>
                    <w:tl2br w:val="nil"/>
                    <w:tr2bl w:val="nil"/>
                  </w:tcBorders>
                  <w:noWrap w:val="0"/>
                  <w:vAlign w:val="center"/>
                </w:tcPr>
                <w:p w14:paraId="089761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2E804D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continue"/>
                  <w:tcBorders>
                    <w:tl2br w:val="nil"/>
                    <w:tr2bl w:val="nil"/>
                  </w:tcBorders>
                  <w:noWrap w:val="0"/>
                  <w:vAlign w:val="center"/>
                </w:tcPr>
                <w:p w14:paraId="2E7286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pPr>
                </w:p>
              </w:tc>
              <w:tc>
                <w:tcPr>
                  <w:tcW w:w="858" w:type="pct"/>
                  <w:gridSpan w:val="2"/>
                  <w:tcBorders>
                    <w:tl2br w:val="nil"/>
                    <w:tr2bl w:val="nil"/>
                  </w:tcBorders>
                  <w:noWrap w:val="0"/>
                  <w:vAlign w:val="center"/>
                </w:tcPr>
                <w:p w14:paraId="3371D668">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玉米粉</w:t>
                  </w:r>
                </w:p>
              </w:tc>
              <w:tc>
                <w:tcPr>
                  <w:tcW w:w="399" w:type="pct"/>
                  <w:tcBorders>
                    <w:tl2br w:val="nil"/>
                    <w:tr2bl w:val="nil"/>
                  </w:tcBorders>
                  <w:noWrap w:val="0"/>
                  <w:vAlign w:val="center"/>
                </w:tcPr>
                <w:p w14:paraId="1F051D1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0</w:t>
                  </w:r>
                </w:p>
              </w:tc>
              <w:tc>
                <w:tcPr>
                  <w:tcW w:w="428" w:type="pct"/>
                  <w:tcBorders>
                    <w:tl2br w:val="nil"/>
                    <w:tr2bl w:val="nil"/>
                  </w:tcBorders>
                  <w:noWrap w:val="0"/>
                  <w:vAlign w:val="center"/>
                </w:tcPr>
                <w:p w14:paraId="386FD27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2.842</w:t>
                  </w:r>
                </w:p>
              </w:tc>
              <w:tc>
                <w:tcPr>
                  <w:tcW w:w="534" w:type="pct"/>
                  <w:tcBorders>
                    <w:tl2br w:val="nil"/>
                    <w:tr2bl w:val="nil"/>
                  </w:tcBorders>
                  <w:shd w:val="clear" w:color="auto" w:fill="auto"/>
                  <w:noWrap w:val="0"/>
                  <w:vAlign w:val="center"/>
                </w:tcPr>
                <w:p w14:paraId="5AECAC36">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2.842</w:t>
                  </w:r>
                </w:p>
              </w:tc>
              <w:tc>
                <w:tcPr>
                  <w:tcW w:w="391" w:type="pct"/>
                  <w:tcBorders>
                    <w:tl2br w:val="nil"/>
                    <w:tr2bl w:val="nil"/>
                  </w:tcBorders>
                  <w:noWrap w:val="0"/>
                  <w:vAlign w:val="center"/>
                </w:tcPr>
                <w:p w14:paraId="00FA4F98">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+2.842</w:t>
                  </w:r>
                </w:p>
              </w:tc>
              <w:tc>
                <w:tcPr>
                  <w:tcW w:w="545" w:type="pct"/>
                  <w:tcBorders>
                    <w:tl2br w:val="nil"/>
                    <w:tr2bl w:val="nil"/>
                  </w:tcBorders>
                  <w:noWrap w:val="0"/>
                  <w:vAlign w:val="center"/>
                </w:tcPr>
                <w:p w14:paraId="0B229F74">
                  <w:pPr>
                    <w:keepNext w:val="0"/>
                    <w:keepLines w:val="0"/>
                    <w:widowControl/>
                    <w:suppressLineNumbers w:val="0"/>
                    <w:spacing w:before="0" w:beforeAutospacing="0" w:after="0" w:afterAutospacing="0"/>
                    <w:ind w:left="0" w:leftChars="0" w:right="0" w:rightChars="0"/>
                    <w:jc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25kg/袋</w:t>
                  </w:r>
                </w:p>
              </w:tc>
              <w:tc>
                <w:tcPr>
                  <w:tcW w:w="445" w:type="pct"/>
                  <w:vMerge w:val="continue"/>
                  <w:tcBorders>
                    <w:tl2br w:val="nil"/>
                    <w:tr2bl w:val="nil"/>
                  </w:tcBorders>
                  <w:noWrap w:val="0"/>
                  <w:vAlign w:val="center"/>
                </w:tcPr>
                <w:p w14:paraId="1D28C1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shd w:val="clear" w:color="auto" w:fill="auto"/>
                  <w:noWrap w:val="0"/>
                  <w:vAlign w:val="center"/>
                </w:tcPr>
                <w:p w14:paraId="2C03B1E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35</w:t>
                  </w:r>
                </w:p>
              </w:tc>
              <w:tc>
                <w:tcPr>
                  <w:tcW w:w="402" w:type="pct"/>
                  <w:tcBorders>
                    <w:tl2br w:val="nil"/>
                    <w:tr2bl w:val="nil"/>
                  </w:tcBorders>
                  <w:noWrap w:val="0"/>
                  <w:vAlign w:val="center"/>
                </w:tcPr>
                <w:p w14:paraId="60FEFC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tcBorders>
                    <w:tl2br w:val="nil"/>
                    <w:tr2bl w:val="nil"/>
                  </w:tcBorders>
                  <w:noWrap w:val="0"/>
                  <w:vAlign w:val="center"/>
                </w:tcPr>
                <w:p w14:paraId="366DC7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616C62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continue"/>
                  <w:tcBorders>
                    <w:tl2br w:val="nil"/>
                    <w:tr2bl w:val="nil"/>
                  </w:tcBorders>
                  <w:noWrap w:val="0"/>
                  <w:vAlign w:val="center"/>
                </w:tcPr>
                <w:p w14:paraId="6F7C43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858" w:type="pct"/>
                  <w:gridSpan w:val="2"/>
                  <w:tcBorders>
                    <w:tl2br w:val="nil"/>
                    <w:tr2bl w:val="nil"/>
                  </w:tcBorders>
                  <w:noWrap w:val="0"/>
                  <w:vAlign w:val="center"/>
                </w:tcPr>
                <w:p w14:paraId="0409BAD1">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参百灵</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药膏</w:t>
                  </w:r>
                </w:p>
              </w:tc>
              <w:tc>
                <w:tcPr>
                  <w:tcW w:w="399" w:type="pct"/>
                  <w:tcBorders>
                    <w:tl2br w:val="nil"/>
                    <w:tr2bl w:val="nil"/>
                  </w:tcBorders>
                  <w:noWrap w:val="0"/>
                  <w:vAlign w:val="center"/>
                </w:tcPr>
                <w:p w14:paraId="4D6B4ED3">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0</w:t>
                  </w:r>
                </w:p>
              </w:tc>
              <w:tc>
                <w:tcPr>
                  <w:tcW w:w="428" w:type="pct"/>
                  <w:tcBorders>
                    <w:tl2br w:val="nil"/>
                    <w:tr2bl w:val="nil"/>
                  </w:tcBorders>
                  <w:noWrap w:val="0"/>
                  <w:vAlign w:val="center"/>
                </w:tcPr>
                <w:p w14:paraId="45F0613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0.5</w:t>
                  </w:r>
                </w:p>
              </w:tc>
              <w:tc>
                <w:tcPr>
                  <w:tcW w:w="534" w:type="pct"/>
                  <w:tcBorders>
                    <w:tl2br w:val="nil"/>
                    <w:tr2bl w:val="nil"/>
                  </w:tcBorders>
                  <w:shd w:val="clear" w:color="auto" w:fill="auto"/>
                  <w:noWrap w:val="0"/>
                  <w:vAlign w:val="center"/>
                </w:tcPr>
                <w:p w14:paraId="04C954A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0.5</w:t>
                  </w:r>
                </w:p>
              </w:tc>
              <w:tc>
                <w:tcPr>
                  <w:tcW w:w="391" w:type="pct"/>
                  <w:tcBorders>
                    <w:tl2br w:val="nil"/>
                    <w:tr2bl w:val="nil"/>
                  </w:tcBorders>
                  <w:noWrap w:val="0"/>
                  <w:vAlign w:val="center"/>
                </w:tcPr>
                <w:p w14:paraId="68C47F5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0.5</w:t>
                  </w:r>
                </w:p>
              </w:tc>
              <w:tc>
                <w:tcPr>
                  <w:tcW w:w="545" w:type="pct"/>
                  <w:tcBorders>
                    <w:tl2br w:val="nil"/>
                    <w:tr2bl w:val="nil"/>
                  </w:tcBorders>
                  <w:noWrap w:val="0"/>
                  <w:vAlign w:val="center"/>
                </w:tcPr>
                <w:p w14:paraId="109A95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50kg/桶</w:t>
                  </w:r>
                </w:p>
              </w:tc>
              <w:tc>
                <w:tcPr>
                  <w:tcW w:w="445" w:type="pct"/>
                  <w:vMerge w:val="restart"/>
                  <w:tcBorders>
                    <w:tl2br w:val="nil"/>
                    <w:tr2bl w:val="nil"/>
                  </w:tcBorders>
                  <w:noWrap w:val="0"/>
                  <w:vAlign w:val="center"/>
                </w:tcPr>
                <w:p w14:paraId="4731B9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提取车间</w:t>
                  </w:r>
                </w:p>
              </w:tc>
              <w:tc>
                <w:tcPr>
                  <w:tcW w:w="385" w:type="pct"/>
                  <w:tcBorders>
                    <w:tl2br w:val="nil"/>
                    <w:tr2bl w:val="nil"/>
                  </w:tcBorders>
                  <w:noWrap w:val="0"/>
                  <w:vAlign w:val="center"/>
                </w:tcPr>
                <w:p w14:paraId="5F71A414">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0.06</w:t>
                  </w:r>
                </w:p>
              </w:tc>
              <w:tc>
                <w:tcPr>
                  <w:tcW w:w="402" w:type="pct"/>
                  <w:tcBorders>
                    <w:tl2br w:val="nil"/>
                    <w:tr2bl w:val="nil"/>
                  </w:tcBorders>
                  <w:noWrap w:val="0"/>
                  <w:vAlign w:val="center"/>
                </w:tcPr>
                <w:p w14:paraId="62A4D1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vMerge w:val="restart"/>
                  <w:tcBorders>
                    <w:tl2br w:val="nil"/>
                    <w:tr2bl w:val="nil"/>
                  </w:tcBorders>
                  <w:noWrap w:val="0"/>
                  <w:vAlign w:val="center"/>
                </w:tcPr>
                <w:p w14:paraId="1F5AA5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提取车间</w:t>
                  </w:r>
                </w:p>
              </w:tc>
            </w:tr>
            <w:tr w14:paraId="6A2654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continue"/>
                  <w:tcBorders>
                    <w:tl2br w:val="nil"/>
                    <w:tr2bl w:val="nil"/>
                  </w:tcBorders>
                  <w:noWrap w:val="0"/>
                  <w:vAlign w:val="center"/>
                </w:tcPr>
                <w:p w14:paraId="0FF0A2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858" w:type="pct"/>
                  <w:gridSpan w:val="2"/>
                  <w:tcBorders>
                    <w:tl2br w:val="nil"/>
                    <w:tr2bl w:val="nil"/>
                  </w:tcBorders>
                  <w:noWrap w:val="0"/>
                  <w:vAlign w:val="center"/>
                </w:tcPr>
                <w:p w14:paraId="0BC4119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表实感冒</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药膏</w:t>
                  </w:r>
                </w:p>
              </w:tc>
              <w:tc>
                <w:tcPr>
                  <w:tcW w:w="399" w:type="pct"/>
                  <w:tcBorders>
                    <w:tl2br w:val="nil"/>
                    <w:tr2bl w:val="nil"/>
                  </w:tcBorders>
                  <w:noWrap w:val="0"/>
                  <w:vAlign w:val="center"/>
                </w:tcPr>
                <w:p w14:paraId="742E7F62">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0</w:t>
                  </w:r>
                </w:p>
              </w:tc>
              <w:tc>
                <w:tcPr>
                  <w:tcW w:w="428" w:type="pct"/>
                  <w:tcBorders>
                    <w:tl2br w:val="nil"/>
                    <w:tr2bl w:val="nil"/>
                  </w:tcBorders>
                  <w:noWrap w:val="0"/>
                  <w:vAlign w:val="center"/>
                </w:tcPr>
                <w:p w14:paraId="4C2C3BE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0.4</w:t>
                  </w:r>
                </w:p>
              </w:tc>
              <w:tc>
                <w:tcPr>
                  <w:tcW w:w="534" w:type="pct"/>
                  <w:tcBorders>
                    <w:tl2br w:val="nil"/>
                    <w:tr2bl w:val="nil"/>
                  </w:tcBorders>
                  <w:shd w:val="clear" w:color="auto" w:fill="auto"/>
                  <w:noWrap w:val="0"/>
                  <w:vAlign w:val="center"/>
                </w:tcPr>
                <w:p w14:paraId="07FEB57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0.4</w:t>
                  </w:r>
                </w:p>
              </w:tc>
              <w:tc>
                <w:tcPr>
                  <w:tcW w:w="391" w:type="pct"/>
                  <w:tcBorders>
                    <w:tl2br w:val="nil"/>
                    <w:tr2bl w:val="nil"/>
                  </w:tcBorders>
                  <w:noWrap w:val="0"/>
                  <w:vAlign w:val="center"/>
                </w:tcPr>
                <w:p w14:paraId="29F746F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0.4</w:t>
                  </w:r>
                </w:p>
              </w:tc>
              <w:tc>
                <w:tcPr>
                  <w:tcW w:w="545" w:type="pct"/>
                  <w:tcBorders>
                    <w:tl2br w:val="nil"/>
                    <w:tr2bl w:val="nil"/>
                  </w:tcBorders>
                  <w:noWrap w:val="0"/>
                  <w:vAlign w:val="center"/>
                </w:tcPr>
                <w:p w14:paraId="63492A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50kg/桶</w:t>
                  </w:r>
                </w:p>
              </w:tc>
              <w:tc>
                <w:tcPr>
                  <w:tcW w:w="445" w:type="pct"/>
                  <w:vMerge w:val="continue"/>
                  <w:tcBorders>
                    <w:tl2br w:val="nil"/>
                    <w:tr2bl w:val="nil"/>
                  </w:tcBorders>
                  <w:noWrap w:val="0"/>
                  <w:vAlign w:val="center"/>
                </w:tcPr>
                <w:p w14:paraId="3D1605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noWrap w:val="0"/>
                  <w:vAlign w:val="center"/>
                </w:tcPr>
                <w:p w14:paraId="4B380F6C">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0.05</w:t>
                  </w:r>
                </w:p>
              </w:tc>
              <w:tc>
                <w:tcPr>
                  <w:tcW w:w="402" w:type="pct"/>
                  <w:tcBorders>
                    <w:tl2br w:val="nil"/>
                    <w:tr2bl w:val="nil"/>
                  </w:tcBorders>
                  <w:noWrap w:val="0"/>
                  <w:vAlign w:val="center"/>
                </w:tcPr>
                <w:p w14:paraId="6616C7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vMerge w:val="continue"/>
                  <w:tcBorders>
                    <w:tl2br w:val="nil"/>
                    <w:tr2bl w:val="nil"/>
                  </w:tcBorders>
                  <w:noWrap w:val="0"/>
                  <w:vAlign w:val="center"/>
                </w:tcPr>
                <w:p w14:paraId="0F2BC2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p>
              </w:tc>
            </w:tr>
            <w:tr w14:paraId="6B0C3E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continue"/>
                  <w:tcBorders>
                    <w:tl2br w:val="nil"/>
                    <w:tr2bl w:val="nil"/>
                  </w:tcBorders>
                  <w:noWrap w:val="0"/>
                  <w:vAlign w:val="center"/>
                </w:tcPr>
                <w:p w14:paraId="7DC422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858" w:type="pct"/>
                  <w:gridSpan w:val="2"/>
                  <w:tcBorders>
                    <w:tl2br w:val="nil"/>
                    <w:tr2bl w:val="nil"/>
                  </w:tcBorders>
                  <w:noWrap w:val="0"/>
                  <w:vAlign w:val="center"/>
                </w:tcPr>
                <w:p w14:paraId="246C908E">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暑湿感冒</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药膏</w:t>
                  </w:r>
                </w:p>
              </w:tc>
              <w:tc>
                <w:tcPr>
                  <w:tcW w:w="399" w:type="pct"/>
                  <w:tcBorders>
                    <w:tl2br w:val="nil"/>
                    <w:tr2bl w:val="nil"/>
                  </w:tcBorders>
                  <w:noWrap w:val="0"/>
                  <w:vAlign w:val="center"/>
                </w:tcPr>
                <w:p w14:paraId="37B6CFA8">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0</w:t>
                  </w:r>
                </w:p>
              </w:tc>
              <w:tc>
                <w:tcPr>
                  <w:tcW w:w="428" w:type="pct"/>
                  <w:tcBorders>
                    <w:tl2br w:val="nil"/>
                    <w:tr2bl w:val="nil"/>
                  </w:tcBorders>
                  <w:noWrap w:val="0"/>
                  <w:vAlign w:val="center"/>
                </w:tcPr>
                <w:p w14:paraId="1ED914E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0.4</w:t>
                  </w:r>
                </w:p>
              </w:tc>
              <w:tc>
                <w:tcPr>
                  <w:tcW w:w="534" w:type="pct"/>
                  <w:tcBorders>
                    <w:tl2br w:val="nil"/>
                    <w:tr2bl w:val="nil"/>
                  </w:tcBorders>
                  <w:shd w:val="clear" w:color="auto" w:fill="auto"/>
                  <w:noWrap w:val="0"/>
                  <w:vAlign w:val="center"/>
                </w:tcPr>
                <w:p w14:paraId="0F0C70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0.4</w:t>
                  </w:r>
                </w:p>
              </w:tc>
              <w:tc>
                <w:tcPr>
                  <w:tcW w:w="391" w:type="pct"/>
                  <w:tcBorders>
                    <w:tl2br w:val="nil"/>
                    <w:tr2bl w:val="nil"/>
                  </w:tcBorders>
                  <w:noWrap w:val="0"/>
                  <w:vAlign w:val="center"/>
                </w:tcPr>
                <w:p w14:paraId="58D9B6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0.4</w:t>
                  </w:r>
                </w:p>
              </w:tc>
              <w:tc>
                <w:tcPr>
                  <w:tcW w:w="545" w:type="pct"/>
                  <w:tcBorders>
                    <w:tl2br w:val="nil"/>
                    <w:tr2bl w:val="nil"/>
                  </w:tcBorders>
                  <w:noWrap w:val="0"/>
                  <w:vAlign w:val="center"/>
                </w:tcPr>
                <w:p w14:paraId="13B35FB3">
                  <w:pPr>
                    <w:keepNext w:val="0"/>
                    <w:keepLines w:val="0"/>
                    <w:widowControl/>
                    <w:suppressLineNumbers w:val="0"/>
                    <w:spacing w:before="0" w:beforeAutospacing="0" w:after="0" w:afterAutospacing="0"/>
                    <w:ind w:left="0" w:right="0"/>
                    <w:jc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50kg/桶</w:t>
                  </w:r>
                </w:p>
              </w:tc>
              <w:tc>
                <w:tcPr>
                  <w:tcW w:w="445" w:type="pct"/>
                  <w:vMerge w:val="continue"/>
                  <w:tcBorders>
                    <w:tl2br w:val="nil"/>
                    <w:tr2bl w:val="nil"/>
                  </w:tcBorders>
                  <w:noWrap w:val="0"/>
                  <w:vAlign w:val="center"/>
                </w:tcPr>
                <w:p w14:paraId="586E63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noWrap w:val="0"/>
                  <w:vAlign w:val="center"/>
                </w:tcPr>
                <w:p w14:paraId="39D4D37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0.05</w:t>
                  </w:r>
                </w:p>
              </w:tc>
              <w:tc>
                <w:tcPr>
                  <w:tcW w:w="402" w:type="pct"/>
                  <w:tcBorders>
                    <w:tl2br w:val="nil"/>
                    <w:tr2bl w:val="nil"/>
                  </w:tcBorders>
                  <w:noWrap w:val="0"/>
                  <w:vAlign w:val="center"/>
                </w:tcPr>
                <w:p w14:paraId="2055B0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vMerge w:val="continue"/>
                  <w:tcBorders>
                    <w:tl2br w:val="nil"/>
                    <w:tr2bl w:val="nil"/>
                  </w:tcBorders>
                  <w:noWrap w:val="0"/>
                  <w:vAlign w:val="center"/>
                </w:tcPr>
                <w:p w14:paraId="507954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p>
              </w:tc>
            </w:tr>
            <w:tr w14:paraId="4E9E3B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continue"/>
                  <w:tcBorders>
                    <w:tl2br w:val="nil"/>
                    <w:tr2bl w:val="nil"/>
                  </w:tcBorders>
                  <w:noWrap w:val="0"/>
                  <w:vAlign w:val="center"/>
                </w:tcPr>
                <w:p w14:paraId="40D695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858" w:type="pct"/>
                  <w:gridSpan w:val="2"/>
                  <w:tcBorders>
                    <w:tl2br w:val="nil"/>
                    <w:tr2bl w:val="nil"/>
                  </w:tcBorders>
                  <w:noWrap w:val="0"/>
                  <w:vAlign w:val="center"/>
                </w:tcPr>
                <w:p w14:paraId="3497617F">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散痈解毒</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药膏</w:t>
                  </w:r>
                </w:p>
              </w:tc>
              <w:tc>
                <w:tcPr>
                  <w:tcW w:w="399" w:type="pct"/>
                  <w:tcBorders>
                    <w:tl2br w:val="nil"/>
                    <w:tr2bl w:val="nil"/>
                  </w:tcBorders>
                  <w:noWrap w:val="0"/>
                  <w:vAlign w:val="center"/>
                </w:tcPr>
                <w:p w14:paraId="7F94092D">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0</w:t>
                  </w:r>
                </w:p>
              </w:tc>
              <w:tc>
                <w:tcPr>
                  <w:tcW w:w="428" w:type="pct"/>
                  <w:tcBorders>
                    <w:tl2br w:val="nil"/>
                    <w:tr2bl w:val="nil"/>
                  </w:tcBorders>
                  <w:noWrap w:val="0"/>
                  <w:vAlign w:val="center"/>
                </w:tcPr>
                <w:p w14:paraId="5B92CC6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0.3</w:t>
                  </w:r>
                </w:p>
              </w:tc>
              <w:tc>
                <w:tcPr>
                  <w:tcW w:w="534" w:type="pct"/>
                  <w:tcBorders>
                    <w:tl2br w:val="nil"/>
                    <w:tr2bl w:val="nil"/>
                  </w:tcBorders>
                  <w:shd w:val="clear" w:color="auto" w:fill="auto"/>
                  <w:noWrap w:val="0"/>
                  <w:vAlign w:val="center"/>
                </w:tcPr>
                <w:p w14:paraId="393CDC1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0.3</w:t>
                  </w:r>
                </w:p>
              </w:tc>
              <w:tc>
                <w:tcPr>
                  <w:tcW w:w="391" w:type="pct"/>
                  <w:tcBorders>
                    <w:tl2br w:val="nil"/>
                    <w:tr2bl w:val="nil"/>
                  </w:tcBorders>
                  <w:noWrap w:val="0"/>
                  <w:vAlign w:val="center"/>
                </w:tcPr>
                <w:p w14:paraId="221C938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0.3</w:t>
                  </w:r>
                </w:p>
              </w:tc>
              <w:tc>
                <w:tcPr>
                  <w:tcW w:w="545" w:type="pct"/>
                  <w:tcBorders>
                    <w:tl2br w:val="nil"/>
                    <w:tr2bl w:val="nil"/>
                  </w:tcBorders>
                  <w:noWrap w:val="0"/>
                  <w:vAlign w:val="center"/>
                </w:tcPr>
                <w:p w14:paraId="57CED7DA">
                  <w:pPr>
                    <w:keepNext w:val="0"/>
                    <w:keepLines w:val="0"/>
                    <w:widowControl/>
                    <w:suppressLineNumbers w:val="0"/>
                    <w:spacing w:before="0" w:beforeAutospacing="0" w:after="0" w:afterAutospacing="0"/>
                    <w:ind w:left="0" w:right="0"/>
                    <w:jc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50kg/桶</w:t>
                  </w:r>
                </w:p>
              </w:tc>
              <w:tc>
                <w:tcPr>
                  <w:tcW w:w="445" w:type="pct"/>
                  <w:vMerge w:val="continue"/>
                  <w:tcBorders>
                    <w:tl2br w:val="nil"/>
                    <w:tr2bl w:val="nil"/>
                  </w:tcBorders>
                  <w:noWrap w:val="0"/>
                  <w:vAlign w:val="center"/>
                </w:tcPr>
                <w:p w14:paraId="03FCFD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noWrap w:val="0"/>
                  <w:vAlign w:val="center"/>
                </w:tcPr>
                <w:p w14:paraId="2E4EF0A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0.04</w:t>
                  </w:r>
                </w:p>
              </w:tc>
              <w:tc>
                <w:tcPr>
                  <w:tcW w:w="402" w:type="pct"/>
                  <w:tcBorders>
                    <w:tl2br w:val="nil"/>
                    <w:tr2bl w:val="nil"/>
                  </w:tcBorders>
                  <w:noWrap w:val="0"/>
                  <w:vAlign w:val="center"/>
                </w:tcPr>
                <w:p w14:paraId="1A601C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vMerge w:val="continue"/>
                  <w:tcBorders>
                    <w:tl2br w:val="nil"/>
                    <w:tr2bl w:val="nil"/>
                  </w:tcBorders>
                  <w:noWrap w:val="0"/>
                  <w:vAlign w:val="center"/>
                </w:tcPr>
                <w:p w14:paraId="05BCEE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p>
              </w:tc>
            </w:tr>
            <w:tr w14:paraId="415F47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continue"/>
                  <w:tcBorders>
                    <w:tl2br w:val="nil"/>
                    <w:tr2bl w:val="nil"/>
                  </w:tcBorders>
                  <w:noWrap w:val="0"/>
                  <w:vAlign w:val="center"/>
                </w:tcPr>
                <w:p w14:paraId="00EC94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858" w:type="pct"/>
                  <w:gridSpan w:val="2"/>
                  <w:tcBorders>
                    <w:tl2br w:val="nil"/>
                    <w:tr2bl w:val="nil"/>
                  </w:tcBorders>
                  <w:noWrap w:val="0"/>
                  <w:vAlign w:val="center"/>
                </w:tcPr>
                <w:p w14:paraId="2633DDCE">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经典名方</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药膏</w:t>
                  </w:r>
                </w:p>
              </w:tc>
              <w:tc>
                <w:tcPr>
                  <w:tcW w:w="399" w:type="pct"/>
                  <w:tcBorders>
                    <w:tl2br w:val="nil"/>
                    <w:tr2bl w:val="nil"/>
                  </w:tcBorders>
                  <w:noWrap w:val="0"/>
                  <w:vAlign w:val="center"/>
                </w:tcPr>
                <w:p w14:paraId="76A18B47">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0</w:t>
                  </w:r>
                </w:p>
              </w:tc>
              <w:tc>
                <w:tcPr>
                  <w:tcW w:w="428" w:type="pct"/>
                  <w:tcBorders>
                    <w:tl2br w:val="nil"/>
                    <w:tr2bl w:val="nil"/>
                  </w:tcBorders>
                  <w:noWrap w:val="0"/>
                  <w:vAlign w:val="center"/>
                </w:tcPr>
                <w:p w14:paraId="3DF3D92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0.4</w:t>
                  </w:r>
                </w:p>
              </w:tc>
              <w:tc>
                <w:tcPr>
                  <w:tcW w:w="534" w:type="pct"/>
                  <w:tcBorders>
                    <w:tl2br w:val="nil"/>
                    <w:tr2bl w:val="nil"/>
                  </w:tcBorders>
                  <w:shd w:val="clear" w:color="auto" w:fill="auto"/>
                  <w:noWrap w:val="0"/>
                  <w:vAlign w:val="center"/>
                </w:tcPr>
                <w:p w14:paraId="37465DD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0.4</w:t>
                  </w:r>
                </w:p>
              </w:tc>
              <w:tc>
                <w:tcPr>
                  <w:tcW w:w="391" w:type="pct"/>
                  <w:tcBorders>
                    <w:tl2br w:val="nil"/>
                    <w:tr2bl w:val="nil"/>
                  </w:tcBorders>
                  <w:noWrap w:val="0"/>
                  <w:vAlign w:val="center"/>
                </w:tcPr>
                <w:p w14:paraId="6386EC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0.4</w:t>
                  </w:r>
                </w:p>
              </w:tc>
              <w:tc>
                <w:tcPr>
                  <w:tcW w:w="545" w:type="pct"/>
                  <w:tcBorders>
                    <w:tl2br w:val="nil"/>
                    <w:tr2bl w:val="nil"/>
                  </w:tcBorders>
                  <w:noWrap w:val="0"/>
                  <w:vAlign w:val="center"/>
                </w:tcPr>
                <w:p w14:paraId="3D93C906">
                  <w:pPr>
                    <w:keepNext w:val="0"/>
                    <w:keepLines w:val="0"/>
                    <w:widowControl/>
                    <w:suppressLineNumbers w:val="0"/>
                    <w:spacing w:before="0" w:beforeAutospacing="0" w:after="0" w:afterAutospacing="0"/>
                    <w:ind w:left="0" w:right="0"/>
                    <w:jc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50kg/桶</w:t>
                  </w:r>
                </w:p>
              </w:tc>
              <w:tc>
                <w:tcPr>
                  <w:tcW w:w="445" w:type="pct"/>
                  <w:vMerge w:val="continue"/>
                  <w:tcBorders>
                    <w:tl2br w:val="nil"/>
                    <w:tr2bl w:val="nil"/>
                  </w:tcBorders>
                  <w:noWrap w:val="0"/>
                  <w:vAlign w:val="center"/>
                </w:tcPr>
                <w:p w14:paraId="45D3F5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noWrap w:val="0"/>
                  <w:vAlign w:val="center"/>
                </w:tcPr>
                <w:p w14:paraId="52B1B31D">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0.05</w:t>
                  </w:r>
                </w:p>
              </w:tc>
              <w:tc>
                <w:tcPr>
                  <w:tcW w:w="402" w:type="pct"/>
                  <w:tcBorders>
                    <w:tl2br w:val="nil"/>
                    <w:tr2bl w:val="nil"/>
                  </w:tcBorders>
                  <w:noWrap w:val="0"/>
                  <w:vAlign w:val="center"/>
                </w:tcPr>
                <w:p w14:paraId="2E65E7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vMerge w:val="continue"/>
                  <w:tcBorders>
                    <w:tl2br w:val="nil"/>
                    <w:tr2bl w:val="nil"/>
                  </w:tcBorders>
                  <w:noWrap w:val="0"/>
                  <w:vAlign w:val="center"/>
                </w:tcPr>
                <w:p w14:paraId="1E67A0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p>
              </w:tc>
            </w:tr>
            <w:tr w14:paraId="480976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continue"/>
                  <w:tcBorders>
                    <w:tl2br w:val="nil"/>
                    <w:tr2bl w:val="nil"/>
                  </w:tcBorders>
                  <w:noWrap w:val="0"/>
                  <w:vAlign w:val="center"/>
                </w:tcPr>
                <w:p w14:paraId="44CD85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858" w:type="pct"/>
                  <w:gridSpan w:val="2"/>
                  <w:tcBorders>
                    <w:tl2br w:val="nil"/>
                    <w:tr2bl w:val="nil"/>
                  </w:tcBorders>
                  <w:noWrap w:val="0"/>
                  <w:vAlign w:val="center"/>
                </w:tcPr>
                <w:p w14:paraId="111C63CF">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气滞胃痛</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药膏</w:t>
                  </w:r>
                </w:p>
              </w:tc>
              <w:tc>
                <w:tcPr>
                  <w:tcW w:w="399" w:type="pct"/>
                  <w:tcBorders>
                    <w:tl2br w:val="nil"/>
                    <w:tr2bl w:val="nil"/>
                  </w:tcBorders>
                  <w:noWrap w:val="0"/>
                  <w:vAlign w:val="center"/>
                </w:tcPr>
                <w:p w14:paraId="1BA9A101">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0</w:t>
                  </w:r>
                </w:p>
              </w:tc>
              <w:tc>
                <w:tcPr>
                  <w:tcW w:w="428" w:type="pct"/>
                  <w:tcBorders>
                    <w:tl2br w:val="nil"/>
                    <w:tr2bl w:val="nil"/>
                  </w:tcBorders>
                  <w:noWrap w:val="0"/>
                  <w:vAlign w:val="center"/>
                </w:tcPr>
                <w:p w14:paraId="0D26579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0.05</w:t>
                  </w:r>
                </w:p>
              </w:tc>
              <w:tc>
                <w:tcPr>
                  <w:tcW w:w="534" w:type="pct"/>
                  <w:tcBorders>
                    <w:tl2br w:val="nil"/>
                    <w:tr2bl w:val="nil"/>
                  </w:tcBorders>
                  <w:shd w:val="clear" w:color="auto" w:fill="auto"/>
                  <w:noWrap w:val="0"/>
                  <w:vAlign w:val="center"/>
                </w:tcPr>
                <w:p w14:paraId="10FDEE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0.05</w:t>
                  </w:r>
                </w:p>
              </w:tc>
              <w:tc>
                <w:tcPr>
                  <w:tcW w:w="391" w:type="pct"/>
                  <w:tcBorders>
                    <w:tl2br w:val="nil"/>
                    <w:tr2bl w:val="nil"/>
                  </w:tcBorders>
                  <w:noWrap w:val="0"/>
                  <w:vAlign w:val="center"/>
                </w:tcPr>
                <w:p w14:paraId="071974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0.05</w:t>
                  </w:r>
                </w:p>
              </w:tc>
              <w:tc>
                <w:tcPr>
                  <w:tcW w:w="545" w:type="pct"/>
                  <w:tcBorders>
                    <w:tl2br w:val="nil"/>
                    <w:tr2bl w:val="nil"/>
                  </w:tcBorders>
                  <w:noWrap w:val="0"/>
                  <w:vAlign w:val="center"/>
                </w:tcPr>
                <w:p w14:paraId="6CD0D38A">
                  <w:pPr>
                    <w:keepNext w:val="0"/>
                    <w:keepLines w:val="0"/>
                    <w:widowControl/>
                    <w:suppressLineNumbers w:val="0"/>
                    <w:spacing w:before="0" w:beforeAutospacing="0" w:after="0" w:afterAutospacing="0"/>
                    <w:ind w:left="0" w:right="0"/>
                    <w:jc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50kg/桶</w:t>
                  </w:r>
                </w:p>
              </w:tc>
              <w:tc>
                <w:tcPr>
                  <w:tcW w:w="445" w:type="pct"/>
                  <w:vMerge w:val="continue"/>
                  <w:tcBorders>
                    <w:tl2br w:val="nil"/>
                    <w:tr2bl w:val="nil"/>
                  </w:tcBorders>
                  <w:noWrap w:val="0"/>
                  <w:vAlign w:val="center"/>
                </w:tcPr>
                <w:p w14:paraId="75720C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noWrap w:val="0"/>
                  <w:vAlign w:val="center"/>
                </w:tcPr>
                <w:p w14:paraId="2A1A0DB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0.01</w:t>
                  </w:r>
                </w:p>
              </w:tc>
              <w:tc>
                <w:tcPr>
                  <w:tcW w:w="402" w:type="pct"/>
                  <w:tcBorders>
                    <w:tl2br w:val="nil"/>
                    <w:tr2bl w:val="nil"/>
                  </w:tcBorders>
                  <w:noWrap w:val="0"/>
                  <w:vAlign w:val="center"/>
                </w:tcPr>
                <w:p w14:paraId="75591D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vMerge w:val="continue"/>
                  <w:tcBorders>
                    <w:tl2br w:val="nil"/>
                    <w:tr2bl w:val="nil"/>
                  </w:tcBorders>
                  <w:noWrap w:val="0"/>
                  <w:vAlign w:val="center"/>
                </w:tcPr>
                <w:p w14:paraId="135AFF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p>
              </w:tc>
            </w:tr>
            <w:tr w14:paraId="57449A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continue"/>
                  <w:tcBorders>
                    <w:tl2br w:val="nil"/>
                    <w:tr2bl w:val="nil"/>
                  </w:tcBorders>
                  <w:noWrap w:val="0"/>
                  <w:vAlign w:val="center"/>
                </w:tcPr>
                <w:p w14:paraId="2B9945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858" w:type="pct"/>
                  <w:gridSpan w:val="2"/>
                  <w:tcBorders>
                    <w:tl2br w:val="nil"/>
                    <w:tr2bl w:val="nil"/>
                  </w:tcBorders>
                  <w:noWrap w:val="0"/>
                  <w:vAlign w:val="center"/>
                </w:tcPr>
                <w:p w14:paraId="162B495F">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阴虚胃痛</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药膏</w:t>
                  </w:r>
                </w:p>
              </w:tc>
              <w:tc>
                <w:tcPr>
                  <w:tcW w:w="399" w:type="pct"/>
                  <w:tcBorders>
                    <w:tl2br w:val="nil"/>
                    <w:tr2bl w:val="nil"/>
                  </w:tcBorders>
                  <w:noWrap w:val="0"/>
                  <w:vAlign w:val="center"/>
                </w:tcPr>
                <w:p w14:paraId="0FDD0774">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0</w:t>
                  </w:r>
                </w:p>
              </w:tc>
              <w:tc>
                <w:tcPr>
                  <w:tcW w:w="428" w:type="pct"/>
                  <w:tcBorders>
                    <w:tl2br w:val="nil"/>
                    <w:tr2bl w:val="nil"/>
                  </w:tcBorders>
                  <w:noWrap w:val="0"/>
                  <w:vAlign w:val="center"/>
                </w:tcPr>
                <w:p w14:paraId="20DDB72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0.1</w:t>
                  </w:r>
                </w:p>
              </w:tc>
              <w:tc>
                <w:tcPr>
                  <w:tcW w:w="534" w:type="pct"/>
                  <w:tcBorders>
                    <w:tl2br w:val="nil"/>
                    <w:tr2bl w:val="nil"/>
                  </w:tcBorders>
                  <w:shd w:val="clear" w:color="auto" w:fill="auto"/>
                  <w:noWrap w:val="0"/>
                  <w:vAlign w:val="center"/>
                </w:tcPr>
                <w:p w14:paraId="7C33584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0.1</w:t>
                  </w:r>
                </w:p>
              </w:tc>
              <w:tc>
                <w:tcPr>
                  <w:tcW w:w="391" w:type="pct"/>
                  <w:tcBorders>
                    <w:tl2br w:val="nil"/>
                    <w:tr2bl w:val="nil"/>
                  </w:tcBorders>
                  <w:noWrap w:val="0"/>
                  <w:vAlign w:val="center"/>
                </w:tcPr>
                <w:p w14:paraId="1AD9E80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0.1</w:t>
                  </w:r>
                </w:p>
              </w:tc>
              <w:tc>
                <w:tcPr>
                  <w:tcW w:w="545" w:type="pct"/>
                  <w:tcBorders>
                    <w:tl2br w:val="nil"/>
                    <w:tr2bl w:val="nil"/>
                  </w:tcBorders>
                  <w:noWrap w:val="0"/>
                  <w:vAlign w:val="center"/>
                </w:tcPr>
                <w:p w14:paraId="53B553CF">
                  <w:pPr>
                    <w:keepNext w:val="0"/>
                    <w:keepLines w:val="0"/>
                    <w:widowControl/>
                    <w:suppressLineNumbers w:val="0"/>
                    <w:spacing w:before="0" w:beforeAutospacing="0" w:after="0" w:afterAutospacing="0"/>
                    <w:ind w:left="0" w:right="0"/>
                    <w:jc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50kg/桶</w:t>
                  </w:r>
                </w:p>
              </w:tc>
              <w:tc>
                <w:tcPr>
                  <w:tcW w:w="445" w:type="pct"/>
                  <w:vMerge w:val="continue"/>
                  <w:tcBorders>
                    <w:tl2br w:val="nil"/>
                    <w:tr2bl w:val="nil"/>
                  </w:tcBorders>
                  <w:noWrap w:val="0"/>
                  <w:vAlign w:val="center"/>
                </w:tcPr>
                <w:p w14:paraId="7B3D1C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noWrap w:val="0"/>
                  <w:vAlign w:val="center"/>
                </w:tcPr>
                <w:p w14:paraId="276F238C">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0.01</w:t>
                  </w:r>
                </w:p>
              </w:tc>
              <w:tc>
                <w:tcPr>
                  <w:tcW w:w="402" w:type="pct"/>
                  <w:tcBorders>
                    <w:tl2br w:val="nil"/>
                    <w:tr2bl w:val="nil"/>
                  </w:tcBorders>
                  <w:noWrap w:val="0"/>
                  <w:vAlign w:val="center"/>
                </w:tcPr>
                <w:p w14:paraId="5EB076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vMerge w:val="continue"/>
                  <w:tcBorders>
                    <w:tl2br w:val="nil"/>
                    <w:tr2bl w:val="nil"/>
                  </w:tcBorders>
                  <w:noWrap w:val="0"/>
                  <w:vAlign w:val="center"/>
                </w:tcPr>
                <w:p w14:paraId="6F669D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p>
              </w:tc>
            </w:tr>
            <w:tr w14:paraId="0602AF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continue"/>
                  <w:tcBorders>
                    <w:tl2br w:val="nil"/>
                    <w:tr2bl w:val="nil"/>
                  </w:tcBorders>
                  <w:noWrap w:val="0"/>
                  <w:vAlign w:val="center"/>
                </w:tcPr>
                <w:p w14:paraId="14F482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858" w:type="pct"/>
                  <w:gridSpan w:val="2"/>
                  <w:tcBorders>
                    <w:tl2br w:val="nil"/>
                    <w:tr2bl w:val="nil"/>
                  </w:tcBorders>
                  <w:noWrap w:val="0"/>
                  <w:vAlign w:val="center"/>
                </w:tcPr>
                <w:p w14:paraId="074A25FC">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寒湿痹</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药膏</w:t>
                  </w:r>
                </w:p>
              </w:tc>
              <w:tc>
                <w:tcPr>
                  <w:tcW w:w="399" w:type="pct"/>
                  <w:tcBorders>
                    <w:tl2br w:val="nil"/>
                    <w:tr2bl w:val="nil"/>
                  </w:tcBorders>
                  <w:noWrap w:val="0"/>
                  <w:vAlign w:val="center"/>
                </w:tcPr>
                <w:p w14:paraId="318178C7">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0</w:t>
                  </w:r>
                </w:p>
              </w:tc>
              <w:tc>
                <w:tcPr>
                  <w:tcW w:w="428" w:type="pct"/>
                  <w:tcBorders>
                    <w:tl2br w:val="nil"/>
                    <w:tr2bl w:val="nil"/>
                  </w:tcBorders>
                  <w:noWrap w:val="0"/>
                  <w:vAlign w:val="center"/>
                </w:tcPr>
                <w:p w14:paraId="0339290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0.1</w:t>
                  </w:r>
                </w:p>
              </w:tc>
              <w:tc>
                <w:tcPr>
                  <w:tcW w:w="534" w:type="pct"/>
                  <w:tcBorders>
                    <w:tl2br w:val="nil"/>
                    <w:tr2bl w:val="nil"/>
                  </w:tcBorders>
                  <w:shd w:val="clear" w:color="auto" w:fill="auto"/>
                  <w:noWrap w:val="0"/>
                  <w:vAlign w:val="center"/>
                </w:tcPr>
                <w:p w14:paraId="751E71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0.1</w:t>
                  </w:r>
                </w:p>
              </w:tc>
              <w:tc>
                <w:tcPr>
                  <w:tcW w:w="391" w:type="pct"/>
                  <w:tcBorders>
                    <w:tl2br w:val="nil"/>
                    <w:tr2bl w:val="nil"/>
                  </w:tcBorders>
                  <w:noWrap w:val="0"/>
                  <w:vAlign w:val="center"/>
                </w:tcPr>
                <w:p w14:paraId="547F51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0.1</w:t>
                  </w:r>
                </w:p>
              </w:tc>
              <w:tc>
                <w:tcPr>
                  <w:tcW w:w="545" w:type="pct"/>
                  <w:tcBorders>
                    <w:tl2br w:val="nil"/>
                    <w:tr2bl w:val="nil"/>
                  </w:tcBorders>
                  <w:noWrap w:val="0"/>
                  <w:vAlign w:val="center"/>
                </w:tcPr>
                <w:p w14:paraId="635F1977">
                  <w:pPr>
                    <w:keepNext w:val="0"/>
                    <w:keepLines w:val="0"/>
                    <w:widowControl/>
                    <w:suppressLineNumbers w:val="0"/>
                    <w:spacing w:before="0" w:beforeAutospacing="0" w:after="0" w:afterAutospacing="0"/>
                    <w:ind w:left="0" w:right="0"/>
                    <w:jc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50kg/桶</w:t>
                  </w:r>
                </w:p>
              </w:tc>
              <w:tc>
                <w:tcPr>
                  <w:tcW w:w="445" w:type="pct"/>
                  <w:vMerge w:val="continue"/>
                  <w:tcBorders>
                    <w:tl2br w:val="nil"/>
                    <w:tr2bl w:val="nil"/>
                  </w:tcBorders>
                  <w:noWrap w:val="0"/>
                  <w:vAlign w:val="center"/>
                </w:tcPr>
                <w:p w14:paraId="43E230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noWrap w:val="0"/>
                  <w:vAlign w:val="center"/>
                </w:tcPr>
                <w:p w14:paraId="0CA0C3BB">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0.01</w:t>
                  </w:r>
                </w:p>
              </w:tc>
              <w:tc>
                <w:tcPr>
                  <w:tcW w:w="402" w:type="pct"/>
                  <w:tcBorders>
                    <w:tl2br w:val="nil"/>
                    <w:tr2bl w:val="nil"/>
                  </w:tcBorders>
                  <w:noWrap w:val="0"/>
                  <w:vAlign w:val="center"/>
                </w:tcPr>
                <w:p w14:paraId="239921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vMerge w:val="continue"/>
                  <w:tcBorders>
                    <w:tl2br w:val="nil"/>
                    <w:tr2bl w:val="nil"/>
                  </w:tcBorders>
                  <w:noWrap w:val="0"/>
                  <w:vAlign w:val="center"/>
                </w:tcPr>
                <w:p w14:paraId="2102C0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p>
              </w:tc>
            </w:tr>
            <w:tr w14:paraId="03A2E1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continue"/>
                  <w:tcBorders>
                    <w:tl2br w:val="nil"/>
                    <w:tr2bl w:val="nil"/>
                  </w:tcBorders>
                  <w:noWrap w:val="0"/>
                  <w:vAlign w:val="center"/>
                </w:tcPr>
                <w:p w14:paraId="05CC34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858" w:type="pct"/>
                  <w:gridSpan w:val="2"/>
                  <w:tcBorders>
                    <w:tl2br w:val="nil"/>
                    <w:tr2bl w:val="nil"/>
                  </w:tcBorders>
                  <w:noWrap w:val="0"/>
                  <w:vAlign w:val="center"/>
                </w:tcPr>
                <w:p w14:paraId="24681E5E">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尪痹</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药膏</w:t>
                  </w:r>
                </w:p>
              </w:tc>
              <w:tc>
                <w:tcPr>
                  <w:tcW w:w="399" w:type="pct"/>
                  <w:tcBorders>
                    <w:tl2br w:val="nil"/>
                    <w:tr2bl w:val="nil"/>
                  </w:tcBorders>
                  <w:noWrap w:val="0"/>
                  <w:vAlign w:val="center"/>
                </w:tcPr>
                <w:p w14:paraId="14526E22">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0</w:t>
                  </w:r>
                </w:p>
              </w:tc>
              <w:tc>
                <w:tcPr>
                  <w:tcW w:w="428" w:type="pct"/>
                  <w:tcBorders>
                    <w:tl2br w:val="nil"/>
                    <w:tr2bl w:val="nil"/>
                  </w:tcBorders>
                  <w:noWrap w:val="0"/>
                  <w:vAlign w:val="center"/>
                </w:tcPr>
                <w:p w14:paraId="5BC2D02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0.4</w:t>
                  </w:r>
                </w:p>
              </w:tc>
              <w:tc>
                <w:tcPr>
                  <w:tcW w:w="534" w:type="pct"/>
                  <w:tcBorders>
                    <w:tl2br w:val="nil"/>
                    <w:tr2bl w:val="nil"/>
                  </w:tcBorders>
                  <w:shd w:val="clear" w:color="auto" w:fill="auto"/>
                  <w:noWrap w:val="0"/>
                  <w:vAlign w:val="center"/>
                </w:tcPr>
                <w:p w14:paraId="5B48246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0.4</w:t>
                  </w:r>
                </w:p>
              </w:tc>
              <w:tc>
                <w:tcPr>
                  <w:tcW w:w="391" w:type="pct"/>
                  <w:tcBorders>
                    <w:tl2br w:val="nil"/>
                    <w:tr2bl w:val="nil"/>
                  </w:tcBorders>
                  <w:noWrap w:val="0"/>
                  <w:vAlign w:val="center"/>
                </w:tcPr>
                <w:p w14:paraId="41E10B0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0.4</w:t>
                  </w:r>
                </w:p>
              </w:tc>
              <w:tc>
                <w:tcPr>
                  <w:tcW w:w="545" w:type="pct"/>
                  <w:tcBorders>
                    <w:tl2br w:val="nil"/>
                    <w:tr2bl w:val="nil"/>
                  </w:tcBorders>
                  <w:noWrap w:val="0"/>
                  <w:vAlign w:val="center"/>
                </w:tcPr>
                <w:p w14:paraId="0E3653E0">
                  <w:pPr>
                    <w:keepNext w:val="0"/>
                    <w:keepLines w:val="0"/>
                    <w:widowControl/>
                    <w:suppressLineNumbers w:val="0"/>
                    <w:spacing w:before="0" w:beforeAutospacing="0" w:after="0" w:afterAutospacing="0"/>
                    <w:ind w:left="0" w:right="0"/>
                    <w:jc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50kg/桶</w:t>
                  </w:r>
                </w:p>
              </w:tc>
              <w:tc>
                <w:tcPr>
                  <w:tcW w:w="445" w:type="pct"/>
                  <w:vMerge w:val="continue"/>
                  <w:tcBorders>
                    <w:tl2br w:val="nil"/>
                    <w:tr2bl w:val="nil"/>
                  </w:tcBorders>
                  <w:noWrap w:val="0"/>
                  <w:vAlign w:val="center"/>
                </w:tcPr>
                <w:p w14:paraId="07B758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noWrap w:val="0"/>
                  <w:vAlign w:val="center"/>
                </w:tcPr>
                <w:p w14:paraId="498A1FF0">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0.05</w:t>
                  </w:r>
                </w:p>
              </w:tc>
              <w:tc>
                <w:tcPr>
                  <w:tcW w:w="402" w:type="pct"/>
                  <w:tcBorders>
                    <w:tl2br w:val="nil"/>
                    <w:tr2bl w:val="nil"/>
                  </w:tcBorders>
                  <w:noWrap w:val="0"/>
                  <w:vAlign w:val="center"/>
                </w:tcPr>
                <w:p w14:paraId="1949E0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vMerge w:val="continue"/>
                  <w:tcBorders>
                    <w:tl2br w:val="nil"/>
                    <w:tr2bl w:val="nil"/>
                  </w:tcBorders>
                  <w:noWrap w:val="0"/>
                  <w:vAlign w:val="center"/>
                </w:tcPr>
                <w:p w14:paraId="0154BF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p>
              </w:tc>
            </w:tr>
            <w:tr w14:paraId="637C09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restart"/>
                  <w:tcBorders>
                    <w:tl2br w:val="nil"/>
                    <w:tr2bl w:val="nil"/>
                  </w:tcBorders>
                  <w:noWrap w:val="0"/>
                  <w:vAlign w:val="center"/>
                </w:tcPr>
                <w:p w14:paraId="63887C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综合制剂车间</w:t>
                  </w:r>
                </w:p>
              </w:tc>
              <w:tc>
                <w:tcPr>
                  <w:tcW w:w="324" w:type="pct"/>
                  <w:vMerge w:val="restart"/>
                  <w:tcBorders>
                    <w:tl2br w:val="nil"/>
                    <w:tr2bl w:val="nil"/>
                  </w:tcBorders>
                  <w:noWrap w:val="0"/>
                  <w:vAlign w:val="center"/>
                </w:tcPr>
                <w:p w14:paraId="0F2D02E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片剂</w:t>
                  </w:r>
                </w:p>
              </w:tc>
              <w:tc>
                <w:tcPr>
                  <w:tcW w:w="534" w:type="pct"/>
                  <w:tcBorders>
                    <w:tl2br w:val="nil"/>
                    <w:tr2bl w:val="nil"/>
                  </w:tcBorders>
                  <w:shd w:val="clear" w:color="auto" w:fill="auto"/>
                  <w:noWrap w:val="0"/>
                  <w:vAlign w:val="center"/>
                </w:tcPr>
                <w:p w14:paraId="0C9D0F5A">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中草药原料</w:t>
                  </w:r>
                </w:p>
              </w:tc>
              <w:tc>
                <w:tcPr>
                  <w:tcW w:w="399" w:type="pct"/>
                  <w:tcBorders>
                    <w:tl2br w:val="nil"/>
                    <w:tr2bl w:val="nil"/>
                  </w:tcBorders>
                  <w:shd w:val="clear" w:color="auto" w:fill="auto"/>
                  <w:noWrap w:val="0"/>
                  <w:vAlign w:val="center"/>
                </w:tcPr>
                <w:p w14:paraId="44255EB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242.64</w:t>
                  </w:r>
                </w:p>
              </w:tc>
              <w:tc>
                <w:tcPr>
                  <w:tcW w:w="428" w:type="pct"/>
                  <w:tcBorders>
                    <w:tl2br w:val="nil"/>
                    <w:tr2bl w:val="nil"/>
                  </w:tcBorders>
                  <w:shd w:val="clear" w:color="auto" w:fill="auto"/>
                  <w:noWrap w:val="0"/>
                  <w:vAlign w:val="center"/>
                </w:tcPr>
                <w:p w14:paraId="439C22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492.23</w:t>
                  </w:r>
                </w:p>
              </w:tc>
              <w:tc>
                <w:tcPr>
                  <w:tcW w:w="534" w:type="pct"/>
                  <w:tcBorders>
                    <w:tl2br w:val="nil"/>
                    <w:tr2bl w:val="nil"/>
                  </w:tcBorders>
                  <w:shd w:val="clear" w:color="auto" w:fill="auto"/>
                  <w:noWrap w:val="0"/>
                  <w:vAlign w:val="center"/>
                </w:tcPr>
                <w:p w14:paraId="069D14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734.87</w:t>
                  </w:r>
                </w:p>
              </w:tc>
              <w:tc>
                <w:tcPr>
                  <w:tcW w:w="391" w:type="pct"/>
                  <w:tcBorders>
                    <w:tl2br w:val="nil"/>
                    <w:tr2bl w:val="nil"/>
                  </w:tcBorders>
                  <w:shd w:val="clear" w:color="auto" w:fill="auto"/>
                  <w:noWrap w:val="0"/>
                  <w:vAlign w:val="center"/>
                </w:tcPr>
                <w:p w14:paraId="5820EDBB">
                  <w:pPr>
                    <w:keepNext w:val="0"/>
                    <w:keepLines w:val="0"/>
                    <w:widowControl/>
                    <w:suppressLineNumbers w:val="0"/>
                    <w:spacing w:before="0" w:beforeAutospacing="0" w:after="0" w:afterAutospacing="0"/>
                    <w:ind w:left="0" w:leftChars="0" w:right="0" w:rightChars="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+492.23</w:t>
                  </w:r>
                </w:p>
              </w:tc>
              <w:tc>
                <w:tcPr>
                  <w:tcW w:w="545" w:type="pct"/>
                  <w:tcBorders>
                    <w:tl2br w:val="nil"/>
                    <w:tr2bl w:val="nil"/>
                  </w:tcBorders>
                  <w:shd w:val="clear" w:color="auto" w:fill="auto"/>
                  <w:noWrap w:val="0"/>
                  <w:vAlign w:val="center"/>
                </w:tcPr>
                <w:p w14:paraId="5ED7DBBA">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50kg/袋</w:t>
                  </w:r>
                </w:p>
              </w:tc>
              <w:tc>
                <w:tcPr>
                  <w:tcW w:w="445" w:type="pct"/>
                  <w:vMerge w:val="restart"/>
                  <w:tcBorders>
                    <w:tl2br w:val="nil"/>
                    <w:tr2bl w:val="nil"/>
                  </w:tcBorders>
                  <w:noWrap w:val="0"/>
                  <w:vAlign w:val="center"/>
                </w:tcPr>
                <w:p w14:paraId="0D424A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综合仓库</w:t>
                  </w:r>
                </w:p>
              </w:tc>
              <w:tc>
                <w:tcPr>
                  <w:tcW w:w="385" w:type="pct"/>
                  <w:tcBorders>
                    <w:tl2br w:val="nil"/>
                    <w:tr2bl w:val="nil"/>
                  </w:tcBorders>
                  <w:shd w:val="clear" w:color="auto" w:fill="auto"/>
                  <w:noWrap w:val="0"/>
                  <w:vAlign w:val="center"/>
                </w:tcPr>
                <w:p w14:paraId="570737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88</w:t>
                  </w:r>
                </w:p>
              </w:tc>
              <w:tc>
                <w:tcPr>
                  <w:tcW w:w="402" w:type="pct"/>
                  <w:tcBorders>
                    <w:tl2br w:val="nil"/>
                    <w:tr2bl w:val="nil"/>
                  </w:tcBorders>
                  <w:shd w:val="clear" w:color="auto" w:fill="auto"/>
                  <w:noWrap w:val="0"/>
                  <w:vAlign w:val="center"/>
                </w:tcPr>
                <w:p w14:paraId="29D324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tcBorders>
                    <w:tl2br w:val="nil"/>
                    <w:tr2bl w:val="nil"/>
                  </w:tcBorders>
                  <w:shd w:val="clear" w:color="auto" w:fill="auto"/>
                  <w:noWrap w:val="0"/>
                  <w:vAlign w:val="center"/>
                </w:tcPr>
                <w:p w14:paraId="54AC82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75F589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continue"/>
                  <w:tcBorders>
                    <w:tl2br w:val="nil"/>
                    <w:tr2bl w:val="nil"/>
                  </w:tcBorders>
                  <w:noWrap w:val="0"/>
                  <w:vAlign w:val="center"/>
                </w:tcPr>
                <w:p w14:paraId="5D64AC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24" w:type="pct"/>
                  <w:vMerge w:val="continue"/>
                  <w:tcBorders>
                    <w:tl2br w:val="nil"/>
                    <w:tr2bl w:val="nil"/>
                  </w:tcBorders>
                  <w:noWrap w:val="0"/>
                  <w:vAlign w:val="center"/>
                </w:tcPr>
                <w:p w14:paraId="79FB1BE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p>
              </w:tc>
              <w:tc>
                <w:tcPr>
                  <w:tcW w:w="534" w:type="pct"/>
                  <w:tcBorders>
                    <w:tl2br w:val="nil"/>
                    <w:tr2bl w:val="nil"/>
                  </w:tcBorders>
                  <w:shd w:val="clear" w:color="auto" w:fill="auto"/>
                  <w:noWrap w:val="0"/>
                  <w:vAlign w:val="center"/>
                </w:tcPr>
                <w:p w14:paraId="2D6E8D97">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中草药辅料</w:t>
                  </w:r>
                </w:p>
              </w:tc>
              <w:tc>
                <w:tcPr>
                  <w:tcW w:w="399" w:type="pct"/>
                  <w:tcBorders>
                    <w:tl2br w:val="nil"/>
                    <w:tr2bl w:val="nil"/>
                  </w:tcBorders>
                  <w:shd w:val="clear" w:color="auto" w:fill="auto"/>
                  <w:noWrap w:val="0"/>
                  <w:vAlign w:val="center"/>
                </w:tcPr>
                <w:p w14:paraId="7D656ED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31.88</w:t>
                  </w:r>
                </w:p>
              </w:tc>
              <w:tc>
                <w:tcPr>
                  <w:tcW w:w="428" w:type="pct"/>
                  <w:tcBorders>
                    <w:tl2br w:val="nil"/>
                    <w:tr2bl w:val="nil"/>
                  </w:tcBorders>
                  <w:shd w:val="clear" w:color="auto" w:fill="auto"/>
                  <w:noWrap w:val="0"/>
                  <w:vAlign w:val="center"/>
                </w:tcPr>
                <w:p w14:paraId="5876E7E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53.13</w:t>
                  </w:r>
                </w:p>
              </w:tc>
              <w:tc>
                <w:tcPr>
                  <w:tcW w:w="534" w:type="pct"/>
                  <w:tcBorders>
                    <w:tl2br w:val="nil"/>
                    <w:tr2bl w:val="nil"/>
                  </w:tcBorders>
                  <w:shd w:val="clear" w:color="auto" w:fill="auto"/>
                  <w:noWrap w:val="0"/>
                  <w:vAlign w:val="center"/>
                </w:tcPr>
                <w:p w14:paraId="611D39B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85.01</w:t>
                  </w:r>
                </w:p>
              </w:tc>
              <w:tc>
                <w:tcPr>
                  <w:tcW w:w="391" w:type="pct"/>
                  <w:tcBorders>
                    <w:tl2br w:val="nil"/>
                    <w:tr2bl w:val="nil"/>
                  </w:tcBorders>
                  <w:shd w:val="clear" w:color="auto" w:fill="auto"/>
                  <w:noWrap w:val="0"/>
                  <w:vAlign w:val="center"/>
                </w:tcPr>
                <w:p w14:paraId="6CFFA95E">
                  <w:pPr>
                    <w:keepNext w:val="0"/>
                    <w:keepLines w:val="0"/>
                    <w:widowControl/>
                    <w:suppressLineNumbers w:val="0"/>
                    <w:spacing w:before="0" w:beforeAutospacing="0" w:after="0" w:afterAutospacing="0"/>
                    <w:ind w:left="0" w:leftChars="0" w:right="0" w:rightChars="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+53.13</w:t>
                  </w:r>
                </w:p>
              </w:tc>
              <w:tc>
                <w:tcPr>
                  <w:tcW w:w="545" w:type="pct"/>
                  <w:tcBorders>
                    <w:tl2br w:val="nil"/>
                    <w:tr2bl w:val="nil"/>
                  </w:tcBorders>
                  <w:shd w:val="clear" w:color="auto" w:fill="auto"/>
                  <w:noWrap w:val="0"/>
                  <w:vAlign w:val="center"/>
                </w:tcPr>
                <w:p w14:paraId="0BC8B0C3">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50kg/袋</w:t>
                  </w:r>
                </w:p>
              </w:tc>
              <w:tc>
                <w:tcPr>
                  <w:tcW w:w="445" w:type="pct"/>
                  <w:vMerge w:val="continue"/>
                  <w:tcBorders>
                    <w:tl2br w:val="nil"/>
                    <w:tr2bl w:val="nil"/>
                  </w:tcBorders>
                  <w:noWrap w:val="0"/>
                  <w:vAlign w:val="center"/>
                </w:tcPr>
                <w:p w14:paraId="4DCDFE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shd w:val="clear" w:color="auto" w:fill="auto"/>
                  <w:noWrap w:val="0"/>
                  <w:vAlign w:val="center"/>
                </w:tcPr>
                <w:p w14:paraId="54EB6B8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10</w:t>
                  </w:r>
                </w:p>
              </w:tc>
              <w:tc>
                <w:tcPr>
                  <w:tcW w:w="402" w:type="pct"/>
                  <w:tcBorders>
                    <w:tl2br w:val="nil"/>
                    <w:tr2bl w:val="nil"/>
                  </w:tcBorders>
                  <w:shd w:val="clear" w:color="auto" w:fill="auto"/>
                  <w:noWrap w:val="0"/>
                  <w:vAlign w:val="center"/>
                </w:tcPr>
                <w:p w14:paraId="38B8AD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tcBorders>
                    <w:tl2br w:val="nil"/>
                    <w:tr2bl w:val="nil"/>
                  </w:tcBorders>
                  <w:shd w:val="clear" w:color="auto" w:fill="auto"/>
                  <w:noWrap w:val="0"/>
                  <w:vAlign w:val="center"/>
                </w:tcPr>
                <w:p w14:paraId="523402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5654D3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continue"/>
                  <w:tcBorders>
                    <w:tl2br w:val="nil"/>
                    <w:tr2bl w:val="nil"/>
                  </w:tcBorders>
                  <w:noWrap w:val="0"/>
                  <w:vAlign w:val="center"/>
                </w:tcPr>
                <w:p w14:paraId="4DD6B9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24" w:type="pct"/>
                  <w:vMerge w:val="restart"/>
                  <w:tcBorders>
                    <w:tl2br w:val="nil"/>
                    <w:tr2bl w:val="nil"/>
                  </w:tcBorders>
                  <w:noWrap w:val="0"/>
                  <w:vAlign w:val="center"/>
                </w:tcPr>
                <w:p w14:paraId="2B6428EE">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胶囊剂</w:t>
                  </w:r>
                </w:p>
              </w:tc>
              <w:tc>
                <w:tcPr>
                  <w:tcW w:w="534" w:type="pct"/>
                  <w:tcBorders>
                    <w:tl2br w:val="nil"/>
                    <w:tr2bl w:val="nil"/>
                  </w:tcBorders>
                  <w:noWrap w:val="0"/>
                  <w:vAlign w:val="center"/>
                </w:tcPr>
                <w:p w14:paraId="4B82601B">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中草药原料</w:t>
                  </w:r>
                </w:p>
              </w:tc>
              <w:tc>
                <w:tcPr>
                  <w:tcW w:w="399" w:type="pct"/>
                  <w:tcBorders>
                    <w:tl2br w:val="nil"/>
                    <w:tr2bl w:val="nil"/>
                  </w:tcBorders>
                  <w:noWrap w:val="0"/>
                  <w:vAlign w:val="center"/>
                </w:tcPr>
                <w:p w14:paraId="76338991">
                  <w:pPr>
                    <w:keepNext w:val="0"/>
                    <w:keepLines w:val="0"/>
                    <w:widowControl/>
                    <w:suppressLineNumbers w:val="0"/>
                    <w:spacing w:before="0" w:beforeAutospacing="0" w:after="0" w:afterAutospacing="0"/>
                    <w:ind w:left="0" w:leftChars="0" w:right="0" w:rightChars="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1011.75</w:t>
                  </w:r>
                </w:p>
              </w:tc>
              <w:tc>
                <w:tcPr>
                  <w:tcW w:w="428" w:type="pct"/>
                  <w:tcBorders>
                    <w:tl2br w:val="nil"/>
                    <w:tr2bl w:val="nil"/>
                  </w:tcBorders>
                  <w:noWrap w:val="0"/>
                  <w:vAlign w:val="center"/>
                </w:tcPr>
                <w:p w14:paraId="17AF567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260.77</w:t>
                  </w:r>
                </w:p>
              </w:tc>
              <w:tc>
                <w:tcPr>
                  <w:tcW w:w="534" w:type="pct"/>
                  <w:tcBorders>
                    <w:tl2br w:val="nil"/>
                    <w:tr2bl w:val="nil"/>
                  </w:tcBorders>
                  <w:noWrap w:val="0"/>
                  <w:vAlign w:val="center"/>
                </w:tcPr>
                <w:p w14:paraId="54AC20A6">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1272.52</w:t>
                  </w:r>
                </w:p>
              </w:tc>
              <w:tc>
                <w:tcPr>
                  <w:tcW w:w="391" w:type="pct"/>
                  <w:tcBorders>
                    <w:tl2br w:val="nil"/>
                    <w:tr2bl w:val="nil"/>
                  </w:tcBorders>
                  <w:noWrap w:val="0"/>
                  <w:vAlign w:val="center"/>
                </w:tcPr>
                <w:p w14:paraId="1B2B2ED1">
                  <w:pPr>
                    <w:keepNext w:val="0"/>
                    <w:keepLines w:val="0"/>
                    <w:widowControl/>
                    <w:suppressLineNumbers w:val="0"/>
                    <w:spacing w:before="0" w:beforeAutospacing="0" w:after="0" w:afterAutospacing="0"/>
                    <w:ind w:left="0" w:leftChars="0" w:right="0" w:rightChars="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+260.77</w:t>
                  </w:r>
                </w:p>
              </w:tc>
              <w:tc>
                <w:tcPr>
                  <w:tcW w:w="545" w:type="pct"/>
                  <w:tcBorders>
                    <w:tl2br w:val="nil"/>
                    <w:tr2bl w:val="nil"/>
                  </w:tcBorders>
                  <w:noWrap w:val="0"/>
                  <w:vAlign w:val="center"/>
                </w:tcPr>
                <w:p w14:paraId="58CD3FA7">
                  <w:pPr>
                    <w:keepNext w:val="0"/>
                    <w:keepLines w:val="0"/>
                    <w:widowControl/>
                    <w:suppressLineNumbers w:val="0"/>
                    <w:spacing w:before="0" w:beforeAutospacing="0" w:after="0" w:afterAutospacing="0"/>
                    <w:ind w:left="0" w:right="0"/>
                    <w:jc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50kg/袋</w:t>
                  </w:r>
                </w:p>
              </w:tc>
              <w:tc>
                <w:tcPr>
                  <w:tcW w:w="445" w:type="pct"/>
                  <w:vMerge w:val="continue"/>
                  <w:tcBorders>
                    <w:tl2br w:val="nil"/>
                    <w:tr2bl w:val="nil"/>
                  </w:tcBorders>
                  <w:noWrap w:val="0"/>
                  <w:vAlign w:val="center"/>
                </w:tcPr>
                <w:p w14:paraId="5F1DBE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noWrap w:val="0"/>
                  <w:vAlign w:val="center"/>
                </w:tcPr>
                <w:p w14:paraId="687B101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153</w:t>
                  </w:r>
                </w:p>
              </w:tc>
              <w:tc>
                <w:tcPr>
                  <w:tcW w:w="402" w:type="pct"/>
                  <w:tcBorders>
                    <w:tl2br w:val="nil"/>
                    <w:tr2bl w:val="nil"/>
                  </w:tcBorders>
                  <w:noWrap w:val="0"/>
                  <w:vAlign w:val="center"/>
                </w:tcPr>
                <w:p w14:paraId="066902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tcBorders>
                    <w:tl2br w:val="nil"/>
                    <w:tr2bl w:val="nil"/>
                  </w:tcBorders>
                  <w:noWrap w:val="0"/>
                  <w:vAlign w:val="center"/>
                </w:tcPr>
                <w:p w14:paraId="773852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503DC1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continue"/>
                  <w:tcBorders>
                    <w:tl2br w:val="nil"/>
                    <w:tr2bl w:val="nil"/>
                  </w:tcBorders>
                  <w:noWrap w:val="0"/>
                  <w:vAlign w:val="center"/>
                </w:tcPr>
                <w:p w14:paraId="74CDE9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24" w:type="pct"/>
                  <w:vMerge w:val="continue"/>
                  <w:tcBorders>
                    <w:tl2br w:val="nil"/>
                    <w:tr2bl w:val="nil"/>
                  </w:tcBorders>
                  <w:noWrap w:val="0"/>
                  <w:vAlign w:val="center"/>
                </w:tcPr>
                <w:p w14:paraId="5305D81C">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000000" w:themeColor="text1"/>
                      <w:sz w:val="21"/>
                      <w:szCs w:val="21"/>
                      <w:highlight w:val="none"/>
                      <w14:textFill>
                        <w14:solidFill>
                          <w14:schemeClr w14:val="tx1"/>
                        </w14:solidFill>
                      </w14:textFill>
                    </w:rPr>
                  </w:pPr>
                </w:p>
              </w:tc>
              <w:tc>
                <w:tcPr>
                  <w:tcW w:w="534" w:type="pct"/>
                  <w:tcBorders>
                    <w:tl2br w:val="nil"/>
                    <w:tr2bl w:val="nil"/>
                  </w:tcBorders>
                  <w:noWrap w:val="0"/>
                  <w:vAlign w:val="center"/>
                </w:tcPr>
                <w:p w14:paraId="09909EE1">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中草药辅料</w:t>
                  </w:r>
                </w:p>
              </w:tc>
              <w:tc>
                <w:tcPr>
                  <w:tcW w:w="399" w:type="pct"/>
                  <w:tcBorders>
                    <w:tl2br w:val="nil"/>
                    <w:tr2bl w:val="nil"/>
                  </w:tcBorders>
                  <w:noWrap w:val="0"/>
                  <w:vAlign w:val="center"/>
                </w:tcPr>
                <w:p w14:paraId="46A6A4B0">
                  <w:pPr>
                    <w:keepNext w:val="0"/>
                    <w:keepLines w:val="0"/>
                    <w:widowControl/>
                    <w:suppressLineNumbers w:val="0"/>
                    <w:spacing w:before="0" w:beforeAutospacing="0" w:after="0" w:afterAutospacing="0"/>
                    <w:ind w:left="0" w:leftChars="0" w:right="0" w:rightChars="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53.37</w:t>
                  </w:r>
                </w:p>
              </w:tc>
              <w:tc>
                <w:tcPr>
                  <w:tcW w:w="428" w:type="pct"/>
                  <w:tcBorders>
                    <w:tl2br w:val="nil"/>
                    <w:tr2bl w:val="nil"/>
                  </w:tcBorders>
                  <w:noWrap w:val="0"/>
                  <w:vAlign w:val="center"/>
                </w:tcPr>
                <w:p w14:paraId="5269AB1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14.21</w:t>
                  </w:r>
                </w:p>
              </w:tc>
              <w:tc>
                <w:tcPr>
                  <w:tcW w:w="534" w:type="pct"/>
                  <w:tcBorders>
                    <w:tl2br w:val="nil"/>
                    <w:tr2bl w:val="nil"/>
                  </w:tcBorders>
                  <w:noWrap w:val="0"/>
                  <w:vAlign w:val="center"/>
                </w:tcPr>
                <w:p w14:paraId="54E976AC">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67.58</w:t>
                  </w:r>
                </w:p>
              </w:tc>
              <w:tc>
                <w:tcPr>
                  <w:tcW w:w="391" w:type="pct"/>
                  <w:tcBorders>
                    <w:tl2br w:val="nil"/>
                    <w:tr2bl w:val="nil"/>
                  </w:tcBorders>
                  <w:noWrap w:val="0"/>
                  <w:vAlign w:val="center"/>
                </w:tcPr>
                <w:p w14:paraId="41208150">
                  <w:pPr>
                    <w:keepNext w:val="0"/>
                    <w:keepLines w:val="0"/>
                    <w:widowControl/>
                    <w:suppressLineNumbers w:val="0"/>
                    <w:spacing w:before="0" w:beforeAutospacing="0" w:after="0" w:afterAutospacing="0"/>
                    <w:ind w:left="0" w:leftChars="0" w:right="0" w:rightChars="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+14.21</w:t>
                  </w:r>
                </w:p>
              </w:tc>
              <w:tc>
                <w:tcPr>
                  <w:tcW w:w="545" w:type="pct"/>
                  <w:tcBorders>
                    <w:tl2br w:val="nil"/>
                    <w:tr2bl w:val="nil"/>
                  </w:tcBorders>
                  <w:noWrap w:val="0"/>
                  <w:vAlign w:val="center"/>
                </w:tcPr>
                <w:p w14:paraId="21DBC87D">
                  <w:pPr>
                    <w:keepNext w:val="0"/>
                    <w:keepLines w:val="0"/>
                    <w:widowControl/>
                    <w:suppressLineNumbers w:val="0"/>
                    <w:spacing w:before="0" w:beforeAutospacing="0" w:after="0" w:afterAutospacing="0"/>
                    <w:ind w:left="0" w:right="0"/>
                    <w:jc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50kg/袋</w:t>
                  </w:r>
                </w:p>
              </w:tc>
              <w:tc>
                <w:tcPr>
                  <w:tcW w:w="445" w:type="pct"/>
                  <w:vMerge w:val="continue"/>
                  <w:tcBorders>
                    <w:tl2br w:val="nil"/>
                    <w:tr2bl w:val="nil"/>
                  </w:tcBorders>
                  <w:noWrap w:val="0"/>
                  <w:vAlign w:val="center"/>
                </w:tcPr>
                <w:p w14:paraId="1F0FCF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noWrap w:val="0"/>
                  <w:vAlign w:val="center"/>
                </w:tcPr>
                <w:p w14:paraId="75D5F6F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8</w:t>
                  </w:r>
                </w:p>
              </w:tc>
              <w:tc>
                <w:tcPr>
                  <w:tcW w:w="402" w:type="pct"/>
                  <w:tcBorders>
                    <w:tl2br w:val="nil"/>
                    <w:tr2bl w:val="nil"/>
                  </w:tcBorders>
                  <w:noWrap w:val="0"/>
                  <w:vAlign w:val="center"/>
                </w:tcPr>
                <w:p w14:paraId="60EBE2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tcBorders>
                    <w:tl2br w:val="nil"/>
                    <w:tr2bl w:val="nil"/>
                  </w:tcBorders>
                  <w:noWrap w:val="0"/>
                  <w:vAlign w:val="center"/>
                </w:tcPr>
                <w:p w14:paraId="405399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349CF2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restart"/>
                  <w:tcBorders>
                    <w:tl2br w:val="nil"/>
                    <w:tr2bl w:val="nil"/>
                  </w:tcBorders>
                  <w:noWrap w:val="0"/>
                  <w:vAlign w:val="center"/>
                </w:tcPr>
                <w:p w14:paraId="3CBCCC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实验楼</w:t>
                  </w:r>
                </w:p>
              </w:tc>
              <w:tc>
                <w:tcPr>
                  <w:tcW w:w="858" w:type="pct"/>
                  <w:gridSpan w:val="2"/>
                  <w:tcBorders>
                    <w:tl2br w:val="nil"/>
                    <w:tr2bl w:val="nil"/>
                  </w:tcBorders>
                  <w:noWrap w:val="0"/>
                  <w:vAlign w:val="center"/>
                </w:tcPr>
                <w:p w14:paraId="796CBA6A">
                  <w:pPr>
                    <w:keepNext w:val="0"/>
                    <w:keepLines w:val="0"/>
                    <w:widowControl/>
                    <w:suppressLineNumbers w:val="0"/>
                    <w:spacing w:before="0" w:beforeAutospacing="0" w:after="0" w:afterAutospacing="0"/>
                    <w:ind w:left="0" w:right="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正丁醇</w:t>
                  </w:r>
                </w:p>
              </w:tc>
              <w:tc>
                <w:tcPr>
                  <w:tcW w:w="399" w:type="pct"/>
                  <w:tcBorders>
                    <w:tl2br w:val="nil"/>
                    <w:tr2bl w:val="nil"/>
                  </w:tcBorders>
                  <w:noWrap w:val="0"/>
                  <w:vAlign w:val="center"/>
                </w:tcPr>
                <w:p w14:paraId="40B1FA67">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36L</w:t>
                  </w:r>
                </w:p>
              </w:tc>
              <w:tc>
                <w:tcPr>
                  <w:tcW w:w="428" w:type="pct"/>
                  <w:tcBorders>
                    <w:tl2br w:val="nil"/>
                    <w:tr2bl w:val="nil"/>
                  </w:tcBorders>
                  <w:noWrap w:val="0"/>
                  <w:vAlign w:val="center"/>
                </w:tcPr>
                <w:p w14:paraId="2E353237">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14.4L</w:t>
                  </w:r>
                </w:p>
              </w:tc>
              <w:tc>
                <w:tcPr>
                  <w:tcW w:w="534" w:type="pct"/>
                  <w:tcBorders>
                    <w:tl2br w:val="nil"/>
                    <w:tr2bl w:val="nil"/>
                  </w:tcBorders>
                  <w:noWrap w:val="0"/>
                  <w:vAlign w:val="center"/>
                </w:tcPr>
                <w:p w14:paraId="51C0B820">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50.4</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L</w:t>
                  </w:r>
                </w:p>
              </w:tc>
              <w:tc>
                <w:tcPr>
                  <w:tcW w:w="391" w:type="pct"/>
                  <w:tcBorders>
                    <w:tl2br w:val="nil"/>
                    <w:tr2bl w:val="nil"/>
                  </w:tcBorders>
                  <w:noWrap w:val="0"/>
                  <w:vAlign w:val="center"/>
                </w:tcPr>
                <w:p w14:paraId="1A25EDC9">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14.4L</w:t>
                  </w:r>
                </w:p>
              </w:tc>
              <w:tc>
                <w:tcPr>
                  <w:tcW w:w="545" w:type="pct"/>
                  <w:tcBorders>
                    <w:tl2br w:val="nil"/>
                    <w:tr2bl w:val="nil"/>
                  </w:tcBorders>
                  <w:noWrap w:val="0"/>
                  <w:vAlign w:val="center"/>
                </w:tcPr>
                <w:p w14:paraId="2511C490">
                  <w:pPr>
                    <w:keepNext w:val="0"/>
                    <w:keepLines w:val="0"/>
                    <w:widowControl/>
                    <w:suppressLineNumbers w:val="0"/>
                    <w:spacing w:before="0" w:beforeAutospacing="0" w:after="0" w:afterAutospacing="0"/>
                    <w:ind w:left="0" w:right="0"/>
                    <w:jc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500m</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L</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/瓶</w:t>
                  </w:r>
                </w:p>
              </w:tc>
              <w:tc>
                <w:tcPr>
                  <w:tcW w:w="445" w:type="pct"/>
                  <w:vMerge w:val="restart"/>
                  <w:tcBorders>
                    <w:tl2br w:val="nil"/>
                    <w:tr2bl w:val="nil"/>
                  </w:tcBorders>
                  <w:noWrap w:val="0"/>
                  <w:vAlign w:val="center"/>
                </w:tcPr>
                <w:p w14:paraId="59CB67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实验楼库房</w:t>
                  </w:r>
                </w:p>
              </w:tc>
              <w:tc>
                <w:tcPr>
                  <w:tcW w:w="385" w:type="pct"/>
                  <w:tcBorders>
                    <w:tl2br w:val="nil"/>
                    <w:tr2bl w:val="nil"/>
                  </w:tcBorders>
                  <w:noWrap w:val="0"/>
                  <w:vAlign w:val="center"/>
                </w:tcPr>
                <w:p w14:paraId="52D3678F">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6</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L</w:t>
                  </w:r>
                </w:p>
              </w:tc>
              <w:tc>
                <w:tcPr>
                  <w:tcW w:w="402" w:type="pct"/>
                  <w:tcBorders>
                    <w:tl2br w:val="nil"/>
                    <w:tr2bl w:val="nil"/>
                  </w:tcBorders>
                  <w:noWrap w:val="0"/>
                  <w:vAlign w:val="center"/>
                </w:tcPr>
                <w:p w14:paraId="049A74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tcBorders>
                    <w:tl2br w:val="nil"/>
                    <w:tr2bl w:val="nil"/>
                  </w:tcBorders>
                  <w:noWrap w:val="0"/>
                  <w:vAlign w:val="center"/>
                </w:tcPr>
                <w:p w14:paraId="6CF91F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721F6F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continue"/>
                  <w:tcBorders>
                    <w:tl2br w:val="nil"/>
                    <w:tr2bl w:val="nil"/>
                  </w:tcBorders>
                  <w:noWrap w:val="0"/>
                  <w:vAlign w:val="center"/>
                </w:tcPr>
                <w:p w14:paraId="5A94FC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858" w:type="pct"/>
                  <w:gridSpan w:val="2"/>
                  <w:tcBorders>
                    <w:tl2br w:val="nil"/>
                    <w:tr2bl w:val="nil"/>
                  </w:tcBorders>
                  <w:noWrap w:val="0"/>
                  <w:vAlign w:val="center"/>
                </w:tcPr>
                <w:p w14:paraId="7384B5E6">
                  <w:pPr>
                    <w:keepNext w:val="0"/>
                    <w:keepLines w:val="0"/>
                    <w:widowControl/>
                    <w:suppressLineNumbers w:val="0"/>
                    <w:spacing w:before="0" w:beforeAutospacing="0" w:after="0" w:afterAutospacing="0"/>
                    <w:ind w:left="0" w:right="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进口乙腈</w:t>
                  </w:r>
                </w:p>
              </w:tc>
              <w:tc>
                <w:tcPr>
                  <w:tcW w:w="399" w:type="pct"/>
                  <w:tcBorders>
                    <w:tl2br w:val="nil"/>
                    <w:tr2bl w:val="nil"/>
                  </w:tcBorders>
                  <w:noWrap w:val="0"/>
                  <w:vAlign w:val="center"/>
                </w:tcPr>
                <w:p w14:paraId="6A6736F2">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192L</w:t>
                  </w:r>
                </w:p>
              </w:tc>
              <w:tc>
                <w:tcPr>
                  <w:tcW w:w="428" w:type="pct"/>
                  <w:tcBorders>
                    <w:tl2br w:val="nil"/>
                    <w:tr2bl w:val="nil"/>
                  </w:tcBorders>
                  <w:noWrap w:val="0"/>
                  <w:vAlign w:val="center"/>
                </w:tcPr>
                <w:p w14:paraId="51B2149F">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76.8L</w:t>
                  </w:r>
                </w:p>
              </w:tc>
              <w:tc>
                <w:tcPr>
                  <w:tcW w:w="534" w:type="pct"/>
                  <w:tcBorders>
                    <w:tl2br w:val="nil"/>
                    <w:tr2bl w:val="nil"/>
                  </w:tcBorders>
                  <w:noWrap w:val="0"/>
                  <w:vAlign w:val="center"/>
                </w:tcPr>
                <w:p w14:paraId="5017718D">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268.8</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L</w:t>
                  </w:r>
                </w:p>
              </w:tc>
              <w:tc>
                <w:tcPr>
                  <w:tcW w:w="391" w:type="pct"/>
                  <w:tcBorders>
                    <w:tl2br w:val="nil"/>
                    <w:tr2bl w:val="nil"/>
                  </w:tcBorders>
                  <w:noWrap w:val="0"/>
                  <w:vAlign w:val="center"/>
                </w:tcPr>
                <w:p w14:paraId="14FB5C84">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76.8L</w:t>
                  </w:r>
                </w:p>
              </w:tc>
              <w:tc>
                <w:tcPr>
                  <w:tcW w:w="545" w:type="pct"/>
                  <w:tcBorders>
                    <w:tl2br w:val="nil"/>
                    <w:tr2bl w:val="nil"/>
                  </w:tcBorders>
                  <w:noWrap w:val="0"/>
                  <w:vAlign w:val="center"/>
                </w:tcPr>
                <w:p w14:paraId="18F83DDB">
                  <w:pPr>
                    <w:keepNext w:val="0"/>
                    <w:keepLines w:val="0"/>
                    <w:widowControl/>
                    <w:suppressLineNumbers w:val="0"/>
                    <w:spacing w:before="0" w:beforeAutospacing="0" w:after="0" w:afterAutospacing="0"/>
                    <w:ind w:left="0" w:right="0"/>
                    <w:jc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500m</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L</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/瓶</w:t>
                  </w:r>
                </w:p>
              </w:tc>
              <w:tc>
                <w:tcPr>
                  <w:tcW w:w="445" w:type="pct"/>
                  <w:vMerge w:val="continue"/>
                  <w:tcBorders>
                    <w:tl2br w:val="nil"/>
                    <w:tr2bl w:val="nil"/>
                  </w:tcBorders>
                  <w:noWrap w:val="0"/>
                  <w:vAlign w:val="center"/>
                </w:tcPr>
                <w:p w14:paraId="224B92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noWrap w:val="0"/>
                  <w:vAlign w:val="center"/>
                </w:tcPr>
                <w:p w14:paraId="6CC459C7">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32</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L</w:t>
                  </w:r>
                </w:p>
              </w:tc>
              <w:tc>
                <w:tcPr>
                  <w:tcW w:w="402" w:type="pct"/>
                  <w:tcBorders>
                    <w:tl2br w:val="nil"/>
                    <w:tr2bl w:val="nil"/>
                  </w:tcBorders>
                  <w:noWrap w:val="0"/>
                  <w:vAlign w:val="center"/>
                </w:tcPr>
                <w:p w14:paraId="79113C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tcBorders>
                    <w:tl2br w:val="nil"/>
                    <w:tr2bl w:val="nil"/>
                  </w:tcBorders>
                  <w:noWrap w:val="0"/>
                  <w:vAlign w:val="center"/>
                </w:tcPr>
                <w:p w14:paraId="24EE75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72AD3B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continue"/>
                  <w:tcBorders>
                    <w:tl2br w:val="nil"/>
                    <w:tr2bl w:val="nil"/>
                  </w:tcBorders>
                  <w:noWrap w:val="0"/>
                  <w:vAlign w:val="center"/>
                </w:tcPr>
                <w:p w14:paraId="5EE192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858" w:type="pct"/>
                  <w:gridSpan w:val="2"/>
                  <w:tcBorders>
                    <w:tl2br w:val="nil"/>
                    <w:tr2bl w:val="nil"/>
                  </w:tcBorders>
                  <w:noWrap w:val="0"/>
                  <w:vAlign w:val="center"/>
                </w:tcPr>
                <w:p w14:paraId="270FA140">
                  <w:pPr>
                    <w:keepNext w:val="0"/>
                    <w:keepLines w:val="0"/>
                    <w:widowControl/>
                    <w:suppressLineNumbers w:val="0"/>
                    <w:spacing w:before="0" w:beforeAutospacing="0" w:after="0" w:afterAutospacing="0"/>
                    <w:ind w:left="0" w:right="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甲醇</w:t>
                  </w:r>
                </w:p>
              </w:tc>
              <w:tc>
                <w:tcPr>
                  <w:tcW w:w="399" w:type="pct"/>
                  <w:tcBorders>
                    <w:tl2br w:val="nil"/>
                    <w:tr2bl w:val="nil"/>
                  </w:tcBorders>
                  <w:noWrap w:val="0"/>
                  <w:vAlign w:val="center"/>
                </w:tcPr>
                <w:p w14:paraId="349105EA">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24L</w:t>
                  </w:r>
                </w:p>
              </w:tc>
              <w:tc>
                <w:tcPr>
                  <w:tcW w:w="428" w:type="pct"/>
                  <w:tcBorders>
                    <w:tl2br w:val="nil"/>
                    <w:tr2bl w:val="nil"/>
                  </w:tcBorders>
                  <w:noWrap w:val="0"/>
                  <w:vAlign w:val="center"/>
                </w:tcPr>
                <w:p w14:paraId="6DCD5C40">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9.6L</w:t>
                  </w:r>
                </w:p>
              </w:tc>
              <w:tc>
                <w:tcPr>
                  <w:tcW w:w="534" w:type="pct"/>
                  <w:tcBorders>
                    <w:tl2br w:val="nil"/>
                    <w:tr2bl w:val="nil"/>
                  </w:tcBorders>
                  <w:noWrap w:val="0"/>
                  <w:vAlign w:val="center"/>
                </w:tcPr>
                <w:p w14:paraId="562C706C">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33.6</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L</w:t>
                  </w:r>
                </w:p>
              </w:tc>
              <w:tc>
                <w:tcPr>
                  <w:tcW w:w="391" w:type="pct"/>
                  <w:tcBorders>
                    <w:tl2br w:val="nil"/>
                    <w:tr2bl w:val="nil"/>
                  </w:tcBorders>
                  <w:noWrap w:val="0"/>
                  <w:vAlign w:val="center"/>
                </w:tcPr>
                <w:p w14:paraId="1BC849EF">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9.6L</w:t>
                  </w:r>
                </w:p>
              </w:tc>
              <w:tc>
                <w:tcPr>
                  <w:tcW w:w="545" w:type="pct"/>
                  <w:tcBorders>
                    <w:tl2br w:val="nil"/>
                    <w:tr2bl w:val="nil"/>
                  </w:tcBorders>
                  <w:noWrap w:val="0"/>
                  <w:vAlign w:val="center"/>
                </w:tcPr>
                <w:p w14:paraId="2A69EC99">
                  <w:pPr>
                    <w:keepNext w:val="0"/>
                    <w:keepLines w:val="0"/>
                    <w:widowControl/>
                    <w:suppressLineNumbers w:val="0"/>
                    <w:spacing w:before="0" w:beforeAutospacing="0" w:after="0" w:afterAutospacing="0"/>
                    <w:ind w:left="0" w:right="0"/>
                    <w:jc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500m</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L</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/瓶</w:t>
                  </w:r>
                </w:p>
              </w:tc>
              <w:tc>
                <w:tcPr>
                  <w:tcW w:w="445" w:type="pct"/>
                  <w:vMerge w:val="continue"/>
                  <w:tcBorders>
                    <w:tl2br w:val="nil"/>
                    <w:tr2bl w:val="nil"/>
                  </w:tcBorders>
                  <w:noWrap w:val="0"/>
                  <w:vAlign w:val="center"/>
                </w:tcPr>
                <w:p w14:paraId="0E0D93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noWrap w:val="0"/>
                  <w:vAlign w:val="center"/>
                </w:tcPr>
                <w:p w14:paraId="2B944FE1">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4</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L</w:t>
                  </w:r>
                </w:p>
              </w:tc>
              <w:tc>
                <w:tcPr>
                  <w:tcW w:w="402" w:type="pct"/>
                  <w:tcBorders>
                    <w:tl2br w:val="nil"/>
                    <w:tr2bl w:val="nil"/>
                  </w:tcBorders>
                  <w:noWrap w:val="0"/>
                  <w:vAlign w:val="center"/>
                </w:tcPr>
                <w:p w14:paraId="6B4ED7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tcBorders>
                    <w:tl2br w:val="nil"/>
                    <w:tr2bl w:val="nil"/>
                  </w:tcBorders>
                  <w:noWrap w:val="0"/>
                  <w:vAlign w:val="center"/>
                </w:tcPr>
                <w:p w14:paraId="452741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6C4CFA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continue"/>
                  <w:tcBorders>
                    <w:tl2br w:val="nil"/>
                    <w:tr2bl w:val="nil"/>
                  </w:tcBorders>
                  <w:noWrap w:val="0"/>
                  <w:vAlign w:val="center"/>
                </w:tcPr>
                <w:p w14:paraId="46CF24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858" w:type="pct"/>
                  <w:gridSpan w:val="2"/>
                  <w:tcBorders>
                    <w:tl2br w:val="nil"/>
                    <w:tr2bl w:val="nil"/>
                  </w:tcBorders>
                  <w:noWrap w:val="0"/>
                  <w:vAlign w:val="center"/>
                </w:tcPr>
                <w:p w14:paraId="04D75305">
                  <w:pPr>
                    <w:keepNext w:val="0"/>
                    <w:keepLines w:val="0"/>
                    <w:widowControl/>
                    <w:suppressLineNumbers w:val="0"/>
                    <w:spacing w:before="0" w:beforeAutospacing="0" w:after="0" w:afterAutospacing="0"/>
                    <w:ind w:left="0" w:right="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氯化铵</w:t>
                  </w:r>
                </w:p>
              </w:tc>
              <w:tc>
                <w:tcPr>
                  <w:tcW w:w="399" w:type="pct"/>
                  <w:tcBorders>
                    <w:tl2br w:val="nil"/>
                    <w:tr2bl w:val="nil"/>
                  </w:tcBorders>
                  <w:noWrap w:val="0"/>
                  <w:vAlign w:val="center"/>
                </w:tcPr>
                <w:p w14:paraId="2D1DAF80">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6kg</w:t>
                  </w:r>
                </w:p>
              </w:tc>
              <w:tc>
                <w:tcPr>
                  <w:tcW w:w="428" w:type="pct"/>
                  <w:tcBorders>
                    <w:tl2br w:val="nil"/>
                    <w:tr2bl w:val="nil"/>
                  </w:tcBorders>
                  <w:noWrap w:val="0"/>
                  <w:vAlign w:val="center"/>
                </w:tcPr>
                <w:p w14:paraId="7CFFEBF9">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2.4kg</w:t>
                  </w:r>
                </w:p>
              </w:tc>
              <w:tc>
                <w:tcPr>
                  <w:tcW w:w="534" w:type="pct"/>
                  <w:tcBorders>
                    <w:tl2br w:val="nil"/>
                    <w:tr2bl w:val="nil"/>
                  </w:tcBorders>
                  <w:noWrap w:val="0"/>
                  <w:vAlign w:val="center"/>
                </w:tcPr>
                <w:p w14:paraId="1D852A4A">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8.4</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kg</w:t>
                  </w:r>
                </w:p>
              </w:tc>
              <w:tc>
                <w:tcPr>
                  <w:tcW w:w="391" w:type="pct"/>
                  <w:tcBorders>
                    <w:tl2br w:val="nil"/>
                    <w:tr2bl w:val="nil"/>
                  </w:tcBorders>
                  <w:noWrap w:val="0"/>
                  <w:vAlign w:val="center"/>
                </w:tcPr>
                <w:p w14:paraId="1149EC55">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2.4kg</w:t>
                  </w:r>
                </w:p>
              </w:tc>
              <w:tc>
                <w:tcPr>
                  <w:tcW w:w="545" w:type="pct"/>
                  <w:tcBorders>
                    <w:tl2br w:val="nil"/>
                    <w:tr2bl w:val="nil"/>
                  </w:tcBorders>
                  <w:noWrap w:val="0"/>
                  <w:vAlign w:val="center"/>
                </w:tcPr>
                <w:p w14:paraId="3768F40D">
                  <w:pPr>
                    <w:keepNext w:val="0"/>
                    <w:keepLines w:val="0"/>
                    <w:widowControl/>
                    <w:suppressLineNumbers w:val="0"/>
                    <w:spacing w:before="0" w:beforeAutospacing="0" w:after="0" w:afterAutospacing="0"/>
                    <w:ind w:left="0" w:right="0"/>
                    <w:jc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500g/瓶</w:t>
                  </w:r>
                </w:p>
              </w:tc>
              <w:tc>
                <w:tcPr>
                  <w:tcW w:w="445" w:type="pct"/>
                  <w:vMerge w:val="continue"/>
                  <w:tcBorders>
                    <w:tl2br w:val="nil"/>
                    <w:tr2bl w:val="nil"/>
                  </w:tcBorders>
                  <w:noWrap w:val="0"/>
                  <w:vAlign w:val="center"/>
                </w:tcPr>
                <w:p w14:paraId="0FC80C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noWrap w:val="0"/>
                  <w:vAlign w:val="center"/>
                </w:tcPr>
                <w:p w14:paraId="5A7DC04A">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kg</w:t>
                  </w:r>
                </w:p>
              </w:tc>
              <w:tc>
                <w:tcPr>
                  <w:tcW w:w="402" w:type="pct"/>
                  <w:tcBorders>
                    <w:tl2br w:val="nil"/>
                    <w:tr2bl w:val="nil"/>
                  </w:tcBorders>
                  <w:noWrap w:val="0"/>
                  <w:vAlign w:val="center"/>
                </w:tcPr>
                <w:p w14:paraId="4893C3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tcBorders>
                    <w:tl2br w:val="nil"/>
                    <w:tr2bl w:val="nil"/>
                  </w:tcBorders>
                  <w:noWrap w:val="0"/>
                  <w:vAlign w:val="center"/>
                </w:tcPr>
                <w:p w14:paraId="1E326B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4BADBA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continue"/>
                  <w:tcBorders>
                    <w:tl2br w:val="nil"/>
                    <w:tr2bl w:val="nil"/>
                  </w:tcBorders>
                  <w:noWrap w:val="0"/>
                  <w:vAlign w:val="center"/>
                </w:tcPr>
                <w:p w14:paraId="1BE8B0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858" w:type="pct"/>
                  <w:gridSpan w:val="2"/>
                  <w:tcBorders>
                    <w:tl2br w:val="nil"/>
                    <w:tr2bl w:val="nil"/>
                  </w:tcBorders>
                  <w:noWrap w:val="0"/>
                  <w:vAlign w:val="center"/>
                </w:tcPr>
                <w:p w14:paraId="66D0CFA0">
                  <w:pPr>
                    <w:keepNext w:val="0"/>
                    <w:keepLines w:val="0"/>
                    <w:widowControl/>
                    <w:suppressLineNumbers w:val="0"/>
                    <w:spacing w:before="0" w:beforeAutospacing="0" w:after="0" w:afterAutospacing="0"/>
                    <w:ind w:left="0" w:right="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水合氯醛</w:t>
                  </w:r>
                </w:p>
              </w:tc>
              <w:tc>
                <w:tcPr>
                  <w:tcW w:w="399" w:type="pct"/>
                  <w:tcBorders>
                    <w:tl2br w:val="nil"/>
                    <w:tr2bl w:val="nil"/>
                  </w:tcBorders>
                  <w:noWrap w:val="0"/>
                  <w:vAlign w:val="center"/>
                </w:tcPr>
                <w:p w14:paraId="3E9146EC">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1kg</w:t>
                  </w:r>
                </w:p>
              </w:tc>
              <w:tc>
                <w:tcPr>
                  <w:tcW w:w="428" w:type="pct"/>
                  <w:tcBorders>
                    <w:tl2br w:val="nil"/>
                    <w:tr2bl w:val="nil"/>
                  </w:tcBorders>
                  <w:noWrap w:val="0"/>
                  <w:vAlign w:val="center"/>
                </w:tcPr>
                <w:p w14:paraId="5782E144">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0.4kg</w:t>
                  </w:r>
                </w:p>
              </w:tc>
              <w:tc>
                <w:tcPr>
                  <w:tcW w:w="534" w:type="pct"/>
                  <w:tcBorders>
                    <w:tl2br w:val="nil"/>
                    <w:tr2bl w:val="nil"/>
                  </w:tcBorders>
                  <w:noWrap w:val="0"/>
                  <w:vAlign w:val="center"/>
                </w:tcPr>
                <w:p w14:paraId="393E6EFA">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1.4</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kg</w:t>
                  </w:r>
                </w:p>
              </w:tc>
              <w:tc>
                <w:tcPr>
                  <w:tcW w:w="391" w:type="pct"/>
                  <w:tcBorders>
                    <w:tl2br w:val="nil"/>
                    <w:tr2bl w:val="nil"/>
                  </w:tcBorders>
                  <w:noWrap w:val="0"/>
                  <w:vAlign w:val="center"/>
                </w:tcPr>
                <w:p w14:paraId="68C30778">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0.4kg</w:t>
                  </w:r>
                </w:p>
              </w:tc>
              <w:tc>
                <w:tcPr>
                  <w:tcW w:w="545" w:type="pct"/>
                  <w:tcBorders>
                    <w:tl2br w:val="nil"/>
                    <w:tr2bl w:val="nil"/>
                  </w:tcBorders>
                  <w:noWrap w:val="0"/>
                  <w:vAlign w:val="center"/>
                </w:tcPr>
                <w:p w14:paraId="3F76B49A">
                  <w:pPr>
                    <w:keepNext w:val="0"/>
                    <w:keepLines w:val="0"/>
                    <w:widowControl/>
                    <w:suppressLineNumbers w:val="0"/>
                    <w:spacing w:before="0" w:beforeAutospacing="0" w:after="0" w:afterAutospacing="0"/>
                    <w:ind w:left="0" w:right="0"/>
                    <w:jc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100g/瓶</w:t>
                  </w:r>
                </w:p>
              </w:tc>
              <w:tc>
                <w:tcPr>
                  <w:tcW w:w="445" w:type="pct"/>
                  <w:vMerge w:val="continue"/>
                  <w:tcBorders>
                    <w:tl2br w:val="nil"/>
                    <w:tr2bl w:val="nil"/>
                  </w:tcBorders>
                  <w:noWrap w:val="0"/>
                  <w:vAlign w:val="center"/>
                </w:tcPr>
                <w:p w14:paraId="4AFF53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noWrap w:val="0"/>
                  <w:vAlign w:val="center"/>
                </w:tcPr>
                <w:p w14:paraId="78C1911D">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kg</w:t>
                  </w:r>
                </w:p>
              </w:tc>
              <w:tc>
                <w:tcPr>
                  <w:tcW w:w="402" w:type="pct"/>
                  <w:tcBorders>
                    <w:tl2br w:val="nil"/>
                    <w:tr2bl w:val="nil"/>
                  </w:tcBorders>
                  <w:noWrap w:val="0"/>
                  <w:vAlign w:val="center"/>
                </w:tcPr>
                <w:p w14:paraId="75A8C1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tcBorders>
                    <w:tl2br w:val="nil"/>
                    <w:tr2bl w:val="nil"/>
                  </w:tcBorders>
                  <w:noWrap w:val="0"/>
                  <w:vAlign w:val="center"/>
                </w:tcPr>
                <w:p w14:paraId="776A5C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7B9861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continue"/>
                  <w:tcBorders>
                    <w:tl2br w:val="nil"/>
                    <w:tr2bl w:val="nil"/>
                  </w:tcBorders>
                  <w:noWrap w:val="0"/>
                  <w:vAlign w:val="center"/>
                </w:tcPr>
                <w:p w14:paraId="628FA7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858" w:type="pct"/>
                  <w:gridSpan w:val="2"/>
                  <w:tcBorders>
                    <w:tl2br w:val="nil"/>
                    <w:tr2bl w:val="nil"/>
                  </w:tcBorders>
                  <w:noWrap w:val="0"/>
                  <w:vAlign w:val="center"/>
                </w:tcPr>
                <w:p w14:paraId="2CB8C9D7">
                  <w:pPr>
                    <w:keepNext w:val="0"/>
                    <w:keepLines w:val="0"/>
                    <w:widowControl/>
                    <w:suppressLineNumbers w:val="0"/>
                    <w:spacing w:before="0" w:beforeAutospacing="0" w:after="0" w:afterAutospacing="0"/>
                    <w:ind w:left="0" w:right="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甲苯</w:t>
                  </w:r>
                </w:p>
              </w:tc>
              <w:tc>
                <w:tcPr>
                  <w:tcW w:w="399" w:type="pct"/>
                  <w:tcBorders>
                    <w:tl2br w:val="nil"/>
                    <w:tr2bl w:val="nil"/>
                  </w:tcBorders>
                  <w:noWrap w:val="0"/>
                  <w:vAlign w:val="center"/>
                </w:tcPr>
                <w:p w14:paraId="631B36EF">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195L</w:t>
                  </w:r>
                </w:p>
              </w:tc>
              <w:tc>
                <w:tcPr>
                  <w:tcW w:w="428" w:type="pct"/>
                  <w:tcBorders>
                    <w:tl2br w:val="nil"/>
                    <w:tr2bl w:val="nil"/>
                  </w:tcBorders>
                  <w:noWrap w:val="0"/>
                  <w:vAlign w:val="center"/>
                </w:tcPr>
                <w:p w14:paraId="55ABEC71">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78L</w:t>
                  </w:r>
                </w:p>
              </w:tc>
              <w:tc>
                <w:tcPr>
                  <w:tcW w:w="534" w:type="pct"/>
                  <w:tcBorders>
                    <w:tl2br w:val="nil"/>
                    <w:tr2bl w:val="nil"/>
                  </w:tcBorders>
                  <w:noWrap w:val="0"/>
                  <w:vAlign w:val="center"/>
                </w:tcPr>
                <w:p w14:paraId="049C78C1">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273</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L</w:t>
                  </w:r>
                </w:p>
              </w:tc>
              <w:tc>
                <w:tcPr>
                  <w:tcW w:w="391" w:type="pct"/>
                  <w:tcBorders>
                    <w:tl2br w:val="nil"/>
                    <w:tr2bl w:val="nil"/>
                  </w:tcBorders>
                  <w:noWrap w:val="0"/>
                  <w:vAlign w:val="center"/>
                </w:tcPr>
                <w:p w14:paraId="347E51B0">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78L</w:t>
                  </w:r>
                </w:p>
              </w:tc>
              <w:tc>
                <w:tcPr>
                  <w:tcW w:w="545" w:type="pct"/>
                  <w:tcBorders>
                    <w:tl2br w:val="nil"/>
                    <w:tr2bl w:val="nil"/>
                  </w:tcBorders>
                  <w:noWrap w:val="0"/>
                  <w:vAlign w:val="center"/>
                </w:tcPr>
                <w:p w14:paraId="5F4D1946">
                  <w:pPr>
                    <w:keepNext w:val="0"/>
                    <w:keepLines w:val="0"/>
                    <w:widowControl/>
                    <w:suppressLineNumbers w:val="0"/>
                    <w:spacing w:before="0" w:beforeAutospacing="0" w:after="0" w:afterAutospacing="0"/>
                    <w:ind w:left="0" w:right="0"/>
                    <w:jc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500m</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L</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/瓶</w:t>
                  </w:r>
                </w:p>
              </w:tc>
              <w:tc>
                <w:tcPr>
                  <w:tcW w:w="445" w:type="pct"/>
                  <w:vMerge w:val="continue"/>
                  <w:tcBorders>
                    <w:tl2br w:val="nil"/>
                    <w:tr2bl w:val="nil"/>
                  </w:tcBorders>
                  <w:noWrap w:val="0"/>
                  <w:vAlign w:val="center"/>
                </w:tcPr>
                <w:p w14:paraId="0813F6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noWrap w:val="0"/>
                  <w:vAlign w:val="center"/>
                </w:tcPr>
                <w:p w14:paraId="4814F50D">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33</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L</w:t>
                  </w:r>
                </w:p>
              </w:tc>
              <w:tc>
                <w:tcPr>
                  <w:tcW w:w="402" w:type="pct"/>
                  <w:tcBorders>
                    <w:tl2br w:val="nil"/>
                    <w:tr2bl w:val="nil"/>
                  </w:tcBorders>
                  <w:noWrap w:val="0"/>
                  <w:vAlign w:val="center"/>
                </w:tcPr>
                <w:p w14:paraId="469978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tcBorders>
                    <w:tl2br w:val="nil"/>
                    <w:tr2bl w:val="nil"/>
                  </w:tcBorders>
                  <w:noWrap w:val="0"/>
                  <w:vAlign w:val="center"/>
                </w:tcPr>
                <w:p w14:paraId="17B871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0C5CAE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continue"/>
                  <w:tcBorders>
                    <w:tl2br w:val="nil"/>
                    <w:tr2bl w:val="nil"/>
                  </w:tcBorders>
                  <w:noWrap w:val="0"/>
                  <w:vAlign w:val="center"/>
                </w:tcPr>
                <w:p w14:paraId="59B1CB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858" w:type="pct"/>
                  <w:gridSpan w:val="2"/>
                  <w:tcBorders>
                    <w:tl2br w:val="nil"/>
                    <w:tr2bl w:val="nil"/>
                  </w:tcBorders>
                  <w:noWrap w:val="0"/>
                  <w:vAlign w:val="center"/>
                </w:tcPr>
                <w:p w14:paraId="6E1AF145">
                  <w:pPr>
                    <w:keepNext w:val="0"/>
                    <w:keepLines w:val="0"/>
                    <w:widowControl/>
                    <w:suppressLineNumbers w:val="0"/>
                    <w:spacing w:before="0" w:beforeAutospacing="0" w:after="0" w:afterAutospacing="0"/>
                    <w:ind w:left="0" w:right="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乙醚</w:t>
                  </w:r>
                </w:p>
              </w:tc>
              <w:tc>
                <w:tcPr>
                  <w:tcW w:w="399" w:type="pct"/>
                  <w:tcBorders>
                    <w:tl2br w:val="nil"/>
                    <w:tr2bl w:val="nil"/>
                  </w:tcBorders>
                  <w:noWrap w:val="0"/>
                  <w:vAlign w:val="center"/>
                </w:tcPr>
                <w:p w14:paraId="05BABC1C">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219L</w:t>
                  </w:r>
                </w:p>
              </w:tc>
              <w:tc>
                <w:tcPr>
                  <w:tcW w:w="428" w:type="pct"/>
                  <w:tcBorders>
                    <w:tl2br w:val="nil"/>
                    <w:tr2bl w:val="nil"/>
                  </w:tcBorders>
                  <w:noWrap w:val="0"/>
                  <w:vAlign w:val="center"/>
                </w:tcPr>
                <w:p w14:paraId="2B8BBABB">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87.6L</w:t>
                  </w:r>
                </w:p>
              </w:tc>
              <w:tc>
                <w:tcPr>
                  <w:tcW w:w="534" w:type="pct"/>
                  <w:tcBorders>
                    <w:tl2br w:val="nil"/>
                    <w:tr2bl w:val="nil"/>
                  </w:tcBorders>
                  <w:noWrap w:val="0"/>
                  <w:vAlign w:val="center"/>
                </w:tcPr>
                <w:p w14:paraId="4DB95DA7">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306.6</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L</w:t>
                  </w:r>
                </w:p>
              </w:tc>
              <w:tc>
                <w:tcPr>
                  <w:tcW w:w="391" w:type="pct"/>
                  <w:tcBorders>
                    <w:tl2br w:val="nil"/>
                    <w:tr2bl w:val="nil"/>
                  </w:tcBorders>
                  <w:noWrap w:val="0"/>
                  <w:vAlign w:val="center"/>
                </w:tcPr>
                <w:p w14:paraId="4E694440">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87.6L</w:t>
                  </w:r>
                </w:p>
              </w:tc>
              <w:tc>
                <w:tcPr>
                  <w:tcW w:w="545" w:type="pct"/>
                  <w:tcBorders>
                    <w:tl2br w:val="nil"/>
                    <w:tr2bl w:val="nil"/>
                  </w:tcBorders>
                  <w:noWrap w:val="0"/>
                  <w:vAlign w:val="center"/>
                </w:tcPr>
                <w:p w14:paraId="6D0CA48C">
                  <w:pPr>
                    <w:keepNext w:val="0"/>
                    <w:keepLines w:val="0"/>
                    <w:widowControl/>
                    <w:suppressLineNumbers w:val="0"/>
                    <w:spacing w:before="0" w:beforeAutospacing="0" w:after="0" w:afterAutospacing="0"/>
                    <w:ind w:left="0" w:right="0"/>
                    <w:jc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500m</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L</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/瓶</w:t>
                  </w:r>
                </w:p>
              </w:tc>
              <w:tc>
                <w:tcPr>
                  <w:tcW w:w="445" w:type="pct"/>
                  <w:vMerge w:val="continue"/>
                  <w:tcBorders>
                    <w:tl2br w:val="nil"/>
                    <w:tr2bl w:val="nil"/>
                  </w:tcBorders>
                  <w:noWrap w:val="0"/>
                  <w:vAlign w:val="center"/>
                </w:tcPr>
                <w:p w14:paraId="79CE16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noWrap w:val="0"/>
                  <w:vAlign w:val="center"/>
                </w:tcPr>
                <w:p w14:paraId="4C7B0824">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37</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L</w:t>
                  </w:r>
                </w:p>
              </w:tc>
              <w:tc>
                <w:tcPr>
                  <w:tcW w:w="402" w:type="pct"/>
                  <w:tcBorders>
                    <w:tl2br w:val="nil"/>
                    <w:tr2bl w:val="nil"/>
                  </w:tcBorders>
                  <w:noWrap w:val="0"/>
                  <w:vAlign w:val="center"/>
                </w:tcPr>
                <w:p w14:paraId="4FFE30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tcBorders>
                    <w:tl2br w:val="nil"/>
                    <w:tr2bl w:val="nil"/>
                  </w:tcBorders>
                  <w:noWrap w:val="0"/>
                  <w:vAlign w:val="center"/>
                </w:tcPr>
                <w:p w14:paraId="43FB0C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71A409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continue"/>
                  <w:tcBorders>
                    <w:tl2br w:val="nil"/>
                    <w:tr2bl w:val="nil"/>
                  </w:tcBorders>
                  <w:noWrap w:val="0"/>
                  <w:vAlign w:val="center"/>
                </w:tcPr>
                <w:p w14:paraId="773C62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858" w:type="pct"/>
                  <w:gridSpan w:val="2"/>
                  <w:tcBorders>
                    <w:tl2br w:val="nil"/>
                    <w:tr2bl w:val="nil"/>
                  </w:tcBorders>
                  <w:noWrap w:val="0"/>
                  <w:vAlign w:val="center"/>
                </w:tcPr>
                <w:p w14:paraId="08D5489B">
                  <w:pPr>
                    <w:keepNext w:val="0"/>
                    <w:keepLines w:val="0"/>
                    <w:widowControl/>
                    <w:suppressLineNumbers w:val="0"/>
                    <w:spacing w:before="0" w:beforeAutospacing="0" w:after="0" w:afterAutospacing="0"/>
                    <w:ind w:left="0" w:right="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丙酮</w:t>
                  </w:r>
                </w:p>
              </w:tc>
              <w:tc>
                <w:tcPr>
                  <w:tcW w:w="399" w:type="pct"/>
                  <w:tcBorders>
                    <w:tl2br w:val="nil"/>
                    <w:tr2bl w:val="nil"/>
                  </w:tcBorders>
                  <w:noWrap w:val="0"/>
                  <w:vAlign w:val="center"/>
                </w:tcPr>
                <w:p w14:paraId="19365447">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31L</w:t>
                  </w:r>
                </w:p>
              </w:tc>
              <w:tc>
                <w:tcPr>
                  <w:tcW w:w="428" w:type="pct"/>
                  <w:tcBorders>
                    <w:tl2br w:val="nil"/>
                    <w:tr2bl w:val="nil"/>
                  </w:tcBorders>
                  <w:noWrap w:val="0"/>
                  <w:vAlign w:val="center"/>
                </w:tcPr>
                <w:p w14:paraId="3D8C5E5C">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12.4L</w:t>
                  </w:r>
                </w:p>
              </w:tc>
              <w:tc>
                <w:tcPr>
                  <w:tcW w:w="534" w:type="pct"/>
                  <w:tcBorders>
                    <w:tl2br w:val="nil"/>
                    <w:tr2bl w:val="nil"/>
                  </w:tcBorders>
                  <w:noWrap w:val="0"/>
                  <w:vAlign w:val="center"/>
                </w:tcPr>
                <w:p w14:paraId="54851501">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43.4</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L</w:t>
                  </w:r>
                </w:p>
              </w:tc>
              <w:tc>
                <w:tcPr>
                  <w:tcW w:w="391" w:type="pct"/>
                  <w:tcBorders>
                    <w:tl2br w:val="nil"/>
                    <w:tr2bl w:val="nil"/>
                  </w:tcBorders>
                  <w:noWrap w:val="0"/>
                  <w:vAlign w:val="center"/>
                </w:tcPr>
                <w:p w14:paraId="7345B25E">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12.4L</w:t>
                  </w:r>
                </w:p>
              </w:tc>
              <w:tc>
                <w:tcPr>
                  <w:tcW w:w="545" w:type="pct"/>
                  <w:tcBorders>
                    <w:tl2br w:val="nil"/>
                    <w:tr2bl w:val="nil"/>
                  </w:tcBorders>
                  <w:noWrap w:val="0"/>
                  <w:vAlign w:val="center"/>
                </w:tcPr>
                <w:p w14:paraId="731F124D">
                  <w:pPr>
                    <w:keepNext w:val="0"/>
                    <w:keepLines w:val="0"/>
                    <w:widowControl/>
                    <w:suppressLineNumbers w:val="0"/>
                    <w:spacing w:before="0" w:beforeAutospacing="0" w:after="0" w:afterAutospacing="0"/>
                    <w:ind w:left="0" w:right="0"/>
                    <w:jc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500m</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L</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/瓶</w:t>
                  </w:r>
                </w:p>
              </w:tc>
              <w:tc>
                <w:tcPr>
                  <w:tcW w:w="445" w:type="pct"/>
                  <w:vMerge w:val="continue"/>
                  <w:tcBorders>
                    <w:tl2br w:val="nil"/>
                    <w:tr2bl w:val="nil"/>
                  </w:tcBorders>
                  <w:noWrap w:val="0"/>
                  <w:vAlign w:val="center"/>
                </w:tcPr>
                <w:p w14:paraId="0C2AE1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noWrap w:val="0"/>
                  <w:vAlign w:val="center"/>
                </w:tcPr>
                <w:p w14:paraId="61D642E0">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L</w:t>
                  </w:r>
                </w:p>
              </w:tc>
              <w:tc>
                <w:tcPr>
                  <w:tcW w:w="402" w:type="pct"/>
                  <w:tcBorders>
                    <w:tl2br w:val="nil"/>
                    <w:tr2bl w:val="nil"/>
                  </w:tcBorders>
                  <w:noWrap w:val="0"/>
                  <w:vAlign w:val="center"/>
                </w:tcPr>
                <w:p w14:paraId="05EF5C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tcBorders>
                    <w:tl2br w:val="nil"/>
                    <w:tr2bl w:val="nil"/>
                  </w:tcBorders>
                  <w:noWrap w:val="0"/>
                  <w:vAlign w:val="center"/>
                </w:tcPr>
                <w:p w14:paraId="02B8AB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0B0242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continue"/>
                  <w:tcBorders>
                    <w:tl2br w:val="nil"/>
                    <w:tr2bl w:val="nil"/>
                  </w:tcBorders>
                  <w:noWrap w:val="0"/>
                  <w:vAlign w:val="center"/>
                </w:tcPr>
                <w:p w14:paraId="174E64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858" w:type="pct"/>
                  <w:gridSpan w:val="2"/>
                  <w:tcBorders>
                    <w:tl2br w:val="nil"/>
                    <w:tr2bl w:val="nil"/>
                  </w:tcBorders>
                  <w:noWrap w:val="0"/>
                  <w:vAlign w:val="center"/>
                </w:tcPr>
                <w:p w14:paraId="5E921039">
                  <w:pPr>
                    <w:keepNext w:val="0"/>
                    <w:keepLines w:val="0"/>
                    <w:widowControl/>
                    <w:suppressLineNumbers w:val="0"/>
                    <w:spacing w:before="0" w:beforeAutospacing="0" w:after="0" w:afterAutospacing="0"/>
                    <w:ind w:left="0" w:right="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硝酸</w:t>
                  </w:r>
                </w:p>
              </w:tc>
              <w:tc>
                <w:tcPr>
                  <w:tcW w:w="399" w:type="pct"/>
                  <w:tcBorders>
                    <w:tl2br w:val="nil"/>
                    <w:tr2bl w:val="nil"/>
                  </w:tcBorders>
                  <w:noWrap w:val="0"/>
                  <w:vAlign w:val="center"/>
                </w:tcPr>
                <w:p w14:paraId="44C1708D">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23L</w:t>
                  </w:r>
                </w:p>
              </w:tc>
              <w:tc>
                <w:tcPr>
                  <w:tcW w:w="428" w:type="pct"/>
                  <w:tcBorders>
                    <w:tl2br w:val="nil"/>
                    <w:tr2bl w:val="nil"/>
                  </w:tcBorders>
                  <w:noWrap w:val="0"/>
                  <w:vAlign w:val="center"/>
                </w:tcPr>
                <w:p w14:paraId="5186F5D9">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9.2L</w:t>
                  </w:r>
                </w:p>
              </w:tc>
              <w:tc>
                <w:tcPr>
                  <w:tcW w:w="534" w:type="pct"/>
                  <w:tcBorders>
                    <w:tl2br w:val="nil"/>
                    <w:tr2bl w:val="nil"/>
                  </w:tcBorders>
                  <w:noWrap w:val="0"/>
                  <w:vAlign w:val="center"/>
                </w:tcPr>
                <w:p w14:paraId="4165DE20">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32.2</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L</w:t>
                  </w:r>
                </w:p>
              </w:tc>
              <w:tc>
                <w:tcPr>
                  <w:tcW w:w="391" w:type="pct"/>
                  <w:tcBorders>
                    <w:tl2br w:val="nil"/>
                    <w:tr2bl w:val="nil"/>
                  </w:tcBorders>
                  <w:noWrap w:val="0"/>
                  <w:vAlign w:val="center"/>
                </w:tcPr>
                <w:p w14:paraId="32C9666D">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9.2L</w:t>
                  </w:r>
                </w:p>
              </w:tc>
              <w:tc>
                <w:tcPr>
                  <w:tcW w:w="545" w:type="pct"/>
                  <w:tcBorders>
                    <w:tl2br w:val="nil"/>
                    <w:tr2bl w:val="nil"/>
                  </w:tcBorders>
                  <w:noWrap w:val="0"/>
                  <w:vAlign w:val="center"/>
                </w:tcPr>
                <w:p w14:paraId="588760A3">
                  <w:pPr>
                    <w:keepNext w:val="0"/>
                    <w:keepLines w:val="0"/>
                    <w:widowControl/>
                    <w:suppressLineNumbers w:val="0"/>
                    <w:spacing w:before="0" w:beforeAutospacing="0" w:after="0" w:afterAutospacing="0"/>
                    <w:ind w:left="0" w:right="0"/>
                    <w:jc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500m</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L</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/瓶</w:t>
                  </w:r>
                </w:p>
              </w:tc>
              <w:tc>
                <w:tcPr>
                  <w:tcW w:w="445" w:type="pct"/>
                  <w:vMerge w:val="continue"/>
                  <w:tcBorders>
                    <w:tl2br w:val="nil"/>
                    <w:tr2bl w:val="nil"/>
                  </w:tcBorders>
                  <w:noWrap w:val="0"/>
                  <w:vAlign w:val="center"/>
                </w:tcPr>
                <w:p w14:paraId="0B0348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noWrap w:val="0"/>
                  <w:vAlign w:val="center"/>
                </w:tcPr>
                <w:p w14:paraId="579D0A37">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4</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L</w:t>
                  </w:r>
                </w:p>
              </w:tc>
              <w:tc>
                <w:tcPr>
                  <w:tcW w:w="402" w:type="pct"/>
                  <w:tcBorders>
                    <w:tl2br w:val="nil"/>
                    <w:tr2bl w:val="nil"/>
                  </w:tcBorders>
                  <w:noWrap w:val="0"/>
                  <w:vAlign w:val="center"/>
                </w:tcPr>
                <w:p w14:paraId="51D737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tcBorders>
                    <w:tl2br w:val="nil"/>
                    <w:tr2bl w:val="nil"/>
                  </w:tcBorders>
                  <w:noWrap w:val="0"/>
                  <w:vAlign w:val="center"/>
                </w:tcPr>
                <w:p w14:paraId="20E78B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340DA2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1" w:type="pct"/>
                  <w:vMerge w:val="continue"/>
                  <w:tcBorders>
                    <w:tl2br w:val="nil"/>
                    <w:tr2bl w:val="nil"/>
                  </w:tcBorders>
                  <w:noWrap w:val="0"/>
                  <w:vAlign w:val="center"/>
                </w:tcPr>
                <w:p w14:paraId="6C7D46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858" w:type="pct"/>
                  <w:gridSpan w:val="2"/>
                  <w:tcBorders>
                    <w:tl2br w:val="nil"/>
                    <w:tr2bl w:val="nil"/>
                  </w:tcBorders>
                  <w:noWrap w:val="0"/>
                  <w:vAlign w:val="center"/>
                </w:tcPr>
                <w:p w14:paraId="7CDC7425">
                  <w:pPr>
                    <w:keepNext w:val="0"/>
                    <w:keepLines w:val="0"/>
                    <w:widowControl/>
                    <w:suppressLineNumbers w:val="0"/>
                    <w:spacing w:before="0" w:beforeAutospacing="0" w:after="0" w:afterAutospacing="0"/>
                    <w:ind w:left="0" w:right="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正丁醇</w:t>
                  </w:r>
                </w:p>
              </w:tc>
              <w:tc>
                <w:tcPr>
                  <w:tcW w:w="399" w:type="pct"/>
                  <w:tcBorders>
                    <w:tl2br w:val="nil"/>
                    <w:tr2bl w:val="nil"/>
                  </w:tcBorders>
                  <w:noWrap w:val="0"/>
                  <w:vAlign w:val="center"/>
                </w:tcPr>
                <w:p w14:paraId="2D48205F">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36L</w:t>
                  </w:r>
                </w:p>
              </w:tc>
              <w:tc>
                <w:tcPr>
                  <w:tcW w:w="428" w:type="pct"/>
                  <w:tcBorders>
                    <w:tl2br w:val="nil"/>
                    <w:tr2bl w:val="nil"/>
                  </w:tcBorders>
                  <w:noWrap w:val="0"/>
                  <w:vAlign w:val="center"/>
                </w:tcPr>
                <w:p w14:paraId="1C4D304C">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14.4L</w:t>
                  </w:r>
                </w:p>
              </w:tc>
              <w:tc>
                <w:tcPr>
                  <w:tcW w:w="534" w:type="pct"/>
                  <w:tcBorders>
                    <w:tl2br w:val="nil"/>
                    <w:tr2bl w:val="nil"/>
                  </w:tcBorders>
                  <w:noWrap w:val="0"/>
                  <w:vAlign w:val="center"/>
                </w:tcPr>
                <w:p w14:paraId="45A28F27">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50.4</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L</w:t>
                  </w:r>
                </w:p>
              </w:tc>
              <w:tc>
                <w:tcPr>
                  <w:tcW w:w="391" w:type="pct"/>
                  <w:tcBorders>
                    <w:tl2br w:val="nil"/>
                    <w:tr2bl w:val="nil"/>
                  </w:tcBorders>
                  <w:noWrap w:val="0"/>
                  <w:vAlign w:val="center"/>
                </w:tcPr>
                <w:p w14:paraId="142EF39F">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14.4L</w:t>
                  </w:r>
                </w:p>
              </w:tc>
              <w:tc>
                <w:tcPr>
                  <w:tcW w:w="545" w:type="pct"/>
                  <w:tcBorders>
                    <w:tl2br w:val="nil"/>
                    <w:tr2bl w:val="nil"/>
                  </w:tcBorders>
                  <w:noWrap w:val="0"/>
                  <w:vAlign w:val="center"/>
                </w:tcPr>
                <w:p w14:paraId="5D27E81E">
                  <w:pPr>
                    <w:keepNext w:val="0"/>
                    <w:keepLines w:val="0"/>
                    <w:widowControl/>
                    <w:suppressLineNumbers w:val="0"/>
                    <w:spacing w:before="0" w:beforeAutospacing="0" w:after="0" w:afterAutospacing="0"/>
                    <w:ind w:left="0" w:right="0"/>
                    <w:jc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500m</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L</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/瓶</w:t>
                  </w:r>
                </w:p>
              </w:tc>
              <w:tc>
                <w:tcPr>
                  <w:tcW w:w="445" w:type="pct"/>
                  <w:vMerge w:val="continue"/>
                  <w:tcBorders>
                    <w:tl2br w:val="nil"/>
                    <w:tr2bl w:val="nil"/>
                  </w:tcBorders>
                  <w:noWrap w:val="0"/>
                  <w:vAlign w:val="center"/>
                </w:tcPr>
                <w:p w14:paraId="0CBB8A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noWrap w:val="0"/>
                  <w:vAlign w:val="center"/>
                </w:tcPr>
                <w:p w14:paraId="71A014D2">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6</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L</w:t>
                  </w:r>
                </w:p>
              </w:tc>
              <w:tc>
                <w:tcPr>
                  <w:tcW w:w="402" w:type="pct"/>
                  <w:tcBorders>
                    <w:tl2br w:val="nil"/>
                    <w:tr2bl w:val="nil"/>
                  </w:tcBorders>
                  <w:noWrap w:val="0"/>
                  <w:vAlign w:val="center"/>
                </w:tcPr>
                <w:p w14:paraId="2C3FB6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tcBorders>
                    <w:tl2br w:val="nil"/>
                    <w:tr2bl w:val="nil"/>
                  </w:tcBorders>
                  <w:noWrap w:val="0"/>
                  <w:vAlign w:val="center"/>
                </w:tcPr>
                <w:p w14:paraId="059E71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3E7FDF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30" w:type="pct"/>
                  <w:gridSpan w:val="3"/>
                  <w:tcBorders>
                    <w:tl2br w:val="nil"/>
                    <w:tr2bl w:val="nil"/>
                  </w:tcBorders>
                  <w:noWrap w:val="0"/>
                  <w:vAlign w:val="center"/>
                </w:tcPr>
                <w:p w14:paraId="5177055B">
                  <w:pPr>
                    <w:keepNext w:val="0"/>
                    <w:keepLines w:val="0"/>
                    <w:widowControl/>
                    <w:suppressLineNumbers w:val="0"/>
                    <w:spacing w:before="0" w:beforeAutospacing="0" w:after="0" w:afterAutospacing="0"/>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片碱</w:t>
                  </w:r>
                </w:p>
              </w:tc>
              <w:tc>
                <w:tcPr>
                  <w:tcW w:w="399" w:type="pct"/>
                  <w:tcBorders>
                    <w:tl2br w:val="nil"/>
                    <w:tr2bl w:val="nil"/>
                  </w:tcBorders>
                  <w:noWrap w:val="0"/>
                  <w:vAlign w:val="center"/>
                </w:tcPr>
                <w:p w14:paraId="5CD47E03">
                  <w:pPr>
                    <w:keepNext w:val="0"/>
                    <w:keepLines w:val="0"/>
                    <w:widowControl/>
                    <w:suppressLineNumbers w:val="0"/>
                    <w:spacing w:before="0" w:beforeAutospacing="0" w:after="0" w:afterAutospacing="0"/>
                    <w:ind w:left="0" w:leftChars="0" w:right="0" w:rightChars="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50</w:t>
                  </w:r>
                </w:p>
              </w:tc>
              <w:tc>
                <w:tcPr>
                  <w:tcW w:w="428" w:type="pct"/>
                  <w:tcBorders>
                    <w:tl2br w:val="nil"/>
                    <w:tr2bl w:val="nil"/>
                  </w:tcBorders>
                  <w:noWrap w:val="0"/>
                  <w:vAlign w:val="center"/>
                </w:tcPr>
                <w:p w14:paraId="4D94B0AE">
                  <w:pPr>
                    <w:keepNext w:val="0"/>
                    <w:keepLines w:val="0"/>
                    <w:widowControl/>
                    <w:suppressLineNumbers w:val="0"/>
                    <w:spacing w:before="0" w:beforeAutospacing="0" w:after="0" w:afterAutospacing="0"/>
                    <w:ind w:left="0" w:right="0"/>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20</w:t>
                  </w:r>
                </w:p>
              </w:tc>
              <w:tc>
                <w:tcPr>
                  <w:tcW w:w="534" w:type="pct"/>
                  <w:tcBorders>
                    <w:tl2br w:val="nil"/>
                    <w:tr2bl w:val="nil"/>
                  </w:tcBorders>
                  <w:noWrap w:val="0"/>
                  <w:vAlign w:val="center"/>
                </w:tcPr>
                <w:p w14:paraId="0874BC5F">
                  <w:pPr>
                    <w:keepNext w:val="0"/>
                    <w:keepLines w:val="0"/>
                    <w:widowControl/>
                    <w:suppressLineNumbers w:val="0"/>
                    <w:spacing w:before="0" w:beforeAutospacing="0" w:after="0" w:afterAutospacing="0"/>
                    <w:ind w:left="0" w:leftChars="0" w:right="0" w:rightChars="0"/>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70</w:t>
                  </w:r>
                </w:p>
              </w:tc>
              <w:tc>
                <w:tcPr>
                  <w:tcW w:w="391" w:type="pct"/>
                  <w:tcBorders>
                    <w:tl2br w:val="nil"/>
                    <w:tr2bl w:val="nil"/>
                  </w:tcBorders>
                  <w:noWrap w:val="0"/>
                  <w:vAlign w:val="center"/>
                </w:tcPr>
                <w:p w14:paraId="20CAB013">
                  <w:pPr>
                    <w:keepNext w:val="0"/>
                    <w:keepLines w:val="0"/>
                    <w:widowControl/>
                    <w:suppressLineNumbers w:val="0"/>
                    <w:spacing w:before="0" w:beforeAutospacing="0" w:after="0" w:afterAutospacing="0"/>
                    <w:ind w:left="0" w:leftChars="0" w:right="0" w:rightChars="0"/>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+20</w:t>
                  </w:r>
                </w:p>
              </w:tc>
              <w:tc>
                <w:tcPr>
                  <w:tcW w:w="545" w:type="pct"/>
                  <w:tcBorders>
                    <w:tl2br w:val="nil"/>
                    <w:tr2bl w:val="nil"/>
                  </w:tcBorders>
                  <w:noWrap w:val="0"/>
                  <w:vAlign w:val="center"/>
                </w:tcPr>
                <w:p w14:paraId="573EA8B3">
                  <w:pPr>
                    <w:keepNext w:val="0"/>
                    <w:keepLines w:val="0"/>
                    <w:widowControl/>
                    <w:suppressLineNumbers w:val="0"/>
                    <w:spacing w:before="0" w:beforeAutospacing="0" w:after="0" w:afterAutospacing="0"/>
                    <w:ind w:left="0" w:right="0"/>
                    <w:jc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25kg/袋</w:t>
                  </w:r>
                </w:p>
              </w:tc>
              <w:tc>
                <w:tcPr>
                  <w:tcW w:w="445" w:type="pct"/>
                  <w:tcBorders>
                    <w:tl2br w:val="nil"/>
                    <w:tr2bl w:val="nil"/>
                  </w:tcBorders>
                  <w:noWrap w:val="0"/>
                  <w:vAlign w:val="center"/>
                </w:tcPr>
                <w:p w14:paraId="39A53F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片碱库</w:t>
                  </w:r>
                </w:p>
              </w:tc>
              <w:tc>
                <w:tcPr>
                  <w:tcW w:w="385" w:type="pct"/>
                  <w:tcBorders>
                    <w:tl2br w:val="nil"/>
                    <w:tr2bl w:val="nil"/>
                  </w:tcBorders>
                  <w:noWrap w:val="0"/>
                  <w:vAlign w:val="center"/>
                </w:tcPr>
                <w:p w14:paraId="150931EE">
                  <w:pPr>
                    <w:keepNext w:val="0"/>
                    <w:keepLines w:val="0"/>
                    <w:widowControl/>
                    <w:suppressLineNumbers w:val="0"/>
                    <w:spacing w:before="0" w:beforeAutospacing="0" w:after="0" w:afterAutospacing="0"/>
                    <w:ind w:left="0" w:right="0"/>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10</w:t>
                  </w:r>
                </w:p>
              </w:tc>
              <w:tc>
                <w:tcPr>
                  <w:tcW w:w="402" w:type="pct"/>
                  <w:tcBorders>
                    <w:tl2br w:val="nil"/>
                    <w:tr2bl w:val="nil"/>
                  </w:tcBorders>
                  <w:noWrap w:val="0"/>
                  <w:vAlign w:val="center"/>
                </w:tcPr>
                <w:p w14:paraId="13FBE0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default"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tcBorders>
                    <w:tl2br w:val="nil"/>
                    <w:tr2bl w:val="nil"/>
                  </w:tcBorders>
                  <w:noWrap w:val="0"/>
                  <w:vAlign w:val="center"/>
                </w:tcPr>
                <w:p w14:paraId="42DA46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1A92FC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30" w:type="pct"/>
                  <w:gridSpan w:val="3"/>
                  <w:tcBorders>
                    <w:tl2br w:val="nil"/>
                    <w:tr2bl w:val="nil"/>
                  </w:tcBorders>
                  <w:noWrap w:val="0"/>
                  <w:vAlign w:val="center"/>
                </w:tcPr>
                <w:p w14:paraId="1A3A5F93">
                  <w:pPr>
                    <w:keepNext w:val="0"/>
                    <w:keepLines w:val="0"/>
                    <w:widowControl/>
                    <w:suppressLineNumbers w:val="0"/>
                    <w:spacing w:before="0" w:beforeAutospacing="0" w:after="0" w:afterAutospacing="0"/>
                    <w:ind w:left="0" w:leftChars="0" w:right="0" w:rightChars="0"/>
                    <w:jc w:val="center"/>
                    <w:rPr>
                      <w:rFonts w:hint="default"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乙醇</w:t>
                  </w:r>
                </w:p>
              </w:tc>
              <w:tc>
                <w:tcPr>
                  <w:tcW w:w="399" w:type="pct"/>
                  <w:tcBorders>
                    <w:tl2br w:val="nil"/>
                    <w:tr2bl w:val="nil"/>
                  </w:tcBorders>
                  <w:noWrap w:val="0"/>
                  <w:vAlign w:val="center"/>
                </w:tcPr>
                <w:p w14:paraId="1321ED6E">
                  <w:pPr>
                    <w:keepNext w:val="0"/>
                    <w:keepLines w:val="0"/>
                    <w:widowControl/>
                    <w:suppressLineNumbers w:val="0"/>
                    <w:spacing w:before="0" w:beforeAutospacing="0" w:after="0" w:afterAutospacing="0"/>
                    <w:ind w:left="0" w:leftChars="0" w:right="0" w:rightChars="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12</w:t>
                  </w:r>
                </w:p>
              </w:tc>
              <w:tc>
                <w:tcPr>
                  <w:tcW w:w="428" w:type="pct"/>
                  <w:tcBorders>
                    <w:tl2br w:val="nil"/>
                    <w:tr2bl w:val="nil"/>
                  </w:tcBorders>
                  <w:noWrap w:val="0"/>
                  <w:vAlign w:val="center"/>
                </w:tcPr>
                <w:p w14:paraId="30DE0E9E">
                  <w:pPr>
                    <w:keepNext w:val="0"/>
                    <w:keepLines w:val="0"/>
                    <w:widowControl/>
                    <w:suppressLineNumbers w:val="0"/>
                    <w:spacing w:before="0" w:beforeAutospacing="0" w:after="0" w:afterAutospacing="0"/>
                    <w:ind w:left="0" w:right="0"/>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4</w:t>
                  </w:r>
                </w:p>
              </w:tc>
              <w:tc>
                <w:tcPr>
                  <w:tcW w:w="534" w:type="pct"/>
                  <w:tcBorders>
                    <w:tl2br w:val="nil"/>
                    <w:tr2bl w:val="nil"/>
                  </w:tcBorders>
                  <w:noWrap w:val="0"/>
                  <w:vAlign w:val="center"/>
                </w:tcPr>
                <w:p w14:paraId="03F5C505">
                  <w:pPr>
                    <w:keepNext w:val="0"/>
                    <w:keepLines w:val="0"/>
                    <w:widowControl/>
                    <w:suppressLineNumbers w:val="0"/>
                    <w:spacing w:before="0" w:beforeAutospacing="0" w:after="0" w:afterAutospacing="0"/>
                    <w:ind w:left="0" w:leftChars="0" w:right="0" w:rightChars="0"/>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16</w:t>
                  </w:r>
                </w:p>
              </w:tc>
              <w:tc>
                <w:tcPr>
                  <w:tcW w:w="391" w:type="pct"/>
                  <w:tcBorders>
                    <w:tl2br w:val="nil"/>
                    <w:tr2bl w:val="nil"/>
                  </w:tcBorders>
                  <w:noWrap w:val="0"/>
                  <w:vAlign w:val="center"/>
                </w:tcPr>
                <w:p w14:paraId="0655B7EB">
                  <w:pPr>
                    <w:keepNext w:val="0"/>
                    <w:keepLines w:val="0"/>
                    <w:widowControl/>
                    <w:suppressLineNumbers w:val="0"/>
                    <w:spacing w:before="0" w:beforeAutospacing="0" w:after="0" w:afterAutospacing="0"/>
                    <w:ind w:left="0" w:leftChars="0" w:right="0" w:rightChars="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+4</w:t>
                  </w:r>
                </w:p>
              </w:tc>
              <w:tc>
                <w:tcPr>
                  <w:tcW w:w="545" w:type="pct"/>
                  <w:tcBorders>
                    <w:tl2br w:val="nil"/>
                    <w:tr2bl w:val="nil"/>
                  </w:tcBorders>
                  <w:noWrap w:val="0"/>
                  <w:vAlign w:val="center"/>
                </w:tcPr>
                <w:p w14:paraId="1ACA7D94">
                  <w:pPr>
                    <w:keepNext w:val="0"/>
                    <w:keepLines w:val="0"/>
                    <w:widowControl/>
                    <w:suppressLineNumbers w:val="0"/>
                    <w:spacing w:before="0" w:beforeAutospacing="0" w:after="0" w:afterAutospacing="0"/>
                    <w:ind w:left="0" w:right="0"/>
                    <w:jc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储罐贮存</w:t>
                  </w:r>
                </w:p>
              </w:tc>
              <w:tc>
                <w:tcPr>
                  <w:tcW w:w="445" w:type="pct"/>
                  <w:tcBorders>
                    <w:tl2br w:val="nil"/>
                    <w:tr2bl w:val="nil"/>
                  </w:tcBorders>
                  <w:noWrap w:val="0"/>
                  <w:vAlign w:val="center"/>
                </w:tcPr>
                <w:p w14:paraId="1E5F5A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乙醇储罐</w:t>
                  </w:r>
                </w:p>
              </w:tc>
              <w:tc>
                <w:tcPr>
                  <w:tcW w:w="385" w:type="pct"/>
                  <w:tcBorders>
                    <w:tl2br w:val="nil"/>
                    <w:tr2bl w:val="nil"/>
                  </w:tcBorders>
                  <w:noWrap w:val="0"/>
                  <w:vAlign w:val="center"/>
                </w:tcPr>
                <w:p w14:paraId="446338C6">
                  <w:pPr>
                    <w:keepNext w:val="0"/>
                    <w:keepLines w:val="0"/>
                    <w:widowControl/>
                    <w:suppressLineNumbers w:val="0"/>
                    <w:spacing w:before="0" w:beforeAutospacing="0" w:after="0" w:afterAutospacing="0"/>
                    <w:ind w:left="0" w:right="0"/>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2.4</w:t>
                  </w:r>
                </w:p>
              </w:tc>
              <w:tc>
                <w:tcPr>
                  <w:tcW w:w="402" w:type="pct"/>
                  <w:tcBorders>
                    <w:tl2br w:val="nil"/>
                    <w:tr2bl w:val="nil"/>
                  </w:tcBorders>
                  <w:noWrap w:val="0"/>
                  <w:vAlign w:val="center"/>
                </w:tcPr>
                <w:p w14:paraId="6FC57D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default"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30</w:t>
                  </w:r>
                </w:p>
              </w:tc>
              <w:tc>
                <w:tcPr>
                  <w:tcW w:w="337" w:type="pct"/>
                  <w:tcBorders>
                    <w:tl2br w:val="nil"/>
                    <w:tr2bl w:val="nil"/>
                  </w:tcBorders>
                  <w:noWrap w:val="0"/>
                  <w:vAlign w:val="center"/>
                </w:tcPr>
                <w:p w14:paraId="27E341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3BA83A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30" w:type="pct"/>
                  <w:gridSpan w:val="3"/>
                  <w:tcBorders>
                    <w:tl2br w:val="nil"/>
                    <w:tr2bl w:val="nil"/>
                  </w:tcBorders>
                  <w:noWrap w:val="0"/>
                  <w:vAlign w:val="center"/>
                </w:tcPr>
                <w:p w14:paraId="76CE0993">
                  <w:pPr>
                    <w:keepNext w:val="0"/>
                    <w:keepLines w:val="0"/>
                    <w:widowControl/>
                    <w:suppressLineNumbers w:val="0"/>
                    <w:spacing w:before="0" w:beforeAutospacing="0" w:after="0" w:afterAutospacing="0"/>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捕集袋</w:t>
                  </w:r>
                </w:p>
              </w:tc>
              <w:tc>
                <w:tcPr>
                  <w:tcW w:w="399" w:type="pct"/>
                  <w:tcBorders>
                    <w:tl2br w:val="nil"/>
                    <w:tr2bl w:val="nil"/>
                  </w:tcBorders>
                  <w:noWrap w:val="0"/>
                  <w:vAlign w:val="center"/>
                </w:tcPr>
                <w:p w14:paraId="046F6B15">
                  <w:pPr>
                    <w:keepNext w:val="0"/>
                    <w:keepLines w:val="0"/>
                    <w:widowControl/>
                    <w:suppressLineNumbers w:val="0"/>
                    <w:spacing w:before="0" w:beforeAutospacing="0" w:after="0" w:afterAutospacing="0"/>
                    <w:ind w:left="0" w:leftChars="0" w:right="0" w:rightChars="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w:t>
                  </w:r>
                </w:p>
              </w:tc>
              <w:tc>
                <w:tcPr>
                  <w:tcW w:w="428" w:type="pct"/>
                  <w:tcBorders>
                    <w:tl2br w:val="nil"/>
                    <w:tr2bl w:val="nil"/>
                  </w:tcBorders>
                  <w:noWrap w:val="0"/>
                  <w:vAlign w:val="center"/>
                </w:tcPr>
                <w:p w14:paraId="79BCF6CF">
                  <w:pPr>
                    <w:keepNext w:val="0"/>
                    <w:keepLines w:val="0"/>
                    <w:widowControl/>
                    <w:suppressLineNumbers w:val="0"/>
                    <w:spacing w:before="0" w:beforeAutospacing="0" w:after="0" w:afterAutospacing="0"/>
                    <w:ind w:left="0" w:right="0"/>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0.05</w:t>
                  </w:r>
                </w:p>
              </w:tc>
              <w:tc>
                <w:tcPr>
                  <w:tcW w:w="534" w:type="pct"/>
                  <w:tcBorders>
                    <w:tl2br w:val="nil"/>
                    <w:tr2bl w:val="nil"/>
                  </w:tcBorders>
                  <w:noWrap w:val="0"/>
                  <w:vAlign w:val="center"/>
                </w:tcPr>
                <w:p w14:paraId="2E59184F">
                  <w:pPr>
                    <w:keepNext w:val="0"/>
                    <w:keepLines w:val="0"/>
                    <w:widowControl/>
                    <w:suppressLineNumbers w:val="0"/>
                    <w:spacing w:before="0" w:beforeAutospacing="0" w:after="0" w:afterAutospacing="0"/>
                    <w:ind w:left="0" w:leftChars="0" w:right="0" w:rightChars="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0.05</w:t>
                  </w:r>
                </w:p>
              </w:tc>
              <w:tc>
                <w:tcPr>
                  <w:tcW w:w="391" w:type="pct"/>
                  <w:tcBorders>
                    <w:tl2br w:val="nil"/>
                    <w:tr2bl w:val="nil"/>
                  </w:tcBorders>
                  <w:noWrap w:val="0"/>
                  <w:vAlign w:val="center"/>
                </w:tcPr>
                <w:p w14:paraId="5D10B7E6">
                  <w:pPr>
                    <w:keepNext w:val="0"/>
                    <w:keepLines w:val="0"/>
                    <w:widowControl/>
                    <w:suppressLineNumbers w:val="0"/>
                    <w:spacing w:before="0" w:beforeAutospacing="0" w:after="0" w:afterAutospacing="0"/>
                    <w:ind w:left="0" w:leftChars="0" w:right="0" w:rightChars="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+0.05</w:t>
                  </w:r>
                </w:p>
              </w:tc>
              <w:tc>
                <w:tcPr>
                  <w:tcW w:w="545" w:type="pct"/>
                  <w:tcBorders>
                    <w:tl2br w:val="nil"/>
                    <w:tr2bl w:val="nil"/>
                  </w:tcBorders>
                  <w:noWrap w:val="0"/>
                  <w:vAlign w:val="center"/>
                </w:tcPr>
                <w:p w14:paraId="17EDD094">
                  <w:pPr>
                    <w:keepNext w:val="0"/>
                    <w:keepLines w:val="0"/>
                    <w:widowControl/>
                    <w:suppressLineNumbers w:val="0"/>
                    <w:spacing w:before="0" w:beforeAutospacing="0" w:after="0" w:afterAutospacing="0"/>
                    <w:ind w:left="0" w:right="0"/>
                    <w:jc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5条/箱</w:t>
                  </w:r>
                </w:p>
              </w:tc>
              <w:tc>
                <w:tcPr>
                  <w:tcW w:w="445" w:type="pct"/>
                  <w:vMerge w:val="restart"/>
                  <w:tcBorders>
                    <w:tl2br w:val="nil"/>
                    <w:tr2bl w:val="nil"/>
                  </w:tcBorders>
                  <w:noWrap w:val="0"/>
                  <w:vAlign w:val="center"/>
                </w:tcPr>
                <w:p w14:paraId="0BD333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综合仓库</w:t>
                  </w:r>
                </w:p>
              </w:tc>
              <w:tc>
                <w:tcPr>
                  <w:tcW w:w="385" w:type="pct"/>
                  <w:tcBorders>
                    <w:tl2br w:val="nil"/>
                    <w:tr2bl w:val="nil"/>
                  </w:tcBorders>
                  <w:noWrap w:val="0"/>
                  <w:vAlign w:val="center"/>
                </w:tcPr>
                <w:p w14:paraId="35115839">
                  <w:pPr>
                    <w:keepNext w:val="0"/>
                    <w:keepLines w:val="0"/>
                    <w:widowControl/>
                    <w:suppressLineNumbers w:val="0"/>
                    <w:spacing w:before="0" w:beforeAutospacing="0" w:after="0" w:afterAutospacing="0"/>
                    <w:ind w:left="0" w:right="0"/>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0.01</w:t>
                  </w:r>
                </w:p>
              </w:tc>
              <w:tc>
                <w:tcPr>
                  <w:tcW w:w="402" w:type="pct"/>
                  <w:tcBorders>
                    <w:tl2br w:val="nil"/>
                    <w:tr2bl w:val="nil"/>
                  </w:tcBorders>
                  <w:noWrap w:val="0"/>
                  <w:vAlign w:val="center"/>
                </w:tcPr>
                <w:p w14:paraId="1D0473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default"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50</w:t>
                  </w:r>
                </w:p>
              </w:tc>
              <w:tc>
                <w:tcPr>
                  <w:tcW w:w="337" w:type="pct"/>
                  <w:tcBorders>
                    <w:tl2br w:val="nil"/>
                    <w:tr2bl w:val="nil"/>
                  </w:tcBorders>
                  <w:noWrap w:val="0"/>
                  <w:vAlign w:val="center"/>
                </w:tcPr>
                <w:p w14:paraId="5AEEBE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0EEB78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30" w:type="pct"/>
                  <w:gridSpan w:val="3"/>
                  <w:tcBorders>
                    <w:tl2br w:val="nil"/>
                    <w:tr2bl w:val="nil"/>
                  </w:tcBorders>
                  <w:noWrap w:val="0"/>
                  <w:vAlign w:val="center"/>
                </w:tcPr>
                <w:p w14:paraId="2C7F68B4">
                  <w:pPr>
                    <w:keepNext w:val="0"/>
                    <w:keepLines w:val="0"/>
                    <w:widowControl/>
                    <w:suppressLineNumbers w:val="0"/>
                    <w:spacing w:before="0" w:beforeAutospacing="0" w:after="0" w:afterAutospacing="0"/>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包装材料</w:t>
                  </w:r>
                </w:p>
              </w:tc>
              <w:tc>
                <w:tcPr>
                  <w:tcW w:w="399" w:type="pct"/>
                  <w:tcBorders>
                    <w:tl2br w:val="nil"/>
                    <w:tr2bl w:val="nil"/>
                  </w:tcBorders>
                  <w:noWrap w:val="0"/>
                  <w:vAlign w:val="center"/>
                </w:tcPr>
                <w:p w14:paraId="6D618ED5">
                  <w:pPr>
                    <w:keepNext w:val="0"/>
                    <w:keepLines w:val="0"/>
                    <w:widowControl/>
                    <w:suppressLineNumbers w:val="0"/>
                    <w:spacing w:before="0" w:beforeAutospacing="0" w:after="0" w:afterAutospacing="0"/>
                    <w:ind w:left="0" w:leftChars="0" w:right="0" w:rightChars="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w:t>
                  </w:r>
                </w:p>
              </w:tc>
              <w:tc>
                <w:tcPr>
                  <w:tcW w:w="428" w:type="pct"/>
                  <w:tcBorders>
                    <w:tl2br w:val="nil"/>
                    <w:tr2bl w:val="nil"/>
                  </w:tcBorders>
                  <w:noWrap w:val="0"/>
                  <w:vAlign w:val="center"/>
                </w:tcPr>
                <w:p w14:paraId="02AC1693">
                  <w:pPr>
                    <w:keepNext w:val="0"/>
                    <w:keepLines w:val="0"/>
                    <w:widowControl/>
                    <w:suppressLineNumbers w:val="0"/>
                    <w:spacing w:before="0" w:beforeAutospacing="0" w:after="0" w:afterAutospacing="0"/>
                    <w:ind w:left="0" w:right="0"/>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2.5</w:t>
                  </w:r>
                </w:p>
              </w:tc>
              <w:tc>
                <w:tcPr>
                  <w:tcW w:w="534" w:type="pct"/>
                  <w:tcBorders>
                    <w:tl2br w:val="nil"/>
                    <w:tr2bl w:val="nil"/>
                  </w:tcBorders>
                  <w:noWrap w:val="0"/>
                  <w:vAlign w:val="center"/>
                </w:tcPr>
                <w:p w14:paraId="130EDA35">
                  <w:pPr>
                    <w:keepNext w:val="0"/>
                    <w:keepLines w:val="0"/>
                    <w:widowControl/>
                    <w:suppressLineNumbers w:val="0"/>
                    <w:spacing w:before="0" w:beforeAutospacing="0" w:after="0" w:afterAutospacing="0"/>
                    <w:ind w:left="0" w:leftChars="0" w:right="0" w:rightChars="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2.5</w:t>
                  </w:r>
                </w:p>
              </w:tc>
              <w:tc>
                <w:tcPr>
                  <w:tcW w:w="391" w:type="pct"/>
                  <w:tcBorders>
                    <w:tl2br w:val="nil"/>
                    <w:tr2bl w:val="nil"/>
                  </w:tcBorders>
                  <w:noWrap w:val="0"/>
                  <w:vAlign w:val="center"/>
                </w:tcPr>
                <w:p w14:paraId="63E3DF02">
                  <w:pPr>
                    <w:keepNext w:val="0"/>
                    <w:keepLines w:val="0"/>
                    <w:widowControl/>
                    <w:suppressLineNumbers w:val="0"/>
                    <w:spacing w:before="0" w:beforeAutospacing="0" w:after="0" w:afterAutospacing="0"/>
                    <w:ind w:left="0" w:leftChars="0" w:right="0" w:rightChars="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+2.5</w:t>
                  </w:r>
                </w:p>
              </w:tc>
              <w:tc>
                <w:tcPr>
                  <w:tcW w:w="545" w:type="pct"/>
                  <w:tcBorders>
                    <w:tl2br w:val="nil"/>
                    <w:tr2bl w:val="nil"/>
                  </w:tcBorders>
                  <w:noWrap w:val="0"/>
                  <w:vAlign w:val="center"/>
                </w:tcPr>
                <w:p w14:paraId="55AD8225">
                  <w:pPr>
                    <w:keepNext w:val="0"/>
                    <w:keepLines w:val="0"/>
                    <w:widowControl/>
                    <w:suppressLineNumbers w:val="0"/>
                    <w:spacing w:before="0" w:beforeAutospacing="0" w:after="0" w:afterAutospacing="0"/>
                    <w:ind w:left="0" w:right="0"/>
                    <w:jc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5kg/箱</w:t>
                  </w:r>
                </w:p>
              </w:tc>
              <w:tc>
                <w:tcPr>
                  <w:tcW w:w="445" w:type="pct"/>
                  <w:vMerge w:val="continue"/>
                  <w:tcBorders>
                    <w:tl2br w:val="nil"/>
                    <w:tr2bl w:val="nil"/>
                  </w:tcBorders>
                  <w:noWrap w:val="0"/>
                  <w:vAlign w:val="center"/>
                </w:tcPr>
                <w:p w14:paraId="4F3A47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noWrap w:val="0"/>
                  <w:vAlign w:val="center"/>
                </w:tcPr>
                <w:p w14:paraId="7298F886">
                  <w:pPr>
                    <w:keepNext w:val="0"/>
                    <w:keepLines w:val="0"/>
                    <w:widowControl/>
                    <w:suppressLineNumbers w:val="0"/>
                    <w:spacing w:before="0" w:beforeAutospacing="0" w:after="0" w:afterAutospacing="0"/>
                    <w:ind w:left="0" w:right="0"/>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0.5</w:t>
                  </w:r>
                </w:p>
              </w:tc>
              <w:tc>
                <w:tcPr>
                  <w:tcW w:w="402" w:type="pct"/>
                  <w:tcBorders>
                    <w:tl2br w:val="nil"/>
                    <w:tr2bl w:val="nil"/>
                  </w:tcBorders>
                  <w:noWrap w:val="0"/>
                  <w:vAlign w:val="center"/>
                </w:tcPr>
                <w:p w14:paraId="0530C3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50</w:t>
                  </w:r>
                </w:p>
              </w:tc>
              <w:tc>
                <w:tcPr>
                  <w:tcW w:w="337" w:type="pct"/>
                  <w:tcBorders>
                    <w:tl2br w:val="nil"/>
                    <w:tr2bl w:val="nil"/>
                  </w:tcBorders>
                  <w:noWrap w:val="0"/>
                  <w:vAlign w:val="center"/>
                </w:tcPr>
                <w:p w14:paraId="36756A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30DC6E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30" w:type="pct"/>
                  <w:gridSpan w:val="3"/>
                  <w:tcBorders>
                    <w:tl2br w:val="nil"/>
                    <w:tr2bl w:val="nil"/>
                  </w:tcBorders>
                  <w:noWrap w:val="0"/>
                  <w:vAlign w:val="center"/>
                </w:tcPr>
                <w:p w14:paraId="380A9C31">
                  <w:pPr>
                    <w:keepNext w:val="0"/>
                    <w:keepLines w:val="0"/>
                    <w:widowControl/>
                    <w:suppressLineNumbers w:val="0"/>
                    <w:spacing w:before="0" w:beforeAutospacing="0" w:after="0" w:afterAutospacing="0"/>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胶囊材料</w:t>
                  </w:r>
                </w:p>
              </w:tc>
              <w:tc>
                <w:tcPr>
                  <w:tcW w:w="399" w:type="pct"/>
                  <w:tcBorders>
                    <w:tl2br w:val="nil"/>
                    <w:tr2bl w:val="nil"/>
                  </w:tcBorders>
                  <w:noWrap w:val="0"/>
                  <w:vAlign w:val="center"/>
                </w:tcPr>
                <w:p w14:paraId="467A6B40">
                  <w:pPr>
                    <w:keepNext w:val="0"/>
                    <w:keepLines w:val="0"/>
                    <w:widowControl/>
                    <w:suppressLineNumbers w:val="0"/>
                    <w:spacing w:before="0" w:beforeAutospacing="0" w:after="0" w:afterAutospacing="0"/>
                    <w:ind w:left="0" w:leftChars="0" w:right="0" w:rightChars="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w:t>
                  </w:r>
                </w:p>
              </w:tc>
              <w:tc>
                <w:tcPr>
                  <w:tcW w:w="428" w:type="pct"/>
                  <w:tcBorders>
                    <w:tl2br w:val="nil"/>
                    <w:tr2bl w:val="nil"/>
                  </w:tcBorders>
                  <w:noWrap w:val="0"/>
                  <w:vAlign w:val="center"/>
                </w:tcPr>
                <w:p w14:paraId="0192737A">
                  <w:pPr>
                    <w:keepNext w:val="0"/>
                    <w:keepLines w:val="0"/>
                    <w:widowControl/>
                    <w:suppressLineNumbers w:val="0"/>
                    <w:spacing w:before="0" w:beforeAutospacing="0" w:after="0" w:afterAutospacing="0"/>
                    <w:ind w:left="0" w:right="0"/>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2.5</w:t>
                  </w:r>
                </w:p>
              </w:tc>
              <w:tc>
                <w:tcPr>
                  <w:tcW w:w="534" w:type="pct"/>
                  <w:tcBorders>
                    <w:tl2br w:val="nil"/>
                    <w:tr2bl w:val="nil"/>
                  </w:tcBorders>
                  <w:noWrap w:val="0"/>
                  <w:vAlign w:val="center"/>
                </w:tcPr>
                <w:p w14:paraId="2FB4C2DD">
                  <w:pPr>
                    <w:keepNext w:val="0"/>
                    <w:keepLines w:val="0"/>
                    <w:widowControl/>
                    <w:suppressLineNumbers w:val="0"/>
                    <w:spacing w:before="0" w:beforeAutospacing="0" w:after="0" w:afterAutospacing="0"/>
                    <w:ind w:left="0" w:leftChars="0" w:right="0" w:rightChars="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2.5</w:t>
                  </w:r>
                </w:p>
              </w:tc>
              <w:tc>
                <w:tcPr>
                  <w:tcW w:w="391" w:type="pct"/>
                  <w:tcBorders>
                    <w:tl2br w:val="nil"/>
                    <w:tr2bl w:val="nil"/>
                  </w:tcBorders>
                  <w:noWrap w:val="0"/>
                  <w:vAlign w:val="center"/>
                </w:tcPr>
                <w:p w14:paraId="71DE3FBC">
                  <w:pPr>
                    <w:keepNext w:val="0"/>
                    <w:keepLines w:val="0"/>
                    <w:widowControl/>
                    <w:suppressLineNumbers w:val="0"/>
                    <w:spacing w:before="0" w:beforeAutospacing="0" w:after="0" w:afterAutospacing="0"/>
                    <w:ind w:left="0" w:leftChars="0" w:right="0" w:rightChars="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+2.5</w:t>
                  </w:r>
                </w:p>
              </w:tc>
              <w:tc>
                <w:tcPr>
                  <w:tcW w:w="545" w:type="pct"/>
                  <w:tcBorders>
                    <w:tl2br w:val="nil"/>
                    <w:tr2bl w:val="nil"/>
                  </w:tcBorders>
                  <w:noWrap w:val="0"/>
                  <w:vAlign w:val="center"/>
                </w:tcPr>
                <w:p w14:paraId="70AB386D">
                  <w:pPr>
                    <w:keepNext w:val="0"/>
                    <w:keepLines w:val="0"/>
                    <w:widowControl/>
                    <w:suppressLineNumbers w:val="0"/>
                    <w:spacing w:before="0" w:beforeAutospacing="0" w:after="0" w:afterAutospacing="0"/>
                    <w:ind w:left="0" w:right="0"/>
                    <w:jc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5kg/袋</w:t>
                  </w:r>
                </w:p>
              </w:tc>
              <w:tc>
                <w:tcPr>
                  <w:tcW w:w="445" w:type="pct"/>
                  <w:vMerge w:val="continue"/>
                  <w:tcBorders>
                    <w:tl2br w:val="nil"/>
                    <w:tr2bl w:val="nil"/>
                  </w:tcBorders>
                  <w:noWrap w:val="0"/>
                  <w:vAlign w:val="center"/>
                </w:tcPr>
                <w:p w14:paraId="58F6E4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noWrap w:val="0"/>
                  <w:vAlign w:val="center"/>
                </w:tcPr>
                <w:p w14:paraId="4C2185C1">
                  <w:pPr>
                    <w:keepNext w:val="0"/>
                    <w:keepLines w:val="0"/>
                    <w:widowControl/>
                    <w:suppressLineNumbers w:val="0"/>
                    <w:spacing w:before="0" w:beforeAutospacing="0" w:after="0" w:afterAutospacing="0"/>
                    <w:ind w:left="0" w:leftChars="0" w:right="0" w:rightChars="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0.5</w:t>
                  </w:r>
                </w:p>
              </w:tc>
              <w:tc>
                <w:tcPr>
                  <w:tcW w:w="402" w:type="pct"/>
                  <w:tcBorders>
                    <w:tl2br w:val="nil"/>
                    <w:tr2bl w:val="nil"/>
                  </w:tcBorders>
                  <w:noWrap w:val="0"/>
                  <w:vAlign w:val="center"/>
                </w:tcPr>
                <w:p w14:paraId="3CA14B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50</w:t>
                  </w:r>
                </w:p>
              </w:tc>
              <w:tc>
                <w:tcPr>
                  <w:tcW w:w="337" w:type="pct"/>
                  <w:tcBorders>
                    <w:tl2br w:val="nil"/>
                    <w:tr2bl w:val="nil"/>
                  </w:tcBorders>
                  <w:noWrap w:val="0"/>
                  <w:vAlign w:val="center"/>
                </w:tcPr>
                <w:p w14:paraId="3E1640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138C9D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30" w:type="pct"/>
                  <w:gridSpan w:val="3"/>
                  <w:tcBorders>
                    <w:tl2br w:val="nil"/>
                    <w:tr2bl w:val="nil"/>
                  </w:tcBorders>
                  <w:noWrap w:val="0"/>
                  <w:vAlign w:val="center"/>
                </w:tcPr>
                <w:p w14:paraId="715AF888">
                  <w:pPr>
                    <w:keepNext w:val="0"/>
                    <w:keepLines w:val="0"/>
                    <w:widowControl/>
                    <w:suppressLineNumbers w:val="0"/>
                    <w:spacing w:before="0" w:beforeAutospacing="0" w:after="0" w:afterAutospacing="0"/>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布袋</w:t>
                  </w:r>
                </w:p>
              </w:tc>
              <w:tc>
                <w:tcPr>
                  <w:tcW w:w="399" w:type="pct"/>
                  <w:tcBorders>
                    <w:tl2br w:val="nil"/>
                    <w:tr2bl w:val="nil"/>
                  </w:tcBorders>
                  <w:noWrap w:val="0"/>
                  <w:vAlign w:val="center"/>
                </w:tcPr>
                <w:p w14:paraId="7CEE7FC8">
                  <w:pPr>
                    <w:keepNext w:val="0"/>
                    <w:keepLines w:val="0"/>
                    <w:widowControl/>
                    <w:suppressLineNumbers w:val="0"/>
                    <w:spacing w:before="0" w:beforeAutospacing="0" w:after="0" w:afterAutospacing="0"/>
                    <w:ind w:left="0" w:leftChars="0" w:right="0" w:rightChars="0"/>
                    <w:jc w:val="center"/>
                    <w:rPr>
                      <w:rFonts w:hint="default"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w:t>
                  </w:r>
                  <w:r>
                    <w:rPr>
                      <w:rFonts w:hint="eastAsia" w:cs="Times New Roman"/>
                      <w:color w:val="000000" w:themeColor="text1"/>
                      <w:sz w:val="21"/>
                      <w:szCs w:val="21"/>
                      <w:highlight w:val="none"/>
                      <w:lang w:val="en-US" w:eastAsia="zh-CN"/>
                      <w14:textFill>
                        <w14:solidFill>
                          <w14:schemeClr w14:val="tx1"/>
                        </w14:solidFill>
                      </w14:textFill>
                    </w:rPr>
                    <w:t>05</w:t>
                  </w:r>
                </w:p>
              </w:tc>
              <w:tc>
                <w:tcPr>
                  <w:tcW w:w="428" w:type="pct"/>
                  <w:tcBorders>
                    <w:tl2br w:val="nil"/>
                    <w:tr2bl w:val="nil"/>
                  </w:tcBorders>
                  <w:noWrap w:val="0"/>
                  <w:vAlign w:val="center"/>
                </w:tcPr>
                <w:p w14:paraId="0BE33C21">
                  <w:pPr>
                    <w:keepNext w:val="0"/>
                    <w:keepLines w:val="0"/>
                    <w:widowControl/>
                    <w:suppressLineNumbers w:val="0"/>
                    <w:spacing w:before="0" w:beforeAutospacing="0" w:after="0" w:afterAutospacing="0"/>
                    <w:ind w:left="0" w:right="0"/>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0.05</w:t>
                  </w:r>
                </w:p>
              </w:tc>
              <w:tc>
                <w:tcPr>
                  <w:tcW w:w="534" w:type="pct"/>
                  <w:tcBorders>
                    <w:tl2br w:val="nil"/>
                    <w:tr2bl w:val="nil"/>
                  </w:tcBorders>
                  <w:noWrap w:val="0"/>
                  <w:vAlign w:val="center"/>
                </w:tcPr>
                <w:p w14:paraId="0D4CBA53">
                  <w:pPr>
                    <w:keepNext w:val="0"/>
                    <w:keepLines w:val="0"/>
                    <w:widowControl/>
                    <w:suppressLineNumbers w:val="0"/>
                    <w:spacing w:before="0" w:beforeAutospacing="0" w:after="0" w:afterAutospacing="0"/>
                    <w:ind w:left="0" w:leftChars="0" w:right="0" w:rightChars="0"/>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0.10</w:t>
                  </w:r>
                </w:p>
              </w:tc>
              <w:tc>
                <w:tcPr>
                  <w:tcW w:w="391" w:type="pct"/>
                  <w:tcBorders>
                    <w:tl2br w:val="nil"/>
                    <w:tr2bl w:val="nil"/>
                  </w:tcBorders>
                  <w:noWrap w:val="0"/>
                  <w:vAlign w:val="center"/>
                </w:tcPr>
                <w:p w14:paraId="23305BB7">
                  <w:pPr>
                    <w:keepNext w:val="0"/>
                    <w:keepLines w:val="0"/>
                    <w:widowControl/>
                    <w:suppressLineNumbers w:val="0"/>
                    <w:spacing w:before="0" w:beforeAutospacing="0" w:after="0" w:afterAutospacing="0"/>
                    <w:ind w:left="0" w:leftChars="0" w:right="0" w:rightChars="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+0.05</w:t>
                  </w:r>
                </w:p>
              </w:tc>
              <w:tc>
                <w:tcPr>
                  <w:tcW w:w="545" w:type="pct"/>
                  <w:tcBorders>
                    <w:tl2br w:val="nil"/>
                    <w:tr2bl w:val="nil"/>
                  </w:tcBorders>
                  <w:noWrap w:val="0"/>
                  <w:vAlign w:val="center"/>
                </w:tcPr>
                <w:p w14:paraId="074C518F">
                  <w:pPr>
                    <w:keepNext w:val="0"/>
                    <w:keepLines w:val="0"/>
                    <w:widowControl/>
                    <w:suppressLineNumbers w:val="0"/>
                    <w:spacing w:before="0" w:beforeAutospacing="0" w:after="0" w:afterAutospacing="0"/>
                    <w:ind w:left="0" w:right="0"/>
                    <w:jc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20条/箱</w:t>
                  </w:r>
                </w:p>
              </w:tc>
              <w:tc>
                <w:tcPr>
                  <w:tcW w:w="445" w:type="pct"/>
                  <w:vMerge w:val="continue"/>
                  <w:tcBorders>
                    <w:tl2br w:val="nil"/>
                    <w:tr2bl w:val="nil"/>
                  </w:tcBorders>
                  <w:noWrap w:val="0"/>
                  <w:vAlign w:val="center"/>
                </w:tcPr>
                <w:p w14:paraId="093922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noWrap w:val="0"/>
                  <w:vAlign w:val="center"/>
                </w:tcPr>
                <w:p w14:paraId="50F75C31">
                  <w:pPr>
                    <w:keepNext w:val="0"/>
                    <w:keepLines w:val="0"/>
                    <w:widowControl/>
                    <w:suppressLineNumbers w:val="0"/>
                    <w:spacing w:before="0" w:beforeAutospacing="0" w:after="0" w:afterAutospacing="0"/>
                    <w:ind w:left="0" w:leftChars="0" w:right="0" w:rightChars="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0.01</w:t>
                  </w:r>
                </w:p>
              </w:tc>
              <w:tc>
                <w:tcPr>
                  <w:tcW w:w="402" w:type="pct"/>
                  <w:tcBorders>
                    <w:tl2br w:val="nil"/>
                    <w:tr2bl w:val="nil"/>
                  </w:tcBorders>
                  <w:noWrap w:val="0"/>
                  <w:vAlign w:val="center"/>
                </w:tcPr>
                <w:p w14:paraId="4CB0E9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50</w:t>
                  </w:r>
                </w:p>
              </w:tc>
              <w:tc>
                <w:tcPr>
                  <w:tcW w:w="337" w:type="pct"/>
                  <w:tcBorders>
                    <w:tl2br w:val="nil"/>
                    <w:tr2bl w:val="nil"/>
                  </w:tcBorders>
                  <w:noWrap w:val="0"/>
                  <w:vAlign w:val="center"/>
                </w:tcPr>
                <w:p w14:paraId="318877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5F5423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30" w:type="pct"/>
                  <w:gridSpan w:val="3"/>
                  <w:tcBorders>
                    <w:tl2br w:val="nil"/>
                    <w:tr2bl w:val="nil"/>
                  </w:tcBorders>
                  <w:noWrap w:val="0"/>
                  <w:vAlign w:val="center"/>
                </w:tcPr>
                <w:p w14:paraId="2B2563CE">
                  <w:pPr>
                    <w:keepNext w:val="0"/>
                    <w:keepLines w:val="0"/>
                    <w:widowControl/>
                    <w:suppressLineNumbers w:val="0"/>
                    <w:spacing w:before="0" w:beforeAutospacing="0" w:after="0" w:afterAutospacing="0"/>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离子交换树脂</w:t>
                  </w:r>
                </w:p>
              </w:tc>
              <w:tc>
                <w:tcPr>
                  <w:tcW w:w="399" w:type="pct"/>
                  <w:tcBorders>
                    <w:tl2br w:val="nil"/>
                    <w:tr2bl w:val="nil"/>
                  </w:tcBorders>
                  <w:noWrap w:val="0"/>
                  <w:vAlign w:val="center"/>
                </w:tcPr>
                <w:p w14:paraId="289F68D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0.8</w:t>
                  </w:r>
                </w:p>
              </w:tc>
              <w:tc>
                <w:tcPr>
                  <w:tcW w:w="428" w:type="pct"/>
                  <w:tcBorders>
                    <w:tl2br w:val="nil"/>
                    <w:tr2bl w:val="nil"/>
                  </w:tcBorders>
                  <w:noWrap w:val="0"/>
                  <w:vAlign w:val="center"/>
                </w:tcPr>
                <w:p w14:paraId="50D99C99">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0.05</w:t>
                  </w:r>
                </w:p>
              </w:tc>
              <w:tc>
                <w:tcPr>
                  <w:tcW w:w="534" w:type="pct"/>
                  <w:tcBorders>
                    <w:tl2br w:val="nil"/>
                    <w:tr2bl w:val="nil"/>
                  </w:tcBorders>
                  <w:noWrap w:val="0"/>
                  <w:vAlign w:val="center"/>
                </w:tcPr>
                <w:p w14:paraId="43F2B236">
                  <w:pPr>
                    <w:keepNext w:val="0"/>
                    <w:keepLines w:val="0"/>
                    <w:widowControl/>
                    <w:suppressLineNumbers w:val="0"/>
                    <w:spacing w:before="0" w:beforeAutospacing="0" w:after="0" w:afterAutospacing="0"/>
                    <w:ind w:left="0" w:leftChars="0" w:right="0" w:rightChars="0"/>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0.85</w:t>
                  </w:r>
                </w:p>
              </w:tc>
              <w:tc>
                <w:tcPr>
                  <w:tcW w:w="391" w:type="pct"/>
                  <w:tcBorders>
                    <w:tl2br w:val="nil"/>
                    <w:tr2bl w:val="nil"/>
                  </w:tcBorders>
                  <w:noWrap w:val="0"/>
                  <w:vAlign w:val="center"/>
                </w:tcPr>
                <w:p w14:paraId="5585D162">
                  <w:pPr>
                    <w:keepNext w:val="0"/>
                    <w:keepLines w:val="0"/>
                    <w:widowControl/>
                    <w:suppressLineNumbers w:val="0"/>
                    <w:spacing w:before="0" w:beforeAutospacing="0" w:after="0" w:afterAutospacing="0"/>
                    <w:ind w:left="0" w:leftChars="0" w:right="0" w:rightChars="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+0.05</w:t>
                  </w:r>
                </w:p>
              </w:tc>
              <w:tc>
                <w:tcPr>
                  <w:tcW w:w="545" w:type="pct"/>
                  <w:tcBorders>
                    <w:tl2br w:val="nil"/>
                    <w:tr2bl w:val="nil"/>
                  </w:tcBorders>
                  <w:noWrap w:val="0"/>
                  <w:vAlign w:val="center"/>
                </w:tcPr>
                <w:p w14:paraId="743E63F6">
                  <w:pPr>
                    <w:keepNext w:val="0"/>
                    <w:keepLines w:val="0"/>
                    <w:widowControl/>
                    <w:suppressLineNumbers w:val="0"/>
                    <w:spacing w:before="0" w:beforeAutospacing="0" w:after="0" w:afterAutospacing="0"/>
                    <w:ind w:left="0" w:right="0"/>
                    <w:jc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25kg/袋</w:t>
                  </w:r>
                </w:p>
              </w:tc>
              <w:tc>
                <w:tcPr>
                  <w:tcW w:w="445" w:type="pct"/>
                  <w:vMerge w:val="continue"/>
                  <w:tcBorders>
                    <w:tl2br w:val="nil"/>
                    <w:tr2bl w:val="nil"/>
                  </w:tcBorders>
                  <w:noWrap w:val="0"/>
                  <w:vAlign w:val="center"/>
                </w:tcPr>
                <w:p w14:paraId="72AA1B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noWrap w:val="0"/>
                  <w:vAlign w:val="center"/>
                </w:tcPr>
                <w:p w14:paraId="41071CD1">
                  <w:pPr>
                    <w:keepNext w:val="0"/>
                    <w:keepLines w:val="0"/>
                    <w:widowControl/>
                    <w:suppressLineNumbers w:val="0"/>
                    <w:spacing w:before="0" w:beforeAutospacing="0" w:after="0" w:afterAutospacing="0"/>
                    <w:ind w:left="0" w:leftChars="0" w:right="0" w:rightChars="0"/>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0.20</w:t>
                  </w:r>
                </w:p>
              </w:tc>
              <w:tc>
                <w:tcPr>
                  <w:tcW w:w="402" w:type="pct"/>
                  <w:tcBorders>
                    <w:tl2br w:val="nil"/>
                    <w:tr2bl w:val="nil"/>
                  </w:tcBorders>
                  <w:noWrap w:val="0"/>
                  <w:vAlign w:val="center"/>
                </w:tcPr>
                <w:p w14:paraId="24D6BC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default"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60</w:t>
                  </w:r>
                </w:p>
              </w:tc>
              <w:tc>
                <w:tcPr>
                  <w:tcW w:w="337" w:type="pct"/>
                  <w:tcBorders>
                    <w:tl2br w:val="nil"/>
                    <w:tr2bl w:val="nil"/>
                  </w:tcBorders>
                  <w:noWrap w:val="0"/>
                  <w:vAlign w:val="center"/>
                </w:tcPr>
                <w:p w14:paraId="276EE0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450A50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30" w:type="pct"/>
                  <w:gridSpan w:val="3"/>
                  <w:tcBorders>
                    <w:tl2br w:val="nil"/>
                    <w:tr2bl w:val="nil"/>
                  </w:tcBorders>
                  <w:noWrap w:val="0"/>
                  <w:vAlign w:val="center"/>
                </w:tcPr>
                <w:p w14:paraId="145E45A4">
                  <w:pPr>
                    <w:keepNext w:val="0"/>
                    <w:keepLines w:val="0"/>
                    <w:widowControl/>
                    <w:suppressLineNumbers w:val="0"/>
                    <w:spacing w:before="0" w:beforeAutospacing="0" w:after="0" w:afterAutospacing="0"/>
                    <w:ind w:left="0" w:leftChars="0" w:right="0" w:rightChars="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活性炭</w:t>
                  </w:r>
                </w:p>
              </w:tc>
              <w:tc>
                <w:tcPr>
                  <w:tcW w:w="399" w:type="pct"/>
                  <w:tcBorders>
                    <w:tl2br w:val="nil"/>
                    <w:tr2bl w:val="nil"/>
                  </w:tcBorders>
                  <w:noWrap w:val="0"/>
                  <w:vAlign w:val="center"/>
                </w:tcPr>
                <w:p w14:paraId="68006548">
                  <w:pPr>
                    <w:keepNext w:val="0"/>
                    <w:keepLines w:val="0"/>
                    <w:widowControl/>
                    <w:suppressLineNumbers w:val="0"/>
                    <w:spacing w:before="0" w:beforeAutospacing="0" w:after="0" w:afterAutospacing="0"/>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1.5485</w:t>
                  </w:r>
                </w:p>
              </w:tc>
              <w:tc>
                <w:tcPr>
                  <w:tcW w:w="428" w:type="pct"/>
                  <w:tcBorders>
                    <w:tl2br w:val="nil"/>
                    <w:tr2bl w:val="nil"/>
                  </w:tcBorders>
                  <w:noWrap w:val="0"/>
                  <w:vAlign w:val="center"/>
                </w:tcPr>
                <w:p w14:paraId="2FBBA5A3">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1.66</w:t>
                  </w:r>
                </w:p>
              </w:tc>
              <w:tc>
                <w:tcPr>
                  <w:tcW w:w="534" w:type="pct"/>
                  <w:tcBorders>
                    <w:tl2br w:val="nil"/>
                    <w:tr2bl w:val="nil"/>
                  </w:tcBorders>
                  <w:noWrap w:val="0"/>
                  <w:vAlign w:val="center"/>
                </w:tcPr>
                <w:p w14:paraId="22F7A069">
                  <w:pPr>
                    <w:keepNext w:val="0"/>
                    <w:keepLines w:val="0"/>
                    <w:widowControl/>
                    <w:suppressLineNumbers w:val="0"/>
                    <w:spacing w:before="0" w:beforeAutospacing="0" w:after="0" w:afterAutospacing="0"/>
                    <w:ind w:left="0" w:leftChars="0" w:right="0" w:rightChars="0"/>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3.2085</w:t>
                  </w:r>
                </w:p>
              </w:tc>
              <w:tc>
                <w:tcPr>
                  <w:tcW w:w="391" w:type="pct"/>
                  <w:tcBorders>
                    <w:tl2br w:val="nil"/>
                    <w:tr2bl w:val="nil"/>
                  </w:tcBorders>
                  <w:noWrap w:val="0"/>
                  <w:vAlign w:val="center"/>
                </w:tcPr>
                <w:p w14:paraId="573C576B">
                  <w:pPr>
                    <w:keepNext w:val="0"/>
                    <w:keepLines w:val="0"/>
                    <w:widowControl/>
                    <w:suppressLineNumbers w:val="0"/>
                    <w:spacing w:before="0" w:beforeAutospacing="0" w:after="0" w:afterAutospacing="0"/>
                    <w:ind w:left="0" w:leftChars="0" w:right="0" w:rightChars="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+1.66</w:t>
                  </w:r>
                </w:p>
              </w:tc>
              <w:tc>
                <w:tcPr>
                  <w:tcW w:w="545" w:type="pct"/>
                  <w:tcBorders>
                    <w:tl2br w:val="nil"/>
                    <w:tr2bl w:val="nil"/>
                  </w:tcBorders>
                  <w:noWrap w:val="0"/>
                  <w:vAlign w:val="center"/>
                </w:tcPr>
                <w:p w14:paraId="2245C811">
                  <w:pPr>
                    <w:keepNext w:val="0"/>
                    <w:keepLines w:val="0"/>
                    <w:widowControl/>
                    <w:suppressLineNumbers w:val="0"/>
                    <w:spacing w:before="0" w:beforeAutospacing="0" w:after="0" w:afterAutospacing="0"/>
                    <w:ind w:left="0" w:right="0"/>
                    <w:jc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25kg/袋</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，颗粒，碘值不低于800mg/g</w:t>
                  </w:r>
                </w:p>
              </w:tc>
              <w:tc>
                <w:tcPr>
                  <w:tcW w:w="445" w:type="pct"/>
                  <w:vMerge w:val="continue"/>
                  <w:tcBorders>
                    <w:tl2br w:val="nil"/>
                    <w:tr2bl w:val="nil"/>
                  </w:tcBorders>
                  <w:noWrap w:val="0"/>
                  <w:vAlign w:val="center"/>
                </w:tcPr>
                <w:p w14:paraId="7E7AC7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787" w:type="pct"/>
                  <w:gridSpan w:val="2"/>
                  <w:tcBorders>
                    <w:tl2br w:val="nil"/>
                    <w:tr2bl w:val="nil"/>
                  </w:tcBorders>
                  <w:noWrap w:val="0"/>
                  <w:vAlign w:val="center"/>
                </w:tcPr>
                <w:p w14:paraId="2BD892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default"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cs="Times New Roman"/>
                      <w:color w:val="000000" w:themeColor="text1"/>
                      <w:kern w:val="2"/>
                      <w:sz w:val="21"/>
                      <w:szCs w:val="21"/>
                      <w:highlight w:val="none"/>
                      <w:vertAlign w:val="baseline"/>
                      <w:lang w:val="en-US" w:eastAsia="zh-CN" w:bidi="ar-SA"/>
                      <w14:textFill>
                        <w14:solidFill>
                          <w14:schemeClr w14:val="tx1"/>
                        </w14:solidFill>
                      </w14:textFill>
                    </w:rPr>
                    <w:t>定期更换，现用现购，厂内不储存</w:t>
                  </w:r>
                </w:p>
              </w:tc>
              <w:tc>
                <w:tcPr>
                  <w:tcW w:w="337" w:type="pct"/>
                  <w:tcBorders>
                    <w:tl2br w:val="nil"/>
                    <w:tr2bl w:val="nil"/>
                  </w:tcBorders>
                  <w:noWrap w:val="0"/>
                  <w:vAlign w:val="center"/>
                </w:tcPr>
                <w:p w14:paraId="1728D6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r w14:paraId="60C675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30" w:type="pct"/>
                  <w:gridSpan w:val="3"/>
                  <w:tcBorders>
                    <w:tl2br w:val="nil"/>
                    <w:tr2bl w:val="nil"/>
                  </w:tcBorders>
                  <w:noWrap w:val="0"/>
                  <w:vAlign w:val="center"/>
                </w:tcPr>
                <w:p w14:paraId="659E6D65">
                  <w:pPr>
                    <w:keepNext w:val="0"/>
                    <w:keepLines w:val="0"/>
                    <w:widowControl/>
                    <w:suppressLineNumbers w:val="0"/>
                    <w:spacing w:before="0" w:beforeAutospacing="0" w:after="0" w:afterAutospacing="0"/>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薄层板</w:t>
                  </w:r>
                </w:p>
              </w:tc>
              <w:tc>
                <w:tcPr>
                  <w:tcW w:w="399" w:type="pct"/>
                  <w:tcBorders>
                    <w:tl2br w:val="nil"/>
                    <w:tr2bl w:val="nil"/>
                  </w:tcBorders>
                  <w:noWrap w:val="0"/>
                  <w:vAlign w:val="center"/>
                </w:tcPr>
                <w:p w14:paraId="25744DAD">
                  <w:pPr>
                    <w:keepNext w:val="0"/>
                    <w:keepLines w:val="0"/>
                    <w:widowControl/>
                    <w:suppressLineNumbers w:val="0"/>
                    <w:spacing w:before="0" w:beforeAutospacing="0" w:after="0" w:afterAutospacing="0"/>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0.255</w:t>
                  </w:r>
                </w:p>
              </w:tc>
              <w:tc>
                <w:tcPr>
                  <w:tcW w:w="428" w:type="pct"/>
                  <w:tcBorders>
                    <w:tl2br w:val="nil"/>
                    <w:tr2bl w:val="nil"/>
                  </w:tcBorders>
                  <w:noWrap w:val="0"/>
                  <w:vAlign w:val="center"/>
                </w:tcPr>
                <w:p w14:paraId="578BD93F">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0.145</w:t>
                  </w:r>
                </w:p>
              </w:tc>
              <w:tc>
                <w:tcPr>
                  <w:tcW w:w="534" w:type="pct"/>
                  <w:tcBorders>
                    <w:tl2br w:val="nil"/>
                    <w:tr2bl w:val="nil"/>
                  </w:tcBorders>
                  <w:noWrap w:val="0"/>
                  <w:vAlign w:val="center"/>
                </w:tcPr>
                <w:p w14:paraId="2302C5BF">
                  <w:pPr>
                    <w:keepNext w:val="0"/>
                    <w:keepLines w:val="0"/>
                    <w:widowControl/>
                    <w:suppressLineNumbers w:val="0"/>
                    <w:spacing w:before="0" w:beforeAutospacing="0" w:after="0" w:afterAutospacing="0"/>
                    <w:ind w:left="0" w:leftChars="0" w:right="0" w:rightChars="0"/>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0.40</w:t>
                  </w:r>
                </w:p>
              </w:tc>
              <w:tc>
                <w:tcPr>
                  <w:tcW w:w="391" w:type="pct"/>
                  <w:tcBorders>
                    <w:tl2br w:val="nil"/>
                    <w:tr2bl w:val="nil"/>
                  </w:tcBorders>
                  <w:noWrap w:val="0"/>
                  <w:vAlign w:val="center"/>
                </w:tcPr>
                <w:p w14:paraId="39F1CBC5">
                  <w:pPr>
                    <w:keepNext w:val="0"/>
                    <w:keepLines w:val="0"/>
                    <w:widowControl/>
                    <w:suppressLineNumbers w:val="0"/>
                    <w:spacing w:before="0" w:beforeAutospacing="0" w:after="0" w:afterAutospacing="0"/>
                    <w:ind w:left="0" w:leftChars="0" w:right="0" w:rightChars="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+0.145</w:t>
                  </w:r>
                </w:p>
              </w:tc>
              <w:tc>
                <w:tcPr>
                  <w:tcW w:w="545" w:type="pct"/>
                  <w:tcBorders>
                    <w:tl2br w:val="nil"/>
                    <w:tr2bl w:val="nil"/>
                  </w:tcBorders>
                  <w:noWrap w:val="0"/>
                  <w:vAlign w:val="center"/>
                </w:tcPr>
                <w:p w14:paraId="3B8FDD4F">
                  <w:pPr>
                    <w:keepNext w:val="0"/>
                    <w:keepLines w:val="0"/>
                    <w:widowControl/>
                    <w:suppressLineNumbers w:val="0"/>
                    <w:spacing w:before="0" w:beforeAutospacing="0" w:after="0" w:afterAutospacing="0"/>
                    <w:ind w:left="0" w:right="0"/>
                    <w:jc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80片/箱</w:t>
                  </w:r>
                </w:p>
              </w:tc>
              <w:tc>
                <w:tcPr>
                  <w:tcW w:w="445" w:type="pct"/>
                  <w:vMerge w:val="continue"/>
                  <w:tcBorders>
                    <w:tl2br w:val="nil"/>
                    <w:tr2bl w:val="nil"/>
                  </w:tcBorders>
                  <w:noWrap w:val="0"/>
                  <w:vAlign w:val="center"/>
                </w:tcPr>
                <w:p w14:paraId="274039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385" w:type="pct"/>
                  <w:tcBorders>
                    <w:tl2br w:val="nil"/>
                    <w:tr2bl w:val="nil"/>
                  </w:tcBorders>
                  <w:noWrap w:val="0"/>
                  <w:vAlign w:val="center"/>
                </w:tcPr>
                <w:p w14:paraId="7B7A4A2C">
                  <w:pPr>
                    <w:keepNext w:val="0"/>
                    <w:keepLines w:val="0"/>
                    <w:widowControl/>
                    <w:suppressLineNumbers w:val="0"/>
                    <w:spacing w:before="0" w:beforeAutospacing="0" w:after="0" w:afterAutospacing="0"/>
                    <w:ind w:left="0" w:leftChars="0" w:right="0" w:rightChars="0"/>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0.1</w:t>
                  </w:r>
                </w:p>
              </w:tc>
              <w:tc>
                <w:tcPr>
                  <w:tcW w:w="402" w:type="pct"/>
                  <w:tcBorders>
                    <w:tl2br w:val="nil"/>
                    <w:tr2bl w:val="nil"/>
                  </w:tcBorders>
                  <w:noWrap w:val="0"/>
                  <w:vAlign w:val="center"/>
                </w:tcPr>
                <w:p w14:paraId="6CE8D3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default"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60</w:t>
                  </w:r>
                </w:p>
              </w:tc>
              <w:tc>
                <w:tcPr>
                  <w:tcW w:w="337" w:type="pct"/>
                  <w:tcBorders>
                    <w:tl2br w:val="nil"/>
                    <w:tr2bl w:val="nil"/>
                  </w:tcBorders>
                  <w:noWrap w:val="0"/>
                  <w:vAlign w:val="center"/>
                </w:tcPr>
                <w:p w14:paraId="59FDF3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外购</w:t>
                  </w:r>
                </w:p>
              </w:tc>
            </w:tr>
          </w:tbl>
          <w:p w14:paraId="03A39077">
            <w:pPr>
              <w:keepNext w:val="0"/>
              <w:keepLines w:val="0"/>
              <w:suppressLineNumbers w:val="0"/>
              <w:adjustRightInd w:val="0"/>
              <w:snapToGrid w:val="0"/>
              <w:spacing w:before="156" w:beforeLines="50" w:beforeAutospacing="0" w:after="0" w:afterAutospacing="0" w:line="360" w:lineRule="auto"/>
              <w:ind w:left="0" w:right="0" w:firstLine="420" w:firstLineChars="200"/>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注：①本项目使用的中药原料不涉及《医疗用毒性药品管理办法》里面的毒性中药。</w:t>
            </w:r>
          </w:p>
          <w:p w14:paraId="68DE5194">
            <w:pPr>
              <w:keepNext w:val="0"/>
              <w:keepLines w:val="0"/>
              <w:suppressLineNumbers w:val="0"/>
              <w:adjustRightInd w:val="0"/>
              <w:snapToGrid w:val="0"/>
              <w:spacing w:before="156" w:beforeLines="50" w:beforeAutospacing="0" w:after="0" w:afterAutospacing="0" w:line="360" w:lineRule="auto"/>
              <w:ind w:left="0" w:right="0" w:firstLine="840" w:firstLineChars="400"/>
              <w:rPr>
                <w:rFonts w:hint="default" w:cs="Times New Roman"/>
                <w:color w:val="000000" w:themeColor="text1"/>
                <w:sz w:val="21"/>
                <w:szCs w:val="21"/>
                <w:highlight w:val="none"/>
                <w:lang w:val="en-US" w:eastAsia="zh-CN"/>
                <w14:textFill>
                  <w14:solidFill>
                    <w14:schemeClr w14:val="tx1"/>
                  </w14:solidFill>
                </w14:textFill>
              </w:rPr>
            </w:pPr>
            <w:r>
              <w:rPr>
                <w:rFonts w:hint="default" w:cs="Times New Roman"/>
                <w:color w:val="000000" w:themeColor="text1"/>
                <w:sz w:val="21"/>
                <w:szCs w:val="21"/>
                <w:highlight w:val="none"/>
                <w:lang w:val="en-US" w:eastAsia="zh-CN"/>
                <w14:textFill>
                  <w14:solidFill>
                    <w14:schemeClr w14:val="tx1"/>
                  </w14:solidFill>
                </w14:textFill>
              </w:rPr>
              <w:t>②</w:t>
            </w:r>
            <w:r>
              <w:rPr>
                <w:rFonts w:hint="eastAsia" w:cs="Times New Roman"/>
                <w:color w:val="000000" w:themeColor="text1"/>
                <w:sz w:val="21"/>
                <w:szCs w:val="21"/>
                <w:highlight w:val="none"/>
                <w:lang w:val="en-US" w:eastAsia="zh-CN"/>
                <w14:textFill>
                  <w14:solidFill>
                    <w14:schemeClr w14:val="tx1"/>
                  </w14:solidFill>
                </w14:textFill>
              </w:rPr>
              <w:t>本项目使用的</w:t>
            </w: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其它中药、</w:t>
            </w:r>
            <w:r>
              <w:rPr>
                <w:rFonts w:hint="eastAsia" w:cs="Times New Roman"/>
                <w:color w:val="000000" w:themeColor="text1"/>
                <w:sz w:val="21"/>
                <w:szCs w:val="21"/>
                <w:highlight w:val="none"/>
                <w:lang w:val="en-US" w:eastAsia="zh-CN"/>
                <w14:textFill>
                  <w14:solidFill>
                    <w14:schemeClr w14:val="tx1"/>
                  </w14:solidFill>
                </w14:textFill>
              </w:rPr>
              <w:t>中草药原料、中草药辅料</w:t>
            </w:r>
            <w:r>
              <w:rPr>
                <w:rFonts w:hint="eastAsia" w:ascii="宋体" w:hAnsi="宋体" w:eastAsia="宋体" w:cs="宋体"/>
                <w:color w:val="000000" w:themeColor="text1"/>
                <w:sz w:val="21"/>
                <w:szCs w:val="21"/>
                <w:highlight w:val="none"/>
                <w:lang w:val="en-US" w:eastAsia="zh-CN"/>
                <w14:textFill>
                  <w14:solidFill>
                    <w14:schemeClr w14:val="tx1"/>
                  </w14:solidFill>
                </w14:textFill>
              </w:rPr>
              <w:t>属于保密配方，不宜在环评中体现</w:t>
            </w:r>
            <w:r>
              <w:rPr>
                <w:rFonts w:hint="eastAsia" w:ascii="宋体" w:hAnsi="宋体" w:cs="宋体"/>
                <w:color w:val="000000" w:themeColor="text1"/>
                <w:sz w:val="21"/>
                <w:szCs w:val="21"/>
                <w:highlight w:val="none"/>
                <w:lang w:val="en-US" w:eastAsia="zh-CN"/>
                <w14:textFill>
                  <w14:solidFill>
                    <w14:schemeClr w14:val="tx1"/>
                  </w14:solidFill>
                </w14:textFill>
              </w:rPr>
              <w:t>，详见附件11保密情况的说明。</w:t>
            </w:r>
          </w:p>
          <w:p w14:paraId="23ECA8F5">
            <w:pPr>
              <w:keepNext w:val="0"/>
              <w:keepLines w:val="0"/>
              <w:suppressLineNumbers w:val="0"/>
              <w:adjustRightInd w:val="0"/>
              <w:snapToGrid w:val="0"/>
              <w:spacing w:before="156" w:beforeLines="50" w:beforeAutospacing="0" w:after="0" w:afterAutospacing="0" w:line="360" w:lineRule="auto"/>
              <w:ind w:left="0" w:right="0" w:firstLine="480" w:firstLineChars="200"/>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3.5.3原辅材料理化性质</w:t>
            </w:r>
          </w:p>
          <w:p w14:paraId="498FB4FF">
            <w:pPr>
              <w:keepNext w:val="0"/>
              <w:keepLines w:val="0"/>
              <w:numPr>
                <w:ilvl w:val="0"/>
                <w:numId w:val="5"/>
              </w:numPr>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宋体" w:cs="Times New Roman"/>
                <w:b/>
                <w:bCs/>
                <w:color w:val="000000" w:themeColor="text1"/>
                <w:sz w:val="21"/>
                <w:szCs w:val="21"/>
                <w:highlight w:val="none"/>
                <w:lang w:val="zh-CN" w:eastAsia="en-US"/>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zh-CN" w:eastAsia="en-US"/>
                <w14:textFill>
                  <w14:solidFill>
                    <w14:schemeClr w14:val="tx1"/>
                  </w14:solidFill>
                </w14:textFill>
              </w:rPr>
              <w:t xml:space="preserve">  原辅材料</w:t>
            </w:r>
            <w:r>
              <w:rPr>
                <w:rFonts w:hint="eastAsia" w:cs="Times New Roman"/>
                <w:b/>
                <w:bCs/>
                <w:color w:val="000000" w:themeColor="text1"/>
                <w:sz w:val="21"/>
                <w:szCs w:val="21"/>
                <w:highlight w:val="none"/>
                <w:lang w:val="en-US" w:eastAsia="zh-CN"/>
                <w14:textFill>
                  <w14:solidFill>
                    <w14:schemeClr w14:val="tx1"/>
                  </w14:solidFill>
                </w14:textFill>
              </w:rPr>
              <w:t>理化性质</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一览表</w:t>
            </w:r>
          </w:p>
          <w:tbl>
            <w:tblPr>
              <w:tblStyle w:val="57"/>
              <w:tblW w:w="4998" w:type="pct"/>
              <w:tblInd w:w="0" w:type="dxa"/>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0"/>
              <w:gridCol w:w="1125"/>
              <w:gridCol w:w="11042"/>
            </w:tblGrid>
            <w:tr w14:paraId="5664176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72" w:type="pct"/>
                  <w:vAlign w:val="center"/>
                </w:tcPr>
                <w:p w14:paraId="76888706">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序号</w:t>
                  </w:r>
                </w:p>
              </w:tc>
              <w:tc>
                <w:tcPr>
                  <w:tcW w:w="437" w:type="pct"/>
                  <w:vAlign w:val="center"/>
                </w:tcPr>
                <w:p w14:paraId="00DE6A6F">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名称</w:t>
                  </w:r>
                </w:p>
              </w:tc>
              <w:tc>
                <w:tcPr>
                  <w:tcW w:w="4290" w:type="pct"/>
                  <w:vAlign w:val="center"/>
                </w:tcPr>
                <w:p w14:paraId="79996CD0">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理化性质</w:t>
                  </w:r>
                </w:p>
              </w:tc>
            </w:tr>
            <w:tr w14:paraId="45F2619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72" w:type="pct"/>
                  <w:vAlign w:val="center"/>
                </w:tcPr>
                <w:p w14:paraId="59034E3D">
                  <w:pPr>
                    <w:pStyle w:val="63"/>
                    <w:keepNext w:val="0"/>
                    <w:keepLines w:val="0"/>
                    <w:pageBreakBefore w:val="0"/>
                    <w:widowControl w:val="0"/>
                    <w:numPr>
                      <w:ilvl w:val="0"/>
                      <w:numId w:val="6"/>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437" w:type="pct"/>
                  <w:vAlign w:val="center"/>
                </w:tcPr>
                <w:p w14:paraId="1C9CE52A">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南</w:t>
                  </w: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沙参</w:t>
                  </w:r>
                </w:p>
              </w:tc>
              <w:tc>
                <w:tcPr>
                  <w:tcW w:w="4290" w:type="pct"/>
                  <w:vAlign w:val="center"/>
                </w:tcPr>
                <w:p w14:paraId="75F89919">
                  <w:pPr>
                    <w:keepNext w:val="0"/>
                    <w:keepLines w:val="0"/>
                    <w:suppressLineNumbers w:val="0"/>
                    <w:spacing w:before="0" w:beforeAutospacing="0" w:after="0" w:afterAutospacing="0"/>
                    <w:ind w:left="0" w:right="0"/>
                    <w:jc w:val="left"/>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伞形科珊瑚菜的干燥根，细长圆柱形，长10–25cm，直径0.4–1.2cm，表面黄白色，为法定中药材，具有养阴清肺、益胃生津的功效。</w:t>
                  </w:r>
                </w:p>
              </w:tc>
            </w:tr>
            <w:tr w14:paraId="730493B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72" w:type="pct"/>
                  <w:vAlign w:val="center"/>
                </w:tcPr>
                <w:p w14:paraId="4B96B20C">
                  <w:pPr>
                    <w:pStyle w:val="63"/>
                    <w:keepNext w:val="0"/>
                    <w:keepLines w:val="0"/>
                    <w:pageBreakBefore w:val="0"/>
                    <w:widowControl w:val="0"/>
                    <w:numPr>
                      <w:ilvl w:val="0"/>
                      <w:numId w:val="6"/>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437" w:type="pct"/>
                  <w:vAlign w:val="center"/>
                </w:tcPr>
                <w:p w14:paraId="5D1462F6">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麦冬</w:t>
                  </w:r>
                </w:p>
              </w:tc>
              <w:tc>
                <w:tcPr>
                  <w:tcW w:w="4290" w:type="pct"/>
                  <w:vAlign w:val="center"/>
                </w:tcPr>
                <w:p w14:paraId="095F7E37">
                  <w:pPr>
                    <w:keepNext w:val="0"/>
                    <w:keepLines w:val="0"/>
                    <w:suppressLineNumbers w:val="0"/>
                    <w:spacing w:before="0" w:beforeAutospacing="0" w:after="0" w:afterAutospacing="0"/>
                    <w:ind w:left="0" w:right="0"/>
                    <w:jc w:val="left"/>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百合科沿阶草属多年生常绿草本植物，根较粗，中间或近末端常膨大成椭圆形或纺锤形的小块根，茎很短，叶基生成丛，禾叶状，苞片披针形，先端渐尖，种子球形，花期5-8月，果期8-9月。麦冬的小块根是中药，有生津解渴、润肺止咳之效。</w:t>
                  </w:r>
                </w:p>
              </w:tc>
            </w:tr>
            <w:tr w14:paraId="0885879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72" w:type="pct"/>
                  <w:vAlign w:val="center"/>
                </w:tcPr>
                <w:p w14:paraId="553DE070">
                  <w:pPr>
                    <w:pStyle w:val="63"/>
                    <w:keepNext w:val="0"/>
                    <w:keepLines w:val="0"/>
                    <w:pageBreakBefore w:val="0"/>
                    <w:widowControl w:val="0"/>
                    <w:numPr>
                      <w:ilvl w:val="0"/>
                      <w:numId w:val="6"/>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437" w:type="pct"/>
                  <w:vAlign w:val="center"/>
                </w:tcPr>
                <w:p w14:paraId="478B02B3">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甘草</w:t>
                  </w:r>
                </w:p>
              </w:tc>
              <w:tc>
                <w:tcPr>
                  <w:tcW w:w="4290" w:type="pct"/>
                  <w:vAlign w:val="center"/>
                </w:tcPr>
                <w:p w14:paraId="7C89D344">
                  <w:pPr>
                    <w:keepNext w:val="0"/>
                    <w:keepLines w:val="0"/>
                    <w:suppressLineNumbers w:val="0"/>
                    <w:spacing w:before="0" w:beforeAutospacing="0" w:after="0" w:afterAutospacing="0"/>
                    <w:ind w:left="0" w:right="0"/>
                    <w:jc w:val="left"/>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甘草别名：国老、甜草、乌拉尔甘草、甜根子。豆科、甘草属多年生草本，根与根状茎粗壮，是一种补益中草药。对人体很好的一种药，药用部位是根及根茎，药材性状根呈圆柱形，长25～100厘米，直径0.6～3.5厘米。外皮松紧不一，表面红棕色或灰棕色。根茎呈圆柱形，表面有芽痕，断面中部有髓。气微，味甜而特殊。功能主治清热解毒、祛痰止咳、脘腹等。</w:t>
                  </w:r>
                </w:p>
              </w:tc>
            </w:tr>
            <w:tr w14:paraId="0E3DFB2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72" w:type="pct"/>
                  <w:vAlign w:val="center"/>
                </w:tcPr>
                <w:p w14:paraId="34C1F3EB">
                  <w:pPr>
                    <w:pStyle w:val="63"/>
                    <w:keepNext w:val="0"/>
                    <w:keepLines w:val="0"/>
                    <w:pageBreakBefore w:val="0"/>
                    <w:widowControl w:val="0"/>
                    <w:numPr>
                      <w:ilvl w:val="0"/>
                      <w:numId w:val="6"/>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437" w:type="pct"/>
                  <w:vAlign w:val="center"/>
                </w:tcPr>
                <w:p w14:paraId="55A56E44">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石膏</w:t>
                  </w:r>
                </w:p>
              </w:tc>
              <w:tc>
                <w:tcPr>
                  <w:tcW w:w="4290" w:type="pct"/>
                  <w:vAlign w:val="center"/>
                </w:tcPr>
                <w:p w14:paraId="66B67E65">
                  <w:pPr>
                    <w:keepNext w:val="0"/>
                    <w:keepLines w:val="0"/>
                    <w:suppressLineNumbers w:val="0"/>
                    <w:spacing w:before="0" w:beforeAutospacing="0" w:after="0" w:afterAutospacing="0"/>
                    <w:ind w:left="0" w:right="0"/>
                    <w:jc w:val="left"/>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石膏的化学名字叫：二水硫酸钙，白色、无色。硫酸钙微溶于水，但内服进入胃部，在胃酸的作用下，一部分转变成氯化钙，变成可溶性钙盐。在无机化学和有机化学里，唯有氯化钙盐，硝酸钙盐溶于水，溶于水的物质才能随着血液的流动，输到机体的各个部位，参与机体的生理功能。当机体内的钙离子遇到机体代谢、或是致病微生物在机体内产生的有机酸类，就会使其变成不溶性钙盐，失去毒性。</w:t>
                  </w:r>
                </w:p>
              </w:tc>
            </w:tr>
            <w:tr w14:paraId="6C42ED5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72" w:type="pct"/>
                  <w:vAlign w:val="center"/>
                </w:tcPr>
                <w:p w14:paraId="54BADBC7">
                  <w:pPr>
                    <w:pStyle w:val="63"/>
                    <w:keepNext w:val="0"/>
                    <w:keepLines w:val="0"/>
                    <w:pageBreakBefore w:val="0"/>
                    <w:widowControl w:val="0"/>
                    <w:numPr>
                      <w:ilvl w:val="0"/>
                      <w:numId w:val="6"/>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437" w:type="pct"/>
                  <w:vAlign w:val="center"/>
                </w:tcPr>
                <w:p w14:paraId="2F580C83">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熟地黄</w:t>
                  </w:r>
                </w:p>
              </w:tc>
              <w:tc>
                <w:tcPr>
                  <w:tcW w:w="4290" w:type="pct"/>
                  <w:vAlign w:val="center"/>
                </w:tcPr>
                <w:p w14:paraId="0B80C465">
                  <w:pPr>
                    <w:keepNext w:val="0"/>
                    <w:keepLines w:val="0"/>
                    <w:suppressLineNumbers w:val="0"/>
                    <w:spacing w:before="0" w:beforeAutospacing="0" w:after="0" w:afterAutospacing="0"/>
                    <w:ind w:left="0" w:right="0"/>
                    <w:jc w:val="left"/>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熟地黄为玄参科、地黄属植物，密被灰白色多细胞长柔毛和腺毛。根茎肉质，鲜时黄色，在栽培条件下，直径可达5.5厘米，茎紫红色。叶通常在茎基部集成莲座状，向上则强烈缩小成苞片，或逐渐缩小而在茎上互生；叶片卵形至长椭圆形，上面绿色，下面略带紫色或成紫红色，老时因隔膜撕裂而成一室，无毛；花柱顶部扩大成2枚片状柱头。蒴果卵形至长卵形。国内各地及国外均有栽培。根茎药用。</w:t>
                  </w:r>
                </w:p>
              </w:tc>
            </w:tr>
            <w:tr w14:paraId="3F6D0E7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72" w:type="pct"/>
                  <w:vAlign w:val="center"/>
                </w:tcPr>
                <w:p w14:paraId="39448C8E">
                  <w:pPr>
                    <w:pStyle w:val="63"/>
                    <w:keepNext w:val="0"/>
                    <w:keepLines w:val="0"/>
                    <w:pageBreakBefore w:val="0"/>
                    <w:widowControl w:val="0"/>
                    <w:numPr>
                      <w:ilvl w:val="0"/>
                      <w:numId w:val="6"/>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437" w:type="pct"/>
                  <w:vAlign w:val="center"/>
                </w:tcPr>
                <w:p w14:paraId="3FBA1971">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知母</w:t>
                  </w:r>
                </w:p>
              </w:tc>
              <w:tc>
                <w:tcPr>
                  <w:tcW w:w="4290" w:type="pct"/>
                  <w:vAlign w:val="center"/>
                </w:tcPr>
                <w:p w14:paraId="318ECA55">
                  <w:pPr>
                    <w:keepNext w:val="0"/>
                    <w:keepLines w:val="0"/>
                    <w:suppressLineNumbers w:val="0"/>
                    <w:spacing w:before="0" w:beforeAutospacing="0" w:after="0" w:afterAutospacing="0"/>
                    <w:ind w:left="0" w:right="0"/>
                    <w:jc w:val="left"/>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知母是多年生草本植物，根状茎，叶由基部丛生细长披针形，花茎自叶丛中长出，圆柱形直立，总状花絮，成簇，生在顶部成穗状；花粉红色，淡紫色至白色；果实长椭圆形，内有多数黑色种子，花果期6～9月。该种干燥根状茎为著名中药，性苦寒，有滋阴降火、润燥滑肠、利大小便之效。属清热下火药，主治：温热病、高热烦渴、咳嗽气喘、燥咳、便秘、骨蒸潮热、虚烦不眠、消渴淋浊。</w:t>
                  </w:r>
                </w:p>
              </w:tc>
            </w:tr>
            <w:tr w14:paraId="15D87C4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72" w:type="pct"/>
                  <w:vAlign w:val="center"/>
                </w:tcPr>
                <w:p w14:paraId="4291F10A">
                  <w:pPr>
                    <w:pStyle w:val="63"/>
                    <w:keepNext w:val="0"/>
                    <w:keepLines w:val="0"/>
                    <w:pageBreakBefore w:val="0"/>
                    <w:widowControl w:val="0"/>
                    <w:numPr>
                      <w:ilvl w:val="0"/>
                      <w:numId w:val="6"/>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437" w:type="pct"/>
                  <w:vAlign w:val="center"/>
                </w:tcPr>
                <w:p w14:paraId="7B547622">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牛膝</w:t>
                  </w:r>
                </w:p>
              </w:tc>
              <w:tc>
                <w:tcPr>
                  <w:tcW w:w="4290" w:type="pct"/>
                  <w:vAlign w:val="center"/>
                </w:tcPr>
                <w:p w14:paraId="09A37E48">
                  <w:pPr>
                    <w:keepNext w:val="0"/>
                    <w:keepLines w:val="0"/>
                    <w:suppressLineNumbers w:val="0"/>
                    <w:spacing w:before="0" w:beforeAutospacing="0" w:after="0" w:afterAutospacing="0"/>
                    <w:ind w:left="0" w:right="0"/>
                    <w:jc w:val="left"/>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牛膝是苋科牛膝属多年生草本植物。​牛膝始载于东汉《神农本草经》，列为上品，记有“主寒湿痿痹，四肢拘挛，膝痛不可屈伸，逐血气，伤热火烂，坠胎”等功能。</w:t>
                  </w:r>
                </w:p>
              </w:tc>
            </w:tr>
            <w:tr w14:paraId="1E0C582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72" w:type="pct"/>
                  <w:vAlign w:val="center"/>
                </w:tcPr>
                <w:p w14:paraId="415CF75D">
                  <w:pPr>
                    <w:pStyle w:val="63"/>
                    <w:keepNext w:val="0"/>
                    <w:keepLines w:val="0"/>
                    <w:pageBreakBefore w:val="0"/>
                    <w:widowControl w:val="0"/>
                    <w:numPr>
                      <w:ilvl w:val="0"/>
                      <w:numId w:val="6"/>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437" w:type="pct"/>
                  <w:vAlign w:val="center"/>
                </w:tcPr>
                <w:p w14:paraId="0BFF89E5">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黄芪</w:t>
                  </w:r>
                </w:p>
              </w:tc>
              <w:tc>
                <w:tcPr>
                  <w:tcW w:w="4290" w:type="pct"/>
                  <w:vAlign w:val="center"/>
                </w:tcPr>
                <w:p w14:paraId="6B431834">
                  <w:pPr>
                    <w:keepNext w:val="0"/>
                    <w:keepLines w:val="0"/>
                    <w:suppressLineNumbers w:val="0"/>
                    <w:spacing w:before="0" w:beforeAutospacing="0" w:after="0" w:afterAutospacing="0"/>
                    <w:ind w:left="0" w:right="0"/>
                    <w:jc w:val="left"/>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aps w:val="0"/>
                      <w:color w:val="000000" w:themeColor="text1"/>
                      <w:spacing w:val="0"/>
                      <w:sz w:val="21"/>
                      <w:szCs w:val="21"/>
                      <w:highlight w:val="none"/>
                      <w:shd w:val="clear" w:fill="FFFFFF"/>
                      <w14:textFill>
                        <w14:solidFill>
                          <w14:schemeClr w14:val="tx1"/>
                        </w14:solidFill>
                      </w14:textFill>
                    </w:rPr>
                    <w:t>黄芪为豆科植物蒙古黄芪或膜荚黄芪的干燥根。栽培或野生。原植物生于山坡、沟旁或灌丛中，喜干燥、阳光，以土层深厚、富含腐殖质、透水力强、中型和微碱性的砂质壤土最宜生长。味甘，性温。归肺、脾经。功效补气固表、利尿托毒、排脓、敛疮生肌。临床用名有黄芪、蜜炙黄芪。</w:t>
                  </w:r>
                </w:p>
              </w:tc>
            </w:tr>
            <w:tr w14:paraId="573F458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72" w:type="pct"/>
                  <w:vAlign w:val="center"/>
                </w:tcPr>
                <w:p w14:paraId="3E536A74">
                  <w:pPr>
                    <w:pStyle w:val="63"/>
                    <w:keepNext w:val="0"/>
                    <w:keepLines w:val="0"/>
                    <w:pageBreakBefore w:val="0"/>
                    <w:widowControl w:val="0"/>
                    <w:numPr>
                      <w:ilvl w:val="0"/>
                      <w:numId w:val="6"/>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437" w:type="pct"/>
                  <w:vAlign w:val="center"/>
                </w:tcPr>
                <w:p w14:paraId="35DD9DFB">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柴胡</w:t>
                  </w:r>
                </w:p>
              </w:tc>
              <w:tc>
                <w:tcPr>
                  <w:tcW w:w="4290" w:type="pct"/>
                  <w:vAlign w:val="center"/>
                </w:tcPr>
                <w:p w14:paraId="0971A569">
                  <w:pPr>
                    <w:keepNext w:val="0"/>
                    <w:keepLines w:val="0"/>
                    <w:suppressLineNumbers w:val="0"/>
                    <w:spacing w:before="0" w:beforeAutospacing="0" w:after="0" w:afterAutospacing="0"/>
                    <w:ind w:left="0" w:right="0"/>
                    <w:jc w:val="left"/>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柴胡</w:t>
                  </w:r>
                  <w:r>
                    <w:rPr>
                      <w:rFonts w:hint="default" w:ascii="Times New Roman" w:hAnsi="Times New Roman" w:eastAsia="宋体" w:cs="Times New Roman"/>
                      <w:i w:val="0"/>
                      <w:iCs w:val="0"/>
                      <w:caps w:val="0"/>
                      <w:color w:val="000000" w:themeColor="text1"/>
                      <w:spacing w:val="0"/>
                      <w:sz w:val="21"/>
                      <w:szCs w:val="21"/>
                      <w:highlight w:val="none"/>
                      <w:shd w:val="clear" w:fill="FFFFFF"/>
                      <w14:textFill>
                        <w14:solidFill>
                          <w14:schemeClr w14:val="tx1"/>
                        </w14:solidFill>
                      </w14:textFill>
                    </w:rPr>
                    <w:t>为伞形科植物柴胡或狭叶柴胡的干燥根或全草。按性状不同，前者习称“北柴胡”，后者称“南柴胡”。北柴胡呈圆柱形或长圆锥形，长6～15cm，直径0.3～0.8cm。南柴胡根较细，圆锥形，顶端有多数细毛状枯叶纤维，下部多不分枝或稍分枝。</w:t>
                  </w:r>
                </w:p>
              </w:tc>
            </w:tr>
            <w:tr w14:paraId="5520052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72" w:type="pct"/>
                  <w:vAlign w:val="center"/>
                </w:tcPr>
                <w:p w14:paraId="4401F433">
                  <w:pPr>
                    <w:pStyle w:val="63"/>
                    <w:keepNext w:val="0"/>
                    <w:keepLines w:val="0"/>
                    <w:pageBreakBefore w:val="0"/>
                    <w:widowControl w:val="0"/>
                    <w:numPr>
                      <w:ilvl w:val="0"/>
                      <w:numId w:val="6"/>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437" w:type="pct"/>
                  <w:vAlign w:val="center"/>
                </w:tcPr>
                <w:p w14:paraId="484672E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白芍</w:t>
                  </w:r>
                </w:p>
              </w:tc>
              <w:tc>
                <w:tcPr>
                  <w:tcW w:w="4290" w:type="pct"/>
                  <w:vAlign w:val="center"/>
                </w:tcPr>
                <w:p w14:paraId="2022DA53">
                  <w:pPr>
                    <w:keepNext w:val="0"/>
                    <w:keepLines w:val="0"/>
                    <w:suppressLineNumbers w:val="0"/>
                    <w:spacing w:before="0" w:beforeAutospacing="0" w:after="0" w:afterAutospacing="0"/>
                    <w:ind w:left="0" w:right="0"/>
                    <w:jc w:val="left"/>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白芍为毛茛科植物芍药的干燥根，具有养血调经，敛阴止汗，柔肝止痛，平抑肝阳之功效。常用于血虚萎黄，月经不调，自汗，盗汗，胁痛，腹痛，四肢挛痛，头痛眩晕。</w:t>
                  </w:r>
                </w:p>
              </w:tc>
            </w:tr>
            <w:tr w14:paraId="2E37C1A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72" w:type="pct"/>
                  <w:vAlign w:val="center"/>
                </w:tcPr>
                <w:p w14:paraId="5691829B">
                  <w:pPr>
                    <w:pStyle w:val="63"/>
                    <w:keepNext w:val="0"/>
                    <w:keepLines w:val="0"/>
                    <w:pageBreakBefore w:val="0"/>
                    <w:widowControl w:val="0"/>
                    <w:numPr>
                      <w:ilvl w:val="0"/>
                      <w:numId w:val="6"/>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437" w:type="pct"/>
                  <w:vAlign w:val="center"/>
                </w:tcPr>
                <w:p w14:paraId="653C383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延胡索</w:t>
                  </w:r>
                </w:p>
              </w:tc>
              <w:tc>
                <w:tcPr>
                  <w:tcW w:w="4290" w:type="pct"/>
                  <w:vAlign w:val="center"/>
                </w:tcPr>
                <w:p w14:paraId="0CC5940F">
                  <w:pPr>
                    <w:keepNext w:val="0"/>
                    <w:keepLines w:val="0"/>
                    <w:suppressLineNumbers w:val="0"/>
                    <w:spacing w:before="0" w:beforeAutospacing="0" w:after="0" w:afterAutospacing="0"/>
                    <w:ind w:left="0" w:right="0"/>
                    <w:jc w:val="left"/>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延胡索是一种罂粟科植物，是中药中的一种药材，原名玄胡索，延胡索的块茎呈球形，可以入药，具有活血、行气、止痛的功效，被广泛用于治疗胸胁、脘腹疼痛、胸痹心痛、经闭痛经、产后瘀阻、跌扑肿痛等疾病。</w:t>
                  </w:r>
                </w:p>
              </w:tc>
            </w:tr>
            <w:tr w14:paraId="00F5C91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72" w:type="pct"/>
                  <w:vAlign w:val="center"/>
                </w:tcPr>
                <w:p w14:paraId="519A899E">
                  <w:pPr>
                    <w:pStyle w:val="63"/>
                    <w:keepNext w:val="0"/>
                    <w:keepLines w:val="0"/>
                    <w:pageBreakBefore w:val="0"/>
                    <w:widowControl w:val="0"/>
                    <w:numPr>
                      <w:ilvl w:val="0"/>
                      <w:numId w:val="6"/>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437" w:type="pct"/>
                  <w:vAlign w:val="center"/>
                </w:tcPr>
                <w:p w14:paraId="49745EB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香附</w:t>
                  </w:r>
                </w:p>
              </w:tc>
              <w:tc>
                <w:tcPr>
                  <w:tcW w:w="4290" w:type="pct"/>
                  <w:vAlign w:val="center"/>
                </w:tcPr>
                <w:p w14:paraId="055DC61C">
                  <w:pPr>
                    <w:keepNext w:val="0"/>
                    <w:keepLines w:val="0"/>
                    <w:suppressLineNumbers w:val="0"/>
                    <w:spacing w:before="0" w:beforeAutospacing="0" w:after="0" w:afterAutospacing="0"/>
                    <w:ind w:left="0" w:right="0"/>
                    <w:jc w:val="left"/>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lang w:val="en-US" w:eastAsia="zh-CN"/>
                      <w14:textFill>
                        <w14:solidFill>
                          <w14:schemeClr w14:val="tx1"/>
                        </w14:solidFill>
                      </w14:textFill>
                    </w:rPr>
                    <w:t>香附是一种传统的中药材，来源于莎草科莎草属植物莎草的干燥根茎。它在秋季被采挖，经过一系列的处理步骤，如燎去毛须、在沸水中略煮或蒸透后晒干，或者直接燎后晒干。这些处理方法旨在确保香附的质量和药效。作为一种重要的中药材，香附在中医药领域被广泛应用，具有多种功效和作用。</w:t>
                  </w:r>
                </w:p>
              </w:tc>
            </w:tr>
            <w:tr w14:paraId="0EB5FC1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72" w:type="pct"/>
                  <w:vAlign w:val="center"/>
                </w:tcPr>
                <w:p w14:paraId="73F8BA1A">
                  <w:pPr>
                    <w:pStyle w:val="63"/>
                    <w:keepNext w:val="0"/>
                    <w:keepLines w:val="0"/>
                    <w:pageBreakBefore w:val="0"/>
                    <w:widowControl w:val="0"/>
                    <w:numPr>
                      <w:ilvl w:val="0"/>
                      <w:numId w:val="6"/>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437" w:type="pct"/>
                  <w:shd w:val="clear" w:color="auto" w:fill="auto"/>
                  <w:vAlign w:val="center"/>
                </w:tcPr>
                <w:p w14:paraId="4F1ACC6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蔗糖</w:t>
                  </w:r>
                </w:p>
              </w:tc>
              <w:tc>
                <w:tcPr>
                  <w:tcW w:w="4290" w:type="pct"/>
                  <w:shd w:val="clear" w:color="auto" w:fill="auto"/>
                  <w:vAlign w:val="center"/>
                </w:tcPr>
                <w:p w14:paraId="4BFA02B8">
                  <w:pPr>
                    <w:keepNext w:val="0"/>
                    <w:keepLines w:val="0"/>
                    <w:widowControl/>
                    <w:suppressLineNumbers w:val="0"/>
                    <w:spacing w:before="0" w:beforeAutospacing="0" w:after="0" w:afterAutospacing="0"/>
                    <w:ind w:left="0" w:right="0"/>
                    <w:jc w:val="left"/>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分子式C</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12</w:t>
                  </w:r>
                  <w:r>
                    <w:rPr>
                      <w:rFonts w:hint="default" w:ascii="Times New Roman" w:hAnsi="Times New Roman" w:eastAsia="宋体" w:cs="Times New Roman"/>
                      <w:color w:val="000000" w:themeColor="text1"/>
                      <w:sz w:val="21"/>
                      <w:szCs w:val="21"/>
                      <w:highlight w:val="none"/>
                      <w14:textFill>
                        <w14:solidFill>
                          <w14:schemeClr w14:val="tx1"/>
                        </w14:solidFill>
                      </w14:textFill>
                    </w:rPr>
                    <w:t>H</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22</w:t>
                  </w:r>
                  <w:r>
                    <w:rPr>
                      <w:rFonts w:hint="default" w:ascii="Times New Roman" w:hAnsi="Times New Roman" w:eastAsia="宋体" w:cs="Times New Roman"/>
                      <w:color w:val="000000" w:themeColor="text1"/>
                      <w:sz w:val="21"/>
                      <w:szCs w:val="21"/>
                      <w:highlight w:val="none"/>
                      <w14:textFill>
                        <w14:solidFill>
                          <w14:schemeClr w14:val="tx1"/>
                        </w14:solidFill>
                      </w14:textFill>
                    </w:rPr>
                    <w:t>O</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11</w:t>
                  </w:r>
                  <w:r>
                    <w:rPr>
                      <w:rFonts w:hint="default" w:ascii="Times New Roman" w:hAnsi="Times New Roman" w:eastAsia="宋体" w:cs="Times New Roman"/>
                      <w:color w:val="000000" w:themeColor="text1"/>
                      <w:sz w:val="21"/>
                      <w:szCs w:val="21"/>
                      <w:highlight w:val="none"/>
                      <w14:textFill>
                        <w14:solidFill>
                          <w14:schemeClr w14:val="tx1"/>
                        </w14:solidFill>
                      </w14:textFill>
                    </w:rPr>
                    <w:t>，由葡萄糖和果糖通过异</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构</w:t>
                  </w:r>
                  <w:r>
                    <w:rPr>
                      <w:rFonts w:hint="default" w:ascii="Times New Roman" w:hAnsi="Times New Roman" w:eastAsia="宋体" w:cs="Times New Roman"/>
                      <w:color w:val="000000" w:themeColor="text1"/>
                      <w:sz w:val="21"/>
                      <w:szCs w:val="21"/>
                      <w:highlight w:val="none"/>
                      <w14:textFill>
                        <w14:solidFill>
                          <w14:schemeClr w14:val="tx1"/>
                        </w14:solidFill>
                      </w14:textFill>
                    </w:rPr>
                    <w:t>体羟基缩合而形成的非还原性二糖。具有甜味。无色晶体，蔗糖容易被酸水解，水解后产生等量的D-葡萄糖和D-果糖。不具还原性。易燃，无毒，可作为食品添加剂，溶解性：极易溶于水、苯胺、氮苯、乙酸乙酯、酒精与水的混合物。不溶于汽油、石油、无水酒精。</w:t>
                  </w:r>
                </w:p>
              </w:tc>
            </w:tr>
            <w:tr w14:paraId="4314652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72" w:type="pct"/>
                  <w:vAlign w:val="center"/>
                </w:tcPr>
                <w:p w14:paraId="19779A54">
                  <w:pPr>
                    <w:pStyle w:val="63"/>
                    <w:keepNext w:val="0"/>
                    <w:keepLines w:val="0"/>
                    <w:pageBreakBefore w:val="0"/>
                    <w:widowControl w:val="0"/>
                    <w:numPr>
                      <w:ilvl w:val="0"/>
                      <w:numId w:val="6"/>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437" w:type="pct"/>
                  <w:shd w:val="clear" w:color="auto" w:fill="auto"/>
                  <w:vAlign w:val="center"/>
                </w:tcPr>
                <w:p w14:paraId="64F392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糊精</w:t>
                  </w:r>
                </w:p>
              </w:tc>
              <w:tc>
                <w:tcPr>
                  <w:tcW w:w="4290" w:type="pct"/>
                  <w:shd w:val="clear" w:color="auto" w:fill="auto"/>
                  <w:vAlign w:val="center"/>
                </w:tcPr>
                <w:p w14:paraId="0F74700D">
                  <w:pPr>
                    <w:keepNext w:val="0"/>
                    <w:keepLines w:val="0"/>
                    <w:widowControl/>
                    <w:suppressLineNumbers w:val="0"/>
                    <w:spacing w:before="0" w:beforeAutospacing="0" w:after="0" w:afterAutospacing="0"/>
                    <w:ind w:left="0" w:right="0"/>
                    <w:jc w:val="left"/>
                    <w:textAlignment w:val="cente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糊精是在中药中常常作为制剂的常用辅料，干糊精是一种黄白色的粉末，不溶于酒精，而易溶于水，溶解在水中具有很强</w:t>
                  </w:r>
                  <w:r>
                    <w:rPr>
                      <w:rFonts w:hint="default" w:ascii="Times New Roman" w:hAnsi="Times New Roman" w:cs="Times New Roman"/>
                      <w:color w:val="000000" w:themeColor="text1"/>
                      <w:sz w:val="21"/>
                      <w:szCs w:val="21"/>
                      <w:highlight w:val="none"/>
                      <w:lang w:eastAsia="zh-CN"/>
                      <w14:textFill>
                        <w14:solidFill>
                          <w14:schemeClr w14:val="tx1"/>
                        </w14:solidFill>
                      </w14:textFill>
                    </w:rPr>
                    <w:t>的黏性</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是</w:t>
                  </w:r>
                  <w:r>
                    <w:rPr>
                      <w:rFonts w:hint="default" w:ascii="Times New Roman" w:hAnsi="Times New Roman" w:eastAsia="宋体" w:cs="Times New Roman"/>
                      <w:color w:val="000000" w:themeColor="text1"/>
                      <w:sz w:val="21"/>
                      <w:szCs w:val="21"/>
                      <w:highlight w:val="none"/>
                      <w14:textFill>
                        <w14:solidFill>
                          <w14:schemeClr w14:val="tx1"/>
                        </w14:solidFill>
                      </w14:textFill>
                    </w:rPr>
                    <w:t>淀粉分子受热分解</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的产物</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r>
            <w:tr w14:paraId="5CC92BB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72" w:type="pct"/>
                  <w:vAlign w:val="center"/>
                </w:tcPr>
                <w:p w14:paraId="2153C3B5">
                  <w:pPr>
                    <w:pStyle w:val="63"/>
                    <w:keepNext w:val="0"/>
                    <w:keepLines w:val="0"/>
                    <w:pageBreakBefore w:val="0"/>
                    <w:widowControl w:val="0"/>
                    <w:numPr>
                      <w:ilvl w:val="0"/>
                      <w:numId w:val="6"/>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437" w:type="pct"/>
                  <w:shd w:val="clear" w:color="auto" w:fill="auto"/>
                  <w:vAlign w:val="center"/>
                </w:tcPr>
                <w:p w14:paraId="514B289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玉米粉</w:t>
                  </w:r>
                </w:p>
              </w:tc>
              <w:tc>
                <w:tcPr>
                  <w:tcW w:w="4290" w:type="pct"/>
                  <w:shd w:val="clear" w:color="auto" w:fill="auto"/>
                  <w:vAlign w:val="center"/>
                </w:tcPr>
                <w:p w14:paraId="2AEE5311">
                  <w:pPr>
                    <w:keepNext w:val="0"/>
                    <w:keepLines w:val="0"/>
                    <w:widowControl/>
                    <w:suppressLineNumbers w:val="0"/>
                    <w:spacing w:before="0" w:beforeAutospacing="0" w:after="0" w:afterAutospacing="0"/>
                    <w:ind w:left="0" w:right="0"/>
                    <w:jc w:val="left"/>
                    <w:textAlignment w:val="cente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玉米粉</w:t>
                  </w:r>
                  <w:r>
                    <w:rPr>
                      <w:rFonts w:hint="default" w:ascii="Times New Roman" w:hAnsi="Times New Roman" w:eastAsia="宋体" w:cs="Times New Roman"/>
                      <w:i w:val="0"/>
                      <w:iCs w:val="0"/>
                      <w:caps w:val="0"/>
                      <w:color w:val="000000" w:themeColor="text1"/>
                      <w:spacing w:val="0"/>
                      <w:sz w:val="21"/>
                      <w:szCs w:val="21"/>
                      <w:highlight w:val="none"/>
                      <w:shd w:val="clear" w:color="auto" w:fill="FFFFFF"/>
                      <w14:textFill>
                        <w14:solidFill>
                          <w14:schemeClr w14:val="tx1"/>
                        </w14:solidFill>
                      </w14:textFill>
                    </w:rPr>
                    <w:t>是以玉米粒研磨制成的粉状物，按颗粒粗细分为不同类型，具有黄、白两种颜色区分，其中糯玉米面具备黏性特质。其营养成分涵盖卵磷脂、亚油酸、维生素E及硒元素等，具有降血压、降血脂、抗动脉硬化、预防肠癌等多种保健功效，并改善了粗粮面食品口感不好和不易消化的缺点，适合糖尿病患者食用。</w:t>
                  </w:r>
                  <w:r>
                    <w:rPr>
                      <w:rFonts w:hint="default" w:ascii="Times New Roman" w:hAnsi="Times New Roman" w:eastAsia="宋体" w:cs="Times New Roman"/>
                      <w:color w:val="000000" w:themeColor="text1"/>
                      <w:sz w:val="21"/>
                      <w:szCs w:val="21"/>
                      <w:highlight w:val="none"/>
                      <w14:textFill>
                        <w14:solidFill>
                          <w14:schemeClr w14:val="tx1"/>
                        </w14:solidFill>
                      </w14:textFill>
                    </w:rPr>
                    <w:t>玉米粉</w:t>
                  </w:r>
                  <w:r>
                    <w:rPr>
                      <w:rFonts w:hint="default" w:ascii="Times New Roman" w:hAnsi="Times New Roman" w:eastAsia="宋体" w:cs="Times New Roman"/>
                      <w:i w:val="0"/>
                      <w:iCs w:val="0"/>
                      <w:caps w:val="0"/>
                      <w:color w:val="000000" w:themeColor="text1"/>
                      <w:spacing w:val="0"/>
                      <w:sz w:val="21"/>
                      <w:szCs w:val="21"/>
                      <w:highlight w:val="none"/>
                      <w:shd w:val="clear" w:color="auto" w:fill="FFFFFF"/>
                      <w14:textFill>
                        <w14:solidFill>
                          <w14:schemeClr w14:val="tx1"/>
                        </w14:solidFill>
                      </w14:textFill>
                    </w:rPr>
                    <w:t>可制作窝窝头、发糕等传统主食</w:t>
                  </w:r>
                  <w:r>
                    <w:rPr>
                      <w:rFonts w:hint="default" w:ascii="Times New Roman" w:hAnsi="Times New Roman" w:eastAsia="宋体" w:cs="Times New Roman"/>
                      <w:i w:val="0"/>
                      <w:iCs w:val="0"/>
                      <w:caps w:val="0"/>
                      <w:color w:val="000000" w:themeColor="text1"/>
                      <w:spacing w:val="0"/>
                      <w:sz w:val="21"/>
                      <w:szCs w:val="21"/>
                      <w:highlight w:val="none"/>
                      <w:shd w:val="clear" w:color="auto" w:fill="FFFFFF"/>
                      <w:lang w:eastAsia="zh-CN"/>
                      <w14:textFill>
                        <w14:solidFill>
                          <w14:schemeClr w14:val="tx1"/>
                        </w14:solidFill>
                      </w14:textFill>
                    </w:rPr>
                    <w:t>。</w:t>
                  </w:r>
                </w:p>
              </w:tc>
            </w:tr>
            <w:tr w14:paraId="245A0E1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72" w:type="pct"/>
                  <w:vAlign w:val="center"/>
                </w:tcPr>
                <w:p w14:paraId="67D49E3F">
                  <w:pPr>
                    <w:pStyle w:val="63"/>
                    <w:keepNext w:val="0"/>
                    <w:keepLines w:val="0"/>
                    <w:pageBreakBefore w:val="0"/>
                    <w:widowControl w:val="0"/>
                    <w:numPr>
                      <w:ilvl w:val="0"/>
                      <w:numId w:val="6"/>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437" w:type="pct"/>
                  <w:shd w:val="clear" w:color="auto" w:fill="auto"/>
                  <w:vAlign w:val="center"/>
                </w:tcPr>
                <w:p w14:paraId="446F6AD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片碱</w:t>
                  </w:r>
                </w:p>
              </w:tc>
              <w:tc>
                <w:tcPr>
                  <w:tcW w:w="4290" w:type="pct"/>
                  <w:shd w:val="clear" w:color="auto" w:fill="auto"/>
                  <w:vAlign w:val="center"/>
                </w:tcPr>
                <w:p w14:paraId="1C68CF8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也称苛性钠、烧碱、火碱，是一种无机化合物，化学式NaOH，氢氧化钠具有强碱性，腐蚀性极强，可作酸中和剂、配合掩蔽剂、沉淀剂、沉淀掩蔽剂、显色剂、皂化剂、去皮剂、洗涤剂等，用途非常广泛。密度：2.13g/c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z w:val="21"/>
                      <w:szCs w:val="21"/>
                      <w:highlight w:val="none"/>
                      <w:vertAlign w:val="baseli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熔点</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318.4 ℃</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；沸点：1388℃；</w:t>
                  </w:r>
                  <w:r>
                    <w:rPr>
                      <w:rFonts w:hint="eastAsia" w:cs="Times New Roman"/>
                      <w:color w:val="000000" w:themeColor="text1"/>
                      <w:sz w:val="21"/>
                      <w:szCs w:val="21"/>
                      <w:highlight w:val="none"/>
                      <w:lang w:eastAsia="zh-CN"/>
                      <w14:textFill>
                        <w14:solidFill>
                          <w14:schemeClr w14:val="tx1"/>
                        </w14:solidFill>
                      </w14:textFill>
                    </w:rPr>
                    <w:t>饱和蒸气</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压：0.13kPa（739℃）；外观：白色结晶性粉末溶解性：易溶于水、乙醇、甘油，不溶于丙酮、乙醚。</w:t>
                  </w:r>
                </w:p>
              </w:tc>
            </w:tr>
            <w:tr w14:paraId="1685B39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72" w:type="pct"/>
                  <w:vAlign w:val="center"/>
                </w:tcPr>
                <w:p w14:paraId="544BECB0">
                  <w:pPr>
                    <w:pStyle w:val="63"/>
                    <w:keepNext w:val="0"/>
                    <w:keepLines w:val="0"/>
                    <w:pageBreakBefore w:val="0"/>
                    <w:widowControl w:val="0"/>
                    <w:numPr>
                      <w:ilvl w:val="0"/>
                      <w:numId w:val="6"/>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437" w:type="pct"/>
                  <w:shd w:val="clear" w:color="auto" w:fill="auto"/>
                  <w:vAlign w:val="center"/>
                </w:tcPr>
                <w:p w14:paraId="6C7BA92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乙醇</w:t>
                  </w:r>
                </w:p>
              </w:tc>
              <w:tc>
                <w:tcPr>
                  <w:tcW w:w="4290" w:type="pct"/>
                  <w:shd w:val="clear" w:color="auto" w:fill="auto"/>
                  <w:vAlign w:val="center"/>
                </w:tcPr>
                <w:p w14:paraId="379B536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无色透明、易挥发、易燃烧、不导电的液体。有酒的气味和刺激的辛辣滋味，微甘。分子式C</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H</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6</w:t>
                  </w:r>
                  <w:r>
                    <w:rPr>
                      <w:rFonts w:hint="default" w:ascii="Times New Roman" w:hAnsi="Times New Roman" w:eastAsia="宋体" w:cs="Times New Roman"/>
                      <w:color w:val="000000" w:themeColor="text1"/>
                      <w:sz w:val="21"/>
                      <w:szCs w:val="21"/>
                      <w:highlight w:val="none"/>
                      <w14:textFill>
                        <w14:solidFill>
                          <w14:schemeClr w14:val="tx1"/>
                        </w14:solidFill>
                      </w14:textFill>
                    </w:rPr>
                    <w:t>O，（乙醇燃烧C</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H</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6</w:t>
                  </w:r>
                  <w:r>
                    <w:rPr>
                      <w:rFonts w:hint="default" w:ascii="Times New Roman" w:hAnsi="Times New Roman" w:eastAsia="宋体" w:cs="Times New Roman"/>
                      <w:color w:val="000000" w:themeColor="text1"/>
                      <w:sz w:val="21"/>
                      <w:szCs w:val="21"/>
                      <w:highlight w:val="none"/>
                      <w14:textFill>
                        <w14:solidFill>
                          <w14:schemeClr w14:val="tx1"/>
                        </w14:solidFill>
                      </w14:textFill>
                    </w:rPr>
                    <w:t>O+3O</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→2CO</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+3H</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O），比重0.7893</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燃点75°C</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沸点78.2°C</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熔点-114.1°C</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燃烧热1365.5kJ/mol</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闪点12°C</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凝固点-117.3°C。乙醇能与水、甲醇、乙醚和氯仿等以任何比例混溶。有吸湿性。与水能形成共沸混合物，共沸点78.15°C。乙醇蒸气与空气混合能引起爆炸，爆炸极限浓度3.5-18.0％(W)。由于它的溶液凝固点下降，因此，一定浓度的乙醇溶液，可以作防冻剂和冷媒。</w:t>
                  </w:r>
                </w:p>
              </w:tc>
            </w:tr>
          </w:tbl>
          <w:p w14:paraId="7EF17818">
            <w:pPr>
              <w:keepNext w:val="0"/>
              <w:keepLines w:val="0"/>
              <w:suppressLineNumbers w:val="0"/>
              <w:adjustRightInd w:val="0"/>
              <w:snapToGrid w:val="0"/>
              <w:spacing w:before="0" w:beforeAutospacing="0" w:after="0" w:afterAutospacing="0"/>
              <w:ind w:left="0" w:right="0"/>
              <w:jc w:val="center"/>
              <w:rPr>
                <w:rFonts w:hint="default" w:ascii="宋体" w:hAnsi="宋体" w:cs="宋体"/>
                <w:bCs/>
                <w:color w:val="000000" w:themeColor="text1"/>
                <w:szCs w:val="21"/>
                <w:highlight w:val="none"/>
                <w14:textFill>
                  <w14:solidFill>
                    <w14:schemeClr w14:val="tx1"/>
                  </w14:solidFill>
                </w14:textFill>
              </w:rPr>
            </w:pPr>
          </w:p>
        </w:tc>
      </w:tr>
    </w:tbl>
    <w:p w14:paraId="40A5A1EF">
      <w:pPr>
        <w:pStyle w:val="8"/>
        <w:adjustRightInd w:val="0"/>
        <w:snapToGrid w:val="0"/>
        <w:spacing w:before="0" w:beforeAutospacing="0" w:after="0" w:afterAutospacing="0"/>
        <w:jc w:val="center"/>
        <w:rPr>
          <w:rFonts w:hint="eastAsia" w:cs="宋体"/>
          <w:color w:val="000000" w:themeColor="text1"/>
          <w:sz w:val="21"/>
          <w:szCs w:val="21"/>
          <w:highlight w:val="none"/>
          <w14:textFill>
            <w14:solidFill>
              <w14:schemeClr w14:val="tx1"/>
            </w14:solidFill>
          </w14:textFill>
        </w:rPr>
        <w:sectPr>
          <w:pgSz w:w="16838" w:h="11906" w:orient="landscape"/>
          <w:pgMar w:top="1531" w:right="1701" w:bottom="1531" w:left="1701" w:header="851" w:footer="992" w:gutter="0"/>
          <w:pgBorders>
            <w:top w:val="none" w:sz="0" w:space="0"/>
            <w:left w:val="none" w:sz="0" w:space="0"/>
            <w:bottom w:val="none" w:sz="0" w:space="0"/>
            <w:right w:val="none" w:sz="0" w:space="0"/>
          </w:pgBorders>
          <w:pgNumType w:fmt="numberInDash" w:start="1"/>
          <w:cols w:space="0" w:num="1"/>
          <w:rtlGutter w:val="0"/>
          <w:docGrid w:type="lines" w:linePitch="312" w:charSpace="0"/>
        </w:sectPr>
      </w:pPr>
    </w:p>
    <w:tbl>
      <w:tblPr>
        <w:tblStyle w:val="3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79"/>
        <w:gridCol w:w="8405"/>
      </w:tblGrid>
      <w:tr w14:paraId="6E8E95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79" w:type="dxa"/>
            <w:noWrap w:val="0"/>
            <w:vAlign w:val="center"/>
          </w:tcPr>
          <w:p w14:paraId="4F632C4A">
            <w:pPr>
              <w:pStyle w:val="8"/>
              <w:keepNext w:val="0"/>
              <w:keepLines w:val="0"/>
              <w:suppressLineNumbers w:val="0"/>
              <w:adjustRightInd w:val="0"/>
              <w:snapToGrid w:val="0"/>
              <w:spacing w:before="0" w:beforeAutospacing="0" w:after="0" w:afterAutospacing="0"/>
              <w:ind w:left="0" w:right="0"/>
              <w:jc w:val="center"/>
              <w:rPr>
                <w:rFonts w:hint="default"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建设内容</w:t>
            </w:r>
          </w:p>
        </w:tc>
        <w:tc>
          <w:tcPr>
            <w:tcW w:w="8405" w:type="dxa"/>
            <w:noWrap w:val="0"/>
            <w:vAlign w:val="top"/>
          </w:tcPr>
          <w:p w14:paraId="0C984262">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2" w:firstLineChars="200"/>
              <w:jc w:val="left"/>
              <w:textAlignment w:val="auto"/>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3.6主要资源能源消耗</w:t>
            </w:r>
          </w:p>
          <w:p w14:paraId="6711762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本项目主要</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资源</w:t>
            </w:r>
            <w:r>
              <w:rPr>
                <w:rFonts w:hint="default" w:ascii="Times New Roman" w:hAnsi="Times New Roman" w:cs="Times New Roman"/>
                <w:color w:val="000000" w:themeColor="text1"/>
                <w:sz w:val="24"/>
                <w:szCs w:val="24"/>
                <w:highlight w:val="none"/>
                <w14:textFill>
                  <w14:solidFill>
                    <w14:schemeClr w14:val="tx1"/>
                  </w14:solidFill>
                </w14:textFill>
              </w:rPr>
              <w:t>能源消耗详见</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下表</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p w14:paraId="4F0C3E4C">
            <w:pPr>
              <w:keepNext w:val="0"/>
              <w:keepLines w:val="0"/>
              <w:numPr>
                <w:ilvl w:val="0"/>
                <w:numId w:val="5"/>
              </w:numPr>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宋体" w:cs="Times New Roman"/>
                <w:b/>
                <w:bCs/>
                <w:color w:val="000000" w:themeColor="text1"/>
                <w:sz w:val="21"/>
                <w:szCs w:val="21"/>
                <w:highlight w:val="none"/>
                <w:lang w:val="zh-CN" w:eastAsia="en-US"/>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zh-CN" w:eastAsia="en-US"/>
                <w14:textFill>
                  <w14:solidFill>
                    <w14:schemeClr w14:val="tx1"/>
                  </w14:solidFill>
                </w14:textFill>
              </w:rPr>
              <w:t xml:space="preserve">  能源消耗</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一览表</w:t>
            </w:r>
          </w:p>
          <w:tbl>
            <w:tblPr>
              <w:tblStyle w:val="57"/>
              <w:tblW w:w="4998" w:type="pct"/>
              <w:tblInd w:w="0" w:type="dxa"/>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6"/>
              <w:gridCol w:w="829"/>
              <w:gridCol w:w="1031"/>
              <w:gridCol w:w="1524"/>
              <w:gridCol w:w="1317"/>
              <w:gridCol w:w="1420"/>
              <w:gridCol w:w="1420"/>
            </w:tblGrid>
            <w:tr w14:paraId="08F0E03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94" w:type="pct"/>
                  <w:vAlign w:val="center"/>
                </w:tcPr>
                <w:p w14:paraId="79CA5619">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序号</w:t>
                  </w:r>
                </w:p>
              </w:tc>
              <w:tc>
                <w:tcPr>
                  <w:tcW w:w="506" w:type="pct"/>
                  <w:vAlign w:val="center"/>
                </w:tcPr>
                <w:p w14:paraId="4A42172C">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名称</w:t>
                  </w:r>
                </w:p>
              </w:tc>
              <w:tc>
                <w:tcPr>
                  <w:tcW w:w="629" w:type="pct"/>
                  <w:vAlign w:val="center"/>
                </w:tcPr>
                <w:p w14:paraId="34663EC3">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Times New Roman" w:cs="Times New Roman"/>
                      <w:b/>
                      <w:color w:val="000000" w:themeColor="text1"/>
                      <w:sz w:val="21"/>
                      <w:szCs w:val="21"/>
                      <w:highlight w:val="none"/>
                      <w14:textFill>
                        <w14:solidFill>
                          <w14:schemeClr w14:val="tx1"/>
                        </w14:solidFill>
                      </w14:textFill>
                    </w:rPr>
                    <w:t>单位</w:t>
                  </w:r>
                </w:p>
              </w:tc>
              <w:tc>
                <w:tcPr>
                  <w:tcW w:w="930" w:type="pct"/>
                  <w:vAlign w:val="center"/>
                </w:tcPr>
                <w:p w14:paraId="18520D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b/>
                      <w:bCs/>
                      <w:color w:val="000000" w:themeColor="text1"/>
                      <w:kern w:val="0"/>
                      <w:sz w:val="21"/>
                      <w:szCs w:val="21"/>
                      <w:highlight w:val="none"/>
                      <w:lang w:val="en-US" w:eastAsia="zh-CN" w:bidi="ar"/>
                      <w14:textFill>
                        <w14:solidFill>
                          <w14:schemeClr w14:val="tx1"/>
                        </w14:solidFill>
                      </w14:textFill>
                    </w:rPr>
                  </w:pPr>
                  <w:r>
                    <w:rPr>
                      <w:rFonts w:hint="eastAsia" w:cs="Times New Roman"/>
                      <w:b/>
                      <w:bCs/>
                      <w:color w:val="000000" w:themeColor="text1"/>
                      <w:kern w:val="0"/>
                      <w:sz w:val="21"/>
                      <w:szCs w:val="21"/>
                      <w:highlight w:val="none"/>
                      <w:lang w:val="en-US" w:eastAsia="zh-CN" w:bidi="ar"/>
                      <w14:textFill>
                        <w14:solidFill>
                          <w14:schemeClr w14:val="tx1"/>
                        </w14:solidFill>
                      </w14:textFill>
                    </w:rPr>
                    <w:t>现有项目</w:t>
                  </w:r>
                  <w:r>
                    <w:rPr>
                      <w:rFonts w:hint="default" w:ascii="Times New Roman" w:hAnsi="Times New Roman" w:cs="Times New Roman"/>
                      <w:b/>
                      <w:bCs/>
                      <w:color w:val="000000" w:themeColor="text1"/>
                      <w:kern w:val="0"/>
                      <w:sz w:val="21"/>
                      <w:szCs w:val="21"/>
                      <w:highlight w:val="none"/>
                      <w:lang w:val="en-US" w:eastAsia="zh-CN" w:bidi="ar"/>
                      <w14:textFill>
                        <w14:solidFill>
                          <w14:schemeClr w14:val="tx1"/>
                        </w14:solidFill>
                      </w14:textFill>
                    </w:rPr>
                    <w:t>用量</w:t>
                  </w:r>
                </w:p>
              </w:tc>
              <w:tc>
                <w:tcPr>
                  <w:tcW w:w="804" w:type="pct"/>
                  <w:vAlign w:val="center"/>
                </w:tcPr>
                <w:p w14:paraId="7229179A">
                  <w:pPr>
                    <w:keepNext w:val="0"/>
                    <w:keepLines w:val="0"/>
                    <w:widowControl/>
                    <w:suppressLineNumbers w:val="0"/>
                    <w:spacing w:before="0" w:beforeAutospacing="0" w:after="0" w:afterAutospacing="0"/>
                    <w:ind w:left="0" w:leftChars="0" w:right="0" w:rightChars="0"/>
                    <w:jc w:val="center"/>
                    <w:textAlignment w:val="center"/>
                    <w:rPr>
                      <w:rFonts w:hint="default" w:cs="Times New Roman"/>
                      <w:b/>
                      <w:bCs/>
                      <w:color w:val="000000" w:themeColor="text1"/>
                      <w:kern w:val="0"/>
                      <w:sz w:val="21"/>
                      <w:szCs w:val="21"/>
                      <w:highlight w:val="none"/>
                      <w:lang w:val="en-US" w:eastAsia="zh-CN" w:bidi="ar"/>
                      <w14:textFill>
                        <w14:solidFill>
                          <w14:schemeClr w14:val="tx1"/>
                        </w14:solidFill>
                      </w14:textFill>
                    </w:rPr>
                  </w:pPr>
                  <w:r>
                    <w:rPr>
                      <w:rFonts w:hint="eastAsia" w:cs="Times New Roman"/>
                      <w:b/>
                      <w:bCs/>
                      <w:color w:val="000000" w:themeColor="text1"/>
                      <w:kern w:val="0"/>
                      <w:sz w:val="21"/>
                      <w:szCs w:val="21"/>
                      <w:highlight w:val="none"/>
                      <w:lang w:val="en-US" w:eastAsia="zh-CN" w:bidi="ar"/>
                      <w14:textFill>
                        <w14:solidFill>
                          <w14:schemeClr w14:val="tx1"/>
                        </w14:solidFill>
                      </w14:textFill>
                    </w:rPr>
                    <w:t>本项目用量</w:t>
                  </w:r>
                </w:p>
              </w:tc>
              <w:tc>
                <w:tcPr>
                  <w:tcW w:w="867" w:type="pct"/>
                  <w:vAlign w:val="center"/>
                </w:tcPr>
                <w:p w14:paraId="7ED47B87">
                  <w:pPr>
                    <w:keepNext w:val="0"/>
                    <w:keepLines w:val="0"/>
                    <w:widowControl/>
                    <w:suppressLineNumbers w:val="0"/>
                    <w:spacing w:before="0" w:beforeAutospacing="0" w:after="0" w:afterAutospacing="0"/>
                    <w:ind w:left="0" w:leftChars="0" w:right="0" w:rightChars="0"/>
                    <w:jc w:val="center"/>
                    <w:textAlignment w:val="center"/>
                    <w:rPr>
                      <w:rFonts w:hint="default" w:cs="Times New Roman"/>
                      <w:b/>
                      <w:bCs/>
                      <w:color w:val="000000" w:themeColor="text1"/>
                      <w:kern w:val="0"/>
                      <w:sz w:val="21"/>
                      <w:szCs w:val="21"/>
                      <w:highlight w:val="none"/>
                      <w:lang w:val="en-US" w:eastAsia="zh-CN" w:bidi="ar"/>
                      <w14:textFill>
                        <w14:solidFill>
                          <w14:schemeClr w14:val="tx1"/>
                        </w14:solidFill>
                      </w14:textFill>
                    </w:rPr>
                  </w:pPr>
                  <w:r>
                    <w:rPr>
                      <w:rFonts w:hint="eastAsia" w:cs="Times New Roman"/>
                      <w:b/>
                      <w:bCs/>
                      <w:color w:val="000000" w:themeColor="text1"/>
                      <w:kern w:val="0"/>
                      <w:sz w:val="21"/>
                      <w:szCs w:val="21"/>
                      <w:highlight w:val="none"/>
                      <w:lang w:val="en-US" w:eastAsia="zh-CN" w:bidi="ar"/>
                      <w14:textFill>
                        <w14:solidFill>
                          <w14:schemeClr w14:val="tx1"/>
                        </w14:solidFill>
                      </w14:textFill>
                    </w:rPr>
                    <w:t>本项目建成后全厂用量</w:t>
                  </w:r>
                </w:p>
              </w:tc>
              <w:tc>
                <w:tcPr>
                  <w:tcW w:w="867" w:type="pct"/>
                  <w:vAlign w:val="center"/>
                </w:tcPr>
                <w:p w14:paraId="57472322">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color w:val="000000" w:themeColor="text1"/>
                      <w:sz w:val="21"/>
                      <w:szCs w:val="21"/>
                      <w:highlight w:val="none"/>
                      <w:lang w:val="en-US" w:eastAsia="zh-CN"/>
                      <w14:textFill>
                        <w14:solidFill>
                          <w14:schemeClr w14:val="tx1"/>
                        </w14:solidFill>
                      </w14:textFill>
                    </w:rPr>
                    <w:t>来源</w:t>
                  </w:r>
                </w:p>
              </w:tc>
            </w:tr>
            <w:tr w14:paraId="3D057CD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94" w:type="pct"/>
                  <w:vAlign w:val="center"/>
                </w:tcPr>
                <w:p w14:paraId="797F40B7">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w:t>
                  </w:r>
                </w:p>
              </w:tc>
              <w:tc>
                <w:tcPr>
                  <w:tcW w:w="506" w:type="pct"/>
                  <w:shd w:val="clear" w:color="auto" w:fill="auto"/>
                  <w:vAlign w:val="center"/>
                </w:tcPr>
                <w:p w14:paraId="0B12727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水</w:t>
                  </w:r>
                </w:p>
              </w:tc>
              <w:tc>
                <w:tcPr>
                  <w:tcW w:w="629" w:type="pct"/>
                  <w:shd w:val="clear" w:color="auto" w:fill="auto"/>
                  <w:vAlign w:val="center"/>
                </w:tcPr>
                <w:p w14:paraId="645C856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color w:val="000000" w:themeColor="text1"/>
                      <w:sz w:val="21"/>
                      <w:szCs w:val="21"/>
                      <w:highlight w:val="none"/>
                      <w14:textFill>
                        <w14:solidFill>
                          <w14:schemeClr w14:val="tx1"/>
                        </w14:solidFill>
                      </w14:textFill>
                    </w:rPr>
                    <w:t>/a</w:t>
                  </w:r>
                </w:p>
              </w:tc>
              <w:tc>
                <w:tcPr>
                  <w:tcW w:w="1524" w:type="dxa"/>
                  <w:vAlign w:val="center"/>
                </w:tcPr>
                <w:p w14:paraId="23952C7B">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471000</w:t>
                  </w:r>
                </w:p>
              </w:tc>
              <w:tc>
                <w:tcPr>
                  <w:tcW w:w="1317" w:type="dxa"/>
                  <w:vAlign w:val="center"/>
                </w:tcPr>
                <w:p w14:paraId="2082F974">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bidi="ar-SA"/>
                      <w14:textFill>
                        <w14:solidFill>
                          <w14:schemeClr w14:val="tx1"/>
                        </w14:solidFill>
                      </w14:textFill>
                    </w:rPr>
                    <w:t>17841.025</w:t>
                  </w:r>
                </w:p>
              </w:tc>
              <w:tc>
                <w:tcPr>
                  <w:tcW w:w="1420" w:type="dxa"/>
                  <w:vAlign w:val="center"/>
                </w:tcPr>
                <w:p w14:paraId="1A01FC8B">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488841.025</w:t>
                  </w:r>
                </w:p>
              </w:tc>
              <w:tc>
                <w:tcPr>
                  <w:tcW w:w="867" w:type="pct"/>
                  <w:vAlign w:val="center"/>
                </w:tcPr>
                <w:p w14:paraId="0AA18B3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市政管网供水</w:t>
                  </w:r>
                </w:p>
              </w:tc>
            </w:tr>
            <w:tr w14:paraId="0620B65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394" w:type="pct"/>
                  <w:vAlign w:val="center"/>
                </w:tcPr>
                <w:p w14:paraId="660E4F8E">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2</w:t>
                  </w:r>
                </w:p>
              </w:tc>
              <w:tc>
                <w:tcPr>
                  <w:tcW w:w="506" w:type="pct"/>
                  <w:shd w:val="clear" w:color="auto" w:fill="auto"/>
                  <w:vAlign w:val="center"/>
                </w:tcPr>
                <w:p w14:paraId="22705D7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电</w:t>
                  </w:r>
                </w:p>
              </w:tc>
              <w:tc>
                <w:tcPr>
                  <w:tcW w:w="629" w:type="pct"/>
                  <w:shd w:val="clear" w:color="auto" w:fill="auto"/>
                  <w:vAlign w:val="center"/>
                </w:tcPr>
                <w:p w14:paraId="4F4BE66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万kwh/a</w:t>
                  </w:r>
                </w:p>
              </w:tc>
              <w:tc>
                <w:tcPr>
                  <w:tcW w:w="930" w:type="pct"/>
                  <w:vAlign w:val="center"/>
                </w:tcPr>
                <w:p w14:paraId="521B77BE">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658.8</w:t>
                  </w:r>
                </w:p>
              </w:tc>
              <w:tc>
                <w:tcPr>
                  <w:tcW w:w="804" w:type="pct"/>
                  <w:vAlign w:val="center"/>
                </w:tcPr>
                <w:p w14:paraId="28C55C2D">
                  <w:pPr>
                    <w:keepNext w:val="0"/>
                    <w:keepLines w:val="0"/>
                    <w:suppressLineNumbers w:val="0"/>
                    <w:spacing w:before="0" w:beforeAutospacing="0" w:after="0" w:afterAutospacing="0"/>
                    <w:ind w:left="0" w:right="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6.8</w:t>
                  </w:r>
                </w:p>
              </w:tc>
              <w:tc>
                <w:tcPr>
                  <w:tcW w:w="867" w:type="pct"/>
                  <w:vAlign w:val="center"/>
                </w:tcPr>
                <w:p w14:paraId="4E82505E">
                  <w:pPr>
                    <w:keepNext w:val="0"/>
                    <w:keepLines w:val="0"/>
                    <w:suppressLineNumbers w:val="0"/>
                    <w:spacing w:before="0" w:beforeAutospacing="0" w:after="0" w:afterAutospacing="0"/>
                    <w:ind w:left="0" w:right="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665.6</w:t>
                  </w:r>
                </w:p>
              </w:tc>
              <w:tc>
                <w:tcPr>
                  <w:tcW w:w="867" w:type="pct"/>
                  <w:vAlign w:val="center"/>
                </w:tcPr>
                <w:p w14:paraId="7EF2AAF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市政供电</w:t>
                  </w:r>
                </w:p>
              </w:tc>
            </w:tr>
          </w:tbl>
          <w:p w14:paraId="5CED9D09">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3.7</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主要生产设备</w:t>
            </w:r>
          </w:p>
          <w:p w14:paraId="2AC06168">
            <w:pPr>
              <w:pStyle w:val="33"/>
              <w:keepNext w:val="0"/>
              <w:keepLines w:val="0"/>
              <w:suppressLineNumbers w:val="0"/>
              <w:adjustRightInd w:val="0"/>
              <w:spacing w:before="0" w:beforeAutospacing="0" w:after="0" w:afterAutospacing="0" w:line="360" w:lineRule="auto"/>
              <w:ind w:left="0" w:right="0"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本项目主要设备内容如下</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表</w:t>
            </w:r>
            <w:r>
              <w:rPr>
                <w:rFonts w:hint="default" w:ascii="Times New Roman" w:hAnsi="Times New Roman" w:cs="Times New Roman"/>
                <w:color w:val="000000" w:themeColor="text1"/>
                <w:sz w:val="24"/>
                <w:szCs w:val="24"/>
                <w:highlight w:val="none"/>
                <w14:textFill>
                  <w14:solidFill>
                    <w14:schemeClr w14:val="tx1"/>
                  </w14:solidFill>
                </w14:textFill>
              </w:rPr>
              <w:t>：</w:t>
            </w:r>
          </w:p>
          <w:p w14:paraId="2DB0C2B3">
            <w:pPr>
              <w:keepNext w:val="0"/>
              <w:keepLines w:val="0"/>
              <w:numPr>
                <w:ilvl w:val="0"/>
                <w:numId w:val="5"/>
              </w:numPr>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宋体" w:cs="Times New Roman"/>
                <w:b/>
                <w:bCs/>
                <w:color w:val="000000" w:themeColor="text1"/>
                <w:sz w:val="21"/>
                <w:szCs w:val="21"/>
                <w:highlight w:val="none"/>
                <w:lang w:val="zh-CN" w:eastAsia="en-US"/>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zh-CN" w:eastAsia="en-US"/>
                <w14:textFill>
                  <w14:solidFill>
                    <w14:schemeClr w14:val="tx1"/>
                  </w14:solidFill>
                </w14:textFill>
              </w:rPr>
              <w:t xml:space="preserve">  </w:t>
            </w:r>
            <w:r>
              <w:rPr>
                <w:rFonts w:hint="default" w:ascii="Times New Roman" w:hAnsi="Times New Roman" w:eastAsia="宋体" w:cs="Times New Roman"/>
                <w:b/>
                <w:bCs/>
                <w:color w:val="000000" w:themeColor="text1"/>
                <w:sz w:val="21"/>
                <w:szCs w:val="21"/>
                <w:highlight w:val="none"/>
                <w:lang w:val="zh-CN" w:eastAsia="zh-CN"/>
                <w14:textFill>
                  <w14:solidFill>
                    <w14:schemeClr w14:val="tx1"/>
                  </w14:solidFill>
                </w14:textFill>
              </w:rPr>
              <w:t>主要</w:t>
            </w:r>
            <w:r>
              <w:rPr>
                <w:rFonts w:hint="default" w:ascii="Times New Roman" w:hAnsi="Times New Roman" w:eastAsia="宋体" w:cs="Times New Roman"/>
                <w:b/>
                <w:bCs/>
                <w:color w:val="000000" w:themeColor="text1"/>
                <w:sz w:val="21"/>
                <w:szCs w:val="21"/>
                <w:highlight w:val="none"/>
                <w:lang w:val="zh-CN" w:eastAsia="en-US"/>
                <w14:textFill>
                  <w14:solidFill>
                    <w14:schemeClr w14:val="tx1"/>
                  </w14:solidFill>
                </w14:textFill>
              </w:rPr>
              <w:t>设备一览表</w:t>
            </w:r>
          </w:p>
          <w:tbl>
            <w:tblPr>
              <w:tblStyle w:val="35"/>
              <w:tblW w:w="4995"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Layout w:type="fixed"/>
              <w:tblCellMar>
                <w:top w:w="0" w:type="dxa"/>
                <w:left w:w="10" w:type="dxa"/>
                <w:bottom w:w="0" w:type="dxa"/>
                <w:right w:w="10" w:type="dxa"/>
              </w:tblCellMar>
            </w:tblPr>
            <w:tblGrid>
              <w:gridCol w:w="614"/>
              <w:gridCol w:w="2441"/>
              <w:gridCol w:w="1789"/>
              <w:gridCol w:w="681"/>
              <w:gridCol w:w="872"/>
              <w:gridCol w:w="872"/>
              <w:gridCol w:w="912"/>
            </w:tblGrid>
            <w:tr w14:paraId="0566089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vMerge w:val="restart"/>
                  <w:tcBorders>
                    <w:tl2br w:val="nil"/>
                    <w:tr2bl w:val="nil"/>
                  </w:tcBorders>
                  <w:shd w:val="clear" w:color="auto" w:fill="auto"/>
                  <w:vAlign w:val="center"/>
                </w:tcPr>
                <w:p w14:paraId="3ADC4BCC">
                  <w:pPr>
                    <w:pStyle w:val="6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序号</w:t>
                  </w:r>
                </w:p>
              </w:tc>
              <w:tc>
                <w:tcPr>
                  <w:tcW w:w="1491" w:type="pct"/>
                  <w:vMerge w:val="restart"/>
                  <w:tcBorders>
                    <w:tl2br w:val="nil"/>
                    <w:tr2bl w:val="nil"/>
                  </w:tcBorders>
                  <w:shd w:val="clear" w:color="auto" w:fill="auto"/>
                  <w:vAlign w:val="center"/>
                </w:tcPr>
                <w:p w14:paraId="79B9B4FA">
                  <w:pPr>
                    <w:pStyle w:val="6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名称</w:t>
                  </w:r>
                </w:p>
              </w:tc>
              <w:tc>
                <w:tcPr>
                  <w:tcW w:w="1093" w:type="pct"/>
                  <w:vMerge w:val="restart"/>
                  <w:tcBorders>
                    <w:tl2br w:val="nil"/>
                    <w:tr2bl w:val="nil"/>
                  </w:tcBorders>
                  <w:shd w:val="clear" w:color="auto" w:fill="auto"/>
                  <w:vAlign w:val="center"/>
                </w:tcPr>
                <w:p w14:paraId="5199C22B">
                  <w:pPr>
                    <w:pStyle w:val="6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设施参数</w:t>
                  </w:r>
                </w:p>
              </w:tc>
              <w:tc>
                <w:tcPr>
                  <w:tcW w:w="416" w:type="pct"/>
                  <w:vMerge w:val="restart"/>
                  <w:tcBorders>
                    <w:tl2br w:val="nil"/>
                    <w:tr2bl w:val="nil"/>
                  </w:tcBorders>
                  <w:shd w:val="clear" w:color="auto" w:fill="auto"/>
                  <w:vAlign w:val="center"/>
                </w:tcPr>
                <w:p w14:paraId="65D0CD3D">
                  <w:pPr>
                    <w:pStyle w:val="6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单位</w:t>
                  </w:r>
                </w:p>
              </w:tc>
              <w:tc>
                <w:tcPr>
                  <w:tcW w:w="1623" w:type="pct"/>
                  <w:gridSpan w:val="3"/>
                  <w:tcBorders>
                    <w:tl2br w:val="nil"/>
                    <w:tr2bl w:val="nil"/>
                  </w:tcBorders>
                  <w:shd w:val="clear" w:color="auto" w:fill="auto"/>
                  <w:vAlign w:val="center"/>
                </w:tcPr>
                <w:p w14:paraId="239F3289">
                  <w:pPr>
                    <w:pStyle w:val="6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数量</w:t>
                  </w:r>
                </w:p>
              </w:tc>
            </w:tr>
            <w:tr w14:paraId="423071F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vMerge w:val="continue"/>
                  <w:tcBorders>
                    <w:tl2br w:val="nil"/>
                    <w:tr2bl w:val="nil"/>
                  </w:tcBorders>
                  <w:shd w:val="clear" w:color="auto" w:fill="auto"/>
                  <w:vAlign w:val="center"/>
                </w:tcPr>
                <w:p w14:paraId="0B542488">
                  <w:pPr>
                    <w:pStyle w:val="6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1491" w:type="pct"/>
                  <w:vMerge w:val="continue"/>
                  <w:tcBorders>
                    <w:tl2br w:val="nil"/>
                    <w:tr2bl w:val="nil"/>
                  </w:tcBorders>
                  <w:shd w:val="clear" w:color="auto" w:fill="auto"/>
                  <w:vAlign w:val="center"/>
                </w:tcPr>
                <w:p w14:paraId="79F74FC6">
                  <w:pPr>
                    <w:pStyle w:val="6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1093" w:type="pct"/>
                  <w:vMerge w:val="continue"/>
                  <w:tcBorders>
                    <w:tl2br w:val="nil"/>
                    <w:tr2bl w:val="nil"/>
                  </w:tcBorders>
                  <w:shd w:val="clear" w:color="auto" w:fill="auto"/>
                  <w:vAlign w:val="center"/>
                </w:tcPr>
                <w:p w14:paraId="5C4349D9">
                  <w:pPr>
                    <w:pStyle w:val="6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416" w:type="pct"/>
                  <w:vMerge w:val="continue"/>
                  <w:tcBorders>
                    <w:tl2br w:val="nil"/>
                    <w:tr2bl w:val="nil"/>
                  </w:tcBorders>
                  <w:shd w:val="clear" w:color="auto" w:fill="auto"/>
                  <w:vAlign w:val="center"/>
                </w:tcPr>
                <w:p w14:paraId="385B2D9A">
                  <w:pPr>
                    <w:pStyle w:val="6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p>
              </w:tc>
              <w:tc>
                <w:tcPr>
                  <w:tcW w:w="532" w:type="pct"/>
                  <w:tcBorders>
                    <w:tl2br w:val="nil"/>
                    <w:tr2bl w:val="nil"/>
                  </w:tcBorders>
                  <w:shd w:val="clear" w:color="auto" w:fill="auto"/>
                  <w:vAlign w:val="center"/>
                </w:tcPr>
                <w:p w14:paraId="2526F3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b w:val="0"/>
                      <w:bCs w:val="0"/>
                      <w:color w:val="000000" w:themeColor="text1"/>
                      <w:sz w:val="21"/>
                      <w:szCs w:val="21"/>
                      <w:highlight w:val="none"/>
                      <w:lang w:val="en-US" w:eastAsia="zh-CN"/>
                      <w14:textFill>
                        <w14:solidFill>
                          <w14:schemeClr w14:val="tx1"/>
                        </w14:solidFill>
                      </w14:textFill>
                    </w:rPr>
                    <w:t>现有</w:t>
                  </w:r>
                </w:p>
              </w:tc>
              <w:tc>
                <w:tcPr>
                  <w:tcW w:w="532" w:type="pct"/>
                  <w:tcBorders>
                    <w:tl2br w:val="nil"/>
                    <w:tr2bl w:val="nil"/>
                  </w:tcBorders>
                  <w:shd w:val="clear" w:color="auto" w:fill="auto"/>
                  <w:vAlign w:val="center"/>
                </w:tcPr>
                <w:p w14:paraId="3D9CDD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b w:val="0"/>
                      <w:bCs w:val="0"/>
                      <w:color w:val="000000" w:themeColor="text1"/>
                      <w:sz w:val="21"/>
                      <w:szCs w:val="21"/>
                      <w:highlight w:val="none"/>
                      <w:lang w:val="en-US" w:eastAsia="zh-CN"/>
                      <w14:textFill>
                        <w14:solidFill>
                          <w14:schemeClr w14:val="tx1"/>
                        </w14:solidFill>
                      </w14:textFill>
                    </w:rPr>
                    <w:t>本项目</w:t>
                  </w:r>
                </w:p>
              </w:tc>
              <w:tc>
                <w:tcPr>
                  <w:tcW w:w="557" w:type="pct"/>
                  <w:tcBorders>
                    <w:tl2br w:val="nil"/>
                    <w:tr2bl w:val="nil"/>
                  </w:tcBorders>
                  <w:shd w:val="clear" w:color="auto" w:fill="auto"/>
                  <w:vAlign w:val="center"/>
                </w:tcPr>
                <w:p w14:paraId="1992FC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b w:val="0"/>
                      <w:bCs w:val="0"/>
                      <w:color w:val="000000" w:themeColor="text1"/>
                      <w:sz w:val="21"/>
                      <w:szCs w:val="21"/>
                      <w:highlight w:val="none"/>
                      <w:lang w:val="en-US" w:eastAsia="zh-CN"/>
                      <w14:textFill>
                        <w14:solidFill>
                          <w14:schemeClr w14:val="tx1"/>
                        </w14:solidFill>
                      </w14:textFill>
                    </w:rPr>
                    <w:t>全厂</w:t>
                  </w:r>
                </w:p>
              </w:tc>
            </w:tr>
            <w:tr w14:paraId="342FC87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283" w:hRule="atLeast"/>
                <w:jc w:val="center"/>
              </w:trPr>
              <w:tc>
                <w:tcPr>
                  <w:tcW w:w="5000" w:type="pct"/>
                  <w:gridSpan w:val="7"/>
                  <w:tcBorders>
                    <w:tl2br w:val="nil"/>
                    <w:tr2bl w:val="nil"/>
                  </w:tcBorders>
                  <w:shd w:val="clear" w:color="auto" w:fill="auto"/>
                  <w:vAlign w:val="center"/>
                </w:tcPr>
                <w:p w14:paraId="5F140DF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前处理车间</w:t>
                  </w:r>
                </w:p>
              </w:tc>
            </w:tr>
            <w:tr w14:paraId="0DC5AB3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07802074">
                  <w:pPr>
                    <w:pStyle w:val="63"/>
                    <w:keepNext w:val="0"/>
                    <w:keepLines w:val="0"/>
                    <w:pageBreakBefore w:val="0"/>
                    <w:widowControl w:val="0"/>
                    <w:numPr>
                      <w:ilvl w:val="0"/>
                      <w:numId w:val="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403F92E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不锈钢挑选工作台</w:t>
                  </w:r>
                </w:p>
              </w:tc>
              <w:tc>
                <w:tcPr>
                  <w:tcW w:w="1093" w:type="pct"/>
                  <w:tcBorders>
                    <w:tl2br w:val="nil"/>
                    <w:tr2bl w:val="nil"/>
                  </w:tcBorders>
                  <w:shd w:val="clear" w:color="auto" w:fill="auto"/>
                  <w:vAlign w:val="center"/>
                </w:tcPr>
                <w:p w14:paraId="378535B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w:t>
                  </w:r>
                </w:p>
              </w:tc>
              <w:tc>
                <w:tcPr>
                  <w:tcW w:w="416" w:type="pct"/>
                  <w:tcBorders>
                    <w:tl2br w:val="nil"/>
                    <w:tr2bl w:val="nil"/>
                  </w:tcBorders>
                  <w:shd w:val="clear" w:color="auto" w:fill="auto"/>
                  <w:vAlign w:val="center"/>
                </w:tcPr>
                <w:p w14:paraId="799F524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台</w:t>
                  </w:r>
                </w:p>
              </w:tc>
              <w:tc>
                <w:tcPr>
                  <w:tcW w:w="532" w:type="pct"/>
                  <w:tcBorders>
                    <w:tl2br w:val="nil"/>
                    <w:tr2bl w:val="nil"/>
                  </w:tcBorders>
                  <w:shd w:val="clear" w:color="auto" w:fill="auto"/>
                  <w:vAlign w:val="center"/>
                </w:tcPr>
                <w:p w14:paraId="5C83605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0</w:t>
                  </w:r>
                </w:p>
              </w:tc>
              <w:tc>
                <w:tcPr>
                  <w:tcW w:w="532" w:type="pct"/>
                  <w:tcBorders>
                    <w:tl2br w:val="nil"/>
                    <w:tr2bl w:val="nil"/>
                  </w:tcBorders>
                  <w:shd w:val="clear" w:color="auto" w:fill="auto"/>
                  <w:vAlign w:val="center"/>
                </w:tcPr>
                <w:p w14:paraId="3ED99FB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eastAsia="zh-TW"/>
                      <w14:textFill>
                        <w14:solidFill>
                          <w14:schemeClr w14:val="tx1"/>
                        </w14:solidFill>
                      </w14:textFill>
                    </w:rPr>
                    <w:t>2</w:t>
                  </w:r>
                </w:p>
              </w:tc>
              <w:tc>
                <w:tcPr>
                  <w:tcW w:w="557" w:type="pct"/>
                  <w:tcBorders>
                    <w:tl2br w:val="nil"/>
                    <w:tr2bl w:val="nil"/>
                  </w:tcBorders>
                  <w:shd w:val="clear" w:color="auto" w:fill="auto"/>
                  <w:vAlign w:val="center"/>
                </w:tcPr>
                <w:p w14:paraId="28D6D68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w:t>
                  </w:r>
                </w:p>
              </w:tc>
            </w:tr>
            <w:tr w14:paraId="064BC91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317" w:hRule="atLeast"/>
                <w:jc w:val="center"/>
              </w:trPr>
              <w:tc>
                <w:tcPr>
                  <w:tcW w:w="375" w:type="pct"/>
                  <w:tcBorders>
                    <w:tl2br w:val="nil"/>
                    <w:tr2bl w:val="nil"/>
                  </w:tcBorders>
                  <w:shd w:val="clear" w:color="auto" w:fill="auto"/>
                  <w:vAlign w:val="center"/>
                </w:tcPr>
                <w:p w14:paraId="36F709B7">
                  <w:pPr>
                    <w:pStyle w:val="63"/>
                    <w:keepNext w:val="0"/>
                    <w:keepLines w:val="0"/>
                    <w:pageBreakBefore w:val="0"/>
                    <w:widowControl w:val="0"/>
                    <w:numPr>
                      <w:ilvl w:val="0"/>
                      <w:numId w:val="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6E2554C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蒸润一体机</w:t>
                  </w:r>
                </w:p>
              </w:tc>
              <w:tc>
                <w:tcPr>
                  <w:tcW w:w="1093" w:type="pct"/>
                  <w:tcBorders>
                    <w:tl2br w:val="nil"/>
                    <w:tr2bl w:val="nil"/>
                  </w:tcBorders>
                  <w:shd w:val="clear" w:color="auto" w:fill="auto"/>
                  <w:vAlign w:val="center"/>
                </w:tcPr>
                <w:p w14:paraId="08A6E53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S-ZRY-4000</w:t>
                  </w:r>
                </w:p>
              </w:tc>
              <w:tc>
                <w:tcPr>
                  <w:tcW w:w="416" w:type="pct"/>
                  <w:tcBorders>
                    <w:tl2br w:val="nil"/>
                    <w:tr2bl w:val="nil"/>
                  </w:tcBorders>
                  <w:shd w:val="clear" w:color="auto" w:fill="auto"/>
                  <w:vAlign w:val="center"/>
                </w:tcPr>
                <w:p w14:paraId="77DE0A2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台</w:t>
                  </w:r>
                </w:p>
              </w:tc>
              <w:tc>
                <w:tcPr>
                  <w:tcW w:w="532" w:type="pct"/>
                  <w:tcBorders>
                    <w:tl2br w:val="nil"/>
                    <w:tr2bl w:val="nil"/>
                  </w:tcBorders>
                  <w:shd w:val="clear" w:color="auto" w:fill="auto"/>
                  <w:vAlign w:val="center"/>
                </w:tcPr>
                <w:p w14:paraId="55A2645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0</w:t>
                  </w:r>
                </w:p>
              </w:tc>
              <w:tc>
                <w:tcPr>
                  <w:tcW w:w="532" w:type="pct"/>
                  <w:tcBorders>
                    <w:tl2br w:val="nil"/>
                    <w:tr2bl w:val="nil"/>
                  </w:tcBorders>
                  <w:shd w:val="clear" w:color="auto" w:fill="auto"/>
                  <w:vAlign w:val="center"/>
                </w:tcPr>
                <w:p w14:paraId="27482F9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1</w:t>
                  </w:r>
                </w:p>
              </w:tc>
              <w:tc>
                <w:tcPr>
                  <w:tcW w:w="557" w:type="pct"/>
                  <w:tcBorders>
                    <w:tl2br w:val="nil"/>
                    <w:tr2bl w:val="nil"/>
                  </w:tcBorders>
                  <w:shd w:val="clear" w:color="auto" w:fill="auto"/>
                  <w:vAlign w:val="center"/>
                </w:tcPr>
                <w:p w14:paraId="0215D27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w:t>
                  </w:r>
                </w:p>
              </w:tc>
            </w:tr>
            <w:tr w14:paraId="70D343C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0FDDEA4C">
                  <w:pPr>
                    <w:pStyle w:val="63"/>
                    <w:keepNext w:val="0"/>
                    <w:keepLines w:val="0"/>
                    <w:pageBreakBefore w:val="0"/>
                    <w:widowControl w:val="0"/>
                    <w:numPr>
                      <w:ilvl w:val="0"/>
                      <w:numId w:val="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543AF29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润药池（可移动）</w:t>
                  </w:r>
                </w:p>
              </w:tc>
              <w:tc>
                <w:tcPr>
                  <w:tcW w:w="1093" w:type="pct"/>
                  <w:tcBorders>
                    <w:tl2br w:val="nil"/>
                    <w:tr2bl w:val="nil"/>
                  </w:tcBorders>
                  <w:shd w:val="clear" w:color="auto" w:fill="auto"/>
                  <w:vAlign w:val="top"/>
                </w:tcPr>
                <w:p w14:paraId="50C3DC96">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100L3台、200L3台</w:t>
                  </w:r>
                </w:p>
              </w:tc>
              <w:tc>
                <w:tcPr>
                  <w:tcW w:w="416" w:type="pct"/>
                  <w:tcBorders>
                    <w:tl2br w:val="nil"/>
                    <w:tr2bl w:val="nil"/>
                  </w:tcBorders>
                  <w:shd w:val="clear" w:color="auto" w:fill="auto"/>
                  <w:vAlign w:val="center"/>
                </w:tcPr>
                <w:p w14:paraId="68C5519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台</w:t>
                  </w:r>
                </w:p>
              </w:tc>
              <w:tc>
                <w:tcPr>
                  <w:tcW w:w="532" w:type="pct"/>
                  <w:tcBorders>
                    <w:tl2br w:val="nil"/>
                    <w:tr2bl w:val="nil"/>
                  </w:tcBorders>
                  <w:shd w:val="clear" w:color="auto" w:fill="auto"/>
                  <w:vAlign w:val="center"/>
                </w:tcPr>
                <w:p w14:paraId="1E07943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0</w:t>
                  </w:r>
                </w:p>
              </w:tc>
              <w:tc>
                <w:tcPr>
                  <w:tcW w:w="532" w:type="pct"/>
                  <w:tcBorders>
                    <w:tl2br w:val="nil"/>
                    <w:tr2bl w:val="nil"/>
                  </w:tcBorders>
                  <w:shd w:val="clear" w:color="auto" w:fill="auto"/>
                  <w:vAlign w:val="center"/>
                </w:tcPr>
                <w:p w14:paraId="61C9C94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eastAsia="zh-TW"/>
                      <w14:textFill>
                        <w14:solidFill>
                          <w14:schemeClr w14:val="tx1"/>
                        </w14:solidFill>
                      </w14:textFill>
                    </w:rPr>
                    <w:t>6</w:t>
                  </w:r>
                </w:p>
              </w:tc>
              <w:tc>
                <w:tcPr>
                  <w:tcW w:w="557" w:type="pct"/>
                  <w:tcBorders>
                    <w:tl2br w:val="nil"/>
                    <w:tr2bl w:val="nil"/>
                  </w:tcBorders>
                  <w:shd w:val="clear" w:color="auto" w:fill="auto"/>
                  <w:vAlign w:val="center"/>
                </w:tcPr>
                <w:p w14:paraId="79D598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w:t>
                  </w:r>
                </w:p>
              </w:tc>
            </w:tr>
            <w:tr w14:paraId="241DA7F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37224B41">
                  <w:pPr>
                    <w:pStyle w:val="63"/>
                    <w:keepNext w:val="0"/>
                    <w:keepLines w:val="0"/>
                    <w:pageBreakBefore w:val="0"/>
                    <w:widowControl w:val="0"/>
                    <w:numPr>
                      <w:ilvl w:val="0"/>
                      <w:numId w:val="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25365B9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数控往复式切药机</w:t>
                  </w:r>
                </w:p>
              </w:tc>
              <w:tc>
                <w:tcPr>
                  <w:tcW w:w="1093" w:type="pct"/>
                  <w:tcBorders>
                    <w:tl2br w:val="nil"/>
                    <w:tr2bl w:val="nil"/>
                  </w:tcBorders>
                  <w:shd w:val="clear" w:color="auto" w:fill="auto"/>
                  <w:vAlign w:val="center"/>
                </w:tcPr>
                <w:p w14:paraId="62B3A01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S-SQW-500</w:t>
                  </w:r>
                </w:p>
              </w:tc>
              <w:tc>
                <w:tcPr>
                  <w:tcW w:w="416" w:type="pct"/>
                  <w:tcBorders>
                    <w:tl2br w:val="nil"/>
                    <w:tr2bl w:val="nil"/>
                  </w:tcBorders>
                  <w:shd w:val="clear" w:color="auto" w:fill="auto"/>
                  <w:vAlign w:val="center"/>
                </w:tcPr>
                <w:p w14:paraId="33604E3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套</w:t>
                  </w:r>
                </w:p>
              </w:tc>
              <w:tc>
                <w:tcPr>
                  <w:tcW w:w="532" w:type="pct"/>
                  <w:tcBorders>
                    <w:tl2br w:val="nil"/>
                    <w:tr2bl w:val="nil"/>
                  </w:tcBorders>
                  <w:shd w:val="clear" w:color="auto" w:fill="auto"/>
                  <w:vAlign w:val="center"/>
                </w:tcPr>
                <w:p w14:paraId="5C68E30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eastAsia="zh-TW"/>
                      <w14:textFill>
                        <w14:solidFill>
                          <w14:schemeClr w14:val="tx1"/>
                        </w14:solidFill>
                      </w14:textFill>
                    </w:rPr>
                    <w:t>1</w:t>
                  </w:r>
                </w:p>
              </w:tc>
              <w:tc>
                <w:tcPr>
                  <w:tcW w:w="532" w:type="pct"/>
                  <w:tcBorders>
                    <w:tl2br w:val="nil"/>
                    <w:tr2bl w:val="nil"/>
                  </w:tcBorders>
                  <w:shd w:val="clear" w:color="auto" w:fill="auto"/>
                  <w:vAlign w:val="center"/>
                </w:tcPr>
                <w:p w14:paraId="2541389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eastAsia="zh-TW"/>
                      <w14:textFill>
                        <w14:solidFill>
                          <w14:schemeClr w14:val="tx1"/>
                        </w14:solidFill>
                      </w14:textFill>
                    </w:rPr>
                    <w:t>2</w:t>
                  </w:r>
                </w:p>
              </w:tc>
              <w:tc>
                <w:tcPr>
                  <w:tcW w:w="557" w:type="pct"/>
                  <w:tcBorders>
                    <w:tl2br w:val="nil"/>
                    <w:tr2bl w:val="nil"/>
                  </w:tcBorders>
                  <w:shd w:val="clear" w:color="auto" w:fill="auto"/>
                  <w:vAlign w:val="center"/>
                </w:tcPr>
                <w:p w14:paraId="7CCE71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w:t>
                  </w:r>
                </w:p>
              </w:tc>
            </w:tr>
            <w:tr w14:paraId="70CB352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508B1431">
                  <w:pPr>
                    <w:pStyle w:val="63"/>
                    <w:keepNext w:val="0"/>
                    <w:keepLines w:val="0"/>
                    <w:pageBreakBefore w:val="0"/>
                    <w:widowControl w:val="0"/>
                    <w:numPr>
                      <w:ilvl w:val="0"/>
                      <w:numId w:val="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4B0C9D8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中药智能切片机</w:t>
                  </w:r>
                </w:p>
              </w:tc>
              <w:tc>
                <w:tcPr>
                  <w:tcW w:w="1093" w:type="pct"/>
                  <w:tcBorders>
                    <w:tl2br w:val="nil"/>
                    <w:tr2bl w:val="nil"/>
                  </w:tcBorders>
                  <w:shd w:val="clear" w:color="auto" w:fill="auto"/>
                  <w:vAlign w:val="center"/>
                </w:tcPr>
                <w:p w14:paraId="5DC7D69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S-SXZ-460</w:t>
                  </w:r>
                </w:p>
              </w:tc>
              <w:tc>
                <w:tcPr>
                  <w:tcW w:w="416" w:type="pct"/>
                  <w:tcBorders>
                    <w:tl2br w:val="nil"/>
                    <w:tr2bl w:val="nil"/>
                  </w:tcBorders>
                  <w:shd w:val="clear" w:color="auto" w:fill="auto"/>
                  <w:vAlign w:val="center"/>
                </w:tcPr>
                <w:p w14:paraId="28FF7A6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套</w:t>
                  </w:r>
                </w:p>
              </w:tc>
              <w:tc>
                <w:tcPr>
                  <w:tcW w:w="532" w:type="pct"/>
                  <w:tcBorders>
                    <w:tl2br w:val="nil"/>
                    <w:tr2bl w:val="nil"/>
                  </w:tcBorders>
                  <w:shd w:val="clear" w:color="auto" w:fill="auto"/>
                  <w:vAlign w:val="center"/>
                </w:tcPr>
                <w:p w14:paraId="498739E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0</w:t>
                  </w:r>
                </w:p>
              </w:tc>
              <w:tc>
                <w:tcPr>
                  <w:tcW w:w="532" w:type="pct"/>
                  <w:tcBorders>
                    <w:tl2br w:val="nil"/>
                    <w:tr2bl w:val="nil"/>
                  </w:tcBorders>
                  <w:shd w:val="clear" w:color="auto" w:fill="auto"/>
                  <w:vAlign w:val="center"/>
                </w:tcPr>
                <w:p w14:paraId="11B159E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1</w:t>
                  </w:r>
                </w:p>
              </w:tc>
              <w:tc>
                <w:tcPr>
                  <w:tcW w:w="557" w:type="pct"/>
                  <w:tcBorders>
                    <w:tl2br w:val="nil"/>
                    <w:tr2bl w:val="nil"/>
                  </w:tcBorders>
                  <w:shd w:val="clear" w:color="auto" w:fill="auto"/>
                  <w:vAlign w:val="center"/>
                </w:tcPr>
                <w:p w14:paraId="0E65A7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w:t>
                  </w:r>
                </w:p>
              </w:tc>
            </w:tr>
            <w:tr w14:paraId="4220B12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7D08BEE1">
                  <w:pPr>
                    <w:pStyle w:val="63"/>
                    <w:keepNext w:val="0"/>
                    <w:keepLines w:val="0"/>
                    <w:pageBreakBefore w:val="0"/>
                    <w:widowControl w:val="0"/>
                    <w:numPr>
                      <w:ilvl w:val="0"/>
                      <w:numId w:val="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0414948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数控直切式切药机</w:t>
                  </w:r>
                </w:p>
              </w:tc>
              <w:tc>
                <w:tcPr>
                  <w:tcW w:w="1093" w:type="pct"/>
                  <w:tcBorders>
                    <w:tl2br w:val="nil"/>
                    <w:tr2bl w:val="nil"/>
                  </w:tcBorders>
                  <w:shd w:val="clear" w:color="auto" w:fill="auto"/>
                  <w:vAlign w:val="center"/>
                </w:tcPr>
                <w:p w14:paraId="6AC331C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S-SQYJ-200</w:t>
                  </w:r>
                </w:p>
              </w:tc>
              <w:tc>
                <w:tcPr>
                  <w:tcW w:w="416" w:type="pct"/>
                  <w:tcBorders>
                    <w:tl2br w:val="nil"/>
                    <w:tr2bl w:val="nil"/>
                  </w:tcBorders>
                  <w:shd w:val="clear" w:color="auto" w:fill="auto"/>
                  <w:vAlign w:val="center"/>
                </w:tcPr>
                <w:p w14:paraId="67E2F17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台</w:t>
                  </w:r>
                </w:p>
              </w:tc>
              <w:tc>
                <w:tcPr>
                  <w:tcW w:w="532" w:type="pct"/>
                  <w:tcBorders>
                    <w:tl2br w:val="nil"/>
                    <w:tr2bl w:val="nil"/>
                  </w:tcBorders>
                  <w:shd w:val="clear" w:color="auto" w:fill="auto"/>
                  <w:vAlign w:val="center"/>
                </w:tcPr>
                <w:p w14:paraId="15C7ED6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0</w:t>
                  </w:r>
                </w:p>
              </w:tc>
              <w:tc>
                <w:tcPr>
                  <w:tcW w:w="532" w:type="pct"/>
                  <w:tcBorders>
                    <w:tl2br w:val="nil"/>
                    <w:tr2bl w:val="nil"/>
                  </w:tcBorders>
                  <w:shd w:val="clear" w:color="auto" w:fill="auto"/>
                  <w:vAlign w:val="center"/>
                </w:tcPr>
                <w:p w14:paraId="259A085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1</w:t>
                  </w:r>
                </w:p>
              </w:tc>
              <w:tc>
                <w:tcPr>
                  <w:tcW w:w="557" w:type="pct"/>
                  <w:tcBorders>
                    <w:tl2br w:val="nil"/>
                    <w:tr2bl w:val="nil"/>
                  </w:tcBorders>
                  <w:shd w:val="clear" w:color="auto" w:fill="auto"/>
                  <w:vAlign w:val="center"/>
                </w:tcPr>
                <w:p w14:paraId="19A568A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w:t>
                  </w:r>
                </w:p>
              </w:tc>
            </w:tr>
            <w:tr w14:paraId="3F17C95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197A86A3">
                  <w:pPr>
                    <w:pStyle w:val="63"/>
                    <w:keepNext w:val="0"/>
                    <w:keepLines w:val="0"/>
                    <w:pageBreakBefore w:val="0"/>
                    <w:widowControl w:val="0"/>
                    <w:numPr>
                      <w:ilvl w:val="0"/>
                      <w:numId w:val="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483F2B9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敞开式烘箱</w:t>
                  </w:r>
                </w:p>
              </w:tc>
              <w:tc>
                <w:tcPr>
                  <w:tcW w:w="1093" w:type="pct"/>
                  <w:tcBorders>
                    <w:tl2br w:val="nil"/>
                    <w:tr2bl w:val="nil"/>
                  </w:tcBorders>
                  <w:shd w:val="clear" w:color="auto" w:fill="auto"/>
                  <w:vAlign w:val="top"/>
                </w:tcPr>
                <w:p w14:paraId="6AA0207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S-SHX-4</w:t>
                  </w: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(蒸汽加热)</w:t>
                  </w:r>
                </w:p>
              </w:tc>
              <w:tc>
                <w:tcPr>
                  <w:tcW w:w="416" w:type="pct"/>
                  <w:tcBorders>
                    <w:tl2br w:val="nil"/>
                    <w:tr2bl w:val="nil"/>
                  </w:tcBorders>
                  <w:shd w:val="clear" w:color="auto" w:fill="auto"/>
                  <w:vAlign w:val="center"/>
                </w:tcPr>
                <w:p w14:paraId="5D439B01">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台</w:t>
                  </w:r>
                </w:p>
              </w:tc>
              <w:tc>
                <w:tcPr>
                  <w:tcW w:w="532" w:type="pct"/>
                  <w:tcBorders>
                    <w:tl2br w:val="nil"/>
                    <w:tr2bl w:val="nil"/>
                  </w:tcBorders>
                  <w:shd w:val="clear" w:color="auto" w:fill="auto"/>
                  <w:vAlign w:val="center"/>
                </w:tcPr>
                <w:p w14:paraId="37688C23">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0</w:t>
                  </w:r>
                </w:p>
              </w:tc>
              <w:tc>
                <w:tcPr>
                  <w:tcW w:w="532" w:type="pct"/>
                  <w:tcBorders>
                    <w:tl2br w:val="nil"/>
                    <w:tr2bl w:val="nil"/>
                  </w:tcBorders>
                  <w:shd w:val="clear" w:color="auto" w:fill="auto"/>
                  <w:vAlign w:val="center"/>
                </w:tcPr>
                <w:p w14:paraId="58139477">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eastAsia="zh-TW"/>
                      <w14:textFill>
                        <w14:solidFill>
                          <w14:schemeClr w14:val="tx1"/>
                        </w14:solidFill>
                      </w14:textFill>
                    </w:rPr>
                    <w:t>1</w:t>
                  </w:r>
                </w:p>
              </w:tc>
              <w:tc>
                <w:tcPr>
                  <w:tcW w:w="557" w:type="pct"/>
                  <w:tcBorders>
                    <w:tl2br w:val="nil"/>
                    <w:tr2bl w:val="nil"/>
                  </w:tcBorders>
                  <w:shd w:val="clear" w:color="auto" w:fill="auto"/>
                  <w:vAlign w:val="center"/>
                </w:tcPr>
                <w:p w14:paraId="4E51CD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w:t>
                  </w:r>
                </w:p>
              </w:tc>
            </w:tr>
            <w:tr w14:paraId="50805FC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0D21FB89">
                  <w:pPr>
                    <w:pStyle w:val="63"/>
                    <w:keepNext w:val="0"/>
                    <w:keepLines w:val="0"/>
                    <w:pageBreakBefore w:val="0"/>
                    <w:widowControl w:val="0"/>
                    <w:numPr>
                      <w:ilvl w:val="0"/>
                      <w:numId w:val="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1306B0F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风</w:t>
                  </w:r>
                  <w:r>
                    <w:rPr>
                      <w:rFonts w:hint="default" w:ascii="Times New Roman" w:hAnsi="Times New Roman" w:eastAsia="宋体" w:cs="Times New Roman"/>
                      <w:color w:val="000000" w:themeColor="text1"/>
                      <w:kern w:val="0"/>
                      <w:szCs w:val="21"/>
                      <w:highlight w:val="none"/>
                      <w:lang w:eastAsia="zh-TW"/>
                      <w14:textFill>
                        <w14:solidFill>
                          <w14:schemeClr w14:val="tx1"/>
                        </w14:solidFill>
                      </w14:textFill>
                    </w:rPr>
                    <w:t>循环烘箱</w:t>
                  </w:r>
                </w:p>
              </w:tc>
              <w:tc>
                <w:tcPr>
                  <w:tcW w:w="1093" w:type="pct"/>
                  <w:tcBorders>
                    <w:tl2br w:val="nil"/>
                    <w:tr2bl w:val="nil"/>
                  </w:tcBorders>
                  <w:shd w:val="clear" w:color="auto" w:fill="auto"/>
                  <w:vAlign w:val="top"/>
                </w:tcPr>
                <w:p w14:paraId="5600D6A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S-HX-Ⅲ</w:t>
                  </w: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(蒸汽)</w:t>
                  </w:r>
                </w:p>
              </w:tc>
              <w:tc>
                <w:tcPr>
                  <w:tcW w:w="416" w:type="pct"/>
                  <w:tcBorders>
                    <w:tl2br w:val="nil"/>
                    <w:tr2bl w:val="nil"/>
                  </w:tcBorders>
                  <w:shd w:val="clear" w:color="auto" w:fill="auto"/>
                  <w:vAlign w:val="center"/>
                </w:tcPr>
                <w:p w14:paraId="5C5DE3C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台</w:t>
                  </w:r>
                </w:p>
              </w:tc>
              <w:tc>
                <w:tcPr>
                  <w:tcW w:w="532" w:type="pct"/>
                  <w:tcBorders>
                    <w:tl2br w:val="nil"/>
                    <w:tr2bl w:val="nil"/>
                  </w:tcBorders>
                  <w:shd w:val="clear" w:color="auto" w:fill="auto"/>
                  <w:vAlign w:val="center"/>
                </w:tcPr>
                <w:p w14:paraId="3F3A97C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Cs w:val="21"/>
                      <w:highlight w:val="none"/>
                      <w:lang w:eastAsia="zh-TW"/>
                      <w14:textFill>
                        <w14:solidFill>
                          <w14:schemeClr w14:val="tx1"/>
                        </w14:solidFill>
                      </w14:textFill>
                    </w:rPr>
                    <w:t>1</w:t>
                  </w:r>
                </w:p>
              </w:tc>
              <w:tc>
                <w:tcPr>
                  <w:tcW w:w="532" w:type="pct"/>
                  <w:tcBorders>
                    <w:tl2br w:val="nil"/>
                    <w:tr2bl w:val="nil"/>
                  </w:tcBorders>
                  <w:shd w:val="clear" w:color="auto" w:fill="auto"/>
                  <w:vAlign w:val="center"/>
                </w:tcPr>
                <w:p w14:paraId="2B9B37B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1</w:t>
                  </w:r>
                </w:p>
              </w:tc>
              <w:tc>
                <w:tcPr>
                  <w:tcW w:w="557" w:type="pct"/>
                  <w:tcBorders>
                    <w:tl2br w:val="nil"/>
                    <w:tr2bl w:val="nil"/>
                  </w:tcBorders>
                  <w:shd w:val="clear" w:color="auto" w:fill="auto"/>
                  <w:vAlign w:val="center"/>
                </w:tcPr>
                <w:p w14:paraId="14D22D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w:t>
                  </w:r>
                </w:p>
              </w:tc>
            </w:tr>
            <w:tr w14:paraId="41CF808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245CF77A">
                  <w:pPr>
                    <w:pStyle w:val="63"/>
                    <w:keepNext w:val="0"/>
                    <w:keepLines w:val="0"/>
                    <w:pageBreakBefore w:val="0"/>
                    <w:widowControl w:val="0"/>
                    <w:numPr>
                      <w:ilvl w:val="0"/>
                      <w:numId w:val="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2904A085">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粉碎机</w:t>
                  </w:r>
                </w:p>
              </w:tc>
              <w:tc>
                <w:tcPr>
                  <w:tcW w:w="1093" w:type="pct"/>
                  <w:tcBorders>
                    <w:tl2br w:val="nil"/>
                    <w:tr2bl w:val="nil"/>
                  </w:tcBorders>
                  <w:shd w:val="clear" w:color="auto" w:fill="auto"/>
                  <w:vAlign w:val="top"/>
                </w:tcPr>
                <w:p w14:paraId="68DE437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FZ-500</w:t>
                  </w:r>
                </w:p>
              </w:tc>
              <w:tc>
                <w:tcPr>
                  <w:tcW w:w="416" w:type="pct"/>
                  <w:tcBorders>
                    <w:tl2br w:val="nil"/>
                    <w:tr2bl w:val="nil"/>
                  </w:tcBorders>
                  <w:shd w:val="clear" w:color="auto" w:fill="auto"/>
                  <w:vAlign w:val="center"/>
                </w:tcPr>
                <w:p w14:paraId="1136F751">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台</w:t>
                  </w:r>
                </w:p>
              </w:tc>
              <w:tc>
                <w:tcPr>
                  <w:tcW w:w="532" w:type="pct"/>
                  <w:tcBorders>
                    <w:tl2br w:val="nil"/>
                    <w:tr2bl w:val="nil"/>
                  </w:tcBorders>
                  <w:shd w:val="clear" w:color="auto" w:fill="auto"/>
                  <w:vAlign w:val="center"/>
                </w:tcPr>
                <w:p w14:paraId="13E87307">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1</w:t>
                  </w:r>
                </w:p>
              </w:tc>
              <w:tc>
                <w:tcPr>
                  <w:tcW w:w="532" w:type="pct"/>
                  <w:tcBorders>
                    <w:tl2br w:val="nil"/>
                    <w:tr2bl w:val="nil"/>
                  </w:tcBorders>
                  <w:shd w:val="clear" w:color="auto" w:fill="auto"/>
                  <w:vAlign w:val="center"/>
                </w:tcPr>
                <w:p w14:paraId="0729FB68">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4AD9B8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1286236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6E174AF6">
                  <w:pPr>
                    <w:pStyle w:val="63"/>
                    <w:keepNext w:val="0"/>
                    <w:keepLines w:val="0"/>
                    <w:pageBreakBefore w:val="0"/>
                    <w:widowControl w:val="0"/>
                    <w:numPr>
                      <w:ilvl w:val="0"/>
                      <w:numId w:val="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3B9D0DA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筛选机</w:t>
                  </w:r>
                </w:p>
              </w:tc>
              <w:tc>
                <w:tcPr>
                  <w:tcW w:w="1093" w:type="pct"/>
                  <w:tcBorders>
                    <w:tl2br w:val="nil"/>
                    <w:tr2bl w:val="nil"/>
                  </w:tcBorders>
                  <w:shd w:val="clear" w:color="auto" w:fill="auto"/>
                  <w:vAlign w:val="top"/>
                </w:tcPr>
                <w:p w14:paraId="29449DE8">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S-SX-3</w:t>
                  </w:r>
                </w:p>
              </w:tc>
              <w:tc>
                <w:tcPr>
                  <w:tcW w:w="416" w:type="pct"/>
                  <w:tcBorders>
                    <w:tl2br w:val="nil"/>
                    <w:tr2bl w:val="nil"/>
                  </w:tcBorders>
                  <w:shd w:val="clear" w:color="auto" w:fill="auto"/>
                  <w:vAlign w:val="center"/>
                </w:tcPr>
                <w:p w14:paraId="730B7C2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台</w:t>
                  </w:r>
                </w:p>
              </w:tc>
              <w:tc>
                <w:tcPr>
                  <w:tcW w:w="532" w:type="pct"/>
                  <w:tcBorders>
                    <w:tl2br w:val="nil"/>
                    <w:tr2bl w:val="nil"/>
                  </w:tcBorders>
                  <w:shd w:val="clear" w:color="auto" w:fill="auto"/>
                  <w:vAlign w:val="center"/>
                </w:tcPr>
                <w:p w14:paraId="0C82686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0</w:t>
                  </w:r>
                </w:p>
              </w:tc>
              <w:tc>
                <w:tcPr>
                  <w:tcW w:w="532" w:type="pct"/>
                  <w:tcBorders>
                    <w:tl2br w:val="nil"/>
                    <w:tr2bl w:val="nil"/>
                  </w:tcBorders>
                  <w:shd w:val="clear" w:color="auto" w:fill="auto"/>
                  <w:vAlign w:val="center"/>
                </w:tcPr>
                <w:p w14:paraId="5FFE42A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1</w:t>
                  </w:r>
                </w:p>
              </w:tc>
              <w:tc>
                <w:tcPr>
                  <w:tcW w:w="557" w:type="pct"/>
                  <w:tcBorders>
                    <w:tl2br w:val="nil"/>
                    <w:tr2bl w:val="nil"/>
                  </w:tcBorders>
                  <w:shd w:val="clear" w:color="auto" w:fill="auto"/>
                  <w:vAlign w:val="center"/>
                </w:tcPr>
                <w:p w14:paraId="27E99B5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1</w:t>
                  </w:r>
                </w:p>
              </w:tc>
            </w:tr>
            <w:tr w14:paraId="287B876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60C4DA12">
                  <w:pPr>
                    <w:pStyle w:val="63"/>
                    <w:keepNext w:val="0"/>
                    <w:keepLines w:val="0"/>
                    <w:pageBreakBefore w:val="0"/>
                    <w:widowControl w:val="0"/>
                    <w:numPr>
                      <w:ilvl w:val="0"/>
                      <w:numId w:val="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5DDBE6D1">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破碎机</w:t>
                  </w:r>
                </w:p>
              </w:tc>
              <w:tc>
                <w:tcPr>
                  <w:tcW w:w="1093" w:type="pct"/>
                  <w:tcBorders>
                    <w:tl2br w:val="nil"/>
                    <w:tr2bl w:val="nil"/>
                  </w:tcBorders>
                  <w:shd w:val="clear" w:color="auto" w:fill="auto"/>
                  <w:vAlign w:val="center"/>
                </w:tcPr>
                <w:p w14:paraId="2894BF19">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DS-PS-400</w:t>
                  </w:r>
                </w:p>
              </w:tc>
              <w:tc>
                <w:tcPr>
                  <w:tcW w:w="416" w:type="pct"/>
                  <w:tcBorders>
                    <w:tl2br w:val="nil"/>
                    <w:tr2bl w:val="nil"/>
                  </w:tcBorders>
                  <w:shd w:val="clear" w:color="auto" w:fill="auto"/>
                  <w:vAlign w:val="center"/>
                </w:tcPr>
                <w:p w14:paraId="04A894F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台</w:t>
                  </w:r>
                </w:p>
              </w:tc>
              <w:tc>
                <w:tcPr>
                  <w:tcW w:w="532" w:type="pct"/>
                  <w:tcBorders>
                    <w:tl2br w:val="nil"/>
                    <w:tr2bl w:val="nil"/>
                  </w:tcBorders>
                  <w:shd w:val="clear" w:color="auto" w:fill="auto"/>
                  <w:vAlign w:val="center"/>
                </w:tcPr>
                <w:p w14:paraId="1EFD5998">
                  <w:pPr>
                    <w:keepNext w:val="0"/>
                    <w:keepLines w:val="0"/>
                    <w:widowControl/>
                    <w:suppressLineNumbers w:val="0"/>
                    <w:spacing w:before="0" w:beforeAutospacing="0" w:after="0" w:afterAutospacing="0"/>
                    <w:ind w:left="0" w:right="0"/>
                    <w:jc w:val="cente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0</w:t>
                  </w:r>
                </w:p>
              </w:tc>
              <w:tc>
                <w:tcPr>
                  <w:tcW w:w="532" w:type="pct"/>
                  <w:tcBorders>
                    <w:tl2br w:val="nil"/>
                    <w:tr2bl w:val="nil"/>
                  </w:tcBorders>
                  <w:shd w:val="clear" w:color="auto" w:fill="auto"/>
                  <w:vAlign w:val="center"/>
                </w:tcPr>
                <w:p w14:paraId="550BEE9E">
                  <w:pPr>
                    <w:keepNext w:val="0"/>
                    <w:keepLines w:val="0"/>
                    <w:widowControl/>
                    <w:suppressLineNumbers w:val="0"/>
                    <w:spacing w:before="0" w:beforeAutospacing="0" w:after="0" w:afterAutospacing="0"/>
                    <w:ind w:left="0" w:right="0"/>
                    <w:jc w:val="cente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1</w:t>
                  </w:r>
                </w:p>
              </w:tc>
              <w:tc>
                <w:tcPr>
                  <w:tcW w:w="557" w:type="pct"/>
                  <w:tcBorders>
                    <w:tl2br w:val="nil"/>
                    <w:tr2bl w:val="nil"/>
                  </w:tcBorders>
                  <w:shd w:val="clear" w:color="auto" w:fill="auto"/>
                  <w:vAlign w:val="center"/>
                </w:tcPr>
                <w:p w14:paraId="07F88620">
                  <w:pPr>
                    <w:keepNext w:val="0"/>
                    <w:keepLines w:val="0"/>
                    <w:widowControl/>
                    <w:suppressLineNumbers w:val="0"/>
                    <w:spacing w:before="0" w:beforeAutospacing="0" w:after="0" w:afterAutospacing="0"/>
                    <w:ind w:left="0" w:right="0"/>
                    <w:jc w:val="cente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1</w:t>
                  </w:r>
                </w:p>
              </w:tc>
            </w:tr>
            <w:tr w14:paraId="507B33A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4AB785FF">
                  <w:pPr>
                    <w:pStyle w:val="63"/>
                    <w:keepNext w:val="0"/>
                    <w:keepLines w:val="0"/>
                    <w:pageBreakBefore w:val="0"/>
                    <w:widowControl w:val="0"/>
                    <w:numPr>
                      <w:ilvl w:val="0"/>
                      <w:numId w:val="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0BCDA75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对辊式破碎机</w:t>
                  </w:r>
                </w:p>
              </w:tc>
              <w:tc>
                <w:tcPr>
                  <w:tcW w:w="1093" w:type="pct"/>
                  <w:tcBorders>
                    <w:tl2br w:val="nil"/>
                    <w:tr2bl w:val="nil"/>
                  </w:tcBorders>
                  <w:shd w:val="clear" w:color="auto" w:fill="auto"/>
                  <w:vAlign w:val="center"/>
                </w:tcPr>
                <w:p w14:paraId="2AEB6A1A">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DS-ZYJ-200</w:t>
                  </w:r>
                </w:p>
              </w:tc>
              <w:tc>
                <w:tcPr>
                  <w:tcW w:w="416" w:type="pct"/>
                  <w:tcBorders>
                    <w:tl2br w:val="nil"/>
                    <w:tr2bl w:val="nil"/>
                  </w:tcBorders>
                  <w:shd w:val="clear" w:color="auto" w:fill="auto"/>
                  <w:vAlign w:val="center"/>
                </w:tcPr>
                <w:p w14:paraId="0986FCA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台</w:t>
                  </w:r>
                </w:p>
              </w:tc>
              <w:tc>
                <w:tcPr>
                  <w:tcW w:w="532" w:type="pct"/>
                  <w:tcBorders>
                    <w:tl2br w:val="nil"/>
                    <w:tr2bl w:val="nil"/>
                  </w:tcBorders>
                  <w:shd w:val="clear" w:color="auto" w:fill="auto"/>
                  <w:vAlign w:val="center"/>
                </w:tcPr>
                <w:p w14:paraId="3C5F91A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0</w:t>
                  </w:r>
                </w:p>
              </w:tc>
              <w:tc>
                <w:tcPr>
                  <w:tcW w:w="532" w:type="pct"/>
                  <w:tcBorders>
                    <w:tl2br w:val="nil"/>
                    <w:tr2bl w:val="nil"/>
                  </w:tcBorders>
                  <w:shd w:val="clear" w:color="auto" w:fill="auto"/>
                  <w:vAlign w:val="center"/>
                </w:tcPr>
                <w:p w14:paraId="7859032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1</w:t>
                  </w:r>
                </w:p>
              </w:tc>
              <w:tc>
                <w:tcPr>
                  <w:tcW w:w="557" w:type="pct"/>
                  <w:tcBorders>
                    <w:tl2br w:val="nil"/>
                    <w:tr2bl w:val="nil"/>
                  </w:tcBorders>
                  <w:shd w:val="clear" w:color="auto" w:fill="auto"/>
                  <w:vAlign w:val="center"/>
                </w:tcPr>
                <w:p w14:paraId="129C9E9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1</w:t>
                  </w:r>
                </w:p>
              </w:tc>
            </w:tr>
            <w:tr w14:paraId="68F386E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67CB4E4A">
                  <w:pPr>
                    <w:pStyle w:val="63"/>
                    <w:keepNext w:val="0"/>
                    <w:keepLines w:val="0"/>
                    <w:pageBreakBefore w:val="0"/>
                    <w:widowControl w:val="0"/>
                    <w:numPr>
                      <w:ilvl w:val="0"/>
                      <w:numId w:val="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22C5C206">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磁吸式磨刀机</w:t>
                  </w:r>
                </w:p>
              </w:tc>
              <w:tc>
                <w:tcPr>
                  <w:tcW w:w="1093" w:type="pct"/>
                  <w:tcBorders>
                    <w:tl2br w:val="nil"/>
                    <w:tr2bl w:val="nil"/>
                  </w:tcBorders>
                  <w:shd w:val="clear" w:color="auto" w:fill="auto"/>
                  <w:vAlign w:val="center"/>
                </w:tcPr>
                <w:p w14:paraId="264ADE39">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DS-MD-560</w:t>
                  </w:r>
                </w:p>
              </w:tc>
              <w:tc>
                <w:tcPr>
                  <w:tcW w:w="416" w:type="pct"/>
                  <w:tcBorders>
                    <w:tl2br w:val="nil"/>
                    <w:tr2bl w:val="nil"/>
                  </w:tcBorders>
                  <w:shd w:val="clear" w:color="auto" w:fill="auto"/>
                  <w:vAlign w:val="center"/>
                </w:tcPr>
                <w:p w14:paraId="6ED7DBC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台</w:t>
                  </w:r>
                </w:p>
              </w:tc>
              <w:tc>
                <w:tcPr>
                  <w:tcW w:w="532" w:type="pct"/>
                  <w:tcBorders>
                    <w:tl2br w:val="nil"/>
                    <w:tr2bl w:val="nil"/>
                  </w:tcBorders>
                  <w:shd w:val="clear" w:color="auto" w:fill="auto"/>
                  <w:vAlign w:val="center"/>
                </w:tcPr>
                <w:p w14:paraId="65C759FD">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0</w:t>
                  </w:r>
                </w:p>
              </w:tc>
              <w:tc>
                <w:tcPr>
                  <w:tcW w:w="532" w:type="pct"/>
                  <w:tcBorders>
                    <w:tl2br w:val="nil"/>
                    <w:tr2bl w:val="nil"/>
                  </w:tcBorders>
                  <w:shd w:val="clear" w:color="auto" w:fill="auto"/>
                  <w:vAlign w:val="center"/>
                </w:tcPr>
                <w:p w14:paraId="5B4113DD">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1</w:t>
                  </w:r>
                </w:p>
              </w:tc>
              <w:tc>
                <w:tcPr>
                  <w:tcW w:w="557" w:type="pct"/>
                  <w:tcBorders>
                    <w:tl2br w:val="nil"/>
                    <w:tr2bl w:val="nil"/>
                  </w:tcBorders>
                  <w:shd w:val="clear" w:color="auto" w:fill="auto"/>
                  <w:vAlign w:val="center"/>
                </w:tcPr>
                <w:p w14:paraId="4063D1A8">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1</w:t>
                  </w:r>
                </w:p>
              </w:tc>
            </w:tr>
            <w:tr w14:paraId="16ECA6A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78D04236">
                  <w:pPr>
                    <w:pStyle w:val="63"/>
                    <w:keepNext w:val="0"/>
                    <w:keepLines w:val="0"/>
                    <w:pageBreakBefore w:val="0"/>
                    <w:widowControl w:val="0"/>
                    <w:numPr>
                      <w:ilvl w:val="0"/>
                      <w:numId w:val="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6398DE9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蒸煮锅</w:t>
                  </w:r>
                </w:p>
              </w:tc>
              <w:tc>
                <w:tcPr>
                  <w:tcW w:w="1093" w:type="pct"/>
                  <w:tcBorders>
                    <w:tl2br w:val="nil"/>
                    <w:tr2bl w:val="nil"/>
                  </w:tcBorders>
                  <w:shd w:val="clear" w:color="auto" w:fill="auto"/>
                  <w:vAlign w:val="center"/>
                </w:tcPr>
                <w:p w14:paraId="6F08D2C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DS-SZZ-100</w:t>
                  </w:r>
                </w:p>
              </w:tc>
              <w:tc>
                <w:tcPr>
                  <w:tcW w:w="416" w:type="pct"/>
                  <w:tcBorders>
                    <w:tl2br w:val="nil"/>
                    <w:tr2bl w:val="nil"/>
                  </w:tcBorders>
                  <w:shd w:val="clear" w:color="auto" w:fill="auto"/>
                  <w:vAlign w:val="center"/>
                </w:tcPr>
                <w:p w14:paraId="2363D524">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台</w:t>
                  </w:r>
                </w:p>
              </w:tc>
              <w:tc>
                <w:tcPr>
                  <w:tcW w:w="532" w:type="pct"/>
                  <w:tcBorders>
                    <w:tl2br w:val="nil"/>
                    <w:tr2bl w:val="nil"/>
                  </w:tcBorders>
                  <w:shd w:val="clear" w:color="auto" w:fill="auto"/>
                  <w:vAlign w:val="center"/>
                </w:tcPr>
                <w:p w14:paraId="5E08D6A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0</w:t>
                  </w:r>
                </w:p>
              </w:tc>
              <w:tc>
                <w:tcPr>
                  <w:tcW w:w="532" w:type="pct"/>
                  <w:tcBorders>
                    <w:tl2br w:val="nil"/>
                    <w:tr2bl w:val="nil"/>
                  </w:tcBorders>
                  <w:shd w:val="clear" w:color="auto" w:fill="auto"/>
                  <w:vAlign w:val="center"/>
                </w:tcPr>
                <w:p w14:paraId="2B9C409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1</w:t>
                  </w:r>
                </w:p>
              </w:tc>
              <w:tc>
                <w:tcPr>
                  <w:tcW w:w="557" w:type="pct"/>
                  <w:tcBorders>
                    <w:tl2br w:val="nil"/>
                    <w:tr2bl w:val="nil"/>
                  </w:tcBorders>
                  <w:shd w:val="clear" w:color="auto" w:fill="auto"/>
                  <w:vAlign w:val="center"/>
                </w:tcPr>
                <w:p w14:paraId="4E72C6F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1</w:t>
                  </w:r>
                </w:p>
              </w:tc>
            </w:tr>
            <w:tr w14:paraId="759F2F5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5BFE0AE4">
                  <w:pPr>
                    <w:pStyle w:val="63"/>
                    <w:keepNext w:val="0"/>
                    <w:keepLines w:val="0"/>
                    <w:pageBreakBefore w:val="0"/>
                    <w:widowControl w:val="0"/>
                    <w:numPr>
                      <w:ilvl w:val="0"/>
                      <w:numId w:val="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6C34F33A">
                  <w:pPr>
                    <w:keepNext w:val="0"/>
                    <w:keepLines w:val="0"/>
                    <w:widowControl/>
                    <w:suppressLineNumbers w:val="0"/>
                    <w:spacing w:before="0" w:beforeAutospacing="0" w:after="0" w:afterAutospacing="0"/>
                    <w:ind w:left="0" w:right="0"/>
                    <w:jc w:val="center"/>
                    <w:textAlignment w:val="center"/>
                    <w:rPr>
                      <w:rFonts w:hint="default" w:cs="Times New Roman"/>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卧式变频风选机</w:t>
                  </w:r>
                </w:p>
              </w:tc>
              <w:tc>
                <w:tcPr>
                  <w:tcW w:w="1093" w:type="pct"/>
                  <w:tcBorders>
                    <w:tl2br w:val="nil"/>
                    <w:tr2bl w:val="nil"/>
                  </w:tcBorders>
                  <w:shd w:val="clear" w:color="auto" w:fill="auto"/>
                  <w:vAlign w:val="center"/>
                </w:tcPr>
                <w:p w14:paraId="0525780A">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DS-FX-500</w:t>
                  </w:r>
                </w:p>
              </w:tc>
              <w:tc>
                <w:tcPr>
                  <w:tcW w:w="416" w:type="pct"/>
                  <w:tcBorders>
                    <w:tl2br w:val="nil"/>
                    <w:tr2bl w:val="nil"/>
                  </w:tcBorders>
                  <w:shd w:val="clear" w:color="auto" w:fill="auto"/>
                  <w:vAlign w:val="center"/>
                </w:tcPr>
                <w:p w14:paraId="55A0D46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台</w:t>
                  </w:r>
                </w:p>
              </w:tc>
              <w:tc>
                <w:tcPr>
                  <w:tcW w:w="532" w:type="pct"/>
                  <w:tcBorders>
                    <w:tl2br w:val="nil"/>
                    <w:tr2bl w:val="nil"/>
                  </w:tcBorders>
                  <w:shd w:val="clear" w:color="auto" w:fill="auto"/>
                  <w:vAlign w:val="top"/>
                </w:tcPr>
                <w:p w14:paraId="6B8697E6">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0</w:t>
                  </w:r>
                </w:p>
              </w:tc>
              <w:tc>
                <w:tcPr>
                  <w:tcW w:w="532" w:type="pct"/>
                  <w:tcBorders>
                    <w:tl2br w:val="nil"/>
                    <w:tr2bl w:val="nil"/>
                  </w:tcBorders>
                  <w:shd w:val="clear" w:color="auto" w:fill="auto"/>
                  <w:vAlign w:val="top"/>
                </w:tcPr>
                <w:p w14:paraId="3F364976">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1</w:t>
                  </w:r>
                </w:p>
              </w:tc>
              <w:tc>
                <w:tcPr>
                  <w:tcW w:w="557" w:type="pct"/>
                  <w:tcBorders>
                    <w:tl2br w:val="nil"/>
                    <w:tr2bl w:val="nil"/>
                  </w:tcBorders>
                  <w:shd w:val="clear" w:color="auto" w:fill="auto"/>
                  <w:vAlign w:val="top"/>
                </w:tcPr>
                <w:p w14:paraId="4BBC325F">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1</w:t>
                  </w:r>
                </w:p>
              </w:tc>
            </w:tr>
            <w:tr w14:paraId="70F4A2A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127936D8">
                  <w:pPr>
                    <w:pStyle w:val="63"/>
                    <w:keepNext w:val="0"/>
                    <w:keepLines w:val="0"/>
                    <w:pageBreakBefore w:val="0"/>
                    <w:widowControl w:val="0"/>
                    <w:numPr>
                      <w:ilvl w:val="0"/>
                      <w:numId w:val="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754EE515">
                  <w:pPr>
                    <w:keepNext w:val="0"/>
                    <w:keepLines w:val="0"/>
                    <w:widowControl/>
                    <w:suppressLineNumbers w:val="0"/>
                    <w:spacing w:before="0" w:beforeAutospacing="0" w:after="0" w:afterAutospacing="0"/>
                    <w:ind w:left="0" w:right="0"/>
                    <w:jc w:val="center"/>
                    <w:rPr>
                      <w:rFonts w:hint="default" w:cs="Times New Roman"/>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炒药机</w:t>
                  </w:r>
                </w:p>
              </w:tc>
              <w:tc>
                <w:tcPr>
                  <w:tcW w:w="1093" w:type="pct"/>
                  <w:tcBorders>
                    <w:tl2br w:val="nil"/>
                    <w:tr2bl w:val="nil"/>
                  </w:tcBorders>
                  <w:shd w:val="clear" w:color="auto" w:fill="auto"/>
                  <w:vAlign w:val="top"/>
                </w:tcPr>
                <w:p w14:paraId="372612E3">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w:t>
                  </w:r>
                </w:p>
              </w:tc>
              <w:tc>
                <w:tcPr>
                  <w:tcW w:w="416" w:type="pct"/>
                  <w:tcBorders>
                    <w:tl2br w:val="nil"/>
                    <w:tr2bl w:val="nil"/>
                  </w:tcBorders>
                  <w:shd w:val="clear" w:color="auto" w:fill="auto"/>
                  <w:vAlign w:val="center"/>
                </w:tcPr>
                <w:p w14:paraId="00C5265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台</w:t>
                  </w:r>
                </w:p>
              </w:tc>
              <w:tc>
                <w:tcPr>
                  <w:tcW w:w="532" w:type="pct"/>
                  <w:tcBorders>
                    <w:tl2br w:val="nil"/>
                    <w:tr2bl w:val="nil"/>
                  </w:tcBorders>
                  <w:shd w:val="clear" w:color="auto" w:fill="auto"/>
                  <w:vAlign w:val="top"/>
                </w:tcPr>
                <w:p w14:paraId="045264C7">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4</w:t>
                  </w:r>
                </w:p>
              </w:tc>
              <w:tc>
                <w:tcPr>
                  <w:tcW w:w="532" w:type="pct"/>
                  <w:tcBorders>
                    <w:tl2br w:val="nil"/>
                    <w:tr2bl w:val="nil"/>
                  </w:tcBorders>
                  <w:shd w:val="clear" w:color="auto" w:fill="auto"/>
                  <w:vAlign w:val="top"/>
                </w:tcPr>
                <w:p w14:paraId="607F82BE">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2</w:t>
                  </w:r>
                </w:p>
              </w:tc>
              <w:tc>
                <w:tcPr>
                  <w:tcW w:w="557" w:type="pct"/>
                  <w:tcBorders>
                    <w:tl2br w:val="nil"/>
                    <w:tr2bl w:val="nil"/>
                  </w:tcBorders>
                  <w:shd w:val="clear" w:color="auto" w:fill="auto"/>
                  <w:vAlign w:val="center"/>
                </w:tcPr>
                <w:p w14:paraId="5C4CC6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w:t>
                  </w:r>
                </w:p>
              </w:tc>
            </w:tr>
            <w:tr w14:paraId="1AA939B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4B86D62C">
                  <w:pPr>
                    <w:pStyle w:val="63"/>
                    <w:keepNext w:val="0"/>
                    <w:keepLines w:val="0"/>
                    <w:pageBreakBefore w:val="0"/>
                    <w:widowControl w:val="0"/>
                    <w:numPr>
                      <w:ilvl w:val="0"/>
                      <w:numId w:val="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26AC2A79">
                  <w:pPr>
                    <w:keepNext w:val="0"/>
                    <w:keepLines w:val="0"/>
                    <w:widowControl/>
                    <w:suppressLineNumbers w:val="0"/>
                    <w:spacing w:before="0" w:beforeAutospacing="0" w:after="0" w:afterAutospacing="0"/>
                    <w:ind w:left="0" w:right="0"/>
                    <w:jc w:val="center"/>
                    <w:rPr>
                      <w:rFonts w:hint="default" w:cs="Times New Roman"/>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压扁机</w:t>
                  </w:r>
                </w:p>
              </w:tc>
              <w:tc>
                <w:tcPr>
                  <w:tcW w:w="1093" w:type="pct"/>
                  <w:tcBorders>
                    <w:tl2br w:val="nil"/>
                    <w:tr2bl w:val="nil"/>
                  </w:tcBorders>
                  <w:shd w:val="clear" w:color="auto" w:fill="auto"/>
                  <w:vAlign w:val="center"/>
                </w:tcPr>
                <w:p w14:paraId="7C73FD5B">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eastAsia="zh-TW"/>
                      <w14:textFill>
                        <w14:solidFill>
                          <w14:schemeClr w14:val="tx1"/>
                        </w14:solidFill>
                      </w14:textFill>
                    </w:rPr>
                    <w:t> PYB-500</w:t>
                  </w:r>
                </w:p>
              </w:tc>
              <w:tc>
                <w:tcPr>
                  <w:tcW w:w="416" w:type="pct"/>
                  <w:tcBorders>
                    <w:tl2br w:val="nil"/>
                    <w:tr2bl w:val="nil"/>
                  </w:tcBorders>
                  <w:shd w:val="clear" w:color="auto" w:fill="auto"/>
                  <w:vAlign w:val="center"/>
                </w:tcPr>
                <w:p w14:paraId="4D91E18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台</w:t>
                  </w:r>
                </w:p>
              </w:tc>
              <w:tc>
                <w:tcPr>
                  <w:tcW w:w="532" w:type="pct"/>
                  <w:tcBorders>
                    <w:tl2br w:val="nil"/>
                    <w:tr2bl w:val="nil"/>
                  </w:tcBorders>
                  <w:shd w:val="clear" w:color="auto" w:fill="auto"/>
                  <w:vAlign w:val="top"/>
                </w:tcPr>
                <w:p w14:paraId="04ADF572">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1</w:t>
                  </w:r>
                </w:p>
              </w:tc>
              <w:tc>
                <w:tcPr>
                  <w:tcW w:w="532" w:type="pct"/>
                  <w:tcBorders>
                    <w:tl2br w:val="nil"/>
                    <w:tr2bl w:val="nil"/>
                  </w:tcBorders>
                  <w:shd w:val="clear" w:color="auto" w:fill="auto"/>
                  <w:vAlign w:val="top"/>
                </w:tcPr>
                <w:p w14:paraId="5218393B">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7ADFEF1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w:t>
                  </w:r>
                </w:p>
              </w:tc>
            </w:tr>
            <w:tr w14:paraId="48B7904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59050A37">
                  <w:pPr>
                    <w:pStyle w:val="63"/>
                    <w:keepNext w:val="0"/>
                    <w:keepLines w:val="0"/>
                    <w:pageBreakBefore w:val="0"/>
                    <w:widowControl w:val="0"/>
                    <w:numPr>
                      <w:ilvl w:val="0"/>
                      <w:numId w:val="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221C13D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洗药机</w:t>
                  </w:r>
                </w:p>
              </w:tc>
              <w:tc>
                <w:tcPr>
                  <w:tcW w:w="1093" w:type="pct"/>
                  <w:tcBorders>
                    <w:tl2br w:val="nil"/>
                    <w:tr2bl w:val="nil"/>
                  </w:tcBorders>
                  <w:shd w:val="clear" w:color="auto" w:fill="auto"/>
                  <w:vAlign w:val="center"/>
                </w:tcPr>
                <w:p w14:paraId="5C2CF14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XY720-1</w:t>
                  </w:r>
                </w:p>
              </w:tc>
              <w:tc>
                <w:tcPr>
                  <w:tcW w:w="416" w:type="pct"/>
                  <w:tcBorders>
                    <w:tl2br w:val="nil"/>
                    <w:tr2bl w:val="nil"/>
                  </w:tcBorders>
                  <w:shd w:val="clear" w:color="auto" w:fill="auto"/>
                  <w:vAlign w:val="center"/>
                </w:tcPr>
                <w:p w14:paraId="62C9B0B2">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台</w:t>
                  </w:r>
                </w:p>
              </w:tc>
              <w:tc>
                <w:tcPr>
                  <w:tcW w:w="532" w:type="pct"/>
                  <w:tcBorders>
                    <w:tl2br w:val="nil"/>
                    <w:tr2bl w:val="nil"/>
                  </w:tcBorders>
                  <w:shd w:val="clear" w:color="auto" w:fill="auto"/>
                  <w:vAlign w:val="top"/>
                </w:tcPr>
                <w:p w14:paraId="07C0ABD6">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0</w:t>
                  </w:r>
                </w:p>
              </w:tc>
              <w:tc>
                <w:tcPr>
                  <w:tcW w:w="532" w:type="pct"/>
                  <w:tcBorders>
                    <w:tl2br w:val="nil"/>
                    <w:tr2bl w:val="nil"/>
                  </w:tcBorders>
                  <w:shd w:val="clear" w:color="auto" w:fill="auto"/>
                  <w:vAlign w:val="top"/>
                </w:tcPr>
                <w:p w14:paraId="73AE577E">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1</w:t>
                  </w:r>
                </w:p>
              </w:tc>
              <w:tc>
                <w:tcPr>
                  <w:tcW w:w="557" w:type="pct"/>
                  <w:tcBorders>
                    <w:tl2br w:val="nil"/>
                    <w:tr2bl w:val="nil"/>
                  </w:tcBorders>
                  <w:shd w:val="clear" w:color="auto" w:fill="auto"/>
                  <w:vAlign w:val="center"/>
                </w:tcPr>
                <w:p w14:paraId="1E8B9D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w:t>
                  </w:r>
                </w:p>
              </w:tc>
            </w:tr>
            <w:tr w14:paraId="0407336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1B04F794">
                  <w:pPr>
                    <w:pStyle w:val="63"/>
                    <w:keepNext w:val="0"/>
                    <w:keepLines w:val="0"/>
                    <w:pageBreakBefore w:val="0"/>
                    <w:widowControl w:val="0"/>
                    <w:numPr>
                      <w:ilvl w:val="0"/>
                      <w:numId w:val="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58925060">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螺杆空压机</w:t>
                  </w:r>
                </w:p>
              </w:tc>
              <w:tc>
                <w:tcPr>
                  <w:tcW w:w="1093" w:type="pct"/>
                  <w:tcBorders>
                    <w:tl2br w:val="nil"/>
                    <w:tr2bl w:val="nil"/>
                  </w:tcBorders>
                  <w:shd w:val="clear" w:color="auto" w:fill="auto"/>
                  <w:vAlign w:val="center"/>
                </w:tcPr>
                <w:p w14:paraId="6152763C">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000000" w:themeColor="text1"/>
                      <w:kern w:val="2"/>
                      <w:sz w:val="22"/>
                      <w:szCs w:val="22"/>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STL-22A</w:t>
                  </w:r>
                </w:p>
              </w:tc>
              <w:tc>
                <w:tcPr>
                  <w:tcW w:w="416" w:type="pct"/>
                  <w:tcBorders>
                    <w:tl2br w:val="nil"/>
                    <w:tr2bl w:val="nil"/>
                  </w:tcBorders>
                  <w:shd w:val="clear" w:color="auto" w:fill="auto"/>
                  <w:vAlign w:val="center"/>
                </w:tcPr>
                <w:p w14:paraId="6CC822AE">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台</w:t>
                  </w:r>
                </w:p>
              </w:tc>
              <w:tc>
                <w:tcPr>
                  <w:tcW w:w="532" w:type="pct"/>
                  <w:tcBorders>
                    <w:tl2br w:val="nil"/>
                    <w:tr2bl w:val="nil"/>
                  </w:tcBorders>
                  <w:shd w:val="clear" w:color="auto" w:fill="auto"/>
                  <w:vAlign w:val="top"/>
                </w:tcPr>
                <w:p w14:paraId="4CA125B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1</w:t>
                  </w:r>
                </w:p>
              </w:tc>
              <w:tc>
                <w:tcPr>
                  <w:tcW w:w="532" w:type="pct"/>
                  <w:tcBorders>
                    <w:tl2br w:val="nil"/>
                    <w:tr2bl w:val="nil"/>
                  </w:tcBorders>
                  <w:shd w:val="clear" w:color="auto" w:fill="auto"/>
                  <w:vAlign w:val="top"/>
                </w:tcPr>
                <w:p w14:paraId="2DF6464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0F0057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w:t>
                  </w:r>
                </w:p>
              </w:tc>
            </w:tr>
            <w:tr w14:paraId="417B0E9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53A270F6">
                  <w:pPr>
                    <w:pStyle w:val="63"/>
                    <w:keepNext w:val="0"/>
                    <w:keepLines w:val="0"/>
                    <w:pageBreakBefore w:val="0"/>
                    <w:widowControl w:val="0"/>
                    <w:numPr>
                      <w:ilvl w:val="0"/>
                      <w:numId w:val="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2E840DFF">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双螺杆空压机</w:t>
                  </w:r>
                </w:p>
              </w:tc>
              <w:tc>
                <w:tcPr>
                  <w:tcW w:w="1093" w:type="pct"/>
                  <w:tcBorders>
                    <w:tl2br w:val="nil"/>
                    <w:tr2bl w:val="nil"/>
                  </w:tcBorders>
                  <w:shd w:val="clear" w:color="auto" w:fill="auto"/>
                  <w:vAlign w:val="center"/>
                </w:tcPr>
                <w:p w14:paraId="44218E1E">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STL-22A</w:t>
                  </w:r>
                </w:p>
              </w:tc>
              <w:tc>
                <w:tcPr>
                  <w:tcW w:w="416" w:type="pct"/>
                  <w:tcBorders>
                    <w:tl2br w:val="nil"/>
                    <w:tr2bl w:val="nil"/>
                  </w:tcBorders>
                  <w:shd w:val="clear" w:color="auto" w:fill="auto"/>
                  <w:vAlign w:val="center"/>
                </w:tcPr>
                <w:p w14:paraId="0A135598">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台</w:t>
                  </w:r>
                </w:p>
              </w:tc>
              <w:tc>
                <w:tcPr>
                  <w:tcW w:w="532" w:type="pct"/>
                  <w:tcBorders>
                    <w:tl2br w:val="nil"/>
                    <w:tr2bl w:val="nil"/>
                  </w:tcBorders>
                  <w:shd w:val="clear" w:color="auto" w:fill="auto"/>
                  <w:vAlign w:val="top"/>
                </w:tcPr>
                <w:p w14:paraId="6E5A650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1</w:t>
                  </w:r>
                </w:p>
              </w:tc>
              <w:tc>
                <w:tcPr>
                  <w:tcW w:w="532" w:type="pct"/>
                  <w:tcBorders>
                    <w:tl2br w:val="nil"/>
                    <w:tr2bl w:val="nil"/>
                  </w:tcBorders>
                  <w:shd w:val="clear" w:color="auto" w:fill="auto"/>
                  <w:vAlign w:val="top"/>
                </w:tcPr>
                <w:p w14:paraId="566F12F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1B1F8C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w:t>
                  </w:r>
                </w:p>
              </w:tc>
            </w:tr>
            <w:tr w14:paraId="61F2DB2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3A3AFA25">
                  <w:pPr>
                    <w:pStyle w:val="63"/>
                    <w:keepNext w:val="0"/>
                    <w:keepLines w:val="0"/>
                    <w:pageBreakBefore w:val="0"/>
                    <w:widowControl w:val="0"/>
                    <w:numPr>
                      <w:ilvl w:val="0"/>
                      <w:numId w:val="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0A7D13AB">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直线振动筛</w:t>
                  </w:r>
                </w:p>
              </w:tc>
              <w:tc>
                <w:tcPr>
                  <w:tcW w:w="1093" w:type="pct"/>
                  <w:tcBorders>
                    <w:tl2br w:val="nil"/>
                    <w:tr2bl w:val="nil"/>
                  </w:tcBorders>
                  <w:shd w:val="clear" w:color="auto" w:fill="auto"/>
                  <w:vAlign w:val="center"/>
                </w:tcPr>
                <w:p w14:paraId="7957F046">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SZF-516</w:t>
                  </w:r>
                </w:p>
              </w:tc>
              <w:tc>
                <w:tcPr>
                  <w:tcW w:w="416" w:type="pct"/>
                  <w:tcBorders>
                    <w:tl2br w:val="nil"/>
                    <w:tr2bl w:val="nil"/>
                  </w:tcBorders>
                  <w:shd w:val="clear" w:color="auto" w:fill="auto"/>
                  <w:vAlign w:val="center"/>
                </w:tcPr>
                <w:p w14:paraId="65BCDF9C">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台</w:t>
                  </w:r>
                </w:p>
              </w:tc>
              <w:tc>
                <w:tcPr>
                  <w:tcW w:w="532" w:type="pct"/>
                  <w:tcBorders>
                    <w:tl2br w:val="nil"/>
                    <w:tr2bl w:val="nil"/>
                  </w:tcBorders>
                  <w:shd w:val="clear" w:color="auto" w:fill="auto"/>
                  <w:vAlign w:val="top"/>
                </w:tcPr>
                <w:p w14:paraId="208BFED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1</w:t>
                  </w:r>
                </w:p>
              </w:tc>
              <w:tc>
                <w:tcPr>
                  <w:tcW w:w="532" w:type="pct"/>
                  <w:tcBorders>
                    <w:tl2br w:val="nil"/>
                    <w:tr2bl w:val="nil"/>
                  </w:tcBorders>
                  <w:shd w:val="clear" w:color="auto" w:fill="auto"/>
                  <w:vAlign w:val="top"/>
                </w:tcPr>
                <w:p w14:paraId="1D6116B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5411B57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w:t>
                  </w:r>
                </w:p>
              </w:tc>
            </w:tr>
            <w:tr w14:paraId="576EA97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1C3D2911">
                  <w:pPr>
                    <w:pStyle w:val="63"/>
                    <w:keepNext w:val="0"/>
                    <w:keepLines w:val="0"/>
                    <w:pageBreakBefore w:val="0"/>
                    <w:widowControl w:val="0"/>
                    <w:numPr>
                      <w:ilvl w:val="0"/>
                      <w:numId w:val="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197966B5">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枳壳加工生产线</w:t>
                  </w:r>
                </w:p>
              </w:tc>
              <w:tc>
                <w:tcPr>
                  <w:tcW w:w="1093" w:type="pct"/>
                  <w:tcBorders>
                    <w:tl2br w:val="nil"/>
                    <w:tr2bl w:val="nil"/>
                  </w:tcBorders>
                  <w:shd w:val="clear" w:color="auto" w:fill="auto"/>
                  <w:vAlign w:val="center"/>
                </w:tcPr>
                <w:p w14:paraId="67995E72">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w:t>
                  </w:r>
                </w:p>
              </w:tc>
              <w:tc>
                <w:tcPr>
                  <w:tcW w:w="416" w:type="pct"/>
                  <w:tcBorders>
                    <w:tl2br w:val="nil"/>
                    <w:tr2bl w:val="nil"/>
                  </w:tcBorders>
                  <w:shd w:val="clear" w:color="auto" w:fill="auto"/>
                  <w:vAlign w:val="center"/>
                </w:tcPr>
                <w:p w14:paraId="0ED37BBC">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台</w:t>
                  </w:r>
                </w:p>
              </w:tc>
              <w:tc>
                <w:tcPr>
                  <w:tcW w:w="532" w:type="pct"/>
                  <w:tcBorders>
                    <w:tl2br w:val="nil"/>
                    <w:tr2bl w:val="nil"/>
                  </w:tcBorders>
                  <w:shd w:val="clear" w:color="auto" w:fill="auto"/>
                  <w:vAlign w:val="top"/>
                </w:tcPr>
                <w:p w14:paraId="4018855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1</w:t>
                  </w:r>
                </w:p>
              </w:tc>
              <w:tc>
                <w:tcPr>
                  <w:tcW w:w="532" w:type="pct"/>
                  <w:tcBorders>
                    <w:tl2br w:val="nil"/>
                    <w:tr2bl w:val="nil"/>
                  </w:tcBorders>
                  <w:shd w:val="clear" w:color="auto" w:fill="auto"/>
                  <w:vAlign w:val="top"/>
                </w:tcPr>
                <w:p w14:paraId="2494CCF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63B892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w:t>
                  </w:r>
                </w:p>
              </w:tc>
            </w:tr>
            <w:tr w14:paraId="630CFF4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283" w:hRule="atLeast"/>
                <w:jc w:val="center"/>
              </w:trPr>
              <w:tc>
                <w:tcPr>
                  <w:tcW w:w="5000" w:type="pct"/>
                  <w:gridSpan w:val="7"/>
                  <w:tcBorders>
                    <w:tl2br w:val="nil"/>
                    <w:tr2bl w:val="nil"/>
                  </w:tcBorders>
                  <w:shd w:val="clear" w:color="auto" w:fill="auto"/>
                  <w:vAlign w:val="center"/>
                </w:tcPr>
                <w:p w14:paraId="0DA5636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创新制剂车间</w:t>
                  </w:r>
                </w:p>
              </w:tc>
            </w:tr>
            <w:tr w14:paraId="0B7BE29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5AE0210C">
                  <w:pPr>
                    <w:pStyle w:val="63"/>
                    <w:keepNext w:val="0"/>
                    <w:keepLines w:val="0"/>
                    <w:pageBreakBefore w:val="0"/>
                    <w:widowControl w:val="0"/>
                    <w:numPr>
                      <w:ilvl w:val="0"/>
                      <w:numId w:val="8"/>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27BC4670">
                  <w:pPr>
                    <w:keepNext w:val="0"/>
                    <w:keepLines w:val="0"/>
                    <w:widowControl/>
                    <w:suppressLineNumbers w:val="0"/>
                    <w:spacing w:before="0" w:beforeAutospacing="0" w:after="0" w:afterAutospacing="0"/>
                    <w:ind w:left="0" w:right="0"/>
                    <w:jc w:val="center"/>
                    <w:rPr>
                      <w:rFonts w:hint="default" w:cs="Times New Roman"/>
                      <w:bCs/>
                      <w:color w:val="000000" w:themeColor="text1"/>
                      <w:sz w:val="2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万能粉碎机</w:t>
                  </w:r>
                </w:p>
              </w:tc>
              <w:tc>
                <w:tcPr>
                  <w:tcW w:w="1093" w:type="pct"/>
                  <w:tcBorders>
                    <w:tl2br w:val="nil"/>
                    <w:tr2bl w:val="nil"/>
                  </w:tcBorders>
                  <w:shd w:val="clear" w:color="auto" w:fill="auto"/>
                  <w:vAlign w:val="center"/>
                </w:tcPr>
                <w:p w14:paraId="393725E9">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WF-40B</w:t>
                  </w:r>
                </w:p>
              </w:tc>
              <w:tc>
                <w:tcPr>
                  <w:tcW w:w="416" w:type="pct"/>
                  <w:tcBorders>
                    <w:tl2br w:val="nil"/>
                    <w:tr2bl w:val="nil"/>
                  </w:tcBorders>
                  <w:shd w:val="clear" w:color="auto" w:fill="auto"/>
                  <w:vAlign w:val="center"/>
                </w:tcPr>
                <w:p w14:paraId="2DE35DB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0E56C640">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0</w:t>
                  </w:r>
                </w:p>
              </w:tc>
              <w:tc>
                <w:tcPr>
                  <w:tcW w:w="532" w:type="pct"/>
                  <w:tcBorders>
                    <w:tl2br w:val="nil"/>
                    <w:tr2bl w:val="nil"/>
                  </w:tcBorders>
                  <w:shd w:val="clear" w:color="auto" w:fill="auto"/>
                  <w:vAlign w:val="center"/>
                </w:tcPr>
                <w:p w14:paraId="1361966F">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c>
                <w:tcPr>
                  <w:tcW w:w="557" w:type="pct"/>
                  <w:tcBorders>
                    <w:tl2br w:val="nil"/>
                    <w:tr2bl w:val="nil"/>
                  </w:tcBorders>
                  <w:shd w:val="clear" w:color="auto" w:fill="auto"/>
                  <w:vAlign w:val="center"/>
                </w:tcPr>
                <w:p w14:paraId="2A962D21">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r>
            <w:tr w14:paraId="1B0C8FC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0B69268F">
                  <w:pPr>
                    <w:pStyle w:val="63"/>
                    <w:keepNext w:val="0"/>
                    <w:keepLines w:val="0"/>
                    <w:pageBreakBefore w:val="0"/>
                    <w:widowControl w:val="0"/>
                    <w:numPr>
                      <w:ilvl w:val="0"/>
                      <w:numId w:val="8"/>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19DF08C0">
                  <w:pPr>
                    <w:keepNext w:val="0"/>
                    <w:keepLines w:val="0"/>
                    <w:widowControl/>
                    <w:suppressLineNumbers w:val="0"/>
                    <w:spacing w:before="0" w:beforeAutospacing="0" w:after="0" w:afterAutospacing="0"/>
                    <w:ind w:left="0" w:right="0"/>
                    <w:jc w:val="center"/>
                    <w:rPr>
                      <w:rFonts w:hint="default" w:cs="Times New Roman"/>
                      <w:bCs/>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配</w:t>
                  </w:r>
                  <w:r>
                    <w:rPr>
                      <w:rFonts w:hint="eastAsia"/>
                      <w:color w:val="000000" w:themeColor="text1"/>
                      <w:szCs w:val="21"/>
                      <w:highlight w:val="none"/>
                      <w14:textFill>
                        <w14:solidFill>
                          <w14:schemeClr w14:val="tx1"/>
                        </w14:solidFill>
                      </w14:textFill>
                    </w:rPr>
                    <w:t>浆</w:t>
                  </w:r>
                  <w:r>
                    <w:rPr>
                      <w:rFonts w:hint="default"/>
                      <w:color w:val="000000" w:themeColor="text1"/>
                      <w:szCs w:val="21"/>
                      <w:highlight w:val="none"/>
                      <w14:textFill>
                        <w14:solidFill>
                          <w14:schemeClr w14:val="tx1"/>
                        </w14:solidFill>
                      </w14:textFill>
                    </w:rPr>
                    <w:t>罐</w:t>
                  </w:r>
                </w:p>
              </w:tc>
              <w:tc>
                <w:tcPr>
                  <w:tcW w:w="1093" w:type="pct"/>
                  <w:tcBorders>
                    <w:tl2br w:val="nil"/>
                    <w:tr2bl w:val="nil"/>
                  </w:tcBorders>
                  <w:shd w:val="clear" w:color="auto" w:fill="auto"/>
                  <w:vAlign w:val="center"/>
                </w:tcPr>
                <w:p w14:paraId="213F44A5">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200L</w:t>
                  </w:r>
                </w:p>
              </w:tc>
              <w:tc>
                <w:tcPr>
                  <w:tcW w:w="416" w:type="pct"/>
                  <w:tcBorders>
                    <w:tl2br w:val="nil"/>
                    <w:tr2bl w:val="nil"/>
                  </w:tcBorders>
                  <w:shd w:val="clear" w:color="auto" w:fill="auto"/>
                  <w:vAlign w:val="center"/>
                </w:tcPr>
                <w:p w14:paraId="2D13313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kern w:val="0"/>
                      <w:sz w:val="20"/>
                      <w:szCs w:val="20"/>
                      <w:highlight w:val="none"/>
                      <w:lang w:val="en-US" w:eastAsia="zh-CN" w:bidi="ar"/>
                      <w14:textFill>
                        <w14:solidFill>
                          <w14:schemeClr w14:val="tx1"/>
                        </w14:solidFill>
                      </w14:textFill>
                    </w:rPr>
                    <w:t>个</w:t>
                  </w:r>
                </w:p>
              </w:tc>
              <w:tc>
                <w:tcPr>
                  <w:tcW w:w="532" w:type="pct"/>
                  <w:tcBorders>
                    <w:tl2br w:val="nil"/>
                    <w:tr2bl w:val="nil"/>
                  </w:tcBorders>
                  <w:shd w:val="clear" w:color="auto" w:fill="auto"/>
                  <w:vAlign w:val="center"/>
                </w:tcPr>
                <w:p w14:paraId="01794E78">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0</w:t>
                  </w:r>
                </w:p>
              </w:tc>
              <w:tc>
                <w:tcPr>
                  <w:tcW w:w="532" w:type="pct"/>
                  <w:tcBorders>
                    <w:tl2br w:val="nil"/>
                    <w:tr2bl w:val="nil"/>
                  </w:tcBorders>
                  <w:shd w:val="clear" w:color="auto" w:fill="auto"/>
                  <w:vAlign w:val="center"/>
                </w:tcPr>
                <w:p w14:paraId="2CEC25BF">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c>
                <w:tcPr>
                  <w:tcW w:w="557" w:type="pct"/>
                  <w:tcBorders>
                    <w:tl2br w:val="nil"/>
                    <w:tr2bl w:val="nil"/>
                  </w:tcBorders>
                  <w:shd w:val="clear" w:color="auto" w:fill="auto"/>
                  <w:vAlign w:val="center"/>
                </w:tcPr>
                <w:p w14:paraId="553C9DF7">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r>
            <w:tr w14:paraId="3E0B8DE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79042977">
                  <w:pPr>
                    <w:pStyle w:val="63"/>
                    <w:keepNext w:val="0"/>
                    <w:keepLines w:val="0"/>
                    <w:pageBreakBefore w:val="0"/>
                    <w:widowControl w:val="0"/>
                    <w:numPr>
                      <w:ilvl w:val="0"/>
                      <w:numId w:val="8"/>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095E5F40">
                  <w:pPr>
                    <w:keepNext w:val="0"/>
                    <w:keepLines w:val="0"/>
                    <w:widowControl/>
                    <w:suppressLineNumbers w:val="0"/>
                    <w:spacing w:before="0" w:beforeAutospacing="0" w:after="0" w:afterAutospacing="0"/>
                    <w:ind w:left="0" w:right="0"/>
                    <w:jc w:val="center"/>
                    <w:rPr>
                      <w:rFonts w:hint="default" w:cs="Times New Roman"/>
                      <w:bCs/>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多功能流化床</w:t>
                  </w:r>
                </w:p>
              </w:tc>
              <w:tc>
                <w:tcPr>
                  <w:tcW w:w="1093" w:type="pct"/>
                  <w:tcBorders>
                    <w:tl2br w:val="nil"/>
                    <w:tr2bl w:val="nil"/>
                  </w:tcBorders>
                  <w:shd w:val="clear" w:color="auto" w:fill="auto"/>
                  <w:vAlign w:val="center"/>
                </w:tcPr>
                <w:p w14:paraId="7723BF62">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WBF-120（80）</w:t>
                  </w:r>
                </w:p>
              </w:tc>
              <w:tc>
                <w:tcPr>
                  <w:tcW w:w="416" w:type="pct"/>
                  <w:tcBorders>
                    <w:tl2br w:val="nil"/>
                    <w:tr2bl w:val="nil"/>
                  </w:tcBorders>
                  <w:shd w:val="clear" w:color="auto" w:fill="auto"/>
                  <w:vAlign w:val="center"/>
                </w:tcPr>
                <w:p w14:paraId="540D98A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5BC2D9E5">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0</w:t>
                  </w:r>
                </w:p>
              </w:tc>
              <w:tc>
                <w:tcPr>
                  <w:tcW w:w="532" w:type="pct"/>
                  <w:tcBorders>
                    <w:tl2br w:val="nil"/>
                    <w:tr2bl w:val="nil"/>
                  </w:tcBorders>
                  <w:shd w:val="clear" w:color="auto" w:fill="auto"/>
                  <w:vAlign w:val="center"/>
                </w:tcPr>
                <w:p w14:paraId="05B41661">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c>
                <w:tcPr>
                  <w:tcW w:w="557" w:type="pct"/>
                  <w:tcBorders>
                    <w:tl2br w:val="nil"/>
                    <w:tr2bl w:val="nil"/>
                  </w:tcBorders>
                  <w:shd w:val="clear" w:color="auto" w:fill="auto"/>
                  <w:vAlign w:val="center"/>
                </w:tcPr>
                <w:p w14:paraId="0913249F">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r>
            <w:tr w14:paraId="3510525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5C1D4A0A">
                  <w:pPr>
                    <w:pStyle w:val="63"/>
                    <w:keepNext w:val="0"/>
                    <w:keepLines w:val="0"/>
                    <w:pageBreakBefore w:val="0"/>
                    <w:widowControl w:val="0"/>
                    <w:numPr>
                      <w:ilvl w:val="0"/>
                      <w:numId w:val="8"/>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622FEE69">
                  <w:pPr>
                    <w:keepNext w:val="0"/>
                    <w:keepLines w:val="0"/>
                    <w:widowControl/>
                    <w:suppressLineNumbers w:val="0"/>
                    <w:spacing w:before="0" w:beforeAutospacing="0" w:after="0" w:afterAutospacing="0"/>
                    <w:ind w:left="0" w:right="0"/>
                    <w:jc w:val="center"/>
                    <w:rPr>
                      <w:rFonts w:hint="default" w:cs="Times New Roman"/>
                      <w:bCs/>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振动筛粉机</w:t>
                  </w:r>
                </w:p>
              </w:tc>
              <w:tc>
                <w:tcPr>
                  <w:tcW w:w="1093" w:type="pct"/>
                  <w:tcBorders>
                    <w:tl2br w:val="nil"/>
                    <w:tr2bl w:val="nil"/>
                  </w:tcBorders>
                  <w:shd w:val="clear" w:color="auto" w:fill="auto"/>
                  <w:vAlign w:val="center"/>
                </w:tcPr>
                <w:p w14:paraId="090D075D">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S-800</w:t>
                  </w:r>
                </w:p>
              </w:tc>
              <w:tc>
                <w:tcPr>
                  <w:tcW w:w="416" w:type="pct"/>
                  <w:tcBorders>
                    <w:tl2br w:val="nil"/>
                    <w:tr2bl w:val="nil"/>
                  </w:tcBorders>
                  <w:shd w:val="clear" w:color="auto" w:fill="auto"/>
                  <w:vAlign w:val="center"/>
                </w:tcPr>
                <w:p w14:paraId="3B8FE1D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393F1FAE">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0</w:t>
                  </w:r>
                </w:p>
              </w:tc>
              <w:tc>
                <w:tcPr>
                  <w:tcW w:w="532" w:type="pct"/>
                  <w:tcBorders>
                    <w:tl2br w:val="nil"/>
                    <w:tr2bl w:val="nil"/>
                  </w:tcBorders>
                  <w:shd w:val="clear" w:color="auto" w:fill="auto"/>
                  <w:vAlign w:val="center"/>
                </w:tcPr>
                <w:p w14:paraId="3746EC92">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c>
                <w:tcPr>
                  <w:tcW w:w="557" w:type="pct"/>
                  <w:tcBorders>
                    <w:tl2br w:val="nil"/>
                    <w:tr2bl w:val="nil"/>
                  </w:tcBorders>
                  <w:shd w:val="clear" w:color="auto" w:fill="auto"/>
                  <w:vAlign w:val="center"/>
                </w:tcPr>
                <w:p w14:paraId="689EE0B4">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r>
            <w:tr w14:paraId="5EE4269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1E73C1BA">
                  <w:pPr>
                    <w:pStyle w:val="63"/>
                    <w:keepNext w:val="0"/>
                    <w:keepLines w:val="0"/>
                    <w:pageBreakBefore w:val="0"/>
                    <w:widowControl w:val="0"/>
                    <w:numPr>
                      <w:ilvl w:val="0"/>
                      <w:numId w:val="8"/>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65383AAF">
                  <w:pPr>
                    <w:keepNext w:val="0"/>
                    <w:keepLines w:val="0"/>
                    <w:widowControl/>
                    <w:suppressLineNumbers w:val="0"/>
                    <w:spacing w:before="0" w:beforeAutospacing="0" w:after="0" w:afterAutospacing="0"/>
                    <w:ind w:left="0" w:right="0"/>
                    <w:jc w:val="center"/>
                    <w:rPr>
                      <w:rFonts w:hint="default" w:cs="Times New Roman"/>
                      <w:bCs/>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三维运动混合机</w:t>
                  </w:r>
                </w:p>
              </w:tc>
              <w:tc>
                <w:tcPr>
                  <w:tcW w:w="1093" w:type="pct"/>
                  <w:tcBorders>
                    <w:tl2br w:val="nil"/>
                    <w:tr2bl w:val="nil"/>
                  </w:tcBorders>
                  <w:shd w:val="clear" w:color="auto" w:fill="auto"/>
                  <w:vAlign w:val="center"/>
                </w:tcPr>
                <w:p w14:paraId="7A5AAE20">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GH-400</w:t>
                  </w:r>
                </w:p>
              </w:tc>
              <w:tc>
                <w:tcPr>
                  <w:tcW w:w="416" w:type="pct"/>
                  <w:tcBorders>
                    <w:tl2br w:val="nil"/>
                    <w:tr2bl w:val="nil"/>
                  </w:tcBorders>
                  <w:shd w:val="clear" w:color="auto" w:fill="auto"/>
                  <w:vAlign w:val="center"/>
                </w:tcPr>
                <w:p w14:paraId="5555E43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4DCE79CB">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0</w:t>
                  </w:r>
                </w:p>
              </w:tc>
              <w:tc>
                <w:tcPr>
                  <w:tcW w:w="532" w:type="pct"/>
                  <w:tcBorders>
                    <w:tl2br w:val="nil"/>
                    <w:tr2bl w:val="nil"/>
                  </w:tcBorders>
                  <w:shd w:val="clear" w:color="auto" w:fill="auto"/>
                  <w:vAlign w:val="center"/>
                </w:tcPr>
                <w:p w14:paraId="729067D5">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c>
                <w:tcPr>
                  <w:tcW w:w="557" w:type="pct"/>
                  <w:tcBorders>
                    <w:tl2br w:val="nil"/>
                    <w:tr2bl w:val="nil"/>
                  </w:tcBorders>
                  <w:shd w:val="clear" w:color="auto" w:fill="auto"/>
                  <w:vAlign w:val="center"/>
                </w:tcPr>
                <w:p w14:paraId="62D59DD0">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r>
            <w:tr w14:paraId="2563FA8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6BA80F85">
                  <w:pPr>
                    <w:pStyle w:val="63"/>
                    <w:keepNext w:val="0"/>
                    <w:keepLines w:val="0"/>
                    <w:pageBreakBefore w:val="0"/>
                    <w:widowControl w:val="0"/>
                    <w:numPr>
                      <w:ilvl w:val="0"/>
                      <w:numId w:val="8"/>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309D4F5A">
                  <w:pPr>
                    <w:keepNext w:val="0"/>
                    <w:keepLines w:val="0"/>
                    <w:widowControl/>
                    <w:suppressLineNumbers w:val="0"/>
                    <w:spacing w:before="0" w:beforeAutospacing="0" w:after="0" w:afterAutospacing="0"/>
                    <w:ind w:left="0" w:right="0"/>
                    <w:jc w:val="center"/>
                    <w:rPr>
                      <w:rFonts w:hint="default" w:cs="Times New Roman"/>
                      <w:bCs/>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条袋包装机</w:t>
                  </w:r>
                </w:p>
              </w:tc>
              <w:tc>
                <w:tcPr>
                  <w:tcW w:w="1093" w:type="pct"/>
                  <w:tcBorders>
                    <w:tl2br w:val="nil"/>
                    <w:tr2bl w:val="nil"/>
                  </w:tcBorders>
                  <w:shd w:val="clear" w:color="auto" w:fill="auto"/>
                  <w:vAlign w:val="center"/>
                </w:tcPr>
                <w:p w14:paraId="398372CC">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DXDK900A</w:t>
                  </w:r>
                </w:p>
              </w:tc>
              <w:tc>
                <w:tcPr>
                  <w:tcW w:w="416" w:type="pct"/>
                  <w:tcBorders>
                    <w:tl2br w:val="nil"/>
                    <w:tr2bl w:val="nil"/>
                  </w:tcBorders>
                  <w:shd w:val="clear" w:color="auto" w:fill="auto"/>
                  <w:vAlign w:val="center"/>
                </w:tcPr>
                <w:p w14:paraId="1F28DFD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4E383475">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0</w:t>
                  </w:r>
                </w:p>
              </w:tc>
              <w:tc>
                <w:tcPr>
                  <w:tcW w:w="532" w:type="pct"/>
                  <w:tcBorders>
                    <w:tl2br w:val="nil"/>
                    <w:tr2bl w:val="nil"/>
                  </w:tcBorders>
                  <w:shd w:val="clear" w:color="auto" w:fill="auto"/>
                  <w:vAlign w:val="center"/>
                </w:tcPr>
                <w:p w14:paraId="052A391C">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c>
                <w:tcPr>
                  <w:tcW w:w="557" w:type="pct"/>
                  <w:tcBorders>
                    <w:tl2br w:val="nil"/>
                    <w:tr2bl w:val="nil"/>
                  </w:tcBorders>
                  <w:shd w:val="clear" w:color="auto" w:fill="auto"/>
                  <w:vAlign w:val="center"/>
                </w:tcPr>
                <w:p w14:paraId="6BF79943">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r>
            <w:tr w14:paraId="6F71FA4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38C24322">
                  <w:pPr>
                    <w:pStyle w:val="63"/>
                    <w:keepNext w:val="0"/>
                    <w:keepLines w:val="0"/>
                    <w:pageBreakBefore w:val="0"/>
                    <w:widowControl w:val="0"/>
                    <w:numPr>
                      <w:ilvl w:val="0"/>
                      <w:numId w:val="8"/>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60212298">
                  <w:pPr>
                    <w:keepNext w:val="0"/>
                    <w:keepLines w:val="0"/>
                    <w:widowControl/>
                    <w:suppressLineNumbers w:val="0"/>
                    <w:spacing w:before="0" w:beforeAutospacing="0" w:after="0" w:afterAutospacing="0"/>
                    <w:ind w:left="0" w:right="0"/>
                    <w:jc w:val="center"/>
                    <w:rPr>
                      <w:rFonts w:hint="default" w:cs="Times New Roman"/>
                      <w:bCs/>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全自动洗脱烘机</w:t>
                  </w:r>
                </w:p>
              </w:tc>
              <w:tc>
                <w:tcPr>
                  <w:tcW w:w="1093" w:type="pct"/>
                  <w:tcBorders>
                    <w:tl2br w:val="nil"/>
                    <w:tr2bl w:val="nil"/>
                  </w:tcBorders>
                  <w:shd w:val="clear" w:color="auto" w:fill="auto"/>
                  <w:vAlign w:val="center"/>
                </w:tcPr>
                <w:p w14:paraId="6029E9F7">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XTH-15</w:t>
                  </w:r>
                </w:p>
              </w:tc>
              <w:tc>
                <w:tcPr>
                  <w:tcW w:w="416" w:type="pct"/>
                  <w:tcBorders>
                    <w:tl2br w:val="nil"/>
                    <w:tr2bl w:val="nil"/>
                  </w:tcBorders>
                  <w:shd w:val="clear" w:color="auto" w:fill="auto"/>
                  <w:vAlign w:val="center"/>
                </w:tcPr>
                <w:p w14:paraId="1193CE5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16DA192E">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0</w:t>
                  </w:r>
                </w:p>
              </w:tc>
              <w:tc>
                <w:tcPr>
                  <w:tcW w:w="532" w:type="pct"/>
                  <w:tcBorders>
                    <w:tl2br w:val="nil"/>
                    <w:tr2bl w:val="nil"/>
                  </w:tcBorders>
                  <w:shd w:val="clear" w:color="auto" w:fill="auto"/>
                  <w:vAlign w:val="center"/>
                </w:tcPr>
                <w:p w14:paraId="56559B03">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c>
                <w:tcPr>
                  <w:tcW w:w="557" w:type="pct"/>
                  <w:tcBorders>
                    <w:tl2br w:val="nil"/>
                    <w:tr2bl w:val="nil"/>
                  </w:tcBorders>
                  <w:shd w:val="clear" w:color="auto" w:fill="auto"/>
                  <w:vAlign w:val="center"/>
                </w:tcPr>
                <w:p w14:paraId="4480FCE2">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r>
            <w:tr w14:paraId="320F421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38FD1B6B">
                  <w:pPr>
                    <w:pStyle w:val="63"/>
                    <w:keepNext w:val="0"/>
                    <w:keepLines w:val="0"/>
                    <w:pageBreakBefore w:val="0"/>
                    <w:widowControl w:val="0"/>
                    <w:numPr>
                      <w:ilvl w:val="0"/>
                      <w:numId w:val="8"/>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0D4316E0">
                  <w:pPr>
                    <w:keepNext w:val="0"/>
                    <w:keepLines w:val="0"/>
                    <w:widowControl/>
                    <w:suppressLineNumbers w:val="0"/>
                    <w:spacing w:before="0" w:beforeAutospacing="0" w:after="0" w:afterAutospacing="0"/>
                    <w:ind w:left="0" w:right="0"/>
                    <w:jc w:val="center"/>
                    <w:rPr>
                      <w:rFonts w:hint="default" w:cs="Times New Roman"/>
                      <w:bCs/>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自动颗粒包装机</w:t>
                  </w:r>
                </w:p>
              </w:tc>
              <w:tc>
                <w:tcPr>
                  <w:tcW w:w="1093" w:type="pct"/>
                  <w:tcBorders>
                    <w:tl2br w:val="nil"/>
                    <w:tr2bl w:val="nil"/>
                  </w:tcBorders>
                  <w:shd w:val="clear" w:color="auto" w:fill="auto"/>
                  <w:vAlign w:val="center"/>
                </w:tcPr>
                <w:p w14:paraId="3F0F0423">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DXDK40II</w:t>
                  </w:r>
                </w:p>
              </w:tc>
              <w:tc>
                <w:tcPr>
                  <w:tcW w:w="416" w:type="pct"/>
                  <w:tcBorders>
                    <w:tl2br w:val="nil"/>
                    <w:tr2bl w:val="nil"/>
                  </w:tcBorders>
                  <w:shd w:val="clear" w:color="auto" w:fill="auto"/>
                  <w:vAlign w:val="center"/>
                </w:tcPr>
                <w:p w14:paraId="5213A9F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1400CFDD">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0</w:t>
                  </w:r>
                </w:p>
              </w:tc>
              <w:tc>
                <w:tcPr>
                  <w:tcW w:w="532" w:type="pct"/>
                  <w:tcBorders>
                    <w:tl2br w:val="nil"/>
                    <w:tr2bl w:val="nil"/>
                  </w:tcBorders>
                  <w:shd w:val="clear" w:color="auto" w:fill="auto"/>
                  <w:vAlign w:val="center"/>
                </w:tcPr>
                <w:p w14:paraId="182A941E">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c>
                <w:tcPr>
                  <w:tcW w:w="557" w:type="pct"/>
                  <w:tcBorders>
                    <w:tl2br w:val="nil"/>
                    <w:tr2bl w:val="nil"/>
                  </w:tcBorders>
                  <w:shd w:val="clear" w:color="auto" w:fill="auto"/>
                  <w:vAlign w:val="center"/>
                </w:tcPr>
                <w:p w14:paraId="2785EDD5">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r>
            <w:tr w14:paraId="03B5973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639AE161">
                  <w:pPr>
                    <w:pStyle w:val="63"/>
                    <w:keepNext w:val="0"/>
                    <w:keepLines w:val="0"/>
                    <w:pageBreakBefore w:val="0"/>
                    <w:widowControl w:val="0"/>
                    <w:numPr>
                      <w:ilvl w:val="0"/>
                      <w:numId w:val="8"/>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6A7BF09A">
                  <w:pPr>
                    <w:keepNext w:val="0"/>
                    <w:keepLines w:val="0"/>
                    <w:widowControl/>
                    <w:suppressLineNumbers w:val="0"/>
                    <w:spacing w:before="0" w:beforeAutospacing="0" w:after="0" w:afterAutospacing="0"/>
                    <w:ind w:left="0" w:right="0"/>
                    <w:jc w:val="center"/>
                    <w:rPr>
                      <w:rFonts w:hint="default" w:cs="Times New Roman"/>
                      <w:bCs/>
                      <w:color w:val="000000" w:themeColor="text1"/>
                      <w:sz w:val="2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负压称量单元</w:t>
                  </w:r>
                </w:p>
              </w:tc>
              <w:tc>
                <w:tcPr>
                  <w:tcW w:w="1093" w:type="pct"/>
                  <w:tcBorders>
                    <w:tl2br w:val="nil"/>
                    <w:tr2bl w:val="nil"/>
                  </w:tcBorders>
                  <w:shd w:val="clear" w:color="auto" w:fill="auto"/>
                  <w:vAlign w:val="center"/>
                </w:tcPr>
                <w:p w14:paraId="75651B75">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w:t>
                  </w:r>
                </w:p>
              </w:tc>
              <w:tc>
                <w:tcPr>
                  <w:tcW w:w="416" w:type="pct"/>
                  <w:tcBorders>
                    <w:tl2br w:val="nil"/>
                    <w:tr2bl w:val="nil"/>
                  </w:tcBorders>
                  <w:shd w:val="clear" w:color="auto" w:fill="auto"/>
                  <w:vAlign w:val="center"/>
                </w:tcPr>
                <w:p w14:paraId="0DD218A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7E11E5E1">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0</w:t>
                  </w:r>
                </w:p>
              </w:tc>
              <w:tc>
                <w:tcPr>
                  <w:tcW w:w="532" w:type="pct"/>
                  <w:tcBorders>
                    <w:tl2br w:val="nil"/>
                    <w:tr2bl w:val="nil"/>
                  </w:tcBorders>
                  <w:shd w:val="clear" w:color="auto" w:fill="auto"/>
                  <w:vAlign w:val="center"/>
                </w:tcPr>
                <w:p w14:paraId="1ED62065">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c>
                <w:tcPr>
                  <w:tcW w:w="557" w:type="pct"/>
                  <w:tcBorders>
                    <w:tl2br w:val="nil"/>
                    <w:tr2bl w:val="nil"/>
                  </w:tcBorders>
                  <w:shd w:val="clear" w:color="auto" w:fill="auto"/>
                  <w:vAlign w:val="center"/>
                </w:tcPr>
                <w:p w14:paraId="0747410D">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r>
            <w:tr w14:paraId="6B038A4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5506BE11">
                  <w:pPr>
                    <w:pStyle w:val="63"/>
                    <w:keepNext w:val="0"/>
                    <w:keepLines w:val="0"/>
                    <w:pageBreakBefore w:val="0"/>
                    <w:widowControl w:val="0"/>
                    <w:numPr>
                      <w:ilvl w:val="0"/>
                      <w:numId w:val="8"/>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649878D4">
                  <w:pPr>
                    <w:keepNext w:val="0"/>
                    <w:keepLines w:val="0"/>
                    <w:widowControl/>
                    <w:suppressLineNumbers w:val="0"/>
                    <w:spacing w:before="0" w:beforeAutospacing="0" w:after="0" w:afterAutospacing="0"/>
                    <w:ind w:left="0" w:right="0"/>
                    <w:jc w:val="center"/>
                    <w:rPr>
                      <w:rFonts w:hint="default" w:cs="Times New Roman"/>
                      <w:bCs/>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高速离心喷雾干燥机</w:t>
                  </w:r>
                </w:p>
              </w:tc>
              <w:tc>
                <w:tcPr>
                  <w:tcW w:w="1093" w:type="pct"/>
                  <w:tcBorders>
                    <w:tl2br w:val="nil"/>
                    <w:tr2bl w:val="nil"/>
                  </w:tcBorders>
                  <w:shd w:val="clear" w:color="auto" w:fill="auto"/>
                  <w:vAlign w:val="center"/>
                </w:tcPr>
                <w:p w14:paraId="3DA763A5">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GLZ-50</w:t>
                  </w:r>
                </w:p>
              </w:tc>
              <w:tc>
                <w:tcPr>
                  <w:tcW w:w="416" w:type="pct"/>
                  <w:tcBorders>
                    <w:tl2br w:val="nil"/>
                    <w:tr2bl w:val="nil"/>
                  </w:tcBorders>
                  <w:shd w:val="clear" w:color="auto" w:fill="auto"/>
                  <w:vAlign w:val="center"/>
                </w:tcPr>
                <w:p w14:paraId="145F1D5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17410E24">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0</w:t>
                  </w:r>
                </w:p>
              </w:tc>
              <w:tc>
                <w:tcPr>
                  <w:tcW w:w="532" w:type="pct"/>
                  <w:tcBorders>
                    <w:tl2br w:val="nil"/>
                    <w:tr2bl w:val="nil"/>
                  </w:tcBorders>
                  <w:shd w:val="clear" w:color="auto" w:fill="auto"/>
                  <w:vAlign w:val="center"/>
                </w:tcPr>
                <w:p w14:paraId="1CABC804">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c>
                <w:tcPr>
                  <w:tcW w:w="557" w:type="pct"/>
                  <w:tcBorders>
                    <w:tl2br w:val="nil"/>
                    <w:tr2bl w:val="nil"/>
                  </w:tcBorders>
                  <w:shd w:val="clear" w:color="auto" w:fill="auto"/>
                  <w:vAlign w:val="center"/>
                </w:tcPr>
                <w:p w14:paraId="062E464A">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r>
            <w:tr w14:paraId="3EE1DC8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3A5066D4">
                  <w:pPr>
                    <w:pStyle w:val="63"/>
                    <w:keepNext w:val="0"/>
                    <w:keepLines w:val="0"/>
                    <w:pageBreakBefore w:val="0"/>
                    <w:widowControl w:val="0"/>
                    <w:numPr>
                      <w:ilvl w:val="0"/>
                      <w:numId w:val="8"/>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3389ABC3">
                  <w:pPr>
                    <w:keepNext w:val="0"/>
                    <w:keepLines w:val="0"/>
                    <w:widowControl/>
                    <w:suppressLineNumbers w:val="0"/>
                    <w:spacing w:before="0" w:beforeAutospacing="0" w:after="0" w:afterAutospacing="0"/>
                    <w:ind w:left="0" w:right="0"/>
                    <w:jc w:val="center"/>
                    <w:rPr>
                      <w:rFonts w:hint="default" w:cs="Times New Roman"/>
                      <w:bCs/>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全自动硬胶囊充填机</w:t>
                  </w:r>
                </w:p>
              </w:tc>
              <w:tc>
                <w:tcPr>
                  <w:tcW w:w="1093" w:type="pct"/>
                  <w:tcBorders>
                    <w:tl2br w:val="nil"/>
                    <w:tr2bl w:val="nil"/>
                  </w:tcBorders>
                  <w:shd w:val="clear" w:color="auto" w:fill="auto"/>
                  <w:vAlign w:val="center"/>
                </w:tcPr>
                <w:p w14:paraId="45FB9966">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NJP-1200B</w:t>
                  </w:r>
                </w:p>
              </w:tc>
              <w:tc>
                <w:tcPr>
                  <w:tcW w:w="416" w:type="pct"/>
                  <w:tcBorders>
                    <w:tl2br w:val="nil"/>
                    <w:tr2bl w:val="nil"/>
                  </w:tcBorders>
                  <w:shd w:val="clear" w:color="auto" w:fill="auto"/>
                  <w:vAlign w:val="center"/>
                </w:tcPr>
                <w:p w14:paraId="6298C54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0FBA0AA8">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0</w:t>
                  </w:r>
                </w:p>
              </w:tc>
              <w:tc>
                <w:tcPr>
                  <w:tcW w:w="532" w:type="pct"/>
                  <w:tcBorders>
                    <w:tl2br w:val="nil"/>
                    <w:tr2bl w:val="nil"/>
                  </w:tcBorders>
                  <w:shd w:val="clear" w:color="auto" w:fill="auto"/>
                  <w:vAlign w:val="center"/>
                </w:tcPr>
                <w:p w14:paraId="47C9EDD4">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c>
                <w:tcPr>
                  <w:tcW w:w="557" w:type="pct"/>
                  <w:tcBorders>
                    <w:tl2br w:val="nil"/>
                    <w:tr2bl w:val="nil"/>
                  </w:tcBorders>
                  <w:shd w:val="clear" w:color="auto" w:fill="auto"/>
                  <w:vAlign w:val="center"/>
                </w:tcPr>
                <w:p w14:paraId="19C65496">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r>
            <w:tr w14:paraId="1761F3B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61672F9D">
                  <w:pPr>
                    <w:pStyle w:val="63"/>
                    <w:keepNext w:val="0"/>
                    <w:keepLines w:val="0"/>
                    <w:pageBreakBefore w:val="0"/>
                    <w:widowControl w:val="0"/>
                    <w:numPr>
                      <w:ilvl w:val="0"/>
                      <w:numId w:val="8"/>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7C090FCC">
                  <w:pPr>
                    <w:keepNext w:val="0"/>
                    <w:keepLines w:val="0"/>
                    <w:widowControl/>
                    <w:suppressLineNumbers w:val="0"/>
                    <w:spacing w:before="0" w:beforeAutospacing="0" w:after="0" w:afterAutospacing="0"/>
                    <w:ind w:left="0" w:right="0"/>
                    <w:jc w:val="center"/>
                    <w:rPr>
                      <w:rFonts w:hint="default" w:cs="Times New Roman"/>
                      <w:bCs/>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泡罩包装机</w:t>
                  </w:r>
                </w:p>
              </w:tc>
              <w:tc>
                <w:tcPr>
                  <w:tcW w:w="1093" w:type="pct"/>
                  <w:tcBorders>
                    <w:tl2br w:val="nil"/>
                    <w:tr2bl w:val="nil"/>
                  </w:tcBorders>
                  <w:shd w:val="clear" w:color="auto" w:fill="auto"/>
                  <w:vAlign w:val="center"/>
                </w:tcPr>
                <w:p w14:paraId="71C4FA6D">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DPP-140</w:t>
                  </w:r>
                </w:p>
              </w:tc>
              <w:tc>
                <w:tcPr>
                  <w:tcW w:w="416" w:type="pct"/>
                  <w:tcBorders>
                    <w:tl2br w:val="nil"/>
                    <w:tr2bl w:val="nil"/>
                  </w:tcBorders>
                  <w:shd w:val="clear" w:color="auto" w:fill="auto"/>
                  <w:vAlign w:val="center"/>
                </w:tcPr>
                <w:p w14:paraId="498E070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7DB6EA49">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0</w:t>
                  </w:r>
                </w:p>
              </w:tc>
              <w:tc>
                <w:tcPr>
                  <w:tcW w:w="532" w:type="pct"/>
                  <w:tcBorders>
                    <w:tl2br w:val="nil"/>
                    <w:tr2bl w:val="nil"/>
                  </w:tcBorders>
                  <w:shd w:val="clear" w:color="auto" w:fill="auto"/>
                  <w:vAlign w:val="center"/>
                </w:tcPr>
                <w:p w14:paraId="66930CD3">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c>
                <w:tcPr>
                  <w:tcW w:w="557" w:type="pct"/>
                  <w:tcBorders>
                    <w:tl2br w:val="nil"/>
                    <w:tr2bl w:val="nil"/>
                  </w:tcBorders>
                  <w:shd w:val="clear" w:color="auto" w:fill="auto"/>
                  <w:vAlign w:val="center"/>
                </w:tcPr>
                <w:p w14:paraId="0FA0BAC6">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r>
            <w:tr w14:paraId="25E96CE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4BF6998A">
                  <w:pPr>
                    <w:pStyle w:val="63"/>
                    <w:keepNext w:val="0"/>
                    <w:keepLines w:val="0"/>
                    <w:pageBreakBefore w:val="0"/>
                    <w:widowControl w:val="0"/>
                    <w:numPr>
                      <w:ilvl w:val="0"/>
                      <w:numId w:val="8"/>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4393BF9B">
                  <w:pPr>
                    <w:keepNext w:val="0"/>
                    <w:keepLines w:val="0"/>
                    <w:widowControl/>
                    <w:suppressLineNumbers w:val="0"/>
                    <w:spacing w:before="0" w:beforeAutospacing="0" w:after="0" w:afterAutospacing="0"/>
                    <w:ind w:left="0" w:right="0"/>
                    <w:jc w:val="center"/>
                    <w:rPr>
                      <w:rFonts w:hint="default" w:cs="Times New Roman"/>
                      <w:bCs/>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流化床制粒包衣机</w:t>
                  </w:r>
                </w:p>
              </w:tc>
              <w:tc>
                <w:tcPr>
                  <w:tcW w:w="1093" w:type="pct"/>
                  <w:tcBorders>
                    <w:tl2br w:val="nil"/>
                    <w:tr2bl w:val="nil"/>
                  </w:tcBorders>
                  <w:shd w:val="clear" w:color="auto" w:fill="auto"/>
                  <w:vAlign w:val="center"/>
                </w:tcPr>
                <w:p w14:paraId="6A541AB7">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WBF-30</w:t>
                  </w:r>
                </w:p>
              </w:tc>
              <w:tc>
                <w:tcPr>
                  <w:tcW w:w="416" w:type="pct"/>
                  <w:tcBorders>
                    <w:tl2br w:val="nil"/>
                    <w:tr2bl w:val="nil"/>
                  </w:tcBorders>
                  <w:shd w:val="clear" w:color="auto" w:fill="auto"/>
                  <w:vAlign w:val="center"/>
                </w:tcPr>
                <w:p w14:paraId="7B36BE3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5038509D">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0</w:t>
                  </w:r>
                </w:p>
              </w:tc>
              <w:tc>
                <w:tcPr>
                  <w:tcW w:w="532" w:type="pct"/>
                  <w:tcBorders>
                    <w:tl2br w:val="nil"/>
                    <w:tr2bl w:val="nil"/>
                  </w:tcBorders>
                  <w:shd w:val="clear" w:color="auto" w:fill="auto"/>
                  <w:vAlign w:val="center"/>
                </w:tcPr>
                <w:p w14:paraId="054DC5F3">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c>
                <w:tcPr>
                  <w:tcW w:w="557" w:type="pct"/>
                  <w:tcBorders>
                    <w:tl2br w:val="nil"/>
                    <w:tr2bl w:val="nil"/>
                  </w:tcBorders>
                  <w:shd w:val="clear" w:color="auto" w:fill="auto"/>
                  <w:vAlign w:val="center"/>
                </w:tcPr>
                <w:p w14:paraId="135CADFD">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r>
            <w:tr w14:paraId="5A8E7C0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2C270B23">
                  <w:pPr>
                    <w:pStyle w:val="63"/>
                    <w:keepNext w:val="0"/>
                    <w:keepLines w:val="0"/>
                    <w:pageBreakBefore w:val="0"/>
                    <w:widowControl w:val="0"/>
                    <w:numPr>
                      <w:ilvl w:val="0"/>
                      <w:numId w:val="8"/>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697BEEB1">
                  <w:pPr>
                    <w:keepNext w:val="0"/>
                    <w:keepLines w:val="0"/>
                    <w:widowControl/>
                    <w:suppressLineNumbers w:val="0"/>
                    <w:spacing w:before="0" w:beforeAutospacing="0" w:after="0" w:afterAutospacing="0"/>
                    <w:ind w:left="0" w:right="0"/>
                    <w:jc w:val="center"/>
                    <w:rPr>
                      <w:rFonts w:hint="default" w:cs="Times New Roman"/>
                      <w:bCs/>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干法制粒机</w:t>
                  </w:r>
                </w:p>
              </w:tc>
              <w:tc>
                <w:tcPr>
                  <w:tcW w:w="1093" w:type="pct"/>
                  <w:tcBorders>
                    <w:tl2br w:val="nil"/>
                    <w:tr2bl w:val="nil"/>
                  </w:tcBorders>
                  <w:shd w:val="clear" w:color="auto" w:fill="auto"/>
                  <w:vAlign w:val="center"/>
                </w:tcPr>
                <w:p w14:paraId="5709DCF6">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GFS-150</w:t>
                  </w:r>
                </w:p>
              </w:tc>
              <w:tc>
                <w:tcPr>
                  <w:tcW w:w="416" w:type="pct"/>
                  <w:tcBorders>
                    <w:tl2br w:val="nil"/>
                    <w:tr2bl w:val="nil"/>
                  </w:tcBorders>
                  <w:shd w:val="clear" w:color="auto" w:fill="auto"/>
                  <w:vAlign w:val="center"/>
                </w:tcPr>
                <w:p w14:paraId="4054D50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64DA6DF2">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0</w:t>
                  </w:r>
                </w:p>
              </w:tc>
              <w:tc>
                <w:tcPr>
                  <w:tcW w:w="532" w:type="pct"/>
                  <w:tcBorders>
                    <w:tl2br w:val="nil"/>
                    <w:tr2bl w:val="nil"/>
                  </w:tcBorders>
                  <w:shd w:val="clear" w:color="auto" w:fill="auto"/>
                  <w:vAlign w:val="center"/>
                </w:tcPr>
                <w:p w14:paraId="378E2432">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c>
                <w:tcPr>
                  <w:tcW w:w="557" w:type="pct"/>
                  <w:tcBorders>
                    <w:tl2br w:val="nil"/>
                    <w:tr2bl w:val="nil"/>
                  </w:tcBorders>
                  <w:shd w:val="clear" w:color="auto" w:fill="auto"/>
                  <w:vAlign w:val="center"/>
                </w:tcPr>
                <w:p w14:paraId="27E13F53">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r>
            <w:tr w14:paraId="342C282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3D1EB5F9">
                  <w:pPr>
                    <w:pStyle w:val="63"/>
                    <w:keepNext w:val="0"/>
                    <w:keepLines w:val="0"/>
                    <w:pageBreakBefore w:val="0"/>
                    <w:widowControl w:val="0"/>
                    <w:numPr>
                      <w:ilvl w:val="0"/>
                      <w:numId w:val="8"/>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531770FD">
                  <w:pPr>
                    <w:keepNext w:val="0"/>
                    <w:keepLines w:val="0"/>
                    <w:widowControl/>
                    <w:suppressLineNumbers w:val="0"/>
                    <w:spacing w:before="0" w:beforeAutospacing="0" w:after="0" w:afterAutospacing="0"/>
                    <w:ind w:left="0" w:right="0"/>
                    <w:jc w:val="center"/>
                    <w:rPr>
                      <w:rFonts w:hint="default" w:cs="Times New Roman"/>
                      <w:bCs/>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S49系列三元旋振筛</w:t>
                  </w:r>
                </w:p>
              </w:tc>
              <w:tc>
                <w:tcPr>
                  <w:tcW w:w="1093" w:type="pct"/>
                  <w:tcBorders>
                    <w:tl2br w:val="nil"/>
                    <w:tr2bl w:val="nil"/>
                  </w:tcBorders>
                  <w:shd w:val="clear" w:color="auto" w:fill="auto"/>
                  <w:vAlign w:val="center"/>
                </w:tcPr>
                <w:p w14:paraId="39EF44A2">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S49-800-2S</w:t>
                  </w:r>
                </w:p>
              </w:tc>
              <w:tc>
                <w:tcPr>
                  <w:tcW w:w="416" w:type="pct"/>
                  <w:tcBorders>
                    <w:tl2br w:val="nil"/>
                    <w:tr2bl w:val="nil"/>
                  </w:tcBorders>
                  <w:shd w:val="clear" w:color="auto" w:fill="auto"/>
                  <w:vAlign w:val="center"/>
                </w:tcPr>
                <w:p w14:paraId="78F9F44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4BF9D5C2">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0</w:t>
                  </w:r>
                </w:p>
              </w:tc>
              <w:tc>
                <w:tcPr>
                  <w:tcW w:w="532" w:type="pct"/>
                  <w:tcBorders>
                    <w:tl2br w:val="nil"/>
                    <w:tr2bl w:val="nil"/>
                  </w:tcBorders>
                  <w:shd w:val="clear" w:color="auto" w:fill="auto"/>
                  <w:vAlign w:val="center"/>
                </w:tcPr>
                <w:p w14:paraId="46A76AD4">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c>
                <w:tcPr>
                  <w:tcW w:w="557" w:type="pct"/>
                  <w:tcBorders>
                    <w:tl2br w:val="nil"/>
                    <w:tr2bl w:val="nil"/>
                  </w:tcBorders>
                  <w:shd w:val="clear" w:color="auto" w:fill="auto"/>
                  <w:vAlign w:val="center"/>
                </w:tcPr>
                <w:p w14:paraId="4A34CCC8">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r>
            <w:tr w14:paraId="2D6A790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7A6C30C3">
                  <w:pPr>
                    <w:pStyle w:val="63"/>
                    <w:keepNext w:val="0"/>
                    <w:keepLines w:val="0"/>
                    <w:pageBreakBefore w:val="0"/>
                    <w:widowControl w:val="0"/>
                    <w:numPr>
                      <w:ilvl w:val="0"/>
                      <w:numId w:val="8"/>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010E0BE3">
                  <w:pPr>
                    <w:keepNext w:val="0"/>
                    <w:keepLines w:val="0"/>
                    <w:widowControl/>
                    <w:suppressLineNumbers w:val="0"/>
                    <w:spacing w:before="0" w:beforeAutospacing="0" w:after="0" w:afterAutospacing="0"/>
                    <w:ind w:left="0" w:right="0"/>
                    <w:jc w:val="center"/>
                    <w:rPr>
                      <w:rFonts w:hint="default" w:cs="Times New Roman"/>
                      <w:bCs/>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真空输送机</w:t>
                  </w:r>
                </w:p>
              </w:tc>
              <w:tc>
                <w:tcPr>
                  <w:tcW w:w="1093" w:type="pct"/>
                  <w:tcBorders>
                    <w:tl2br w:val="nil"/>
                    <w:tr2bl w:val="nil"/>
                  </w:tcBorders>
                  <w:shd w:val="clear" w:color="auto" w:fill="auto"/>
                  <w:vAlign w:val="center"/>
                </w:tcPr>
                <w:p w14:paraId="77C23B82">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w:t>
                  </w:r>
                </w:p>
              </w:tc>
              <w:tc>
                <w:tcPr>
                  <w:tcW w:w="416" w:type="pct"/>
                  <w:tcBorders>
                    <w:tl2br w:val="nil"/>
                    <w:tr2bl w:val="nil"/>
                  </w:tcBorders>
                  <w:shd w:val="clear" w:color="auto" w:fill="auto"/>
                  <w:vAlign w:val="center"/>
                </w:tcPr>
                <w:p w14:paraId="7FD3263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44FAE281">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0</w:t>
                  </w:r>
                </w:p>
              </w:tc>
              <w:tc>
                <w:tcPr>
                  <w:tcW w:w="532" w:type="pct"/>
                  <w:tcBorders>
                    <w:tl2br w:val="nil"/>
                    <w:tr2bl w:val="nil"/>
                  </w:tcBorders>
                  <w:shd w:val="clear" w:color="auto" w:fill="auto"/>
                  <w:vAlign w:val="center"/>
                </w:tcPr>
                <w:p w14:paraId="649BCC1F">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c>
                <w:tcPr>
                  <w:tcW w:w="557" w:type="pct"/>
                  <w:tcBorders>
                    <w:tl2br w:val="nil"/>
                    <w:tr2bl w:val="nil"/>
                  </w:tcBorders>
                  <w:shd w:val="clear" w:color="auto" w:fill="auto"/>
                  <w:vAlign w:val="center"/>
                </w:tcPr>
                <w:p w14:paraId="0BDFA140">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r>
            <w:tr w14:paraId="680BA1F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4BCBBCF7">
                  <w:pPr>
                    <w:pStyle w:val="63"/>
                    <w:keepNext w:val="0"/>
                    <w:keepLines w:val="0"/>
                    <w:pageBreakBefore w:val="0"/>
                    <w:widowControl w:val="0"/>
                    <w:numPr>
                      <w:ilvl w:val="0"/>
                      <w:numId w:val="8"/>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3F542C9B">
                  <w:pPr>
                    <w:keepNext w:val="0"/>
                    <w:keepLines w:val="0"/>
                    <w:widowControl/>
                    <w:suppressLineNumbers w:val="0"/>
                    <w:spacing w:before="0" w:beforeAutospacing="0" w:after="0" w:afterAutospacing="0"/>
                    <w:ind w:left="0" w:right="0"/>
                    <w:jc w:val="center"/>
                    <w:rPr>
                      <w:rFonts w:hint="default" w:cs="Times New Roman"/>
                      <w:bCs/>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粉碎整粒机</w:t>
                  </w:r>
                </w:p>
              </w:tc>
              <w:tc>
                <w:tcPr>
                  <w:tcW w:w="1093" w:type="pct"/>
                  <w:tcBorders>
                    <w:tl2br w:val="nil"/>
                    <w:tr2bl w:val="nil"/>
                  </w:tcBorders>
                  <w:shd w:val="clear" w:color="auto" w:fill="auto"/>
                  <w:vAlign w:val="center"/>
                </w:tcPr>
                <w:p w14:paraId="380A7BC9">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FZB-150</w:t>
                  </w:r>
                </w:p>
              </w:tc>
              <w:tc>
                <w:tcPr>
                  <w:tcW w:w="416" w:type="pct"/>
                  <w:tcBorders>
                    <w:tl2br w:val="nil"/>
                    <w:tr2bl w:val="nil"/>
                  </w:tcBorders>
                  <w:shd w:val="clear" w:color="auto" w:fill="auto"/>
                  <w:vAlign w:val="center"/>
                </w:tcPr>
                <w:p w14:paraId="70387E3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32BC2223">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0</w:t>
                  </w:r>
                </w:p>
              </w:tc>
              <w:tc>
                <w:tcPr>
                  <w:tcW w:w="532" w:type="pct"/>
                  <w:tcBorders>
                    <w:tl2br w:val="nil"/>
                    <w:tr2bl w:val="nil"/>
                  </w:tcBorders>
                  <w:shd w:val="clear" w:color="auto" w:fill="auto"/>
                  <w:vAlign w:val="center"/>
                </w:tcPr>
                <w:p w14:paraId="53B30211">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c>
                <w:tcPr>
                  <w:tcW w:w="557" w:type="pct"/>
                  <w:tcBorders>
                    <w:tl2br w:val="nil"/>
                    <w:tr2bl w:val="nil"/>
                  </w:tcBorders>
                  <w:shd w:val="clear" w:color="auto" w:fill="auto"/>
                  <w:vAlign w:val="center"/>
                </w:tcPr>
                <w:p w14:paraId="3C33F397">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r>
            <w:tr w14:paraId="17409BB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4A5B7F4B">
                  <w:pPr>
                    <w:pStyle w:val="63"/>
                    <w:keepNext w:val="0"/>
                    <w:keepLines w:val="0"/>
                    <w:pageBreakBefore w:val="0"/>
                    <w:widowControl w:val="0"/>
                    <w:numPr>
                      <w:ilvl w:val="0"/>
                      <w:numId w:val="8"/>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2DEDF22B">
                  <w:pPr>
                    <w:keepNext w:val="0"/>
                    <w:keepLines w:val="0"/>
                    <w:widowControl/>
                    <w:suppressLineNumbers w:val="0"/>
                    <w:spacing w:before="0" w:beforeAutospacing="0" w:after="0" w:afterAutospacing="0"/>
                    <w:ind w:left="0" w:right="0"/>
                    <w:jc w:val="center"/>
                    <w:rPr>
                      <w:rFonts w:hint="default" w:cs="Times New Roman"/>
                      <w:bCs/>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高效薄膜铱机</w:t>
                  </w:r>
                </w:p>
              </w:tc>
              <w:tc>
                <w:tcPr>
                  <w:tcW w:w="1093" w:type="pct"/>
                  <w:tcBorders>
                    <w:tl2br w:val="nil"/>
                    <w:tr2bl w:val="nil"/>
                  </w:tcBorders>
                  <w:shd w:val="clear" w:color="auto" w:fill="auto"/>
                  <w:vAlign w:val="center"/>
                </w:tcPr>
                <w:p w14:paraId="134C4829">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BGB-75B</w:t>
                  </w:r>
                </w:p>
              </w:tc>
              <w:tc>
                <w:tcPr>
                  <w:tcW w:w="416" w:type="pct"/>
                  <w:tcBorders>
                    <w:tl2br w:val="nil"/>
                    <w:tr2bl w:val="nil"/>
                  </w:tcBorders>
                  <w:shd w:val="clear" w:color="auto" w:fill="auto"/>
                  <w:vAlign w:val="center"/>
                </w:tcPr>
                <w:p w14:paraId="2DC9851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411CB98E">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0</w:t>
                  </w:r>
                </w:p>
              </w:tc>
              <w:tc>
                <w:tcPr>
                  <w:tcW w:w="532" w:type="pct"/>
                  <w:tcBorders>
                    <w:tl2br w:val="nil"/>
                    <w:tr2bl w:val="nil"/>
                  </w:tcBorders>
                  <w:shd w:val="clear" w:color="auto" w:fill="auto"/>
                  <w:vAlign w:val="center"/>
                </w:tcPr>
                <w:p w14:paraId="56E5D88B">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c>
                <w:tcPr>
                  <w:tcW w:w="557" w:type="pct"/>
                  <w:tcBorders>
                    <w:tl2br w:val="nil"/>
                    <w:tr2bl w:val="nil"/>
                  </w:tcBorders>
                  <w:shd w:val="clear" w:color="auto" w:fill="auto"/>
                  <w:vAlign w:val="center"/>
                </w:tcPr>
                <w:p w14:paraId="2DE3EB71">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r>
            <w:tr w14:paraId="0F05971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59535007">
                  <w:pPr>
                    <w:pStyle w:val="63"/>
                    <w:keepNext w:val="0"/>
                    <w:keepLines w:val="0"/>
                    <w:pageBreakBefore w:val="0"/>
                    <w:widowControl w:val="0"/>
                    <w:numPr>
                      <w:ilvl w:val="0"/>
                      <w:numId w:val="8"/>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4C304840">
                  <w:pPr>
                    <w:keepNext w:val="0"/>
                    <w:keepLines w:val="0"/>
                    <w:widowControl/>
                    <w:suppressLineNumbers w:val="0"/>
                    <w:spacing w:before="0" w:beforeAutospacing="0" w:after="0" w:afterAutospacing="0"/>
                    <w:ind w:left="0" w:right="0"/>
                    <w:jc w:val="center"/>
                    <w:rPr>
                      <w:rFonts w:hint="default" w:cs="Times New Roman"/>
                      <w:bCs/>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高效湿法造粒机</w:t>
                  </w:r>
                </w:p>
              </w:tc>
              <w:tc>
                <w:tcPr>
                  <w:tcW w:w="1093" w:type="pct"/>
                  <w:tcBorders>
                    <w:tl2br w:val="nil"/>
                    <w:tr2bl w:val="nil"/>
                  </w:tcBorders>
                  <w:shd w:val="clear" w:color="auto" w:fill="auto"/>
                  <w:vAlign w:val="center"/>
                </w:tcPr>
                <w:p w14:paraId="66F56029">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HZ50B</w:t>
                  </w:r>
                </w:p>
              </w:tc>
              <w:tc>
                <w:tcPr>
                  <w:tcW w:w="416" w:type="pct"/>
                  <w:tcBorders>
                    <w:tl2br w:val="nil"/>
                    <w:tr2bl w:val="nil"/>
                  </w:tcBorders>
                  <w:shd w:val="clear" w:color="auto" w:fill="auto"/>
                  <w:vAlign w:val="center"/>
                </w:tcPr>
                <w:p w14:paraId="183A8E5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3AEB9812">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0</w:t>
                  </w:r>
                </w:p>
              </w:tc>
              <w:tc>
                <w:tcPr>
                  <w:tcW w:w="532" w:type="pct"/>
                  <w:tcBorders>
                    <w:tl2br w:val="nil"/>
                    <w:tr2bl w:val="nil"/>
                  </w:tcBorders>
                  <w:shd w:val="clear" w:color="auto" w:fill="auto"/>
                  <w:vAlign w:val="center"/>
                </w:tcPr>
                <w:p w14:paraId="1A3DD92A">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c>
                <w:tcPr>
                  <w:tcW w:w="557" w:type="pct"/>
                  <w:tcBorders>
                    <w:tl2br w:val="nil"/>
                    <w:tr2bl w:val="nil"/>
                  </w:tcBorders>
                  <w:shd w:val="clear" w:color="auto" w:fill="auto"/>
                  <w:vAlign w:val="center"/>
                </w:tcPr>
                <w:p w14:paraId="6CACBBF7">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r>
            <w:tr w14:paraId="64EBE44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0775F984">
                  <w:pPr>
                    <w:pStyle w:val="63"/>
                    <w:keepNext w:val="0"/>
                    <w:keepLines w:val="0"/>
                    <w:pageBreakBefore w:val="0"/>
                    <w:widowControl w:val="0"/>
                    <w:numPr>
                      <w:ilvl w:val="0"/>
                      <w:numId w:val="8"/>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2E1D7202">
                  <w:pPr>
                    <w:keepNext w:val="0"/>
                    <w:keepLines w:val="0"/>
                    <w:widowControl/>
                    <w:suppressLineNumbers w:val="0"/>
                    <w:spacing w:before="0" w:beforeAutospacing="0" w:after="0" w:afterAutospacing="0"/>
                    <w:ind w:left="0" w:right="0"/>
                    <w:jc w:val="center"/>
                    <w:rPr>
                      <w:rFonts w:hint="default" w:cs="Times New Roman"/>
                      <w:bCs/>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配料罐</w:t>
                  </w:r>
                </w:p>
              </w:tc>
              <w:tc>
                <w:tcPr>
                  <w:tcW w:w="1093" w:type="pct"/>
                  <w:tcBorders>
                    <w:tl2br w:val="nil"/>
                    <w:tr2bl w:val="nil"/>
                  </w:tcBorders>
                  <w:shd w:val="clear" w:color="auto" w:fill="auto"/>
                  <w:vAlign w:val="center"/>
                </w:tcPr>
                <w:p w14:paraId="09CF512A">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200L</w:t>
                  </w:r>
                </w:p>
              </w:tc>
              <w:tc>
                <w:tcPr>
                  <w:tcW w:w="416" w:type="pct"/>
                  <w:tcBorders>
                    <w:tl2br w:val="nil"/>
                    <w:tr2bl w:val="nil"/>
                  </w:tcBorders>
                  <w:shd w:val="clear" w:color="auto" w:fill="auto"/>
                  <w:vAlign w:val="center"/>
                </w:tcPr>
                <w:p w14:paraId="5B0276C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kern w:val="0"/>
                      <w:sz w:val="20"/>
                      <w:szCs w:val="20"/>
                      <w:highlight w:val="none"/>
                      <w:lang w:val="en-US" w:eastAsia="zh-CN" w:bidi="ar"/>
                      <w14:textFill>
                        <w14:solidFill>
                          <w14:schemeClr w14:val="tx1"/>
                        </w14:solidFill>
                      </w14:textFill>
                    </w:rPr>
                    <w:t>个</w:t>
                  </w:r>
                </w:p>
              </w:tc>
              <w:tc>
                <w:tcPr>
                  <w:tcW w:w="532" w:type="pct"/>
                  <w:tcBorders>
                    <w:tl2br w:val="nil"/>
                    <w:tr2bl w:val="nil"/>
                  </w:tcBorders>
                  <w:shd w:val="clear" w:color="auto" w:fill="auto"/>
                  <w:vAlign w:val="center"/>
                </w:tcPr>
                <w:p w14:paraId="1CF9A6AA">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0</w:t>
                  </w:r>
                </w:p>
              </w:tc>
              <w:tc>
                <w:tcPr>
                  <w:tcW w:w="532" w:type="pct"/>
                  <w:tcBorders>
                    <w:tl2br w:val="nil"/>
                    <w:tr2bl w:val="nil"/>
                  </w:tcBorders>
                  <w:shd w:val="clear" w:color="auto" w:fill="auto"/>
                  <w:vAlign w:val="center"/>
                </w:tcPr>
                <w:p w14:paraId="5E6528FF">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c>
                <w:tcPr>
                  <w:tcW w:w="557" w:type="pct"/>
                  <w:tcBorders>
                    <w:tl2br w:val="nil"/>
                    <w:tr2bl w:val="nil"/>
                  </w:tcBorders>
                  <w:shd w:val="clear" w:color="auto" w:fill="auto"/>
                  <w:vAlign w:val="center"/>
                </w:tcPr>
                <w:p w14:paraId="66D057DC">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r>
            <w:tr w14:paraId="0C4E5DD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575309B0">
                  <w:pPr>
                    <w:pStyle w:val="63"/>
                    <w:keepNext w:val="0"/>
                    <w:keepLines w:val="0"/>
                    <w:pageBreakBefore w:val="0"/>
                    <w:widowControl w:val="0"/>
                    <w:numPr>
                      <w:ilvl w:val="0"/>
                      <w:numId w:val="8"/>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779251EC">
                  <w:pPr>
                    <w:keepNext w:val="0"/>
                    <w:keepLines w:val="0"/>
                    <w:widowControl/>
                    <w:suppressLineNumbers w:val="0"/>
                    <w:spacing w:before="0" w:beforeAutospacing="0" w:after="0" w:afterAutospacing="0"/>
                    <w:ind w:left="0" w:right="0"/>
                    <w:jc w:val="center"/>
                    <w:rPr>
                      <w:rFonts w:hint="default" w:cs="Times New Roman"/>
                      <w:bCs/>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湿法整粒机</w:t>
                  </w:r>
                </w:p>
              </w:tc>
              <w:tc>
                <w:tcPr>
                  <w:tcW w:w="1093" w:type="pct"/>
                  <w:tcBorders>
                    <w:tl2br w:val="nil"/>
                    <w:tr2bl w:val="nil"/>
                  </w:tcBorders>
                  <w:shd w:val="clear" w:color="auto" w:fill="auto"/>
                  <w:vAlign w:val="center"/>
                </w:tcPr>
                <w:p w14:paraId="5903FC8A">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LYK160</w:t>
                  </w:r>
                </w:p>
              </w:tc>
              <w:tc>
                <w:tcPr>
                  <w:tcW w:w="416" w:type="pct"/>
                  <w:tcBorders>
                    <w:tl2br w:val="nil"/>
                    <w:tr2bl w:val="nil"/>
                  </w:tcBorders>
                  <w:shd w:val="clear" w:color="auto" w:fill="auto"/>
                  <w:vAlign w:val="center"/>
                </w:tcPr>
                <w:p w14:paraId="2B03031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616A3A6D">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0</w:t>
                  </w:r>
                </w:p>
              </w:tc>
              <w:tc>
                <w:tcPr>
                  <w:tcW w:w="532" w:type="pct"/>
                  <w:tcBorders>
                    <w:tl2br w:val="nil"/>
                    <w:tr2bl w:val="nil"/>
                  </w:tcBorders>
                  <w:shd w:val="clear" w:color="auto" w:fill="auto"/>
                  <w:vAlign w:val="center"/>
                </w:tcPr>
                <w:p w14:paraId="64FC2CAE">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c>
                <w:tcPr>
                  <w:tcW w:w="557" w:type="pct"/>
                  <w:tcBorders>
                    <w:tl2br w:val="nil"/>
                    <w:tr2bl w:val="nil"/>
                  </w:tcBorders>
                  <w:shd w:val="clear" w:color="auto" w:fill="auto"/>
                  <w:vAlign w:val="center"/>
                </w:tcPr>
                <w:p w14:paraId="6D2321D7">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r>
            <w:tr w14:paraId="20A11DA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5E62CAFE">
                  <w:pPr>
                    <w:pStyle w:val="63"/>
                    <w:keepNext w:val="0"/>
                    <w:keepLines w:val="0"/>
                    <w:pageBreakBefore w:val="0"/>
                    <w:widowControl w:val="0"/>
                    <w:numPr>
                      <w:ilvl w:val="0"/>
                      <w:numId w:val="8"/>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6C790C4D">
                  <w:pPr>
                    <w:keepNext w:val="0"/>
                    <w:keepLines w:val="0"/>
                    <w:widowControl/>
                    <w:suppressLineNumbers w:val="0"/>
                    <w:spacing w:before="0" w:beforeAutospacing="0" w:after="0" w:afterAutospacing="0"/>
                    <w:ind w:left="0" w:right="0"/>
                    <w:jc w:val="center"/>
                    <w:rPr>
                      <w:rFonts w:hint="default" w:cs="Times New Roman"/>
                      <w:bCs/>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全自动高速压片机</w:t>
                  </w:r>
                  <w:r>
                    <w:rPr>
                      <w:rFonts w:hint="eastAsia"/>
                      <w:color w:val="000000" w:themeColor="text1"/>
                      <w:szCs w:val="21"/>
                      <w:highlight w:val="none"/>
                      <w14:textFill>
                        <w14:solidFill>
                          <w14:schemeClr w14:val="tx1"/>
                        </w14:solidFill>
                      </w14:textFill>
                    </w:rPr>
                    <w:t>系统</w:t>
                  </w:r>
                </w:p>
              </w:tc>
              <w:tc>
                <w:tcPr>
                  <w:tcW w:w="1093" w:type="pct"/>
                  <w:tcBorders>
                    <w:tl2br w:val="nil"/>
                    <w:tr2bl w:val="nil"/>
                  </w:tcBorders>
                  <w:shd w:val="clear" w:color="auto" w:fill="auto"/>
                  <w:vAlign w:val="center"/>
                </w:tcPr>
                <w:p w14:paraId="259B2252">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GZP-40</w:t>
                  </w:r>
                </w:p>
              </w:tc>
              <w:tc>
                <w:tcPr>
                  <w:tcW w:w="416" w:type="pct"/>
                  <w:tcBorders>
                    <w:tl2br w:val="nil"/>
                    <w:tr2bl w:val="nil"/>
                  </w:tcBorders>
                  <w:shd w:val="clear" w:color="auto" w:fill="auto"/>
                  <w:vAlign w:val="center"/>
                </w:tcPr>
                <w:p w14:paraId="72538C4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746B80BD">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0</w:t>
                  </w:r>
                </w:p>
              </w:tc>
              <w:tc>
                <w:tcPr>
                  <w:tcW w:w="532" w:type="pct"/>
                  <w:tcBorders>
                    <w:tl2br w:val="nil"/>
                    <w:tr2bl w:val="nil"/>
                  </w:tcBorders>
                  <w:shd w:val="clear" w:color="auto" w:fill="auto"/>
                  <w:vAlign w:val="center"/>
                </w:tcPr>
                <w:p w14:paraId="2CD3CCF9">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c>
                <w:tcPr>
                  <w:tcW w:w="557" w:type="pct"/>
                  <w:tcBorders>
                    <w:tl2br w:val="nil"/>
                    <w:tr2bl w:val="nil"/>
                  </w:tcBorders>
                  <w:shd w:val="clear" w:color="auto" w:fill="auto"/>
                  <w:vAlign w:val="center"/>
                </w:tcPr>
                <w:p w14:paraId="4F30468A">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r>
            <w:tr w14:paraId="498D3C7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7602798B">
                  <w:pPr>
                    <w:pStyle w:val="63"/>
                    <w:keepNext w:val="0"/>
                    <w:keepLines w:val="0"/>
                    <w:pageBreakBefore w:val="0"/>
                    <w:widowControl w:val="0"/>
                    <w:numPr>
                      <w:ilvl w:val="0"/>
                      <w:numId w:val="8"/>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24CD8E48">
                  <w:pPr>
                    <w:keepNext w:val="0"/>
                    <w:keepLines w:val="0"/>
                    <w:widowControl/>
                    <w:suppressLineNumbers w:val="0"/>
                    <w:spacing w:before="0" w:beforeAutospacing="0" w:after="0" w:afterAutospacing="0"/>
                    <w:ind w:left="0" w:right="0"/>
                    <w:jc w:val="center"/>
                    <w:rPr>
                      <w:rFonts w:hint="default" w:cs="Times New Roman"/>
                      <w:bCs/>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药片剔除机</w:t>
                  </w:r>
                </w:p>
              </w:tc>
              <w:tc>
                <w:tcPr>
                  <w:tcW w:w="1093" w:type="pct"/>
                  <w:tcBorders>
                    <w:tl2br w:val="nil"/>
                    <w:tr2bl w:val="nil"/>
                  </w:tcBorders>
                  <w:shd w:val="clear" w:color="auto" w:fill="auto"/>
                  <w:vAlign w:val="center"/>
                </w:tcPr>
                <w:p w14:paraId="0A134D34">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color w:val="000000" w:themeColor="text1"/>
                      <w:szCs w:val="21"/>
                      <w:highlight w:val="none"/>
                      <w14:textFill>
                        <w14:solidFill>
                          <w14:schemeClr w14:val="tx1"/>
                        </w14:solidFill>
                      </w14:textFill>
                    </w:rPr>
                    <w:t>TC-2</w:t>
                  </w:r>
                </w:p>
              </w:tc>
              <w:tc>
                <w:tcPr>
                  <w:tcW w:w="416" w:type="pct"/>
                  <w:tcBorders>
                    <w:tl2br w:val="nil"/>
                    <w:tr2bl w:val="nil"/>
                  </w:tcBorders>
                  <w:shd w:val="clear" w:color="auto" w:fill="auto"/>
                  <w:vAlign w:val="center"/>
                </w:tcPr>
                <w:p w14:paraId="40EB7C9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67907287">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0</w:t>
                  </w:r>
                </w:p>
              </w:tc>
              <w:tc>
                <w:tcPr>
                  <w:tcW w:w="532" w:type="pct"/>
                  <w:tcBorders>
                    <w:tl2br w:val="nil"/>
                    <w:tr2bl w:val="nil"/>
                  </w:tcBorders>
                  <w:shd w:val="clear" w:color="auto" w:fill="auto"/>
                  <w:vAlign w:val="center"/>
                </w:tcPr>
                <w:p w14:paraId="42B03A89">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c>
                <w:tcPr>
                  <w:tcW w:w="557" w:type="pct"/>
                  <w:tcBorders>
                    <w:tl2br w:val="nil"/>
                    <w:tr2bl w:val="nil"/>
                  </w:tcBorders>
                  <w:shd w:val="clear" w:color="auto" w:fill="auto"/>
                  <w:vAlign w:val="center"/>
                </w:tcPr>
                <w:p w14:paraId="5C810E59">
                  <w:pPr>
                    <w:keepNext w:val="0"/>
                    <w:keepLines w:val="0"/>
                    <w:widowControl/>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14:textFill>
                        <w14:solidFill>
                          <w14:schemeClr w14:val="tx1"/>
                        </w14:solidFill>
                      </w14:textFill>
                    </w:rPr>
                    <w:t>1</w:t>
                  </w:r>
                </w:p>
              </w:tc>
            </w:tr>
            <w:tr w14:paraId="30687B2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5000" w:type="pct"/>
                  <w:gridSpan w:val="7"/>
                  <w:tcBorders>
                    <w:tl2br w:val="nil"/>
                    <w:tr2bl w:val="nil"/>
                  </w:tcBorders>
                  <w:shd w:val="clear" w:color="auto" w:fill="auto"/>
                  <w:vAlign w:val="center"/>
                </w:tcPr>
                <w:p w14:paraId="554F1E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center"/>
                    <w:rPr>
                      <w:rFonts w:hint="default" w:ascii="宋体" w:hAnsi="宋体" w:eastAsia="宋体" w:cs="宋体"/>
                      <w:color w:val="000000" w:themeColor="text1"/>
                      <w:sz w:val="20"/>
                      <w:szCs w:val="20"/>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提取车间</w:t>
                  </w:r>
                </w:p>
              </w:tc>
            </w:tr>
            <w:tr w14:paraId="634E8F9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3587BD1B">
                  <w:pPr>
                    <w:pStyle w:val="63"/>
                    <w:keepNext w:val="0"/>
                    <w:keepLines w:val="0"/>
                    <w:pageBreakBefore w:val="0"/>
                    <w:widowControl w:val="0"/>
                    <w:numPr>
                      <w:ilvl w:val="0"/>
                      <w:numId w:val="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6677C1CD">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highlight w:val="none"/>
                      <w:u w:val="none"/>
                      <w:lang w:val="en-US" w:eastAsia="zh-CN" w:bidi="ar"/>
                      <w14:textFill>
                        <w14:solidFill>
                          <w14:schemeClr w14:val="tx1"/>
                        </w14:solidFill>
                      </w14:textFill>
                    </w:rPr>
                    <w:t>CIP在线清洗装置</w:t>
                  </w:r>
                </w:p>
              </w:tc>
              <w:tc>
                <w:tcPr>
                  <w:tcW w:w="1093" w:type="pct"/>
                  <w:tcBorders>
                    <w:tl2br w:val="nil"/>
                    <w:tr2bl w:val="nil"/>
                  </w:tcBorders>
                  <w:shd w:val="clear" w:color="auto" w:fill="auto"/>
                  <w:vAlign w:val="center"/>
                </w:tcPr>
                <w:p w14:paraId="2BC4AB3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2m³/h</w:t>
                  </w:r>
                </w:p>
              </w:tc>
              <w:tc>
                <w:tcPr>
                  <w:tcW w:w="416" w:type="pct"/>
                  <w:tcBorders>
                    <w:tl2br w:val="nil"/>
                    <w:tr2bl w:val="nil"/>
                  </w:tcBorders>
                  <w:shd w:val="clear" w:color="auto" w:fill="auto"/>
                  <w:vAlign w:val="center"/>
                </w:tcPr>
                <w:p w14:paraId="32F9E4E3">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套</w:t>
                  </w:r>
                </w:p>
              </w:tc>
              <w:tc>
                <w:tcPr>
                  <w:tcW w:w="532" w:type="pct"/>
                  <w:tcBorders>
                    <w:tl2br w:val="nil"/>
                    <w:tr2bl w:val="nil"/>
                  </w:tcBorders>
                  <w:shd w:val="clear" w:color="auto" w:fill="auto"/>
                  <w:vAlign w:val="center"/>
                </w:tcPr>
                <w:p w14:paraId="587D20EB">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1</w:t>
                  </w:r>
                </w:p>
              </w:tc>
              <w:tc>
                <w:tcPr>
                  <w:tcW w:w="532" w:type="pct"/>
                  <w:tcBorders>
                    <w:tl2br w:val="nil"/>
                    <w:tr2bl w:val="nil"/>
                  </w:tcBorders>
                  <w:shd w:val="clear" w:color="auto" w:fill="auto"/>
                  <w:vAlign w:val="top"/>
                </w:tcPr>
                <w:p w14:paraId="70806A34">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7F56EC22">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1</w:t>
                  </w:r>
                </w:p>
              </w:tc>
            </w:tr>
            <w:tr w14:paraId="7369D6B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15E7AEB0">
                  <w:pPr>
                    <w:pStyle w:val="63"/>
                    <w:keepNext w:val="0"/>
                    <w:keepLines w:val="0"/>
                    <w:pageBreakBefore w:val="0"/>
                    <w:widowControl w:val="0"/>
                    <w:numPr>
                      <w:ilvl w:val="0"/>
                      <w:numId w:val="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480F893E">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highlight w:val="none"/>
                      <w:u w:val="none"/>
                      <w:lang w:val="en-US" w:eastAsia="zh-CN" w:bidi="ar"/>
                      <w14:textFill>
                        <w14:solidFill>
                          <w14:schemeClr w14:val="tx1"/>
                        </w14:solidFill>
                      </w14:textFill>
                    </w:rPr>
                    <w:t>MVR升膜蒸发浓缩系统</w:t>
                  </w:r>
                </w:p>
              </w:tc>
              <w:tc>
                <w:tcPr>
                  <w:tcW w:w="1093" w:type="pct"/>
                  <w:tcBorders>
                    <w:tl2br w:val="nil"/>
                    <w:tr2bl w:val="nil"/>
                  </w:tcBorders>
                  <w:shd w:val="clear" w:color="auto" w:fill="auto"/>
                  <w:vAlign w:val="center"/>
                </w:tcPr>
                <w:p w14:paraId="64F2808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10T/H</w:t>
                  </w:r>
                </w:p>
              </w:tc>
              <w:tc>
                <w:tcPr>
                  <w:tcW w:w="416" w:type="pct"/>
                  <w:tcBorders>
                    <w:tl2br w:val="nil"/>
                    <w:tr2bl w:val="nil"/>
                  </w:tcBorders>
                  <w:shd w:val="clear" w:color="auto" w:fill="auto"/>
                  <w:vAlign w:val="center"/>
                </w:tcPr>
                <w:p w14:paraId="7250EFFE">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套</w:t>
                  </w:r>
                </w:p>
              </w:tc>
              <w:tc>
                <w:tcPr>
                  <w:tcW w:w="532" w:type="pct"/>
                  <w:tcBorders>
                    <w:tl2br w:val="nil"/>
                    <w:tr2bl w:val="nil"/>
                  </w:tcBorders>
                  <w:shd w:val="clear" w:color="auto" w:fill="auto"/>
                  <w:vAlign w:val="center"/>
                </w:tcPr>
                <w:p w14:paraId="70A4248D">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1</w:t>
                  </w:r>
                </w:p>
              </w:tc>
              <w:tc>
                <w:tcPr>
                  <w:tcW w:w="532" w:type="pct"/>
                  <w:tcBorders>
                    <w:tl2br w:val="nil"/>
                    <w:tr2bl w:val="nil"/>
                  </w:tcBorders>
                  <w:shd w:val="clear" w:color="auto" w:fill="auto"/>
                  <w:vAlign w:val="top"/>
                </w:tcPr>
                <w:p w14:paraId="43F1058B">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36B4EE68">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1</w:t>
                  </w:r>
                </w:p>
              </w:tc>
            </w:tr>
            <w:tr w14:paraId="4531D20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7BD1AF56">
                  <w:pPr>
                    <w:pStyle w:val="63"/>
                    <w:keepNext w:val="0"/>
                    <w:keepLines w:val="0"/>
                    <w:pageBreakBefore w:val="0"/>
                    <w:widowControl w:val="0"/>
                    <w:numPr>
                      <w:ilvl w:val="0"/>
                      <w:numId w:val="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693728DE">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highlight w:val="none"/>
                      <w:u w:val="none"/>
                      <w:lang w:val="en-US" w:eastAsia="zh-CN" w:bidi="ar"/>
                      <w14:textFill>
                        <w14:solidFill>
                          <w14:schemeClr w14:val="tx1"/>
                        </w14:solidFill>
                      </w14:textFill>
                    </w:rPr>
                    <w:t>MVR升膜蒸发浓缩系统</w:t>
                  </w:r>
                </w:p>
              </w:tc>
              <w:tc>
                <w:tcPr>
                  <w:tcW w:w="1093" w:type="pct"/>
                  <w:tcBorders>
                    <w:tl2br w:val="nil"/>
                    <w:tr2bl w:val="nil"/>
                  </w:tcBorders>
                  <w:shd w:val="clear" w:color="auto" w:fill="auto"/>
                  <w:vAlign w:val="center"/>
                </w:tcPr>
                <w:p w14:paraId="7E3C695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7T/H</w:t>
                  </w:r>
                </w:p>
              </w:tc>
              <w:tc>
                <w:tcPr>
                  <w:tcW w:w="416" w:type="pct"/>
                  <w:tcBorders>
                    <w:tl2br w:val="nil"/>
                    <w:tr2bl w:val="nil"/>
                  </w:tcBorders>
                  <w:shd w:val="clear" w:color="auto" w:fill="auto"/>
                  <w:vAlign w:val="center"/>
                </w:tcPr>
                <w:p w14:paraId="2A601782">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套</w:t>
                  </w:r>
                </w:p>
              </w:tc>
              <w:tc>
                <w:tcPr>
                  <w:tcW w:w="532" w:type="pct"/>
                  <w:tcBorders>
                    <w:tl2br w:val="nil"/>
                    <w:tr2bl w:val="nil"/>
                  </w:tcBorders>
                  <w:shd w:val="clear" w:color="auto" w:fill="auto"/>
                  <w:vAlign w:val="center"/>
                </w:tcPr>
                <w:p w14:paraId="5263E46A">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1</w:t>
                  </w:r>
                </w:p>
              </w:tc>
              <w:tc>
                <w:tcPr>
                  <w:tcW w:w="532" w:type="pct"/>
                  <w:tcBorders>
                    <w:tl2br w:val="nil"/>
                    <w:tr2bl w:val="nil"/>
                  </w:tcBorders>
                  <w:shd w:val="clear" w:color="auto" w:fill="auto"/>
                  <w:vAlign w:val="top"/>
                </w:tcPr>
                <w:p w14:paraId="1FBF2E7A">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7D9C94F8">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1</w:t>
                  </w:r>
                </w:p>
              </w:tc>
            </w:tr>
            <w:tr w14:paraId="582543E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3FC2C5A2">
                  <w:pPr>
                    <w:pStyle w:val="63"/>
                    <w:keepNext w:val="0"/>
                    <w:keepLines w:val="0"/>
                    <w:pageBreakBefore w:val="0"/>
                    <w:widowControl w:val="0"/>
                    <w:numPr>
                      <w:ilvl w:val="0"/>
                      <w:numId w:val="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1372B5E4">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highlight w:val="none"/>
                      <w:u w:val="none"/>
                      <w:lang w:val="en-US" w:eastAsia="zh-CN" w:bidi="ar"/>
                      <w14:textFill>
                        <w14:solidFill>
                          <w14:schemeClr w14:val="tx1"/>
                        </w14:solidFill>
                      </w14:textFill>
                    </w:rPr>
                    <w:t>单效浓缩器</w:t>
                  </w:r>
                </w:p>
              </w:tc>
              <w:tc>
                <w:tcPr>
                  <w:tcW w:w="1093" w:type="pct"/>
                  <w:tcBorders>
                    <w:tl2br w:val="nil"/>
                    <w:tr2bl w:val="nil"/>
                  </w:tcBorders>
                  <w:shd w:val="clear" w:color="auto" w:fill="auto"/>
                  <w:vAlign w:val="center"/>
                </w:tcPr>
                <w:p w14:paraId="1922118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1000L</w:t>
                  </w:r>
                </w:p>
              </w:tc>
              <w:tc>
                <w:tcPr>
                  <w:tcW w:w="416" w:type="pct"/>
                  <w:tcBorders>
                    <w:tl2br w:val="nil"/>
                    <w:tr2bl w:val="nil"/>
                  </w:tcBorders>
                  <w:shd w:val="clear" w:color="auto" w:fill="auto"/>
                  <w:vAlign w:val="center"/>
                </w:tcPr>
                <w:p w14:paraId="2E46B5E5">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76B5BF6C">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1</w:t>
                  </w:r>
                </w:p>
              </w:tc>
              <w:tc>
                <w:tcPr>
                  <w:tcW w:w="532" w:type="pct"/>
                  <w:tcBorders>
                    <w:tl2br w:val="nil"/>
                    <w:tr2bl w:val="nil"/>
                  </w:tcBorders>
                  <w:shd w:val="clear" w:color="auto" w:fill="auto"/>
                  <w:vAlign w:val="top"/>
                </w:tcPr>
                <w:p w14:paraId="3F9D4AE0">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693695E2">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1</w:t>
                  </w:r>
                </w:p>
              </w:tc>
            </w:tr>
            <w:tr w14:paraId="6A75EA0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2AF8EC67">
                  <w:pPr>
                    <w:pStyle w:val="63"/>
                    <w:keepNext w:val="0"/>
                    <w:keepLines w:val="0"/>
                    <w:pageBreakBefore w:val="0"/>
                    <w:widowControl w:val="0"/>
                    <w:numPr>
                      <w:ilvl w:val="0"/>
                      <w:numId w:val="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75BE6CFC">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highlight w:val="none"/>
                      <w:u w:val="none"/>
                      <w:lang w:val="en-US" w:eastAsia="zh-CN" w:bidi="ar"/>
                      <w14:textFill>
                        <w14:solidFill>
                          <w14:schemeClr w14:val="tx1"/>
                        </w14:solidFill>
                      </w14:textFill>
                    </w:rPr>
                    <w:t>夹套静置罐</w:t>
                  </w:r>
                </w:p>
              </w:tc>
              <w:tc>
                <w:tcPr>
                  <w:tcW w:w="1093" w:type="pct"/>
                  <w:tcBorders>
                    <w:tl2br w:val="nil"/>
                    <w:tr2bl w:val="nil"/>
                  </w:tcBorders>
                  <w:shd w:val="clear" w:color="auto" w:fill="auto"/>
                  <w:vAlign w:val="center"/>
                </w:tcPr>
                <w:p w14:paraId="72B1FB2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6000L</w:t>
                  </w:r>
                </w:p>
              </w:tc>
              <w:tc>
                <w:tcPr>
                  <w:tcW w:w="416" w:type="pct"/>
                  <w:tcBorders>
                    <w:tl2br w:val="nil"/>
                    <w:tr2bl w:val="nil"/>
                  </w:tcBorders>
                  <w:shd w:val="clear" w:color="auto" w:fill="auto"/>
                  <w:vAlign w:val="center"/>
                </w:tcPr>
                <w:p w14:paraId="1274D56F">
                  <w:pPr>
                    <w:keepNext w:val="0"/>
                    <w:keepLines w:val="0"/>
                    <w:widowControl/>
                    <w:suppressLineNumbers w:val="0"/>
                    <w:spacing w:before="0" w:beforeAutospacing="0" w:after="0" w:afterAutospacing="0"/>
                    <w:ind w:left="0" w:right="0"/>
                    <w:jc w:val="center"/>
                    <w:rPr>
                      <w:rFonts w:hint="eastAsia" w:ascii="宋体" w:hAnsi="宋体" w:eastAsia="宋体" w:cs="宋体"/>
                      <w:color w:val="000000" w:themeColor="text1"/>
                      <w:kern w:val="0"/>
                      <w:sz w:val="20"/>
                      <w:szCs w:val="20"/>
                      <w:highlight w:val="none"/>
                      <w:lang w:val="en-US" w:eastAsia="zh-CN" w:bidi="ar"/>
                      <w14:textFill>
                        <w14:solidFill>
                          <w14:schemeClr w14:val="tx1"/>
                        </w14:solidFill>
                      </w14:textFill>
                    </w:rPr>
                  </w:pPr>
                  <w:r>
                    <w:rPr>
                      <w:rFonts w:hint="eastAsia" w:ascii="宋体" w:hAnsi="宋体" w:cs="宋体"/>
                      <w:color w:val="000000" w:themeColor="text1"/>
                      <w:kern w:val="0"/>
                      <w:sz w:val="20"/>
                      <w:szCs w:val="20"/>
                      <w:highlight w:val="none"/>
                      <w:lang w:val="en-US" w:eastAsia="zh-CN" w:bidi="ar"/>
                      <w14:textFill>
                        <w14:solidFill>
                          <w14:schemeClr w14:val="tx1"/>
                        </w14:solidFill>
                      </w14:textFill>
                    </w:rPr>
                    <w:t>个</w:t>
                  </w:r>
                </w:p>
              </w:tc>
              <w:tc>
                <w:tcPr>
                  <w:tcW w:w="532" w:type="pct"/>
                  <w:tcBorders>
                    <w:tl2br w:val="nil"/>
                    <w:tr2bl w:val="nil"/>
                  </w:tcBorders>
                  <w:shd w:val="clear" w:color="auto" w:fill="auto"/>
                  <w:vAlign w:val="center"/>
                </w:tcPr>
                <w:p w14:paraId="785A90BD">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4</w:t>
                  </w:r>
                </w:p>
              </w:tc>
              <w:tc>
                <w:tcPr>
                  <w:tcW w:w="532" w:type="pct"/>
                  <w:tcBorders>
                    <w:tl2br w:val="nil"/>
                    <w:tr2bl w:val="nil"/>
                  </w:tcBorders>
                  <w:shd w:val="clear" w:color="auto" w:fill="auto"/>
                  <w:vAlign w:val="top"/>
                </w:tcPr>
                <w:p w14:paraId="1FE35CB6">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1181647F">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4</w:t>
                  </w:r>
                </w:p>
              </w:tc>
            </w:tr>
            <w:tr w14:paraId="385398E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710EE13F">
                  <w:pPr>
                    <w:pStyle w:val="63"/>
                    <w:keepNext w:val="0"/>
                    <w:keepLines w:val="0"/>
                    <w:pageBreakBefore w:val="0"/>
                    <w:widowControl w:val="0"/>
                    <w:numPr>
                      <w:ilvl w:val="0"/>
                      <w:numId w:val="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19063CD5">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highlight w:val="none"/>
                      <w:u w:val="none"/>
                      <w:lang w:val="en-US" w:eastAsia="zh-CN" w:bidi="ar"/>
                      <w14:textFill>
                        <w14:solidFill>
                          <w14:schemeClr w14:val="tx1"/>
                        </w14:solidFill>
                      </w14:textFill>
                    </w:rPr>
                    <w:t>浓缩器</w:t>
                  </w:r>
                </w:p>
              </w:tc>
              <w:tc>
                <w:tcPr>
                  <w:tcW w:w="1093" w:type="pct"/>
                  <w:tcBorders>
                    <w:tl2br w:val="nil"/>
                    <w:tr2bl w:val="nil"/>
                  </w:tcBorders>
                  <w:shd w:val="clear" w:color="auto" w:fill="auto"/>
                  <w:vAlign w:val="center"/>
                </w:tcPr>
                <w:p w14:paraId="7E58D3F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2000型</w:t>
                  </w:r>
                </w:p>
              </w:tc>
              <w:tc>
                <w:tcPr>
                  <w:tcW w:w="416" w:type="pct"/>
                  <w:tcBorders>
                    <w:tl2br w:val="nil"/>
                    <w:tr2bl w:val="nil"/>
                  </w:tcBorders>
                  <w:shd w:val="clear" w:color="auto" w:fill="auto"/>
                  <w:vAlign w:val="center"/>
                </w:tcPr>
                <w:p w14:paraId="7C3AF8AD">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24939B86">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1</w:t>
                  </w:r>
                </w:p>
              </w:tc>
              <w:tc>
                <w:tcPr>
                  <w:tcW w:w="532" w:type="pct"/>
                  <w:tcBorders>
                    <w:tl2br w:val="nil"/>
                    <w:tr2bl w:val="nil"/>
                  </w:tcBorders>
                  <w:shd w:val="clear" w:color="auto" w:fill="auto"/>
                  <w:vAlign w:val="top"/>
                </w:tcPr>
                <w:p w14:paraId="51E4C7D1">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53059977">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1</w:t>
                  </w:r>
                </w:p>
              </w:tc>
            </w:tr>
            <w:tr w14:paraId="7040AE3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5F19CB31">
                  <w:pPr>
                    <w:pStyle w:val="63"/>
                    <w:keepNext w:val="0"/>
                    <w:keepLines w:val="0"/>
                    <w:pageBreakBefore w:val="0"/>
                    <w:widowControl w:val="0"/>
                    <w:numPr>
                      <w:ilvl w:val="0"/>
                      <w:numId w:val="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2CBD8B25">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highlight w:val="none"/>
                      <w:u w:val="none"/>
                      <w:lang w:val="en-US" w:eastAsia="zh-CN" w:bidi="ar"/>
                      <w14:textFill>
                        <w14:solidFill>
                          <w14:schemeClr w14:val="tx1"/>
                        </w14:solidFill>
                      </w14:textFill>
                    </w:rPr>
                    <w:t>三元旋振筛</w:t>
                  </w:r>
                </w:p>
              </w:tc>
              <w:tc>
                <w:tcPr>
                  <w:tcW w:w="1093" w:type="pct"/>
                  <w:tcBorders>
                    <w:tl2br w:val="nil"/>
                    <w:tr2bl w:val="nil"/>
                  </w:tcBorders>
                  <w:shd w:val="clear" w:color="auto" w:fill="auto"/>
                  <w:vAlign w:val="center"/>
                </w:tcPr>
                <w:p w14:paraId="6B33FE0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GFGL-1000-1S</w:t>
                  </w:r>
                </w:p>
              </w:tc>
              <w:tc>
                <w:tcPr>
                  <w:tcW w:w="416" w:type="pct"/>
                  <w:tcBorders>
                    <w:tl2br w:val="nil"/>
                    <w:tr2bl w:val="nil"/>
                  </w:tcBorders>
                  <w:shd w:val="clear" w:color="auto" w:fill="auto"/>
                  <w:vAlign w:val="center"/>
                </w:tcPr>
                <w:p w14:paraId="0348C8A9">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397193EC">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2</w:t>
                  </w:r>
                </w:p>
              </w:tc>
              <w:tc>
                <w:tcPr>
                  <w:tcW w:w="532" w:type="pct"/>
                  <w:tcBorders>
                    <w:tl2br w:val="nil"/>
                    <w:tr2bl w:val="nil"/>
                  </w:tcBorders>
                  <w:shd w:val="clear" w:color="auto" w:fill="auto"/>
                  <w:vAlign w:val="top"/>
                </w:tcPr>
                <w:p w14:paraId="7C162410">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541DE38A">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2</w:t>
                  </w:r>
                </w:p>
              </w:tc>
            </w:tr>
            <w:tr w14:paraId="6D9A800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65475423">
                  <w:pPr>
                    <w:pStyle w:val="63"/>
                    <w:keepNext w:val="0"/>
                    <w:keepLines w:val="0"/>
                    <w:pageBreakBefore w:val="0"/>
                    <w:widowControl w:val="0"/>
                    <w:numPr>
                      <w:ilvl w:val="0"/>
                      <w:numId w:val="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4EEFC71A">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highlight w:val="none"/>
                      <w:u w:val="none"/>
                      <w:lang w:val="en-US" w:eastAsia="zh-CN" w:bidi="ar"/>
                      <w14:textFill>
                        <w14:solidFill>
                          <w14:schemeClr w14:val="tx1"/>
                        </w14:solidFill>
                      </w14:textFill>
                    </w:rPr>
                    <w:t>双效浓缩器</w:t>
                  </w:r>
                </w:p>
              </w:tc>
              <w:tc>
                <w:tcPr>
                  <w:tcW w:w="1093" w:type="pct"/>
                  <w:tcBorders>
                    <w:tl2br w:val="nil"/>
                    <w:tr2bl w:val="nil"/>
                  </w:tcBorders>
                  <w:shd w:val="clear" w:color="auto" w:fill="auto"/>
                  <w:vAlign w:val="center"/>
                </w:tcPr>
                <w:p w14:paraId="7B8472F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SX-3000</w:t>
                  </w:r>
                </w:p>
              </w:tc>
              <w:tc>
                <w:tcPr>
                  <w:tcW w:w="416" w:type="pct"/>
                  <w:tcBorders>
                    <w:tl2br w:val="nil"/>
                    <w:tr2bl w:val="nil"/>
                  </w:tcBorders>
                  <w:shd w:val="clear" w:color="auto" w:fill="auto"/>
                  <w:vAlign w:val="center"/>
                </w:tcPr>
                <w:p w14:paraId="44369B7F">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38D28550">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3</w:t>
                  </w:r>
                </w:p>
              </w:tc>
              <w:tc>
                <w:tcPr>
                  <w:tcW w:w="532" w:type="pct"/>
                  <w:tcBorders>
                    <w:tl2br w:val="nil"/>
                    <w:tr2bl w:val="nil"/>
                  </w:tcBorders>
                  <w:shd w:val="clear" w:color="auto" w:fill="auto"/>
                  <w:vAlign w:val="top"/>
                </w:tcPr>
                <w:p w14:paraId="3B275D22">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750DBF07">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3</w:t>
                  </w:r>
                </w:p>
              </w:tc>
            </w:tr>
            <w:tr w14:paraId="5B4E966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5D929F8E">
                  <w:pPr>
                    <w:pStyle w:val="63"/>
                    <w:keepNext w:val="0"/>
                    <w:keepLines w:val="0"/>
                    <w:pageBreakBefore w:val="0"/>
                    <w:widowControl w:val="0"/>
                    <w:numPr>
                      <w:ilvl w:val="0"/>
                      <w:numId w:val="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5D31E3EC">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highlight w:val="none"/>
                      <w:u w:val="none"/>
                      <w:lang w:val="en-US" w:eastAsia="zh-CN" w:bidi="ar"/>
                      <w14:textFill>
                        <w14:solidFill>
                          <w14:schemeClr w14:val="tx1"/>
                        </w14:solidFill>
                      </w14:textFill>
                    </w:rPr>
                    <w:t>提取车间自动化控制系统</w:t>
                  </w:r>
                </w:p>
              </w:tc>
              <w:tc>
                <w:tcPr>
                  <w:tcW w:w="1093" w:type="pct"/>
                  <w:tcBorders>
                    <w:tl2br w:val="nil"/>
                    <w:tr2bl w:val="nil"/>
                  </w:tcBorders>
                  <w:shd w:val="clear" w:color="auto" w:fill="auto"/>
                  <w:vAlign w:val="center"/>
                </w:tcPr>
                <w:p w14:paraId="7A01C44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416" w:type="pct"/>
                  <w:tcBorders>
                    <w:tl2br w:val="nil"/>
                    <w:tr2bl w:val="nil"/>
                  </w:tcBorders>
                  <w:shd w:val="clear" w:color="auto" w:fill="auto"/>
                  <w:vAlign w:val="center"/>
                </w:tcPr>
                <w:p w14:paraId="60D028D5">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套</w:t>
                  </w:r>
                </w:p>
              </w:tc>
              <w:tc>
                <w:tcPr>
                  <w:tcW w:w="532" w:type="pct"/>
                  <w:tcBorders>
                    <w:tl2br w:val="nil"/>
                    <w:tr2bl w:val="nil"/>
                  </w:tcBorders>
                  <w:shd w:val="clear" w:color="auto" w:fill="auto"/>
                  <w:vAlign w:val="center"/>
                </w:tcPr>
                <w:p w14:paraId="1678B84A">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1</w:t>
                  </w:r>
                </w:p>
              </w:tc>
              <w:tc>
                <w:tcPr>
                  <w:tcW w:w="532" w:type="pct"/>
                  <w:tcBorders>
                    <w:tl2br w:val="nil"/>
                    <w:tr2bl w:val="nil"/>
                  </w:tcBorders>
                  <w:shd w:val="clear" w:color="auto" w:fill="auto"/>
                  <w:vAlign w:val="top"/>
                </w:tcPr>
                <w:p w14:paraId="48D0C3FD">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581F8E70">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1</w:t>
                  </w:r>
                </w:p>
              </w:tc>
            </w:tr>
            <w:tr w14:paraId="61BD26D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1D5548BD">
                  <w:pPr>
                    <w:pStyle w:val="63"/>
                    <w:keepNext w:val="0"/>
                    <w:keepLines w:val="0"/>
                    <w:pageBreakBefore w:val="0"/>
                    <w:widowControl w:val="0"/>
                    <w:numPr>
                      <w:ilvl w:val="0"/>
                      <w:numId w:val="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2A6FAE10">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highlight w:val="none"/>
                      <w:u w:val="none"/>
                      <w:lang w:val="en-US" w:eastAsia="zh-CN" w:bidi="ar"/>
                      <w14:textFill>
                        <w14:solidFill>
                          <w14:schemeClr w14:val="tx1"/>
                        </w14:solidFill>
                      </w14:textFill>
                    </w:rPr>
                    <w:t>真空减压浓缩器</w:t>
                  </w:r>
                </w:p>
              </w:tc>
              <w:tc>
                <w:tcPr>
                  <w:tcW w:w="1093" w:type="pct"/>
                  <w:tcBorders>
                    <w:tl2br w:val="nil"/>
                    <w:tr2bl w:val="nil"/>
                  </w:tcBorders>
                  <w:shd w:val="clear" w:color="auto" w:fill="auto"/>
                  <w:vAlign w:val="center"/>
                </w:tcPr>
                <w:p w14:paraId="387ADE0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3000L</w:t>
                  </w:r>
                </w:p>
              </w:tc>
              <w:tc>
                <w:tcPr>
                  <w:tcW w:w="416" w:type="pct"/>
                  <w:tcBorders>
                    <w:tl2br w:val="nil"/>
                    <w:tr2bl w:val="nil"/>
                  </w:tcBorders>
                  <w:shd w:val="clear" w:color="auto" w:fill="auto"/>
                  <w:vAlign w:val="center"/>
                </w:tcPr>
                <w:p w14:paraId="7125ECA9">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02583712">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1</w:t>
                  </w:r>
                </w:p>
              </w:tc>
              <w:tc>
                <w:tcPr>
                  <w:tcW w:w="532" w:type="pct"/>
                  <w:tcBorders>
                    <w:tl2br w:val="nil"/>
                    <w:tr2bl w:val="nil"/>
                  </w:tcBorders>
                  <w:shd w:val="clear" w:color="auto" w:fill="auto"/>
                  <w:vAlign w:val="top"/>
                </w:tcPr>
                <w:p w14:paraId="04B66CE5">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31BC331E">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1</w:t>
                  </w:r>
                </w:p>
              </w:tc>
            </w:tr>
            <w:tr w14:paraId="528FA3A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01357F8C">
                  <w:pPr>
                    <w:pStyle w:val="63"/>
                    <w:keepNext w:val="0"/>
                    <w:keepLines w:val="0"/>
                    <w:pageBreakBefore w:val="0"/>
                    <w:widowControl w:val="0"/>
                    <w:numPr>
                      <w:ilvl w:val="0"/>
                      <w:numId w:val="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6145BB4F">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highlight w:val="none"/>
                      <w:u w:val="none"/>
                      <w:lang w:val="en-US" w:eastAsia="zh-CN" w:bidi="ar"/>
                      <w14:textFill>
                        <w14:solidFill>
                          <w14:schemeClr w14:val="tx1"/>
                        </w14:solidFill>
                      </w14:textFill>
                    </w:rPr>
                    <w:t>直筒提取罐</w:t>
                  </w:r>
                </w:p>
              </w:tc>
              <w:tc>
                <w:tcPr>
                  <w:tcW w:w="1093" w:type="pct"/>
                  <w:tcBorders>
                    <w:tl2br w:val="nil"/>
                    <w:tr2bl w:val="nil"/>
                  </w:tcBorders>
                  <w:shd w:val="clear" w:color="auto" w:fill="auto"/>
                  <w:vAlign w:val="center"/>
                </w:tcPr>
                <w:p w14:paraId="04DAF60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6m³</w:t>
                  </w:r>
                </w:p>
              </w:tc>
              <w:tc>
                <w:tcPr>
                  <w:tcW w:w="416" w:type="pct"/>
                  <w:tcBorders>
                    <w:tl2br w:val="nil"/>
                    <w:tr2bl w:val="nil"/>
                  </w:tcBorders>
                  <w:shd w:val="clear" w:color="auto" w:fill="auto"/>
                  <w:vAlign w:val="center"/>
                </w:tcPr>
                <w:p w14:paraId="47801707">
                  <w:pPr>
                    <w:keepNext w:val="0"/>
                    <w:keepLines w:val="0"/>
                    <w:widowControl/>
                    <w:suppressLineNumbers w:val="0"/>
                    <w:spacing w:before="0" w:beforeAutospacing="0" w:after="0" w:afterAutospacing="0"/>
                    <w:ind w:left="0" w:right="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cs="宋体"/>
                      <w:color w:val="000000" w:themeColor="text1"/>
                      <w:kern w:val="0"/>
                      <w:sz w:val="20"/>
                      <w:szCs w:val="20"/>
                      <w:highlight w:val="none"/>
                      <w:lang w:val="en-US" w:eastAsia="zh-CN" w:bidi="ar"/>
                      <w14:textFill>
                        <w14:solidFill>
                          <w14:schemeClr w14:val="tx1"/>
                        </w14:solidFill>
                      </w14:textFill>
                    </w:rPr>
                    <w:t>个</w:t>
                  </w:r>
                </w:p>
              </w:tc>
              <w:tc>
                <w:tcPr>
                  <w:tcW w:w="532" w:type="pct"/>
                  <w:tcBorders>
                    <w:tl2br w:val="nil"/>
                    <w:tr2bl w:val="nil"/>
                  </w:tcBorders>
                  <w:shd w:val="clear" w:color="auto" w:fill="auto"/>
                  <w:vAlign w:val="center"/>
                </w:tcPr>
                <w:p w14:paraId="27840C86">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10</w:t>
                  </w:r>
                </w:p>
              </w:tc>
              <w:tc>
                <w:tcPr>
                  <w:tcW w:w="532" w:type="pct"/>
                  <w:tcBorders>
                    <w:tl2br w:val="nil"/>
                    <w:tr2bl w:val="nil"/>
                  </w:tcBorders>
                  <w:shd w:val="clear" w:color="auto" w:fill="auto"/>
                  <w:vAlign w:val="top"/>
                </w:tcPr>
                <w:p w14:paraId="059A71AC">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014BC743">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10</w:t>
                  </w:r>
                </w:p>
              </w:tc>
            </w:tr>
            <w:tr w14:paraId="76A9026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6ABE233D">
                  <w:pPr>
                    <w:pStyle w:val="63"/>
                    <w:keepNext w:val="0"/>
                    <w:keepLines w:val="0"/>
                    <w:pageBreakBefore w:val="0"/>
                    <w:widowControl w:val="0"/>
                    <w:numPr>
                      <w:ilvl w:val="0"/>
                      <w:numId w:val="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724B1AEC">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highlight w:val="none"/>
                      <w:u w:val="none"/>
                      <w:lang w:val="en-US" w:eastAsia="zh-CN" w:bidi="ar"/>
                      <w14:textFill>
                        <w14:solidFill>
                          <w14:schemeClr w14:val="tx1"/>
                        </w14:solidFill>
                      </w14:textFill>
                    </w:rPr>
                    <w:t>直筒提取罐</w:t>
                  </w:r>
                </w:p>
              </w:tc>
              <w:tc>
                <w:tcPr>
                  <w:tcW w:w="1093" w:type="pct"/>
                  <w:tcBorders>
                    <w:tl2br w:val="nil"/>
                    <w:tr2bl w:val="nil"/>
                  </w:tcBorders>
                  <w:shd w:val="clear" w:color="auto" w:fill="auto"/>
                  <w:vAlign w:val="center"/>
                </w:tcPr>
                <w:p w14:paraId="76966AE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6000L</w:t>
                  </w:r>
                </w:p>
              </w:tc>
              <w:tc>
                <w:tcPr>
                  <w:tcW w:w="416" w:type="pct"/>
                  <w:tcBorders>
                    <w:tl2br w:val="nil"/>
                    <w:tr2bl w:val="nil"/>
                  </w:tcBorders>
                  <w:shd w:val="clear" w:color="auto" w:fill="auto"/>
                  <w:vAlign w:val="center"/>
                </w:tcPr>
                <w:p w14:paraId="5CF15ADB">
                  <w:pPr>
                    <w:keepNext w:val="0"/>
                    <w:keepLines w:val="0"/>
                    <w:widowControl/>
                    <w:suppressLineNumbers w:val="0"/>
                    <w:spacing w:before="0" w:beforeAutospacing="0" w:after="0" w:afterAutospacing="0"/>
                    <w:ind w:left="0" w:right="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cs="宋体"/>
                      <w:color w:val="000000" w:themeColor="text1"/>
                      <w:kern w:val="0"/>
                      <w:sz w:val="20"/>
                      <w:szCs w:val="20"/>
                      <w:highlight w:val="none"/>
                      <w:lang w:val="en-US" w:eastAsia="zh-CN" w:bidi="ar"/>
                      <w14:textFill>
                        <w14:solidFill>
                          <w14:schemeClr w14:val="tx1"/>
                        </w14:solidFill>
                      </w14:textFill>
                    </w:rPr>
                    <w:t>个</w:t>
                  </w:r>
                </w:p>
              </w:tc>
              <w:tc>
                <w:tcPr>
                  <w:tcW w:w="532" w:type="pct"/>
                  <w:tcBorders>
                    <w:tl2br w:val="nil"/>
                    <w:tr2bl w:val="nil"/>
                  </w:tcBorders>
                  <w:shd w:val="clear" w:color="auto" w:fill="auto"/>
                  <w:vAlign w:val="center"/>
                </w:tcPr>
                <w:p w14:paraId="6E3FA49F">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5</w:t>
                  </w:r>
                </w:p>
              </w:tc>
              <w:tc>
                <w:tcPr>
                  <w:tcW w:w="532" w:type="pct"/>
                  <w:tcBorders>
                    <w:tl2br w:val="nil"/>
                    <w:tr2bl w:val="nil"/>
                  </w:tcBorders>
                  <w:shd w:val="clear" w:color="auto" w:fill="auto"/>
                  <w:vAlign w:val="top"/>
                </w:tcPr>
                <w:p w14:paraId="097D48BE">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259AA1E7">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5</w:t>
                  </w:r>
                </w:p>
              </w:tc>
            </w:tr>
            <w:tr w14:paraId="4BBA2AF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283" w:hRule="atLeast"/>
                <w:jc w:val="center"/>
              </w:trPr>
              <w:tc>
                <w:tcPr>
                  <w:tcW w:w="5000" w:type="pct"/>
                  <w:gridSpan w:val="7"/>
                  <w:tcBorders>
                    <w:tl2br w:val="nil"/>
                    <w:tr2bl w:val="nil"/>
                  </w:tcBorders>
                  <w:shd w:val="clear" w:color="auto" w:fill="auto"/>
                  <w:vAlign w:val="center"/>
                </w:tcPr>
                <w:p w14:paraId="0AA8EF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center"/>
                    <w:rPr>
                      <w:rFonts w:hint="default" w:ascii="宋体" w:hAnsi="宋体" w:eastAsia="宋体" w:cs="宋体"/>
                      <w:color w:val="000000" w:themeColor="text1"/>
                      <w:sz w:val="20"/>
                      <w:szCs w:val="20"/>
                      <w:highlight w:val="none"/>
                      <w:lang w:val="en-US"/>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综合制剂车间</w:t>
                  </w:r>
                </w:p>
              </w:tc>
            </w:tr>
            <w:tr w14:paraId="446776D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29282BDF">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0438B919">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多功能制丸包衣机</w:t>
                  </w:r>
                </w:p>
              </w:tc>
              <w:tc>
                <w:tcPr>
                  <w:tcW w:w="1093" w:type="pct"/>
                  <w:tcBorders>
                    <w:tl2br w:val="nil"/>
                    <w:tr2bl w:val="nil"/>
                  </w:tcBorders>
                  <w:shd w:val="clear" w:color="auto" w:fill="auto"/>
                  <w:vAlign w:val="center"/>
                </w:tcPr>
                <w:p w14:paraId="187546BF">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DWY-120</w:t>
                  </w:r>
                </w:p>
              </w:tc>
              <w:tc>
                <w:tcPr>
                  <w:tcW w:w="416" w:type="pct"/>
                  <w:tcBorders>
                    <w:tl2br w:val="nil"/>
                    <w:tr2bl w:val="nil"/>
                  </w:tcBorders>
                  <w:shd w:val="clear" w:color="auto" w:fill="auto"/>
                  <w:vAlign w:val="center"/>
                </w:tcPr>
                <w:p w14:paraId="6225E323">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074D4AC4">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TW"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8</w:t>
                  </w:r>
                </w:p>
              </w:tc>
              <w:tc>
                <w:tcPr>
                  <w:tcW w:w="532" w:type="pct"/>
                  <w:tcBorders>
                    <w:tl2br w:val="nil"/>
                    <w:tr2bl w:val="nil"/>
                  </w:tcBorders>
                  <w:shd w:val="clear" w:color="auto" w:fill="auto"/>
                  <w:vAlign w:val="center"/>
                </w:tcPr>
                <w:p w14:paraId="569743BE">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1A0F4CD0">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8</w:t>
                  </w:r>
                </w:p>
              </w:tc>
            </w:tr>
            <w:tr w14:paraId="3C30320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5C872285">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283E73A0">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多功能自动开囊取粉机</w:t>
                  </w:r>
                </w:p>
              </w:tc>
              <w:tc>
                <w:tcPr>
                  <w:tcW w:w="1093" w:type="pct"/>
                  <w:tcBorders>
                    <w:tl2br w:val="nil"/>
                    <w:tr2bl w:val="nil"/>
                  </w:tcBorders>
                  <w:shd w:val="clear" w:color="auto" w:fill="auto"/>
                  <w:vAlign w:val="center"/>
                </w:tcPr>
                <w:p w14:paraId="5FE765B9">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HQF-300</w:t>
                  </w:r>
                </w:p>
              </w:tc>
              <w:tc>
                <w:tcPr>
                  <w:tcW w:w="416" w:type="pct"/>
                  <w:tcBorders>
                    <w:tl2br w:val="nil"/>
                    <w:tr2bl w:val="nil"/>
                  </w:tcBorders>
                  <w:shd w:val="clear" w:color="auto" w:fill="auto"/>
                  <w:vAlign w:val="center"/>
                </w:tcPr>
                <w:p w14:paraId="00BE5918">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3CA79CA7">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TW"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2FBC3F18">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sz w:val="20"/>
                      <w:szCs w:val="20"/>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3B03C68E">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49F60E2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54A52291">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57BCD05D">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粉碎整粒机</w:t>
                  </w:r>
                </w:p>
              </w:tc>
              <w:tc>
                <w:tcPr>
                  <w:tcW w:w="1093" w:type="pct"/>
                  <w:tcBorders>
                    <w:tl2br w:val="nil"/>
                    <w:tr2bl w:val="nil"/>
                  </w:tcBorders>
                  <w:shd w:val="clear" w:color="auto" w:fill="auto"/>
                  <w:vAlign w:val="center"/>
                </w:tcPr>
                <w:p w14:paraId="2F978B3F">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FZB-150</w:t>
                  </w:r>
                </w:p>
              </w:tc>
              <w:tc>
                <w:tcPr>
                  <w:tcW w:w="416" w:type="pct"/>
                  <w:tcBorders>
                    <w:tl2br w:val="nil"/>
                    <w:tr2bl w:val="nil"/>
                  </w:tcBorders>
                  <w:shd w:val="clear" w:color="auto" w:fill="auto"/>
                  <w:vAlign w:val="center"/>
                </w:tcPr>
                <w:p w14:paraId="1EFB3FCC">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557A9FFD">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TW"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w:t>
                  </w:r>
                </w:p>
              </w:tc>
              <w:tc>
                <w:tcPr>
                  <w:tcW w:w="532" w:type="pct"/>
                  <w:tcBorders>
                    <w:tl2br w:val="nil"/>
                    <w:tr2bl w:val="nil"/>
                  </w:tcBorders>
                  <w:shd w:val="clear" w:color="auto" w:fill="auto"/>
                  <w:vAlign w:val="center"/>
                </w:tcPr>
                <w:p w14:paraId="0645CE5C">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sz w:val="20"/>
                      <w:szCs w:val="20"/>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55D6D475">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w:t>
                  </w:r>
                </w:p>
              </w:tc>
            </w:tr>
            <w:tr w14:paraId="576E11B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30C1CECF">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55444792">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赋码系统</w:t>
                  </w:r>
                </w:p>
              </w:tc>
              <w:tc>
                <w:tcPr>
                  <w:tcW w:w="1093" w:type="pct"/>
                  <w:tcBorders>
                    <w:tl2br w:val="nil"/>
                    <w:tr2bl w:val="nil"/>
                  </w:tcBorders>
                  <w:shd w:val="clear" w:color="auto" w:fill="auto"/>
                  <w:vAlign w:val="center"/>
                </w:tcPr>
                <w:p w14:paraId="14120127">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爱创</w:t>
                  </w:r>
                  <w:r>
                    <w:rPr>
                      <w:rStyle w:val="116"/>
                      <w:rFonts w:eastAsia="宋体"/>
                      <w:color w:val="000000" w:themeColor="text1"/>
                      <w:highlight w:val="none"/>
                      <w:lang w:val="en-US" w:eastAsia="zh-CN" w:bidi="ar"/>
                      <w14:textFill>
                        <w14:solidFill>
                          <w14:schemeClr w14:val="tx1"/>
                        </w14:solidFill>
                      </w14:textFill>
                    </w:rPr>
                    <w:t>4.0</w:t>
                  </w:r>
                </w:p>
              </w:tc>
              <w:tc>
                <w:tcPr>
                  <w:tcW w:w="416" w:type="pct"/>
                  <w:tcBorders>
                    <w:tl2br w:val="nil"/>
                    <w:tr2bl w:val="nil"/>
                  </w:tcBorders>
                  <w:shd w:val="clear" w:color="auto" w:fill="auto"/>
                  <w:vAlign w:val="center"/>
                </w:tcPr>
                <w:p w14:paraId="61CCAFDC">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36AC6EAF">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TW"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45A54AB0">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sz w:val="20"/>
                      <w:szCs w:val="20"/>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6AD9BE1E">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4057946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3E841A79">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5BA3E0CA">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高效筛粉机</w:t>
                  </w:r>
                </w:p>
              </w:tc>
              <w:tc>
                <w:tcPr>
                  <w:tcW w:w="1093" w:type="pct"/>
                  <w:tcBorders>
                    <w:tl2br w:val="nil"/>
                    <w:tr2bl w:val="nil"/>
                  </w:tcBorders>
                  <w:shd w:val="clear" w:color="auto" w:fill="auto"/>
                  <w:vAlign w:val="center"/>
                </w:tcPr>
                <w:p w14:paraId="0897782C">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ZS-800</w:t>
                  </w:r>
                </w:p>
              </w:tc>
              <w:tc>
                <w:tcPr>
                  <w:tcW w:w="416" w:type="pct"/>
                  <w:tcBorders>
                    <w:tl2br w:val="nil"/>
                    <w:tr2bl w:val="nil"/>
                  </w:tcBorders>
                  <w:shd w:val="clear" w:color="auto" w:fill="auto"/>
                  <w:vAlign w:val="center"/>
                </w:tcPr>
                <w:p w14:paraId="68EED824">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04AE2B0E">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TW"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w:t>
                  </w:r>
                </w:p>
              </w:tc>
              <w:tc>
                <w:tcPr>
                  <w:tcW w:w="532" w:type="pct"/>
                  <w:tcBorders>
                    <w:tl2br w:val="nil"/>
                    <w:tr2bl w:val="nil"/>
                  </w:tcBorders>
                  <w:shd w:val="clear" w:color="auto" w:fill="auto"/>
                  <w:vAlign w:val="center"/>
                </w:tcPr>
                <w:p w14:paraId="5D4BDE13">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sz w:val="20"/>
                      <w:szCs w:val="20"/>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5BC2F785">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w:t>
                  </w:r>
                </w:p>
              </w:tc>
            </w:tr>
            <w:tr w14:paraId="7D63FB5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4364DD9C">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4330FB49">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高压离心风机</w:t>
                  </w:r>
                </w:p>
              </w:tc>
              <w:tc>
                <w:tcPr>
                  <w:tcW w:w="1093" w:type="pct"/>
                  <w:tcBorders>
                    <w:tl2br w:val="nil"/>
                    <w:tr2bl w:val="nil"/>
                  </w:tcBorders>
                  <w:shd w:val="clear" w:color="auto" w:fill="auto"/>
                  <w:vAlign w:val="center"/>
                </w:tcPr>
                <w:p w14:paraId="58C5B8F3">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DGY8.5/37</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防爆</w:t>
                  </w:r>
                </w:p>
              </w:tc>
              <w:tc>
                <w:tcPr>
                  <w:tcW w:w="416" w:type="pct"/>
                  <w:tcBorders>
                    <w:tl2br w:val="nil"/>
                    <w:tr2bl w:val="nil"/>
                  </w:tcBorders>
                  <w:shd w:val="clear" w:color="auto" w:fill="auto"/>
                  <w:vAlign w:val="center"/>
                </w:tcPr>
                <w:p w14:paraId="12868B94">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0B8F71F5">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spacing w:val="9"/>
                      <w:kern w:val="2"/>
                      <w:sz w:val="21"/>
                      <w:szCs w:val="24"/>
                      <w:highlight w:val="none"/>
                      <w:lang w:val="en-US" w:eastAsia="zh-TW"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4EE34353">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sz w:val="20"/>
                      <w:szCs w:val="20"/>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442A6123">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spacing w:val="9"/>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172B6D7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663E31A8">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0F0D21AA">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激光打码机</w:t>
                  </w:r>
                </w:p>
              </w:tc>
              <w:tc>
                <w:tcPr>
                  <w:tcW w:w="1093" w:type="pct"/>
                  <w:tcBorders>
                    <w:tl2br w:val="nil"/>
                    <w:tr2bl w:val="nil"/>
                  </w:tcBorders>
                  <w:shd w:val="clear" w:color="auto" w:fill="auto"/>
                  <w:vAlign w:val="center"/>
                </w:tcPr>
                <w:p w14:paraId="1281CA59">
                  <w:pPr>
                    <w:keepNext w:val="0"/>
                    <w:keepLines w:val="0"/>
                    <w:suppressLineNumbers w:val="0"/>
                    <w:spacing w:before="0" w:beforeAutospacing="0" w:after="0" w:afterAutospacing="0"/>
                    <w:ind w:left="0" w:right="0"/>
                    <w:jc w:val="center"/>
                    <w:rPr>
                      <w:rFonts w:hint="default"/>
                      <w:color w:val="000000" w:themeColor="text1"/>
                      <w:szCs w:val="21"/>
                      <w:highlight w:val="none"/>
                      <w14:textFill>
                        <w14:solidFill>
                          <w14:schemeClr w14:val="tx1"/>
                        </w14:solidFill>
                      </w14:textFill>
                    </w:rPr>
                  </w:pPr>
                </w:p>
              </w:tc>
              <w:tc>
                <w:tcPr>
                  <w:tcW w:w="416" w:type="pct"/>
                  <w:tcBorders>
                    <w:tl2br w:val="nil"/>
                    <w:tr2bl w:val="nil"/>
                  </w:tcBorders>
                  <w:shd w:val="clear" w:color="auto" w:fill="auto"/>
                  <w:vAlign w:val="center"/>
                </w:tcPr>
                <w:p w14:paraId="059B675E">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02D6B57B">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2"/>
                      <w:sz w:val="20"/>
                      <w:szCs w:val="20"/>
                      <w:highlight w:val="none"/>
                      <w:lang w:val="en-US" w:eastAsia="zh-TW"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w:t>
                  </w:r>
                </w:p>
              </w:tc>
              <w:tc>
                <w:tcPr>
                  <w:tcW w:w="532" w:type="pct"/>
                  <w:tcBorders>
                    <w:tl2br w:val="nil"/>
                    <w:tr2bl w:val="nil"/>
                  </w:tcBorders>
                  <w:shd w:val="clear" w:color="auto" w:fill="auto"/>
                  <w:vAlign w:val="center"/>
                </w:tcPr>
                <w:p w14:paraId="1FD36439">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sz w:val="20"/>
                      <w:szCs w:val="20"/>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26B4A43D">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w:t>
                  </w:r>
                </w:p>
              </w:tc>
            </w:tr>
            <w:tr w14:paraId="3DF4366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54E7B807">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77EA40A5">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胶囊返粉机</w:t>
                  </w:r>
                </w:p>
              </w:tc>
              <w:tc>
                <w:tcPr>
                  <w:tcW w:w="1093" w:type="pct"/>
                  <w:tcBorders>
                    <w:tl2br w:val="nil"/>
                    <w:tr2bl w:val="nil"/>
                  </w:tcBorders>
                  <w:shd w:val="clear" w:color="auto" w:fill="auto"/>
                  <w:vAlign w:val="center"/>
                </w:tcPr>
                <w:p w14:paraId="25FE91DB">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CS2</w:t>
                  </w:r>
                </w:p>
              </w:tc>
              <w:tc>
                <w:tcPr>
                  <w:tcW w:w="416" w:type="pct"/>
                  <w:tcBorders>
                    <w:tl2br w:val="nil"/>
                    <w:tr2bl w:val="nil"/>
                  </w:tcBorders>
                  <w:shd w:val="clear" w:color="auto" w:fill="auto"/>
                  <w:vAlign w:val="center"/>
                </w:tcPr>
                <w:p w14:paraId="30217FFC">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20B613D3">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TW"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22B7DD08">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sz w:val="20"/>
                      <w:szCs w:val="20"/>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0313EA74">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76969CE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1D7A9321">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17144121">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胶囊填充机</w:t>
                  </w:r>
                </w:p>
              </w:tc>
              <w:tc>
                <w:tcPr>
                  <w:tcW w:w="1093" w:type="pct"/>
                  <w:tcBorders>
                    <w:tl2br w:val="nil"/>
                    <w:tr2bl w:val="nil"/>
                  </w:tcBorders>
                  <w:shd w:val="clear" w:color="auto" w:fill="auto"/>
                  <w:vAlign w:val="center"/>
                </w:tcPr>
                <w:p w14:paraId="58331BE1">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NJP-2200</w:t>
                  </w:r>
                </w:p>
              </w:tc>
              <w:tc>
                <w:tcPr>
                  <w:tcW w:w="416" w:type="pct"/>
                  <w:tcBorders>
                    <w:tl2br w:val="nil"/>
                    <w:tr2bl w:val="nil"/>
                  </w:tcBorders>
                  <w:shd w:val="clear" w:color="auto" w:fill="auto"/>
                  <w:vAlign w:val="center"/>
                </w:tcPr>
                <w:p w14:paraId="596684C8">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31A2E6B1">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TW"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0B83B81E">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sz w:val="20"/>
                      <w:szCs w:val="20"/>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65516358">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7106D65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323A59FA">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31651F12">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空压机</w:t>
                  </w:r>
                </w:p>
              </w:tc>
              <w:tc>
                <w:tcPr>
                  <w:tcW w:w="1093" w:type="pct"/>
                  <w:tcBorders>
                    <w:tl2br w:val="nil"/>
                    <w:tr2bl w:val="nil"/>
                  </w:tcBorders>
                  <w:shd w:val="clear" w:color="auto" w:fill="auto"/>
                  <w:vAlign w:val="center"/>
                </w:tcPr>
                <w:p w14:paraId="61A6BAE1">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10m3/min0.8MPa</w:t>
                  </w:r>
                </w:p>
              </w:tc>
              <w:tc>
                <w:tcPr>
                  <w:tcW w:w="416" w:type="pct"/>
                  <w:tcBorders>
                    <w:tl2br w:val="nil"/>
                    <w:tr2bl w:val="nil"/>
                  </w:tcBorders>
                  <w:shd w:val="clear" w:color="auto" w:fill="auto"/>
                  <w:vAlign w:val="center"/>
                </w:tcPr>
                <w:p w14:paraId="5B4FA1D6">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1DF19A30">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TW"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4B9C4190">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sz w:val="20"/>
                      <w:szCs w:val="20"/>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06445AAC">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2A68C7D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463D6156">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5DD5A44E">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捆包机</w:t>
                  </w:r>
                </w:p>
              </w:tc>
              <w:tc>
                <w:tcPr>
                  <w:tcW w:w="1093" w:type="pct"/>
                  <w:tcBorders>
                    <w:tl2br w:val="nil"/>
                    <w:tr2bl w:val="nil"/>
                  </w:tcBorders>
                  <w:shd w:val="clear" w:color="auto" w:fill="auto"/>
                  <w:vAlign w:val="center"/>
                </w:tcPr>
                <w:p w14:paraId="41F4A982">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KT-350C</w:t>
                  </w:r>
                </w:p>
              </w:tc>
              <w:tc>
                <w:tcPr>
                  <w:tcW w:w="416" w:type="pct"/>
                  <w:tcBorders>
                    <w:tl2br w:val="nil"/>
                    <w:tr2bl w:val="nil"/>
                  </w:tcBorders>
                  <w:shd w:val="clear" w:color="auto" w:fill="auto"/>
                  <w:vAlign w:val="center"/>
                </w:tcPr>
                <w:p w14:paraId="220C2A9D">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53881C12">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TW"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7FE13CC3">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sz w:val="20"/>
                      <w:szCs w:val="20"/>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6D301F8F">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1B03D71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60859B3E">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2B5AD178">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捆扎机</w:t>
                  </w:r>
                </w:p>
              </w:tc>
              <w:tc>
                <w:tcPr>
                  <w:tcW w:w="1093" w:type="pct"/>
                  <w:tcBorders>
                    <w:tl2br w:val="nil"/>
                    <w:tr2bl w:val="nil"/>
                  </w:tcBorders>
                  <w:shd w:val="clear" w:color="auto" w:fill="auto"/>
                  <w:vAlign w:val="center"/>
                </w:tcPr>
                <w:p w14:paraId="39F11679">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MH101A</w:t>
                  </w:r>
                </w:p>
              </w:tc>
              <w:tc>
                <w:tcPr>
                  <w:tcW w:w="416" w:type="pct"/>
                  <w:tcBorders>
                    <w:tl2br w:val="nil"/>
                    <w:tr2bl w:val="nil"/>
                  </w:tcBorders>
                  <w:shd w:val="clear" w:color="auto" w:fill="auto"/>
                  <w:vAlign w:val="center"/>
                </w:tcPr>
                <w:p w14:paraId="0F0E2585">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03AEBCA5">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TW"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25537AF2">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sz w:val="20"/>
                      <w:szCs w:val="20"/>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0792036A">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12011B4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0A1097D2">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3F3C93D2">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冷冻式压缩空气干燥器</w:t>
                  </w:r>
                </w:p>
              </w:tc>
              <w:tc>
                <w:tcPr>
                  <w:tcW w:w="1093" w:type="pct"/>
                  <w:tcBorders>
                    <w:tl2br w:val="nil"/>
                    <w:tr2bl w:val="nil"/>
                  </w:tcBorders>
                  <w:shd w:val="clear" w:color="auto" w:fill="auto"/>
                  <w:vAlign w:val="center"/>
                </w:tcPr>
                <w:p w14:paraId="58C6C535">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HTR/75</w:t>
                  </w:r>
                </w:p>
              </w:tc>
              <w:tc>
                <w:tcPr>
                  <w:tcW w:w="416" w:type="pct"/>
                  <w:tcBorders>
                    <w:tl2br w:val="nil"/>
                    <w:tr2bl w:val="nil"/>
                  </w:tcBorders>
                  <w:shd w:val="clear" w:color="auto" w:fill="auto"/>
                  <w:vAlign w:val="center"/>
                </w:tcPr>
                <w:p w14:paraId="0661475B">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3E01CD0D">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TW"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4A16CB28">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sz w:val="20"/>
                      <w:szCs w:val="20"/>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37D57117">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24CA362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117A452D">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4F14B955">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配浆罐</w:t>
                  </w:r>
                </w:p>
              </w:tc>
              <w:tc>
                <w:tcPr>
                  <w:tcW w:w="1093" w:type="pct"/>
                  <w:tcBorders>
                    <w:tl2br w:val="nil"/>
                    <w:tr2bl w:val="nil"/>
                  </w:tcBorders>
                  <w:shd w:val="clear" w:color="auto" w:fill="auto"/>
                  <w:vAlign w:val="center"/>
                </w:tcPr>
                <w:p w14:paraId="6ADAA048">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1000L</w:t>
                  </w:r>
                </w:p>
              </w:tc>
              <w:tc>
                <w:tcPr>
                  <w:tcW w:w="416" w:type="pct"/>
                  <w:tcBorders>
                    <w:tl2br w:val="nil"/>
                    <w:tr2bl w:val="nil"/>
                  </w:tcBorders>
                  <w:shd w:val="clear" w:color="auto" w:fill="auto"/>
                  <w:vAlign w:val="center"/>
                </w:tcPr>
                <w:p w14:paraId="07BD95A1">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cs="宋体"/>
                      <w:color w:val="000000" w:themeColor="text1"/>
                      <w:kern w:val="0"/>
                      <w:sz w:val="20"/>
                      <w:szCs w:val="20"/>
                      <w:highlight w:val="none"/>
                      <w:lang w:val="en-US" w:eastAsia="zh-CN" w:bidi="ar"/>
                      <w14:textFill>
                        <w14:solidFill>
                          <w14:schemeClr w14:val="tx1"/>
                        </w14:solidFill>
                      </w14:textFill>
                    </w:rPr>
                    <w:t>个</w:t>
                  </w:r>
                </w:p>
              </w:tc>
              <w:tc>
                <w:tcPr>
                  <w:tcW w:w="532" w:type="pct"/>
                  <w:tcBorders>
                    <w:tl2br w:val="nil"/>
                    <w:tr2bl w:val="nil"/>
                  </w:tcBorders>
                  <w:shd w:val="clear" w:color="auto" w:fill="auto"/>
                  <w:vAlign w:val="center"/>
                </w:tcPr>
                <w:p w14:paraId="1B1FF6FE">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TW"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7ED07CB6">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sz w:val="20"/>
                      <w:szCs w:val="20"/>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19EF0F76">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0A1FA45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14117684">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5C95D157">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配浆罐</w:t>
                  </w:r>
                </w:p>
              </w:tc>
              <w:tc>
                <w:tcPr>
                  <w:tcW w:w="1093" w:type="pct"/>
                  <w:tcBorders>
                    <w:tl2br w:val="nil"/>
                    <w:tr2bl w:val="nil"/>
                  </w:tcBorders>
                  <w:shd w:val="clear" w:color="auto" w:fill="auto"/>
                  <w:vAlign w:val="center"/>
                </w:tcPr>
                <w:p w14:paraId="7B6EB4C0">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500L</w:t>
                  </w:r>
                </w:p>
              </w:tc>
              <w:tc>
                <w:tcPr>
                  <w:tcW w:w="416" w:type="pct"/>
                  <w:tcBorders>
                    <w:tl2br w:val="nil"/>
                    <w:tr2bl w:val="nil"/>
                  </w:tcBorders>
                  <w:shd w:val="clear" w:color="auto" w:fill="auto"/>
                  <w:vAlign w:val="center"/>
                </w:tcPr>
                <w:p w14:paraId="6AA5C816">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cs="宋体"/>
                      <w:color w:val="000000" w:themeColor="text1"/>
                      <w:kern w:val="0"/>
                      <w:sz w:val="20"/>
                      <w:szCs w:val="20"/>
                      <w:highlight w:val="none"/>
                      <w:lang w:val="en-US" w:eastAsia="zh-CN" w:bidi="ar"/>
                      <w14:textFill>
                        <w14:solidFill>
                          <w14:schemeClr w14:val="tx1"/>
                        </w14:solidFill>
                      </w14:textFill>
                    </w:rPr>
                    <w:t>个</w:t>
                  </w:r>
                </w:p>
              </w:tc>
              <w:tc>
                <w:tcPr>
                  <w:tcW w:w="532" w:type="pct"/>
                  <w:tcBorders>
                    <w:tl2br w:val="nil"/>
                    <w:tr2bl w:val="nil"/>
                  </w:tcBorders>
                  <w:shd w:val="clear" w:color="auto" w:fill="auto"/>
                  <w:vAlign w:val="center"/>
                </w:tcPr>
                <w:p w14:paraId="00667B0B">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2"/>
                      <w:sz w:val="20"/>
                      <w:szCs w:val="20"/>
                      <w:highlight w:val="none"/>
                      <w:lang w:val="en-US" w:eastAsia="zh-TW"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41E6AFB7">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sz w:val="20"/>
                      <w:szCs w:val="20"/>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11204ECC">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411D86F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585E794A">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1A26A5FD">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配料罐</w:t>
                  </w:r>
                </w:p>
              </w:tc>
              <w:tc>
                <w:tcPr>
                  <w:tcW w:w="1093" w:type="pct"/>
                  <w:tcBorders>
                    <w:tl2br w:val="nil"/>
                    <w:tr2bl w:val="nil"/>
                  </w:tcBorders>
                  <w:shd w:val="clear" w:color="auto" w:fill="auto"/>
                  <w:vAlign w:val="center"/>
                </w:tcPr>
                <w:p w14:paraId="2680BF08">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200L</w:t>
                  </w:r>
                </w:p>
              </w:tc>
              <w:tc>
                <w:tcPr>
                  <w:tcW w:w="416" w:type="pct"/>
                  <w:tcBorders>
                    <w:tl2br w:val="nil"/>
                    <w:tr2bl w:val="nil"/>
                  </w:tcBorders>
                  <w:shd w:val="clear" w:color="auto" w:fill="auto"/>
                  <w:vAlign w:val="center"/>
                </w:tcPr>
                <w:p w14:paraId="76EA81BE">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cs="宋体"/>
                      <w:color w:val="000000" w:themeColor="text1"/>
                      <w:kern w:val="0"/>
                      <w:sz w:val="20"/>
                      <w:szCs w:val="20"/>
                      <w:highlight w:val="none"/>
                      <w:lang w:val="en-US" w:eastAsia="zh-CN" w:bidi="ar"/>
                      <w14:textFill>
                        <w14:solidFill>
                          <w14:schemeClr w14:val="tx1"/>
                        </w14:solidFill>
                      </w14:textFill>
                    </w:rPr>
                    <w:t>个</w:t>
                  </w:r>
                </w:p>
              </w:tc>
              <w:tc>
                <w:tcPr>
                  <w:tcW w:w="532" w:type="pct"/>
                  <w:tcBorders>
                    <w:tl2br w:val="nil"/>
                    <w:tr2bl w:val="nil"/>
                  </w:tcBorders>
                  <w:shd w:val="clear" w:color="auto" w:fill="auto"/>
                  <w:vAlign w:val="center"/>
                </w:tcPr>
                <w:p w14:paraId="5624DF6C">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TW"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w:t>
                  </w:r>
                </w:p>
              </w:tc>
              <w:tc>
                <w:tcPr>
                  <w:tcW w:w="532" w:type="pct"/>
                  <w:tcBorders>
                    <w:tl2br w:val="nil"/>
                    <w:tr2bl w:val="nil"/>
                  </w:tcBorders>
                  <w:shd w:val="clear" w:color="auto" w:fill="auto"/>
                  <w:vAlign w:val="center"/>
                </w:tcPr>
                <w:p w14:paraId="13F0B20A">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sz w:val="20"/>
                      <w:szCs w:val="20"/>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1A6A70F5">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w:t>
                  </w:r>
                </w:p>
              </w:tc>
            </w:tr>
            <w:tr w14:paraId="74CA287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54ACBE46">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2BD22FEE">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配料罐</w:t>
                  </w:r>
                </w:p>
              </w:tc>
              <w:tc>
                <w:tcPr>
                  <w:tcW w:w="1093" w:type="pct"/>
                  <w:tcBorders>
                    <w:tl2br w:val="nil"/>
                    <w:tr2bl w:val="nil"/>
                  </w:tcBorders>
                  <w:shd w:val="clear" w:color="auto" w:fill="auto"/>
                  <w:vAlign w:val="center"/>
                </w:tcPr>
                <w:p w14:paraId="079DF858">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1000L</w:t>
                  </w:r>
                </w:p>
              </w:tc>
              <w:tc>
                <w:tcPr>
                  <w:tcW w:w="416" w:type="pct"/>
                  <w:tcBorders>
                    <w:tl2br w:val="nil"/>
                    <w:tr2bl w:val="nil"/>
                  </w:tcBorders>
                  <w:shd w:val="clear" w:color="auto" w:fill="auto"/>
                  <w:vAlign w:val="center"/>
                </w:tcPr>
                <w:p w14:paraId="6A6386EC">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cs="宋体"/>
                      <w:color w:val="000000" w:themeColor="text1"/>
                      <w:kern w:val="0"/>
                      <w:sz w:val="20"/>
                      <w:szCs w:val="20"/>
                      <w:highlight w:val="none"/>
                      <w:lang w:val="en-US" w:eastAsia="zh-CN" w:bidi="ar"/>
                      <w14:textFill>
                        <w14:solidFill>
                          <w14:schemeClr w14:val="tx1"/>
                        </w14:solidFill>
                      </w14:textFill>
                    </w:rPr>
                    <w:t>个</w:t>
                  </w:r>
                </w:p>
              </w:tc>
              <w:tc>
                <w:tcPr>
                  <w:tcW w:w="532" w:type="pct"/>
                  <w:tcBorders>
                    <w:tl2br w:val="nil"/>
                    <w:tr2bl w:val="nil"/>
                  </w:tcBorders>
                  <w:shd w:val="clear" w:color="auto" w:fill="auto"/>
                  <w:vAlign w:val="center"/>
                </w:tcPr>
                <w:p w14:paraId="3C9DF155">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TW"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05303763">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sz w:val="20"/>
                      <w:szCs w:val="20"/>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084DDC06">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4DB9619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7520069C">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2FDEF360">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气液分离器</w:t>
                  </w:r>
                </w:p>
              </w:tc>
              <w:tc>
                <w:tcPr>
                  <w:tcW w:w="1093" w:type="pct"/>
                  <w:tcBorders>
                    <w:tl2br w:val="nil"/>
                    <w:tr2bl w:val="nil"/>
                  </w:tcBorders>
                  <w:shd w:val="clear" w:color="auto" w:fill="auto"/>
                  <w:vAlign w:val="center"/>
                </w:tcPr>
                <w:p w14:paraId="1E9F98E2">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WQZF-8/0.8(Ⅱ)</w:t>
                  </w:r>
                </w:p>
              </w:tc>
              <w:tc>
                <w:tcPr>
                  <w:tcW w:w="416" w:type="pct"/>
                  <w:tcBorders>
                    <w:tl2br w:val="nil"/>
                    <w:tr2bl w:val="nil"/>
                  </w:tcBorders>
                  <w:shd w:val="clear" w:color="auto" w:fill="auto"/>
                  <w:vAlign w:val="center"/>
                </w:tcPr>
                <w:p w14:paraId="51638885">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6259DB36">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TW"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119BC51B">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sz w:val="20"/>
                      <w:szCs w:val="20"/>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0CD57D5B">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4082B5E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20A4AB95">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4B1D5B38">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铝塑泡罩包装机</w:t>
                  </w:r>
                </w:p>
              </w:tc>
              <w:tc>
                <w:tcPr>
                  <w:tcW w:w="1093" w:type="pct"/>
                  <w:tcBorders>
                    <w:tl2br w:val="nil"/>
                    <w:tr2bl w:val="nil"/>
                  </w:tcBorders>
                  <w:shd w:val="clear" w:color="auto" w:fill="auto"/>
                  <w:vAlign w:val="center"/>
                </w:tcPr>
                <w:p w14:paraId="181B3601">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DPH270</w:t>
                  </w:r>
                </w:p>
              </w:tc>
              <w:tc>
                <w:tcPr>
                  <w:tcW w:w="416" w:type="pct"/>
                  <w:tcBorders>
                    <w:tl2br w:val="nil"/>
                    <w:tr2bl w:val="nil"/>
                  </w:tcBorders>
                  <w:shd w:val="clear" w:color="auto" w:fill="auto"/>
                  <w:vAlign w:val="center"/>
                </w:tcPr>
                <w:p w14:paraId="76DDB03F">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4480B2D3">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TW"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59CF810F">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sz w:val="20"/>
                      <w:szCs w:val="20"/>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15DFD3A1">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4C9B13E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6BEB94E9">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667D4A23">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全自动硬胶囊充填机</w:t>
                  </w:r>
                </w:p>
              </w:tc>
              <w:tc>
                <w:tcPr>
                  <w:tcW w:w="1093" w:type="pct"/>
                  <w:tcBorders>
                    <w:tl2br w:val="nil"/>
                    <w:tr2bl w:val="nil"/>
                  </w:tcBorders>
                  <w:shd w:val="clear" w:color="auto" w:fill="auto"/>
                  <w:vAlign w:val="center"/>
                </w:tcPr>
                <w:p w14:paraId="57079743">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NJP-3500B</w:t>
                  </w:r>
                </w:p>
              </w:tc>
              <w:tc>
                <w:tcPr>
                  <w:tcW w:w="416" w:type="pct"/>
                  <w:tcBorders>
                    <w:tl2br w:val="nil"/>
                    <w:tr2bl w:val="nil"/>
                  </w:tcBorders>
                  <w:shd w:val="clear" w:color="auto" w:fill="auto"/>
                  <w:vAlign w:val="center"/>
                </w:tcPr>
                <w:p w14:paraId="46595081">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46BEC558">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TW"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489ACFB7">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sz w:val="20"/>
                      <w:szCs w:val="20"/>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2BDC6089">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5E52FA4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31F1A31D">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321AAF8A">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热风循环烘箱</w:t>
                  </w:r>
                </w:p>
              </w:tc>
              <w:tc>
                <w:tcPr>
                  <w:tcW w:w="1093" w:type="pct"/>
                  <w:tcBorders>
                    <w:tl2br w:val="nil"/>
                    <w:tr2bl w:val="nil"/>
                  </w:tcBorders>
                  <w:shd w:val="clear" w:color="auto" w:fill="auto"/>
                  <w:vAlign w:val="center"/>
                </w:tcPr>
                <w:p w14:paraId="626B352D">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三门六车双扉</w:t>
                  </w:r>
                  <w:r>
                    <w:rPr>
                      <w:rStyle w:val="116"/>
                      <w:rFonts w:eastAsia="宋体"/>
                      <w:color w:val="000000" w:themeColor="text1"/>
                      <w:highlight w:val="none"/>
                      <w:lang w:val="en-US" w:eastAsia="zh-CN" w:bidi="ar"/>
                      <w14:textFill>
                        <w14:solidFill>
                          <w14:schemeClr w14:val="tx1"/>
                        </w14:solidFill>
                      </w14:textFill>
                    </w:rPr>
                    <w:t>/CT-C-T-III</w:t>
                  </w:r>
                </w:p>
              </w:tc>
              <w:tc>
                <w:tcPr>
                  <w:tcW w:w="416" w:type="pct"/>
                  <w:tcBorders>
                    <w:tl2br w:val="nil"/>
                    <w:tr2bl w:val="nil"/>
                  </w:tcBorders>
                  <w:shd w:val="clear" w:color="auto" w:fill="auto"/>
                  <w:vAlign w:val="center"/>
                </w:tcPr>
                <w:p w14:paraId="0E38A1D7">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54028335">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TW"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7114CE9C">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sz w:val="20"/>
                      <w:szCs w:val="20"/>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03CB2AA2">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2DE2F43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119E3AA0">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3D9C8564">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三偏心混合机</w:t>
                  </w:r>
                </w:p>
              </w:tc>
              <w:tc>
                <w:tcPr>
                  <w:tcW w:w="1093" w:type="pct"/>
                  <w:tcBorders>
                    <w:tl2br w:val="nil"/>
                    <w:tr2bl w:val="nil"/>
                  </w:tcBorders>
                  <w:shd w:val="clear" w:color="auto" w:fill="auto"/>
                  <w:vAlign w:val="center"/>
                </w:tcPr>
                <w:p w14:paraId="7BA98D2D">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JPH-2M3</w:t>
                  </w:r>
                </w:p>
              </w:tc>
              <w:tc>
                <w:tcPr>
                  <w:tcW w:w="416" w:type="pct"/>
                  <w:tcBorders>
                    <w:tl2br w:val="nil"/>
                    <w:tr2bl w:val="nil"/>
                  </w:tcBorders>
                  <w:shd w:val="clear" w:color="auto" w:fill="auto"/>
                  <w:vAlign w:val="center"/>
                </w:tcPr>
                <w:p w14:paraId="3A26EC97">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44515435">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TW"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49B41778">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sz w:val="20"/>
                      <w:szCs w:val="20"/>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62D76287">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7E1FDF2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4E7F68D7">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0342DE06">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枕式包装机</w:t>
                  </w:r>
                </w:p>
              </w:tc>
              <w:tc>
                <w:tcPr>
                  <w:tcW w:w="1093" w:type="pct"/>
                  <w:tcBorders>
                    <w:tl2br w:val="nil"/>
                    <w:tr2bl w:val="nil"/>
                  </w:tcBorders>
                  <w:shd w:val="clear" w:color="auto" w:fill="auto"/>
                  <w:vAlign w:val="center"/>
                </w:tcPr>
                <w:p w14:paraId="2F8EAF77">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WBZW-450</w:t>
                  </w:r>
                </w:p>
              </w:tc>
              <w:tc>
                <w:tcPr>
                  <w:tcW w:w="416" w:type="pct"/>
                  <w:tcBorders>
                    <w:tl2br w:val="nil"/>
                    <w:tr2bl w:val="nil"/>
                  </w:tcBorders>
                  <w:shd w:val="clear" w:color="auto" w:fill="auto"/>
                  <w:vAlign w:val="center"/>
                </w:tcPr>
                <w:p w14:paraId="435718D6">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5A1D4083">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TW"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129DEF44">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sz w:val="20"/>
                      <w:szCs w:val="20"/>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658E73D8">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6978A1D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757977BB">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60C8754F">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蒸汽凝结水回收配置</w:t>
                  </w:r>
                </w:p>
              </w:tc>
              <w:tc>
                <w:tcPr>
                  <w:tcW w:w="1093" w:type="pct"/>
                  <w:tcBorders>
                    <w:tl2br w:val="nil"/>
                    <w:tr2bl w:val="nil"/>
                  </w:tcBorders>
                  <w:shd w:val="clear" w:color="auto" w:fill="auto"/>
                  <w:vAlign w:val="center"/>
                </w:tcPr>
                <w:p w14:paraId="2E7AB277">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SVLN-16</w:t>
                  </w:r>
                </w:p>
              </w:tc>
              <w:tc>
                <w:tcPr>
                  <w:tcW w:w="416" w:type="pct"/>
                  <w:tcBorders>
                    <w:tl2br w:val="nil"/>
                    <w:tr2bl w:val="nil"/>
                  </w:tcBorders>
                  <w:shd w:val="clear" w:color="auto" w:fill="auto"/>
                  <w:vAlign w:val="center"/>
                </w:tcPr>
                <w:p w14:paraId="16DB858B">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4B242CEC">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TW"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7594064D">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sz w:val="20"/>
                      <w:szCs w:val="20"/>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2677B1BA">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0FFE394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61D01165">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5CDF4C5A">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组合式空调机组</w:t>
                  </w:r>
                </w:p>
              </w:tc>
              <w:tc>
                <w:tcPr>
                  <w:tcW w:w="1093" w:type="pct"/>
                  <w:tcBorders>
                    <w:tl2br w:val="nil"/>
                    <w:tr2bl w:val="nil"/>
                  </w:tcBorders>
                  <w:shd w:val="clear" w:color="auto" w:fill="auto"/>
                  <w:vAlign w:val="center"/>
                </w:tcPr>
                <w:p w14:paraId="66A283BE">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KZW1512DH</w:t>
                  </w:r>
                </w:p>
              </w:tc>
              <w:tc>
                <w:tcPr>
                  <w:tcW w:w="416" w:type="pct"/>
                  <w:tcBorders>
                    <w:tl2br w:val="nil"/>
                    <w:tr2bl w:val="nil"/>
                  </w:tcBorders>
                  <w:shd w:val="clear" w:color="auto" w:fill="auto"/>
                  <w:vAlign w:val="center"/>
                </w:tcPr>
                <w:p w14:paraId="56F9AA5A">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4AB51B5A">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TW"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34CFBFC6">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sz w:val="20"/>
                      <w:szCs w:val="20"/>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485F8D0C">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2F5A3C4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3280A5A4">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3E87B80A">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组合式空调机组</w:t>
                  </w:r>
                </w:p>
              </w:tc>
              <w:tc>
                <w:tcPr>
                  <w:tcW w:w="1093" w:type="pct"/>
                  <w:tcBorders>
                    <w:tl2br w:val="nil"/>
                    <w:tr2bl w:val="nil"/>
                  </w:tcBorders>
                  <w:shd w:val="clear" w:color="auto" w:fill="auto"/>
                  <w:vAlign w:val="center"/>
                </w:tcPr>
                <w:p w14:paraId="35810BC5">
                  <w:pPr>
                    <w:keepNext w:val="0"/>
                    <w:keepLines w:val="0"/>
                    <w:widowControl/>
                    <w:suppressLineNumbers w:val="0"/>
                    <w:spacing w:before="0" w:beforeAutospacing="0" w:after="0" w:afterAutospacing="0"/>
                    <w:ind w:left="0" w:right="0"/>
                    <w:jc w:val="center"/>
                    <w:textAlignment w:val="center"/>
                    <w:rPr>
                      <w:rFonts w:hint="default"/>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KZW3024DH</w:t>
                  </w:r>
                </w:p>
              </w:tc>
              <w:tc>
                <w:tcPr>
                  <w:tcW w:w="416" w:type="pct"/>
                  <w:tcBorders>
                    <w:tl2br w:val="nil"/>
                    <w:tr2bl w:val="nil"/>
                  </w:tcBorders>
                  <w:shd w:val="clear" w:color="auto" w:fill="auto"/>
                  <w:vAlign w:val="center"/>
                </w:tcPr>
                <w:p w14:paraId="2680B088">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45B4612D">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TW"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1E6875C2">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sz w:val="20"/>
                      <w:szCs w:val="20"/>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6B804696">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7CD71A4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198127E0">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28623B22">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除湿机</w:t>
                  </w:r>
                </w:p>
              </w:tc>
              <w:tc>
                <w:tcPr>
                  <w:tcW w:w="1093" w:type="pct"/>
                  <w:tcBorders>
                    <w:tl2br w:val="nil"/>
                    <w:tr2bl w:val="nil"/>
                  </w:tcBorders>
                  <w:shd w:val="clear" w:color="auto" w:fill="auto"/>
                  <w:vAlign w:val="center"/>
                </w:tcPr>
                <w:p w14:paraId="49617FE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GI-901B</w:t>
                  </w:r>
                </w:p>
              </w:tc>
              <w:tc>
                <w:tcPr>
                  <w:tcW w:w="416" w:type="pct"/>
                  <w:tcBorders>
                    <w:tl2br w:val="nil"/>
                    <w:tr2bl w:val="nil"/>
                  </w:tcBorders>
                  <w:shd w:val="clear" w:color="auto" w:fill="auto"/>
                  <w:vAlign w:val="center"/>
                </w:tcPr>
                <w:p w14:paraId="145D952C">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28009FD4">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3EC84F15">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sz w:val="20"/>
                      <w:szCs w:val="20"/>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5CB446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sz w:val="20"/>
                      <w:szCs w:val="20"/>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4E598AE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1C4E27C3">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39ED4BA9">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沸腾干燥制粒器</w:t>
                  </w:r>
                </w:p>
              </w:tc>
              <w:tc>
                <w:tcPr>
                  <w:tcW w:w="1093" w:type="pct"/>
                  <w:tcBorders>
                    <w:tl2br w:val="nil"/>
                    <w:tr2bl w:val="nil"/>
                  </w:tcBorders>
                  <w:shd w:val="clear" w:color="auto" w:fill="auto"/>
                  <w:vAlign w:val="center"/>
                </w:tcPr>
                <w:p w14:paraId="276FDAF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PGL-120</w:t>
                  </w:r>
                </w:p>
              </w:tc>
              <w:tc>
                <w:tcPr>
                  <w:tcW w:w="416" w:type="pct"/>
                  <w:tcBorders>
                    <w:tl2br w:val="nil"/>
                    <w:tr2bl w:val="nil"/>
                  </w:tcBorders>
                  <w:shd w:val="clear" w:color="auto" w:fill="auto"/>
                  <w:vAlign w:val="center"/>
                </w:tcPr>
                <w:p w14:paraId="4709130F">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2A71BAB4">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3655DC69">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29F95E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sz w:val="20"/>
                      <w:szCs w:val="20"/>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5EF0A6B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1CCA7B45">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0ABF32B6">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激光机</w:t>
                  </w:r>
                </w:p>
              </w:tc>
              <w:tc>
                <w:tcPr>
                  <w:tcW w:w="1093" w:type="pct"/>
                  <w:tcBorders>
                    <w:tl2br w:val="nil"/>
                    <w:tr2bl w:val="nil"/>
                  </w:tcBorders>
                  <w:shd w:val="clear" w:color="auto" w:fill="auto"/>
                  <w:vAlign w:val="center"/>
                </w:tcPr>
                <w:p w14:paraId="789C072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3120</w:t>
                  </w:r>
                </w:p>
              </w:tc>
              <w:tc>
                <w:tcPr>
                  <w:tcW w:w="416" w:type="pct"/>
                  <w:tcBorders>
                    <w:tl2br w:val="nil"/>
                    <w:tr2bl w:val="nil"/>
                  </w:tcBorders>
                  <w:shd w:val="clear" w:color="auto" w:fill="auto"/>
                  <w:vAlign w:val="center"/>
                </w:tcPr>
                <w:p w14:paraId="679B4386">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56AE50E7">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773DA699">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2A1133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sz w:val="20"/>
                      <w:szCs w:val="20"/>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4271C85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41B730E6">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58CA7CD9">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捆包机</w:t>
                  </w:r>
                </w:p>
              </w:tc>
              <w:tc>
                <w:tcPr>
                  <w:tcW w:w="1093" w:type="pct"/>
                  <w:tcBorders>
                    <w:tl2br w:val="nil"/>
                    <w:tr2bl w:val="nil"/>
                  </w:tcBorders>
                  <w:shd w:val="clear" w:color="auto" w:fill="auto"/>
                  <w:vAlign w:val="center"/>
                </w:tcPr>
                <w:p w14:paraId="7675E46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Times New Roman"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KT-350C</w:t>
                  </w:r>
                </w:p>
              </w:tc>
              <w:tc>
                <w:tcPr>
                  <w:tcW w:w="416" w:type="pct"/>
                  <w:tcBorders>
                    <w:tl2br w:val="nil"/>
                    <w:tr2bl w:val="nil"/>
                  </w:tcBorders>
                  <w:shd w:val="clear" w:color="auto" w:fill="auto"/>
                  <w:vAlign w:val="center"/>
                </w:tcPr>
                <w:p w14:paraId="48B187CE">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36077AF6">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00835435">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6EF76B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sz w:val="20"/>
                      <w:szCs w:val="20"/>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7313913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74D83ABE">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7762ADA1">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捆扎机</w:t>
                  </w:r>
                </w:p>
              </w:tc>
              <w:tc>
                <w:tcPr>
                  <w:tcW w:w="1093" w:type="pct"/>
                  <w:tcBorders>
                    <w:tl2br w:val="nil"/>
                    <w:tr2bl w:val="nil"/>
                  </w:tcBorders>
                  <w:shd w:val="clear" w:color="auto" w:fill="auto"/>
                  <w:vAlign w:val="center"/>
                </w:tcPr>
                <w:p w14:paraId="21D4C8B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MH-101A</w:t>
                  </w:r>
                </w:p>
              </w:tc>
              <w:tc>
                <w:tcPr>
                  <w:tcW w:w="416" w:type="pct"/>
                  <w:tcBorders>
                    <w:tl2br w:val="nil"/>
                    <w:tr2bl w:val="nil"/>
                  </w:tcBorders>
                  <w:shd w:val="clear" w:color="auto" w:fill="auto"/>
                  <w:vAlign w:val="center"/>
                </w:tcPr>
                <w:p w14:paraId="6924DCD0">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08E66878">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539ABF07">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3A11FE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sz w:val="20"/>
                      <w:szCs w:val="20"/>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553B452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4A2256B6">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4608BD40">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泡罩包装机</w:t>
                  </w:r>
                </w:p>
              </w:tc>
              <w:tc>
                <w:tcPr>
                  <w:tcW w:w="1093" w:type="pct"/>
                  <w:tcBorders>
                    <w:tl2br w:val="nil"/>
                    <w:tr2bl w:val="nil"/>
                  </w:tcBorders>
                  <w:shd w:val="clear" w:color="auto" w:fill="auto"/>
                  <w:vAlign w:val="center"/>
                </w:tcPr>
                <w:p w14:paraId="41DFE21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Times New Roman"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GDPH270A</w:t>
                  </w:r>
                </w:p>
              </w:tc>
              <w:tc>
                <w:tcPr>
                  <w:tcW w:w="416" w:type="pct"/>
                  <w:tcBorders>
                    <w:tl2br w:val="nil"/>
                    <w:tr2bl w:val="nil"/>
                  </w:tcBorders>
                  <w:shd w:val="clear" w:color="auto" w:fill="auto"/>
                  <w:vAlign w:val="center"/>
                </w:tcPr>
                <w:p w14:paraId="52DCCB75">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51279BEC">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5B58186F">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130CF39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sz w:val="20"/>
                      <w:szCs w:val="20"/>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13E6333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1954028E">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2509133F">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配料罐</w:t>
                  </w:r>
                </w:p>
              </w:tc>
              <w:tc>
                <w:tcPr>
                  <w:tcW w:w="1093" w:type="pct"/>
                  <w:tcBorders>
                    <w:tl2br w:val="nil"/>
                    <w:tr2bl w:val="nil"/>
                  </w:tcBorders>
                  <w:shd w:val="clear" w:color="auto" w:fill="auto"/>
                  <w:vAlign w:val="center"/>
                </w:tcPr>
                <w:p w14:paraId="7C5C5C5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300L</w:t>
                  </w:r>
                </w:p>
              </w:tc>
              <w:tc>
                <w:tcPr>
                  <w:tcW w:w="416" w:type="pct"/>
                  <w:tcBorders>
                    <w:tl2br w:val="nil"/>
                    <w:tr2bl w:val="nil"/>
                  </w:tcBorders>
                  <w:shd w:val="clear" w:color="auto" w:fill="auto"/>
                  <w:vAlign w:val="center"/>
                </w:tcPr>
                <w:p w14:paraId="6D3F9724">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cs="宋体"/>
                      <w:color w:val="000000" w:themeColor="text1"/>
                      <w:kern w:val="0"/>
                      <w:sz w:val="20"/>
                      <w:szCs w:val="20"/>
                      <w:highlight w:val="none"/>
                      <w:lang w:val="en-US" w:eastAsia="zh-CN" w:bidi="ar"/>
                      <w14:textFill>
                        <w14:solidFill>
                          <w14:schemeClr w14:val="tx1"/>
                        </w14:solidFill>
                      </w14:textFill>
                    </w:rPr>
                    <w:t>个</w:t>
                  </w:r>
                </w:p>
              </w:tc>
              <w:tc>
                <w:tcPr>
                  <w:tcW w:w="532" w:type="pct"/>
                  <w:tcBorders>
                    <w:tl2br w:val="nil"/>
                    <w:tr2bl w:val="nil"/>
                  </w:tcBorders>
                  <w:shd w:val="clear" w:color="auto" w:fill="auto"/>
                  <w:vAlign w:val="center"/>
                </w:tcPr>
                <w:p w14:paraId="253984F0">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67FF3D60">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5854E8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sz w:val="20"/>
                      <w:szCs w:val="20"/>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4E45448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3BB82EB8">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120C83C6">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热风循环烘箱</w:t>
                  </w:r>
                </w:p>
              </w:tc>
              <w:tc>
                <w:tcPr>
                  <w:tcW w:w="1093" w:type="pct"/>
                  <w:tcBorders>
                    <w:tl2br w:val="nil"/>
                    <w:tr2bl w:val="nil"/>
                  </w:tcBorders>
                  <w:shd w:val="clear" w:color="auto" w:fill="auto"/>
                  <w:vAlign w:val="center"/>
                </w:tcPr>
                <w:p w14:paraId="4664C0F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CT-C-I</w:t>
                  </w:r>
                </w:p>
              </w:tc>
              <w:tc>
                <w:tcPr>
                  <w:tcW w:w="416" w:type="pct"/>
                  <w:tcBorders>
                    <w:tl2br w:val="nil"/>
                    <w:tr2bl w:val="nil"/>
                  </w:tcBorders>
                  <w:shd w:val="clear" w:color="auto" w:fill="auto"/>
                  <w:vAlign w:val="center"/>
                </w:tcPr>
                <w:p w14:paraId="141692D9">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506538AF">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3137DA70">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299A4C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sz w:val="20"/>
                      <w:szCs w:val="20"/>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2A553AB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7D117791">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400A5B45">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剔粒机</w:t>
                  </w:r>
                </w:p>
              </w:tc>
              <w:tc>
                <w:tcPr>
                  <w:tcW w:w="1093" w:type="pct"/>
                  <w:tcBorders>
                    <w:tl2br w:val="nil"/>
                    <w:tr2bl w:val="nil"/>
                  </w:tcBorders>
                  <w:shd w:val="clear" w:color="auto" w:fill="auto"/>
                  <w:vAlign w:val="center"/>
                </w:tcPr>
                <w:p w14:paraId="390C6AF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TC-2</w:t>
                  </w:r>
                </w:p>
              </w:tc>
              <w:tc>
                <w:tcPr>
                  <w:tcW w:w="416" w:type="pct"/>
                  <w:tcBorders>
                    <w:tl2br w:val="nil"/>
                    <w:tr2bl w:val="nil"/>
                  </w:tcBorders>
                  <w:shd w:val="clear" w:color="auto" w:fill="auto"/>
                  <w:vAlign w:val="center"/>
                </w:tcPr>
                <w:p w14:paraId="39C39DDB">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4BFE8C3A">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289899D4">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3BF85A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sz w:val="20"/>
                      <w:szCs w:val="20"/>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3E37D48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55E17855">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160B9996">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外置式水冷臭氧发生器</w:t>
                  </w:r>
                </w:p>
              </w:tc>
              <w:tc>
                <w:tcPr>
                  <w:tcW w:w="1093" w:type="pct"/>
                  <w:tcBorders>
                    <w:tl2br w:val="nil"/>
                    <w:tr2bl w:val="nil"/>
                  </w:tcBorders>
                  <w:shd w:val="clear" w:color="auto" w:fill="auto"/>
                  <w:vAlign w:val="center"/>
                </w:tcPr>
                <w:p w14:paraId="0839A76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HCF-W350</w:t>
                  </w:r>
                </w:p>
              </w:tc>
              <w:tc>
                <w:tcPr>
                  <w:tcW w:w="416" w:type="pct"/>
                  <w:tcBorders>
                    <w:tl2br w:val="nil"/>
                    <w:tr2bl w:val="nil"/>
                  </w:tcBorders>
                  <w:shd w:val="clear" w:color="auto" w:fill="auto"/>
                  <w:vAlign w:val="center"/>
                </w:tcPr>
                <w:p w14:paraId="38C187E2">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0C59C58D">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1E130D42">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0935D5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sz w:val="20"/>
                      <w:szCs w:val="20"/>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5212AE1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2C6BA755">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4C974A9A">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外置式水冷臭氧发生器</w:t>
                  </w:r>
                </w:p>
              </w:tc>
              <w:tc>
                <w:tcPr>
                  <w:tcW w:w="1093" w:type="pct"/>
                  <w:tcBorders>
                    <w:tl2br w:val="nil"/>
                    <w:tr2bl w:val="nil"/>
                  </w:tcBorders>
                  <w:shd w:val="clear" w:color="auto" w:fill="auto"/>
                  <w:vAlign w:val="center"/>
                </w:tcPr>
                <w:p w14:paraId="04D3C1F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HCF-W400</w:t>
                  </w:r>
                </w:p>
              </w:tc>
              <w:tc>
                <w:tcPr>
                  <w:tcW w:w="416" w:type="pct"/>
                  <w:tcBorders>
                    <w:tl2br w:val="nil"/>
                    <w:tr2bl w:val="nil"/>
                  </w:tcBorders>
                  <w:shd w:val="clear" w:color="auto" w:fill="auto"/>
                  <w:vAlign w:val="center"/>
                </w:tcPr>
                <w:p w14:paraId="7C00EA92">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0BA28827">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58E2FA40">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478C70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sz w:val="20"/>
                      <w:szCs w:val="20"/>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6681CD3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5DE11B99">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6FD57051">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卧式空调器</w:t>
                  </w:r>
                </w:p>
              </w:tc>
              <w:tc>
                <w:tcPr>
                  <w:tcW w:w="1093" w:type="pct"/>
                  <w:tcBorders>
                    <w:tl2br w:val="nil"/>
                    <w:tr2bl w:val="nil"/>
                  </w:tcBorders>
                  <w:shd w:val="clear" w:color="auto" w:fill="auto"/>
                  <w:vAlign w:val="center"/>
                </w:tcPr>
                <w:p w14:paraId="478A397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TF-050WY</w:t>
                  </w:r>
                </w:p>
              </w:tc>
              <w:tc>
                <w:tcPr>
                  <w:tcW w:w="416" w:type="pct"/>
                  <w:tcBorders>
                    <w:tl2br w:val="nil"/>
                    <w:tr2bl w:val="nil"/>
                  </w:tcBorders>
                  <w:shd w:val="clear" w:color="auto" w:fill="auto"/>
                  <w:vAlign w:val="center"/>
                </w:tcPr>
                <w:p w14:paraId="231D8091">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4DD073AE">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7173ADE6">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6238E1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sz w:val="20"/>
                      <w:szCs w:val="20"/>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32AB57D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73E07F4F">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2307331D">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振荡筛</w:t>
                  </w:r>
                </w:p>
              </w:tc>
              <w:tc>
                <w:tcPr>
                  <w:tcW w:w="1093" w:type="pct"/>
                  <w:tcBorders>
                    <w:tl2br w:val="nil"/>
                    <w:tr2bl w:val="nil"/>
                  </w:tcBorders>
                  <w:shd w:val="clear" w:color="auto" w:fill="auto"/>
                  <w:vAlign w:val="center"/>
                </w:tcPr>
                <w:p w14:paraId="0E74D09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S49-8OO</w:t>
                  </w:r>
                </w:p>
              </w:tc>
              <w:tc>
                <w:tcPr>
                  <w:tcW w:w="416" w:type="pct"/>
                  <w:tcBorders>
                    <w:tl2br w:val="nil"/>
                    <w:tr2bl w:val="nil"/>
                  </w:tcBorders>
                  <w:shd w:val="clear" w:color="auto" w:fill="auto"/>
                  <w:vAlign w:val="center"/>
                </w:tcPr>
                <w:p w14:paraId="760B67F6">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3A6666F8">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11E6BE8E">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54FC68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sz w:val="20"/>
                      <w:szCs w:val="20"/>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3939100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2D88A849">
                  <w:pPr>
                    <w:pStyle w:val="63"/>
                    <w:keepNext w:val="0"/>
                    <w:keepLines w:val="0"/>
                    <w:pageBreakBefore w:val="0"/>
                    <w:widowControl w:val="0"/>
                    <w:numPr>
                      <w:ilvl w:val="0"/>
                      <w:numId w:val="1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69287E92">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自动枕式包装机</w:t>
                  </w:r>
                </w:p>
              </w:tc>
              <w:tc>
                <w:tcPr>
                  <w:tcW w:w="1093" w:type="pct"/>
                  <w:tcBorders>
                    <w:tl2br w:val="nil"/>
                    <w:tr2bl w:val="nil"/>
                  </w:tcBorders>
                  <w:shd w:val="clear" w:color="auto" w:fill="auto"/>
                  <w:vAlign w:val="center"/>
                </w:tcPr>
                <w:p w14:paraId="0D274C8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DZP-250</w:t>
                  </w:r>
                </w:p>
              </w:tc>
              <w:tc>
                <w:tcPr>
                  <w:tcW w:w="416" w:type="pct"/>
                  <w:tcBorders>
                    <w:tl2br w:val="nil"/>
                    <w:tr2bl w:val="nil"/>
                  </w:tcBorders>
                  <w:shd w:val="clear" w:color="auto" w:fill="auto"/>
                  <w:vAlign w:val="center"/>
                </w:tcPr>
                <w:p w14:paraId="002D7392">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7E9F4237">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60E32A1F">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24059F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sz w:val="20"/>
                      <w:szCs w:val="20"/>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7B222D0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5000" w:type="pct"/>
                  <w:gridSpan w:val="7"/>
                  <w:tcBorders>
                    <w:tl2br w:val="nil"/>
                    <w:tr2bl w:val="nil"/>
                  </w:tcBorders>
                  <w:shd w:val="clear" w:color="auto" w:fill="auto"/>
                  <w:vAlign w:val="center"/>
                </w:tcPr>
                <w:p w14:paraId="0FE5378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bCs/>
                      <w:i w:val="0"/>
                      <w:iCs w:val="0"/>
                      <w:color w:val="000000" w:themeColor="text1"/>
                      <w:kern w:val="0"/>
                      <w:sz w:val="21"/>
                      <w:szCs w:val="21"/>
                      <w:highlight w:val="none"/>
                      <w:u w:val="none"/>
                      <w:lang w:val="en-US" w:eastAsia="zh-CN" w:bidi="ar"/>
                      <w14:textFill>
                        <w14:solidFill>
                          <w14:schemeClr w14:val="tx1"/>
                        </w14:solidFill>
                      </w14:textFill>
                    </w:rPr>
                    <w:t>实验楼</w:t>
                  </w:r>
                </w:p>
              </w:tc>
            </w:tr>
            <w:tr w14:paraId="25FF92F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0837BD2C">
                  <w:pPr>
                    <w:pStyle w:val="63"/>
                    <w:keepNext w:val="0"/>
                    <w:keepLines w:val="0"/>
                    <w:pageBreakBefore w:val="0"/>
                    <w:widowControl w:val="0"/>
                    <w:numPr>
                      <w:ilvl w:val="0"/>
                      <w:numId w:val="11"/>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13E324C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超纯水机</w:t>
                  </w:r>
                </w:p>
              </w:tc>
              <w:tc>
                <w:tcPr>
                  <w:tcW w:w="1093" w:type="pct"/>
                  <w:tcBorders>
                    <w:tl2br w:val="nil"/>
                    <w:tr2bl w:val="nil"/>
                  </w:tcBorders>
                  <w:shd w:val="clear" w:color="auto" w:fill="auto"/>
                  <w:vAlign w:val="center"/>
                </w:tcPr>
                <w:p w14:paraId="7E0017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E2-10TFBX</w:t>
                  </w:r>
                </w:p>
              </w:tc>
              <w:tc>
                <w:tcPr>
                  <w:tcW w:w="416" w:type="pct"/>
                  <w:tcBorders>
                    <w:tl2br w:val="nil"/>
                    <w:tr2bl w:val="nil"/>
                  </w:tcBorders>
                  <w:shd w:val="clear" w:color="auto" w:fill="auto"/>
                  <w:vAlign w:val="center"/>
                </w:tcPr>
                <w:p w14:paraId="5E960E8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6F02B02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0C6EC9FC">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3076DA1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00AA025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419D87EA">
                  <w:pPr>
                    <w:pStyle w:val="63"/>
                    <w:keepNext w:val="0"/>
                    <w:keepLines w:val="0"/>
                    <w:pageBreakBefore w:val="0"/>
                    <w:widowControl w:val="0"/>
                    <w:numPr>
                      <w:ilvl w:val="0"/>
                      <w:numId w:val="11"/>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4C17549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超高效液相色谱_三重四级杆串联质谱仪</w:t>
                  </w:r>
                </w:p>
              </w:tc>
              <w:tc>
                <w:tcPr>
                  <w:tcW w:w="1093" w:type="pct"/>
                  <w:tcBorders>
                    <w:tl2br w:val="nil"/>
                    <w:tr2bl w:val="nil"/>
                  </w:tcBorders>
                  <w:shd w:val="clear" w:color="auto" w:fill="auto"/>
                  <w:vAlign w:val="center"/>
                </w:tcPr>
                <w:p w14:paraId="45EDAF2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1290-6470</w:t>
                  </w:r>
                </w:p>
              </w:tc>
              <w:tc>
                <w:tcPr>
                  <w:tcW w:w="416" w:type="pct"/>
                  <w:tcBorders>
                    <w:tl2br w:val="nil"/>
                    <w:tr2bl w:val="nil"/>
                  </w:tcBorders>
                  <w:shd w:val="clear" w:color="auto" w:fill="auto"/>
                  <w:vAlign w:val="center"/>
                </w:tcPr>
                <w:p w14:paraId="68AC66C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2847ADA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0FBBA3C5">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093D8BB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728AEF5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3DF966D9">
                  <w:pPr>
                    <w:pStyle w:val="63"/>
                    <w:keepNext w:val="0"/>
                    <w:keepLines w:val="0"/>
                    <w:pageBreakBefore w:val="0"/>
                    <w:widowControl w:val="0"/>
                    <w:numPr>
                      <w:ilvl w:val="0"/>
                      <w:numId w:val="11"/>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0BE7810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多管旋涡混合仪</w:t>
                  </w:r>
                </w:p>
              </w:tc>
              <w:tc>
                <w:tcPr>
                  <w:tcW w:w="1093" w:type="pct"/>
                  <w:tcBorders>
                    <w:tl2br w:val="nil"/>
                    <w:tr2bl w:val="nil"/>
                  </w:tcBorders>
                  <w:shd w:val="clear" w:color="auto" w:fill="auto"/>
                  <w:vAlign w:val="center"/>
                </w:tcPr>
                <w:p w14:paraId="7D9B0AC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BE-2600</w:t>
                  </w:r>
                </w:p>
              </w:tc>
              <w:tc>
                <w:tcPr>
                  <w:tcW w:w="416" w:type="pct"/>
                  <w:tcBorders>
                    <w:tl2br w:val="nil"/>
                    <w:tr2bl w:val="nil"/>
                  </w:tcBorders>
                  <w:shd w:val="clear" w:color="auto" w:fill="auto"/>
                  <w:vAlign w:val="center"/>
                </w:tcPr>
                <w:p w14:paraId="363EA70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01C1FCE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526D59AC">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4491EE6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2799E2C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26B0B860">
                  <w:pPr>
                    <w:pStyle w:val="63"/>
                    <w:keepNext w:val="0"/>
                    <w:keepLines w:val="0"/>
                    <w:pageBreakBefore w:val="0"/>
                    <w:widowControl w:val="0"/>
                    <w:numPr>
                      <w:ilvl w:val="0"/>
                      <w:numId w:val="11"/>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1A5125A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粉末压片机</w:t>
                  </w:r>
                </w:p>
              </w:tc>
              <w:tc>
                <w:tcPr>
                  <w:tcW w:w="1093" w:type="pct"/>
                  <w:tcBorders>
                    <w:tl2br w:val="nil"/>
                    <w:tr2bl w:val="nil"/>
                  </w:tcBorders>
                  <w:shd w:val="clear" w:color="auto" w:fill="auto"/>
                  <w:vAlign w:val="center"/>
                </w:tcPr>
                <w:p w14:paraId="73BC158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PC-12</w:t>
                  </w:r>
                </w:p>
              </w:tc>
              <w:tc>
                <w:tcPr>
                  <w:tcW w:w="416" w:type="pct"/>
                  <w:tcBorders>
                    <w:tl2br w:val="nil"/>
                    <w:tr2bl w:val="nil"/>
                  </w:tcBorders>
                  <w:shd w:val="clear" w:color="auto" w:fill="auto"/>
                  <w:vAlign w:val="center"/>
                </w:tcPr>
                <w:p w14:paraId="7DDBC2F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49314DA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77A879DB">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0B6DC3E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2969BBE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42E2AC5F">
                  <w:pPr>
                    <w:pStyle w:val="63"/>
                    <w:keepNext w:val="0"/>
                    <w:keepLines w:val="0"/>
                    <w:pageBreakBefore w:val="0"/>
                    <w:widowControl w:val="0"/>
                    <w:numPr>
                      <w:ilvl w:val="0"/>
                      <w:numId w:val="11"/>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1AFDD6F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高速台式离心机</w:t>
                  </w:r>
                </w:p>
              </w:tc>
              <w:tc>
                <w:tcPr>
                  <w:tcW w:w="1093" w:type="pct"/>
                  <w:tcBorders>
                    <w:tl2br w:val="nil"/>
                    <w:tr2bl w:val="nil"/>
                  </w:tcBorders>
                  <w:shd w:val="clear" w:color="auto" w:fill="auto"/>
                  <w:vAlign w:val="center"/>
                </w:tcPr>
                <w:p w14:paraId="243B980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TG16-WS</w:t>
                  </w:r>
                </w:p>
              </w:tc>
              <w:tc>
                <w:tcPr>
                  <w:tcW w:w="416" w:type="pct"/>
                  <w:tcBorders>
                    <w:tl2br w:val="nil"/>
                    <w:tr2bl w:val="nil"/>
                  </w:tcBorders>
                  <w:shd w:val="clear" w:color="auto" w:fill="auto"/>
                  <w:vAlign w:val="center"/>
                </w:tcPr>
                <w:p w14:paraId="5BE2498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21F5986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7303F9C5">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264F74C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4DFBFA6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75B2CAF4">
                  <w:pPr>
                    <w:pStyle w:val="63"/>
                    <w:keepNext w:val="0"/>
                    <w:keepLines w:val="0"/>
                    <w:pageBreakBefore w:val="0"/>
                    <w:widowControl w:val="0"/>
                    <w:numPr>
                      <w:ilvl w:val="0"/>
                      <w:numId w:val="11"/>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7E2BB90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气相色谱_三重四级杆串联质谱仪</w:t>
                  </w:r>
                </w:p>
              </w:tc>
              <w:tc>
                <w:tcPr>
                  <w:tcW w:w="1093" w:type="pct"/>
                  <w:tcBorders>
                    <w:tl2br w:val="nil"/>
                    <w:tr2bl w:val="nil"/>
                  </w:tcBorders>
                  <w:shd w:val="clear" w:color="auto" w:fill="auto"/>
                  <w:vAlign w:val="center"/>
                </w:tcPr>
                <w:p w14:paraId="4B73D5B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8890-7000D</w:t>
                  </w:r>
                </w:p>
              </w:tc>
              <w:tc>
                <w:tcPr>
                  <w:tcW w:w="416" w:type="pct"/>
                  <w:tcBorders>
                    <w:tl2br w:val="nil"/>
                    <w:tr2bl w:val="nil"/>
                  </w:tcBorders>
                  <w:shd w:val="clear" w:color="auto" w:fill="auto"/>
                  <w:vAlign w:val="center"/>
                </w:tcPr>
                <w:p w14:paraId="66E35B7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0C0B0F3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0864144C">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7CCA819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7E0178E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74B54289">
                  <w:pPr>
                    <w:pStyle w:val="63"/>
                    <w:keepNext w:val="0"/>
                    <w:keepLines w:val="0"/>
                    <w:pageBreakBefore w:val="0"/>
                    <w:widowControl w:val="0"/>
                    <w:numPr>
                      <w:ilvl w:val="0"/>
                      <w:numId w:val="11"/>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7D0EA95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台式智能精密摇床</w:t>
                  </w:r>
                </w:p>
              </w:tc>
              <w:tc>
                <w:tcPr>
                  <w:tcW w:w="1093" w:type="pct"/>
                  <w:tcBorders>
                    <w:tl2br w:val="nil"/>
                    <w:tr2bl w:val="nil"/>
                  </w:tcBorders>
                  <w:shd w:val="clear" w:color="auto" w:fill="auto"/>
                  <w:vAlign w:val="center"/>
                </w:tcPr>
                <w:p w14:paraId="71EFEA4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BSD-TX345</w:t>
                  </w:r>
                </w:p>
              </w:tc>
              <w:tc>
                <w:tcPr>
                  <w:tcW w:w="416" w:type="pct"/>
                  <w:tcBorders>
                    <w:tl2br w:val="nil"/>
                    <w:tr2bl w:val="nil"/>
                  </w:tcBorders>
                  <w:shd w:val="clear" w:color="auto" w:fill="auto"/>
                  <w:vAlign w:val="center"/>
                </w:tcPr>
                <w:p w14:paraId="3B57FFD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4B77281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5D984CCB">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10309B9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63F9D2D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0ED370E5">
                  <w:pPr>
                    <w:pStyle w:val="63"/>
                    <w:keepNext w:val="0"/>
                    <w:keepLines w:val="0"/>
                    <w:pageBreakBefore w:val="0"/>
                    <w:widowControl w:val="0"/>
                    <w:numPr>
                      <w:ilvl w:val="0"/>
                      <w:numId w:val="11"/>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4F74397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万分之一天平</w:t>
                  </w:r>
                </w:p>
              </w:tc>
              <w:tc>
                <w:tcPr>
                  <w:tcW w:w="1093" w:type="pct"/>
                  <w:tcBorders>
                    <w:tl2br w:val="nil"/>
                    <w:tr2bl w:val="nil"/>
                  </w:tcBorders>
                  <w:shd w:val="clear" w:color="auto" w:fill="auto"/>
                  <w:vAlign w:val="center"/>
                </w:tcPr>
                <w:p w14:paraId="2EE1A9E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ML204T</w:t>
                  </w:r>
                </w:p>
              </w:tc>
              <w:tc>
                <w:tcPr>
                  <w:tcW w:w="416" w:type="pct"/>
                  <w:tcBorders>
                    <w:tl2br w:val="nil"/>
                    <w:tr2bl w:val="nil"/>
                  </w:tcBorders>
                  <w:shd w:val="clear" w:color="auto" w:fill="auto"/>
                  <w:vAlign w:val="center"/>
                </w:tcPr>
                <w:p w14:paraId="41BF2FD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71CE54F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2A1F44A0">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39C75BA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57715B5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3EF2ACF5">
                  <w:pPr>
                    <w:pStyle w:val="63"/>
                    <w:keepNext w:val="0"/>
                    <w:keepLines w:val="0"/>
                    <w:pageBreakBefore w:val="0"/>
                    <w:widowControl w:val="0"/>
                    <w:numPr>
                      <w:ilvl w:val="0"/>
                      <w:numId w:val="11"/>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49337C7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显微成像系统</w:t>
                  </w:r>
                </w:p>
              </w:tc>
              <w:tc>
                <w:tcPr>
                  <w:tcW w:w="1093" w:type="pct"/>
                  <w:tcBorders>
                    <w:tl2br w:val="nil"/>
                    <w:tr2bl w:val="nil"/>
                  </w:tcBorders>
                  <w:shd w:val="clear" w:color="auto" w:fill="auto"/>
                  <w:vAlign w:val="center"/>
                </w:tcPr>
                <w:p w14:paraId="16F1F84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EX21</w:t>
                  </w:r>
                </w:p>
              </w:tc>
              <w:tc>
                <w:tcPr>
                  <w:tcW w:w="416" w:type="pct"/>
                  <w:tcBorders>
                    <w:tl2br w:val="nil"/>
                    <w:tr2bl w:val="nil"/>
                  </w:tcBorders>
                  <w:shd w:val="clear" w:color="auto" w:fill="auto"/>
                  <w:vAlign w:val="center"/>
                </w:tcPr>
                <w:p w14:paraId="74ECD95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346C169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602A7635">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784C383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7276316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31694DDB">
                  <w:pPr>
                    <w:pStyle w:val="63"/>
                    <w:keepNext w:val="0"/>
                    <w:keepLines w:val="0"/>
                    <w:pageBreakBefore w:val="0"/>
                    <w:widowControl w:val="0"/>
                    <w:numPr>
                      <w:ilvl w:val="0"/>
                      <w:numId w:val="11"/>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1EF2800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压缩空气采集器</w:t>
                  </w:r>
                </w:p>
              </w:tc>
              <w:tc>
                <w:tcPr>
                  <w:tcW w:w="1093" w:type="pct"/>
                  <w:tcBorders>
                    <w:tl2br w:val="nil"/>
                    <w:tr2bl w:val="nil"/>
                  </w:tcBorders>
                  <w:shd w:val="clear" w:color="auto" w:fill="auto"/>
                  <w:vAlign w:val="center"/>
                </w:tcPr>
                <w:p w14:paraId="4382D64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GC101</w:t>
                  </w:r>
                </w:p>
              </w:tc>
              <w:tc>
                <w:tcPr>
                  <w:tcW w:w="416" w:type="pct"/>
                  <w:tcBorders>
                    <w:tl2br w:val="nil"/>
                    <w:tr2bl w:val="nil"/>
                  </w:tcBorders>
                  <w:shd w:val="clear" w:color="auto" w:fill="auto"/>
                  <w:vAlign w:val="center"/>
                </w:tcPr>
                <w:p w14:paraId="1B0037E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4A1F5A4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76ABEB0B">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1D4ED90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071B3B3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67EFE1A5">
                  <w:pPr>
                    <w:pStyle w:val="63"/>
                    <w:keepNext w:val="0"/>
                    <w:keepLines w:val="0"/>
                    <w:pageBreakBefore w:val="0"/>
                    <w:widowControl w:val="0"/>
                    <w:numPr>
                      <w:ilvl w:val="0"/>
                      <w:numId w:val="11"/>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38C21CE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智能崩解仪</w:t>
                  </w:r>
                </w:p>
              </w:tc>
              <w:tc>
                <w:tcPr>
                  <w:tcW w:w="1093" w:type="pct"/>
                  <w:tcBorders>
                    <w:tl2br w:val="nil"/>
                    <w:tr2bl w:val="nil"/>
                  </w:tcBorders>
                  <w:shd w:val="clear" w:color="auto" w:fill="auto"/>
                  <w:vAlign w:val="center"/>
                </w:tcPr>
                <w:p w14:paraId="394C012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BJ-II</w:t>
                  </w:r>
                </w:p>
              </w:tc>
              <w:tc>
                <w:tcPr>
                  <w:tcW w:w="416" w:type="pct"/>
                  <w:tcBorders>
                    <w:tl2br w:val="nil"/>
                    <w:tr2bl w:val="nil"/>
                  </w:tcBorders>
                  <w:shd w:val="clear" w:color="auto" w:fill="auto"/>
                  <w:vAlign w:val="center"/>
                </w:tcPr>
                <w:p w14:paraId="4148CD7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49E9D12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6DF51898">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5980FAE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508F9AB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554E37BC">
                  <w:pPr>
                    <w:pStyle w:val="63"/>
                    <w:keepNext w:val="0"/>
                    <w:keepLines w:val="0"/>
                    <w:pageBreakBefore w:val="0"/>
                    <w:widowControl w:val="0"/>
                    <w:numPr>
                      <w:ilvl w:val="0"/>
                      <w:numId w:val="11"/>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4298C6C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智能匀浆仪</w:t>
                  </w:r>
                </w:p>
              </w:tc>
              <w:tc>
                <w:tcPr>
                  <w:tcW w:w="1093" w:type="pct"/>
                  <w:tcBorders>
                    <w:tl2br w:val="nil"/>
                    <w:tr2bl w:val="nil"/>
                  </w:tcBorders>
                  <w:shd w:val="clear" w:color="auto" w:fill="auto"/>
                  <w:vAlign w:val="center"/>
                </w:tcPr>
                <w:p w14:paraId="7705947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ZW-800G</w:t>
                  </w:r>
                </w:p>
              </w:tc>
              <w:tc>
                <w:tcPr>
                  <w:tcW w:w="416" w:type="pct"/>
                  <w:tcBorders>
                    <w:tl2br w:val="nil"/>
                    <w:tr2bl w:val="nil"/>
                  </w:tcBorders>
                  <w:shd w:val="clear" w:color="auto" w:fill="auto"/>
                  <w:vAlign w:val="center"/>
                </w:tcPr>
                <w:p w14:paraId="7153131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76DCC0D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w:t>
                  </w:r>
                </w:p>
              </w:tc>
              <w:tc>
                <w:tcPr>
                  <w:tcW w:w="532" w:type="pct"/>
                  <w:tcBorders>
                    <w:tl2br w:val="nil"/>
                    <w:tr2bl w:val="nil"/>
                  </w:tcBorders>
                  <w:shd w:val="clear" w:color="auto" w:fill="auto"/>
                  <w:vAlign w:val="center"/>
                </w:tcPr>
                <w:p w14:paraId="3D9B31C7">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36F775A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w:t>
                  </w:r>
                </w:p>
              </w:tc>
            </w:tr>
            <w:tr w14:paraId="3017B69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5000" w:type="pct"/>
                  <w:gridSpan w:val="7"/>
                  <w:tcBorders>
                    <w:tl2br w:val="nil"/>
                    <w:tr2bl w:val="nil"/>
                  </w:tcBorders>
                  <w:shd w:val="clear" w:color="auto" w:fill="auto"/>
                  <w:vAlign w:val="center"/>
                </w:tcPr>
                <w:p w14:paraId="1D2F5EF3">
                  <w:pPr>
                    <w:keepNext w:val="0"/>
                    <w:keepLines w:val="0"/>
                    <w:widowControl/>
                    <w:suppressLineNumbers w:val="0"/>
                    <w:spacing w:before="0" w:beforeAutospacing="0" w:after="0" w:afterAutospacing="0"/>
                    <w:ind w:left="0" w:right="0"/>
                    <w:jc w:val="center"/>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公用设备</w:t>
                  </w:r>
                </w:p>
              </w:tc>
            </w:tr>
            <w:tr w14:paraId="1E9B6B5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331F2C30">
                  <w:pPr>
                    <w:pStyle w:val="63"/>
                    <w:keepNext w:val="0"/>
                    <w:keepLines w:val="0"/>
                    <w:pageBreakBefore w:val="0"/>
                    <w:widowControl w:val="0"/>
                    <w:numPr>
                      <w:ilvl w:val="0"/>
                      <w:numId w:val="12"/>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1FACED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柴油发电机组</w:t>
                  </w:r>
                </w:p>
              </w:tc>
              <w:tc>
                <w:tcPr>
                  <w:tcW w:w="1093" w:type="pct"/>
                  <w:tcBorders>
                    <w:tl2br w:val="nil"/>
                    <w:tr2bl w:val="nil"/>
                  </w:tcBorders>
                  <w:shd w:val="clear" w:color="auto" w:fill="auto"/>
                  <w:vAlign w:val="center"/>
                </w:tcPr>
                <w:p w14:paraId="3F40B4B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250kW，油箱500L</w:t>
                  </w:r>
                </w:p>
              </w:tc>
              <w:tc>
                <w:tcPr>
                  <w:tcW w:w="416" w:type="pct"/>
                  <w:tcBorders>
                    <w:tl2br w:val="nil"/>
                    <w:tr2bl w:val="nil"/>
                  </w:tcBorders>
                  <w:shd w:val="clear" w:color="auto" w:fill="auto"/>
                  <w:vAlign w:val="center"/>
                </w:tcPr>
                <w:p w14:paraId="1047C0F7">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344B2B0B">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67E98291">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07D76F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sz w:val="20"/>
                      <w:szCs w:val="20"/>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330DA7C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0FC5FF5F">
                  <w:pPr>
                    <w:pStyle w:val="63"/>
                    <w:keepNext w:val="0"/>
                    <w:keepLines w:val="0"/>
                    <w:pageBreakBefore w:val="0"/>
                    <w:widowControl w:val="0"/>
                    <w:numPr>
                      <w:ilvl w:val="0"/>
                      <w:numId w:val="12"/>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216B13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柴油发电机组</w:t>
                  </w:r>
                </w:p>
              </w:tc>
              <w:tc>
                <w:tcPr>
                  <w:tcW w:w="1093" w:type="pct"/>
                  <w:tcBorders>
                    <w:tl2br w:val="nil"/>
                    <w:tr2bl w:val="nil"/>
                  </w:tcBorders>
                  <w:shd w:val="clear" w:color="auto" w:fill="auto"/>
                  <w:vAlign w:val="center"/>
                </w:tcPr>
                <w:p w14:paraId="17F5003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250kW，油箱500L</w:t>
                  </w:r>
                </w:p>
              </w:tc>
              <w:tc>
                <w:tcPr>
                  <w:tcW w:w="416" w:type="pct"/>
                  <w:tcBorders>
                    <w:tl2br w:val="nil"/>
                    <w:tr2bl w:val="nil"/>
                  </w:tcBorders>
                  <w:shd w:val="clear" w:color="auto" w:fill="auto"/>
                  <w:vAlign w:val="center"/>
                </w:tcPr>
                <w:p w14:paraId="021514F8">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33DA1F3A">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7EDDF4AD">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6B48F60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sz w:val="20"/>
                      <w:szCs w:val="20"/>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4ABF8C5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3EBF1E9A">
                  <w:pPr>
                    <w:pStyle w:val="63"/>
                    <w:keepNext w:val="0"/>
                    <w:keepLines w:val="0"/>
                    <w:pageBreakBefore w:val="0"/>
                    <w:widowControl w:val="0"/>
                    <w:numPr>
                      <w:ilvl w:val="0"/>
                      <w:numId w:val="12"/>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0A888A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柴油发电机组</w:t>
                  </w:r>
                </w:p>
              </w:tc>
              <w:tc>
                <w:tcPr>
                  <w:tcW w:w="1093" w:type="pct"/>
                  <w:tcBorders>
                    <w:tl2br w:val="nil"/>
                    <w:tr2bl w:val="nil"/>
                  </w:tcBorders>
                  <w:shd w:val="clear" w:color="auto" w:fill="auto"/>
                  <w:vAlign w:val="center"/>
                </w:tcPr>
                <w:p w14:paraId="60040E6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600kW，油箱500L</w:t>
                  </w:r>
                </w:p>
              </w:tc>
              <w:tc>
                <w:tcPr>
                  <w:tcW w:w="416" w:type="pct"/>
                  <w:tcBorders>
                    <w:tl2br w:val="nil"/>
                    <w:tr2bl w:val="nil"/>
                  </w:tcBorders>
                  <w:shd w:val="clear" w:color="auto" w:fill="auto"/>
                  <w:vAlign w:val="center"/>
                </w:tcPr>
                <w:p w14:paraId="5C33D77E">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0FC8DA25">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lang w:val="en-US" w:eastAsia="zh-TW"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0</w:t>
                  </w:r>
                </w:p>
              </w:tc>
              <w:tc>
                <w:tcPr>
                  <w:tcW w:w="532" w:type="pct"/>
                  <w:tcBorders>
                    <w:tl2br w:val="nil"/>
                    <w:tr2bl w:val="nil"/>
                  </w:tcBorders>
                  <w:shd w:val="clear" w:color="auto" w:fill="auto"/>
                  <w:vAlign w:val="center"/>
                </w:tcPr>
                <w:p w14:paraId="49D7FBF1">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57" w:type="pct"/>
                  <w:tcBorders>
                    <w:tl2br w:val="nil"/>
                    <w:tr2bl w:val="nil"/>
                  </w:tcBorders>
                  <w:shd w:val="clear" w:color="auto" w:fill="auto"/>
                  <w:vAlign w:val="center"/>
                </w:tcPr>
                <w:p w14:paraId="3381E1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sz w:val="20"/>
                      <w:szCs w:val="20"/>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1625F7C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2DB3D589">
                  <w:pPr>
                    <w:pStyle w:val="63"/>
                    <w:keepNext w:val="0"/>
                    <w:keepLines w:val="0"/>
                    <w:pageBreakBefore w:val="0"/>
                    <w:widowControl w:val="0"/>
                    <w:numPr>
                      <w:ilvl w:val="0"/>
                      <w:numId w:val="12"/>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211EFF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柴油发电机组</w:t>
                  </w:r>
                </w:p>
              </w:tc>
              <w:tc>
                <w:tcPr>
                  <w:tcW w:w="1093" w:type="pct"/>
                  <w:tcBorders>
                    <w:tl2br w:val="nil"/>
                    <w:tr2bl w:val="nil"/>
                  </w:tcBorders>
                  <w:shd w:val="clear" w:color="auto" w:fill="auto"/>
                  <w:vAlign w:val="center"/>
                </w:tcPr>
                <w:p w14:paraId="5A74376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400kW，油箱260L</w:t>
                  </w:r>
                </w:p>
              </w:tc>
              <w:tc>
                <w:tcPr>
                  <w:tcW w:w="416" w:type="pct"/>
                  <w:tcBorders>
                    <w:tl2br w:val="nil"/>
                    <w:tr2bl w:val="nil"/>
                  </w:tcBorders>
                  <w:shd w:val="clear" w:color="auto" w:fill="auto"/>
                  <w:vAlign w:val="center"/>
                </w:tcPr>
                <w:p w14:paraId="1F116615">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333A40CB">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lang w:val="en-US" w:eastAsia="zh-TW" w:bidi="ar-SA"/>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t>0</w:t>
                  </w:r>
                </w:p>
              </w:tc>
              <w:tc>
                <w:tcPr>
                  <w:tcW w:w="532" w:type="pct"/>
                  <w:tcBorders>
                    <w:tl2br w:val="nil"/>
                    <w:tr2bl w:val="nil"/>
                  </w:tcBorders>
                  <w:shd w:val="clear" w:color="auto" w:fill="auto"/>
                  <w:vAlign w:val="center"/>
                </w:tcPr>
                <w:p w14:paraId="6B0E778A">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57" w:type="pct"/>
                  <w:tcBorders>
                    <w:tl2br w:val="nil"/>
                    <w:tr2bl w:val="nil"/>
                  </w:tcBorders>
                  <w:shd w:val="clear" w:color="auto" w:fill="auto"/>
                  <w:vAlign w:val="center"/>
                </w:tcPr>
                <w:p w14:paraId="2586C9E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sz w:val="20"/>
                      <w:szCs w:val="20"/>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4867D1E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11FBAA76">
                  <w:pPr>
                    <w:pStyle w:val="63"/>
                    <w:keepNext w:val="0"/>
                    <w:keepLines w:val="0"/>
                    <w:pageBreakBefore w:val="0"/>
                    <w:widowControl w:val="0"/>
                    <w:numPr>
                      <w:ilvl w:val="0"/>
                      <w:numId w:val="12"/>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09993E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超声波流量计</w:t>
                  </w:r>
                </w:p>
              </w:tc>
              <w:tc>
                <w:tcPr>
                  <w:tcW w:w="1093" w:type="pct"/>
                  <w:tcBorders>
                    <w:tl2br w:val="nil"/>
                    <w:tr2bl w:val="nil"/>
                  </w:tcBorders>
                  <w:shd w:val="clear" w:color="auto" w:fill="auto"/>
                  <w:vAlign w:val="center"/>
                </w:tcPr>
                <w:p w14:paraId="19BD13A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416" w:type="pct"/>
                  <w:tcBorders>
                    <w:tl2br w:val="nil"/>
                    <w:tr2bl w:val="nil"/>
                  </w:tcBorders>
                  <w:shd w:val="clear" w:color="auto" w:fill="auto"/>
                  <w:vAlign w:val="center"/>
                </w:tcPr>
                <w:p w14:paraId="5006FC4B">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2F7B1A42">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2296ACB6">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1154D3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sz w:val="20"/>
                      <w:szCs w:val="20"/>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14E34F6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2B55C09F">
                  <w:pPr>
                    <w:pStyle w:val="63"/>
                    <w:keepNext w:val="0"/>
                    <w:keepLines w:val="0"/>
                    <w:pageBreakBefore w:val="0"/>
                    <w:widowControl w:val="0"/>
                    <w:numPr>
                      <w:ilvl w:val="0"/>
                      <w:numId w:val="12"/>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2C3769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冲洗水泵</w:t>
                  </w:r>
                </w:p>
              </w:tc>
              <w:tc>
                <w:tcPr>
                  <w:tcW w:w="1093" w:type="pct"/>
                  <w:tcBorders>
                    <w:tl2br w:val="nil"/>
                    <w:tr2bl w:val="nil"/>
                  </w:tcBorders>
                  <w:shd w:val="clear" w:color="auto" w:fill="auto"/>
                  <w:vAlign w:val="center"/>
                </w:tcPr>
                <w:p w14:paraId="4ABC7BF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416" w:type="pct"/>
                  <w:tcBorders>
                    <w:tl2br w:val="nil"/>
                    <w:tr2bl w:val="nil"/>
                  </w:tcBorders>
                  <w:shd w:val="clear" w:color="auto" w:fill="auto"/>
                  <w:vAlign w:val="center"/>
                </w:tcPr>
                <w:p w14:paraId="350C46E6">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187D84B0">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735F5662">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46C4F4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sz w:val="20"/>
                      <w:szCs w:val="20"/>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118127E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2AAA5150">
                  <w:pPr>
                    <w:pStyle w:val="63"/>
                    <w:keepNext w:val="0"/>
                    <w:keepLines w:val="0"/>
                    <w:pageBreakBefore w:val="0"/>
                    <w:widowControl w:val="0"/>
                    <w:numPr>
                      <w:ilvl w:val="0"/>
                      <w:numId w:val="12"/>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0312653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臭氧发生器</w:t>
                  </w:r>
                </w:p>
              </w:tc>
              <w:tc>
                <w:tcPr>
                  <w:tcW w:w="1093" w:type="pct"/>
                  <w:tcBorders>
                    <w:tl2br w:val="nil"/>
                    <w:tr2bl w:val="nil"/>
                  </w:tcBorders>
                  <w:shd w:val="clear" w:color="auto" w:fill="auto"/>
                  <w:vAlign w:val="center"/>
                </w:tcPr>
                <w:p w14:paraId="3625DAC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416" w:type="pct"/>
                  <w:tcBorders>
                    <w:tl2br w:val="nil"/>
                    <w:tr2bl w:val="nil"/>
                  </w:tcBorders>
                  <w:shd w:val="clear" w:color="auto" w:fill="auto"/>
                  <w:vAlign w:val="center"/>
                </w:tcPr>
                <w:p w14:paraId="669D1BF8">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6FDD7B60">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78AFE6C7">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4D334E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sz w:val="20"/>
                      <w:szCs w:val="20"/>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541C612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0ECD9D39">
                  <w:pPr>
                    <w:pStyle w:val="63"/>
                    <w:keepNext w:val="0"/>
                    <w:keepLines w:val="0"/>
                    <w:pageBreakBefore w:val="0"/>
                    <w:widowControl w:val="0"/>
                    <w:numPr>
                      <w:ilvl w:val="0"/>
                      <w:numId w:val="12"/>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136E65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带式污泥压滤机</w:t>
                  </w:r>
                </w:p>
              </w:tc>
              <w:tc>
                <w:tcPr>
                  <w:tcW w:w="1093" w:type="pct"/>
                  <w:tcBorders>
                    <w:tl2br w:val="nil"/>
                    <w:tr2bl w:val="nil"/>
                  </w:tcBorders>
                  <w:shd w:val="clear" w:color="auto" w:fill="auto"/>
                  <w:vAlign w:val="center"/>
                </w:tcPr>
                <w:p w14:paraId="0068F21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416" w:type="pct"/>
                  <w:tcBorders>
                    <w:tl2br w:val="nil"/>
                    <w:tr2bl w:val="nil"/>
                  </w:tcBorders>
                  <w:shd w:val="clear" w:color="auto" w:fill="auto"/>
                  <w:vAlign w:val="center"/>
                </w:tcPr>
                <w:p w14:paraId="7F7602D1">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46184FFA">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70D4A1B9">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75B28D0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sz w:val="20"/>
                      <w:szCs w:val="20"/>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2344A66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06AC6D67">
                  <w:pPr>
                    <w:pStyle w:val="63"/>
                    <w:keepNext w:val="0"/>
                    <w:keepLines w:val="0"/>
                    <w:pageBreakBefore w:val="0"/>
                    <w:widowControl w:val="0"/>
                    <w:numPr>
                      <w:ilvl w:val="0"/>
                      <w:numId w:val="12"/>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7597C1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低温等离子设备</w:t>
                  </w:r>
                </w:p>
              </w:tc>
              <w:tc>
                <w:tcPr>
                  <w:tcW w:w="1093" w:type="pct"/>
                  <w:tcBorders>
                    <w:tl2br w:val="nil"/>
                    <w:tr2bl w:val="nil"/>
                  </w:tcBorders>
                  <w:shd w:val="clear" w:color="auto" w:fill="auto"/>
                  <w:vAlign w:val="center"/>
                </w:tcPr>
                <w:p w14:paraId="4EA1401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PLD-DDBD-PJ-6000</w:t>
                  </w:r>
                </w:p>
              </w:tc>
              <w:tc>
                <w:tcPr>
                  <w:tcW w:w="416" w:type="pct"/>
                  <w:tcBorders>
                    <w:tl2br w:val="nil"/>
                    <w:tr2bl w:val="nil"/>
                  </w:tcBorders>
                  <w:shd w:val="clear" w:color="auto" w:fill="auto"/>
                  <w:vAlign w:val="center"/>
                </w:tcPr>
                <w:p w14:paraId="1207D56A">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79AD4644">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0415E1A3">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3B0CB76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sz w:val="20"/>
                      <w:szCs w:val="20"/>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6DEC7D0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5AE53B2D">
                  <w:pPr>
                    <w:pStyle w:val="63"/>
                    <w:keepNext w:val="0"/>
                    <w:keepLines w:val="0"/>
                    <w:pageBreakBefore w:val="0"/>
                    <w:widowControl w:val="0"/>
                    <w:numPr>
                      <w:ilvl w:val="0"/>
                      <w:numId w:val="12"/>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3F21C3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缓冲罐</w:t>
                  </w:r>
                </w:p>
              </w:tc>
              <w:tc>
                <w:tcPr>
                  <w:tcW w:w="1093" w:type="pct"/>
                  <w:tcBorders>
                    <w:tl2br w:val="nil"/>
                    <w:tr2bl w:val="nil"/>
                  </w:tcBorders>
                  <w:shd w:val="clear" w:color="auto" w:fill="auto"/>
                  <w:vAlign w:val="center"/>
                </w:tcPr>
                <w:p w14:paraId="0D4151D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φ1800*2200</w:t>
                  </w:r>
                </w:p>
              </w:tc>
              <w:tc>
                <w:tcPr>
                  <w:tcW w:w="416" w:type="pct"/>
                  <w:tcBorders>
                    <w:tl2br w:val="nil"/>
                    <w:tr2bl w:val="nil"/>
                  </w:tcBorders>
                  <w:shd w:val="clear" w:color="auto" w:fill="auto"/>
                  <w:vAlign w:val="center"/>
                </w:tcPr>
                <w:p w14:paraId="1A9BD422">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cs="宋体"/>
                      <w:color w:val="000000" w:themeColor="text1"/>
                      <w:kern w:val="0"/>
                      <w:sz w:val="20"/>
                      <w:szCs w:val="20"/>
                      <w:highlight w:val="none"/>
                      <w:lang w:val="en-US" w:eastAsia="zh-CN" w:bidi="ar"/>
                      <w14:textFill>
                        <w14:solidFill>
                          <w14:schemeClr w14:val="tx1"/>
                        </w14:solidFill>
                      </w14:textFill>
                    </w:rPr>
                    <w:t>个</w:t>
                  </w:r>
                </w:p>
              </w:tc>
              <w:tc>
                <w:tcPr>
                  <w:tcW w:w="532" w:type="pct"/>
                  <w:tcBorders>
                    <w:tl2br w:val="nil"/>
                    <w:tr2bl w:val="nil"/>
                  </w:tcBorders>
                  <w:shd w:val="clear" w:color="auto" w:fill="auto"/>
                  <w:vAlign w:val="center"/>
                </w:tcPr>
                <w:p w14:paraId="5A0E85F1">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506E03DF">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6D77944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sz w:val="20"/>
                      <w:szCs w:val="20"/>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57349F7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27DA7B22">
                  <w:pPr>
                    <w:pStyle w:val="63"/>
                    <w:keepNext w:val="0"/>
                    <w:keepLines w:val="0"/>
                    <w:pageBreakBefore w:val="0"/>
                    <w:widowControl w:val="0"/>
                    <w:numPr>
                      <w:ilvl w:val="0"/>
                      <w:numId w:val="12"/>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41B6F3E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全自动软水器（附带高交换容量树脂）双头双罐</w:t>
                  </w:r>
                </w:p>
              </w:tc>
              <w:tc>
                <w:tcPr>
                  <w:tcW w:w="1093" w:type="pct"/>
                  <w:tcBorders>
                    <w:tl2br w:val="nil"/>
                    <w:tr2bl w:val="nil"/>
                  </w:tcBorders>
                  <w:shd w:val="clear" w:color="auto" w:fill="auto"/>
                  <w:vAlign w:val="center"/>
                </w:tcPr>
                <w:p w14:paraId="2220111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p>
              </w:tc>
              <w:tc>
                <w:tcPr>
                  <w:tcW w:w="416" w:type="pct"/>
                  <w:tcBorders>
                    <w:tl2br w:val="nil"/>
                    <w:tr2bl w:val="nil"/>
                  </w:tcBorders>
                  <w:shd w:val="clear" w:color="auto" w:fill="auto"/>
                  <w:vAlign w:val="center"/>
                </w:tcPr>
                <w:p w14:paraId="39225981">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2F7B91C0">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6AC9F5AE">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5C0876C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sz w:val="20"/>
                      <w:szCs w:val="20"/>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7F87D0D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4C5F4E0F">
                  <w:pPr>
                    <w:pStyle w:val="63"/>
                    <w:keepNext w:val="0"/>
                    <w:keepLines w:val="0"/>
                    <w:pageBreakBefore w:val="0"/>
                    <w:widowControl w:val="0"/>
                    <w:numPr>
                      <w:ilvl w:val="0"/>
                      <w:numId w:val="12"/>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4DBBD3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燃气蒸汽锅炉</w:t>
                  </w:r>
                </w:p>
              </w:tc>
              <w:tc>
                <w:tcPr>
                  <w:tcW w:w="1093" w:type="pct"/>
                  <w:tcBorders>
                    <w:tl2br w:val="nil"/>
                    <w:tr2bl w:val="nil"/>
                  </w:tcBorders>
                  <w:shd w:val="clear" w:color="auto" w:fill="auto"/>
                  <w:vAlign w:val="center"/>
                </w:tcPr>
                <w:p w14:paraId="555BD06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WNSI5-1.25-Q</w:t>
                  </w:r>
                </w:p>
              </w:tc>
              <w:tc>
                <w:tcPr>
                  <w:tcW w:w="416" w:type="pct"/>
                  <w:tcBorders>
                    <w:tl2br w:val="nil"/>
                    <w:tr2bl w:val="nil"/>
                  </w:tcBorders>
                  <w:shd w:val="clear" w:color="auto" w:fill="auto"/>
                  <w:vAlign w:val="center"/>
                </w:tcPr>
                <w:p w14:paraId="0A9ACE7E">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66179E18">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2C00ED64">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234C7D8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sz w:val="20"/>
                      <w:szCs w:val="20"/>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4196401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47904873">
                  <w:pPr>
                    <w:pStyle w:val="63"/>
                    <w:keepNext w:val="0"/>
                    <w:keepLines w:val="0"/>
                    <w:pageBreakBefore w:val="0"/>
                    <w:widowControl w:val="0"/>
                    <w:numPr>
                      <w:ilvl w:val="0"/>
                      <w:numId w:val="12"/>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5F4758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软化水箱</w:t>
                  </w:r>
                </w:p>
              </w:tc>
              <w:tc>
                <w:tcPr>
                  <w:tcW w:w="1093" w:type="pct"/>
                  <w:tcBorders>
                    <w:tl2br w:val="nil"/>
                    <w:tr2bl w:val="nil"/>
                  </w:tcBorders>
                  <w:shd w:val="clear" w:color="auto" w:fill="auto"/>
                  <w:vAlign w:val="center"/>
                </w:tcPr>
                <w:p w14:paraId="404EDFC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4.4*3.2*2.4</w:t>
                  </w:r>
                </w:p>
              </w:tc>
              <w:tc>
                <w:tcPr>
                  <w:tcW w:w="416" w:type="pct"/>
                  <w:tcBorders>
                    <w:tl2br w:val="nil"/>
                    <w:tr2bl w:val="nil"/>
                  </w:tcBorders>
                  <w:shd w:val="clear" w:color="auto" w:fill="auto"/>
                  <w:vAlign w:val="center"/>
                </w:tcPr>
                <w:p w14:paraId="32778E62">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cs="宋体"/>
                      <w:color w:val="000000" w:themeColor="text1"/>
                      <w:kern w:val="0"/>
                      <w:sz w:val="20"/>
                      <w:szCs w:val="20"/>
                      <w:highlight w:val="none"/>
                      <w:lang w:val="en-US" w:eastAsia="zh-CN" w:bidi="ar"/>
                      <w14:textFill>
                        <w14:solidFill>
                          <w14:schemeClr w14:val="tx1"/>
                        </w14:solidFill>
                      </w14:textFill>
                    </w:rPr>
                    <w:t>个</w:t>
                  </w:r>
                </w:p>
              </w:tc>
              <w:tc>
                <w:tcPr>
                  <w:tcW w:w="532" w:type="pct"/>
                  <w:tcBorders>
                    <w:tl2br w:val="nil"/>
                    <w:tr2bl w:val="nil"/>
                  </w:tcBorders>
                  <w:shd w:val="clear" w:color="auto" w:fill="auto"/>
                  <w:vAlign w:val="center"/>
                </w:tcPr>
                <w:p w14:paraId="15ACC0AE">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37DCDC44">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4E6E5A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sz w:val="20"/>
                      <w:szCs w:val="20"/>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10C25CA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2F8EE163">
                  <w:pPr>
                    <w:pStyle w:val="63"/>
                    <w:keepNext w:val="0"/>
                    <w:keepLines w:val="0"/>
                    <w:pageBreakBefore w:val="0"/>
                    <w:widowControl w:val="0"/>
                    <w:numPr>
                      <w:ilvl w:val="0"/>
                      <w:numId w:val="12"/>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4C71D4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药液罐</w:t>
                  </w:r>
                </w:p>
              </w:tc>
              <w:tc>
                <w:tcPr>
                  <w:tcW w:w="1093" w:type="pct"/>
                  <w:tcBorders>
                    <w:tl2br w:val="nil"/>
                    <w:tr2bl w:val="nil"/>
                  </w:tcBorders>
                  <w:shd w:val="clear" w:color="auto" w:fill="auto"/>
                  <w:vAlign w:val="center"/>
                </w:tcPr>
                <w:p w14:paraId="1BF3033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&amp; 1300</w:t>
                  </w:r>
                </w:p>
              </w:tc>
              <w:tc>
                <w:tcPr>
                  <w:tcW w:w="416" w:type="pct"/>
                  <w:tcBorders>
                    <w:tl2br w:val="nil"/>
                    <w:tr2bl w:val="nil"/>
                  </w:tcBorders>
                  <w:shd w:val="clear" w:color="auto" w:fill="auto"/>
                  <w:vAlign w:val="center"/>
                </w:tcPr>
                <w:p w14:paraId="2BCA404D">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cs="宋体"/>
                      <w:color w:val="000000" w:themeColor="text1"/>
                      <w:kern w:val="0"/>
                      <w:sz w:val="20"/>
                      <w:szCs w:val="20"/>
                      <w:highlight w:val="none"/>
                      <w:lang w:val="en-US" w:eastAsia="zh-CN" w:bidi="ar"/>
                      <w14:textFill>
                        <w14:solidFill>
                          <w14:schemeClr w14:val="tx1"/>
                        </w14:solidFill>
                      </w14:textFill>
                    </w:rPr>
                    <w:t>个</w:t>
                  </w:r>
                </w:p>
              </w:tc>
              <w:tc>
                <w:tcPr>
                  <w:tcW w:w="532" w:type="pct"/>
                  <w:tcBorders>
                    <w:tl2br w:val="nil"/>
                    <w:tr2bl w:val="nil"/>
                  </w:tcBorders>
                  <w:shd w:val="clear" w:color="auto" w:fill="auto"/>
                  <w:vAlign w:val="center"/>
                </w:tcPr>
                <w:p w14:paraId="6B58191A">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594853CE">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1985E3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sz w:val="20"/>
                      <w:szCs w:val="20"/>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397C86E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76CFB63B">
                  <w:pPr>
                    <w:pStyle w:val="63"/>
                    <w:keepNext w:val="0"/>
                    <w:keepLines w:val="0"/>
                    <w:pageBreakBefore w:val="0"/>
                    <w:widowControl w:val="0"/>
                    <w:numPr>
                      <w:ilvl w:val="0"/>
                      <w:numId w:val="12"/>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6229BB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引风机</w:t>
                  </w:r>
                </w:p>
              </w:tc>
              <w:tc>
                <w:tcPr>
                  <w:tcW w:w="1093" w:type="pct"/>
                  <w:tcBorders>
                    <w:tl2br w:val="nil"/>
                    <w:tr2bl w:val="nil"/>
                  </w:tcBorders>
                  <w:shd w:val="clear" w:color="auto" w:fill="auto"/>
                  <w:vAlign w:val="center"/>
                </w:tcPr>
                <w:p w14:paraId="1B43500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6000m3/h,3000pa</w:t>
                  </w:r>
                </w:p>
              </w:tc>
              <w:tc>
                <w:tcPr>
                  <w:tcW w:w="416" w:type="pct"/>
                  <w:tcBorders>
                    <w:tl2br w:val="nil"/>
                    <w:tr2bl w:val="nil"/>
                  </w:tcBorders>
                  <w:shd w:val="clear" w:color="auto" w:fill="auto"/>
                  <w:vAlign w:val="center"/>
                </w:tcPr>
                <w:p w14:paraId="3F777759">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0FCEDC06">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532" w:type="pct"/>
                  <w:tcBorders>
                    <w:tl2br w:val="nil"/>
                    <w:tr2bl w:val="nil"/>
                  </w:tcBorders>
                  <w:shd w:val="clear" w:color="auto" w:fill="auto"/>
                  <w:vAlign w:val="center"/>
                </w:tcPr>
                <w:p w14:paraId="3C086494">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498E1FE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sz w:val="20"/>
                      <w:szCs w:val="20"/>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r>
            <w:tr w14:paraId="1EE3616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375" w:type="pct"/>
                  <w:tcBorders>
                    <w:tl2br w:val="nil"/>
                    <w:tr2bl w:val="nil"/>
                  </w:tcBorders>
                  <w:shd w:val="clear" w:color="auto" w:fill="auto"/>
                  <w:vAlign w:val="center"/>
                </w:tcPr>
                <w:p w14:paraId="6F1FA7A4">
                  <w:pPr>
                    <w:pStyle w:val="63"/>
                    <w:keepNext w:val="0"/>
                    <w:keepLines w:val="0"/>
                    <w:pageBreakBefore w:val="0"/>
                    <w:widowControl w:val="0"/>
                    <w:numPr>
                      <w:ilvl w:val="0"/>
                      <w:numId w:val="12"/>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91" w:type="pct"/>
                  <w:tcBorders>
                    <w:tl2br w:val="nil"/>
                    <w:tr2bl w:val="nil"/>
                  </w:tcBorders>
                  <w:shd w:val="clear" w:color="auto" w:fill="auto"/>
                  <w:vAlign w:val="center"/>
                </w:tcPr>
                <w:p w14:paraId="7BD230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燃气蒸汽锅炉</w:t>
                  </w:r>
                </w:p>
              </w:tc>
              <w:tc>
                <w:tcPr>
                  <w:tcW w:w="1093" w:type="pct"/>
                  <w:tcBorders>
                    <w:tl2br w:val="nil"/>
                    <w:tr2bl w:val="nil"/>
                  </w:tcBorders>
                  <w:shd w:val="clear" w:color="auto" w:fill="auto"/>
                  <w:vAlign w:val="center"/>
                </w:tcPr>
                <w:p w14:paraId="5DDB286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Times New Roman" w:cs="Times New Roman"/>
                      <w:color w:val="000000" w:themeColor="text1"/>
                      <w:kern w:val="2"/>
                      <w:sz w:val="20"/>
                      <w:szCs w:val="20"/>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WNS6-1.25-Q</w:t>
                  </w:r>
                </w:p>
              </w:tc>
              <w:tc>
                <w:tcPr>
                  <w:tcW w:w="416" w:type="pct"/>
                  <w:tcBorders>
                    <w:tl2br w:val="nil"/>
                    <w:tr2bl w:val="nil"/>
                  </w:tcBorders>
                  <w:shd w:val="clear" w:color="auto" w:fill="auto"/>
                  <w:vAlign w:val="center"/>
                </w:tcPr>
                <w:p w14:paraId="5EF87A72">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0"/>
                      <w:szCs w:val="20"/>
                      <w:highlight w:val="none"/>
                      <w:lang w:bidi="ar"/>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台</w:t>
                  </w:r>
                </w:p>
              </w:tc>
              <w:tc>
                <w:tcPr>
                  <w:tcW w:w="532" w:type="pct"/>
                  <w:tcBorders>
                    <w:tl2br w:val="nil"/>
                    <w:tr2bl w:val="nil"/>
                  </w:tcBorders>
                  <w:shd w:val="clear" w:color="auto" w:fill="auto"/>
                  <w:vAlign w:val="center"/>
                </w:tcPr>
                <w:p w14:paraId="3BC6A31B">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w:t>
                  </w:r>
                </w:p>
              </w:tc>
              <w:tc>
                <w:tcPr>
                  <w:tcW w:w="532" w:type="pct"/>
                  <w:tcBorders>
                    <w:tl2br w:val="nil"/>
                    <w:tr2bl w:val="nil"/>
                  </w:tcBorders>
                  <w:shd w:val="clear" w:color="auto" w:fill="auto"/>
                  <w:vAlign w:val="center"/>
                </w:tcPr>
                <w:p w14:paraId="64ABA784">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Cs w:val="21"/>
                      <w:highlight w:val="none"/>
                      <w:lang w:eastAsia="zh-TW"/>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w:t>
                  </w:r>
                </w:p>
              </w:tc>
              <w:tc>
                <w:tcPr>
                  <w:tcW w:w="557" w:type="pct"/>
                  <w:tcBorders>
                    <w:tl2br w:val="nil"/>
                    <w:tr2bl w:val="nil"/>
                  </w:tcBorders>
                  <w:shd w:val="clear" w:color="auto" w:fill="auto"/>
                  <w:vAlign w:val="center"/>
                </w:tcPr>
                <w:p w14:paraId="783BA7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sz w:val="20"/>
                      <w:szCs w:val="20"/>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w:t>
                  </w:r>
                </w:p>
              </w:tc>
            </w:tr>
          </w:tbl>
          <w:p w14:paraId="6D1F2146">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3.8</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劳动定员及工作制度</w:t>
            </w:r>
          </w:p>
          <w:p w14:paraId="6C3EF0A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根据建设方提供的资料，</w:t>
            </w:r>
            <w:r>
              <w:rPr>
                <w:rFonts w:hint="default" w:ascii="Times New Roman" w:hAnsi="Times New Roman" w:cs="Times New Roman"/>
                <w:b w:val="0"/>
                <w:bCs/>
                <w:color w:val="000000" w:themeColor="text1"/>
                <w:kern w:val="2"/>
                <w:sz w:val="24"/>
                <w:szCs w:val="22"/>
                <w:highlight w:val="none"/>
                <w:lang w:val="en-US" w:eastAsia="zh-CN" w:bidi="ar-SA"/>
                <w14:textFill>
                  <w14:solidFill>
                    <w14:schemeClr w14:val="tx1"/>
                  </w14:solidFill>
                </w14:textFill>
              </w:rPr>
              <w:t>本次</w:t>
            </w:r>
            <w:r>
              <w:rPr>
                <w:rFonts w:hint="eastAsia" w:ascii="Times New Roman" w:hAnsi="Times New Roman" w:cs="Times New Roman"/>
                <w:b w:val="0"/>
                <w:bCs/>
                <w:color w:val="000000" w:themeColor="text1"/>
                <w:kern w:val="2"/>
                <w:sz w:val="24"/>
                <w:szCs w:val="22"/>
                <w:highlight w:val="none"/>
                <w:lang w:val="en-US" w:eastAsia="zh-CN" w:bidi="ar-SA"/>
                <w14:textFill>
                  <w14:solidFill>
                    <w14:schemeClr w14:val="tx1"/>
                  </w14:solidFill>
                </w14:textFill>
              </w:rPr>
              <w:t>改</w:t>
            </w:r>
            <w:r>
              <w:rPr>
                <w:rFonts w:hint="default" w:ascii="Times New Roman" w:hAnsi="Times New Roman" w:cs="Times New Roman"/>
                <w:b w:val="0"/>
                <w:bCs/>
                <w:color w:val="000000" w:themeColor="text1"/>
                <w:kern w:val="2"/>
                <w:sz w:val="24"/>
                <w:szCs w:val="22"/>
                <w:highlight w:val="none"/>
                <w:lang w:val="en-US" w:eastAsia="zh-CN" w:bidi="ar-SA"/>
                <w14:textFill>
                  <w14:solidFill>
                    <w14:schemeClr w14:val="tx1"/>
                  </w14:solidFill>
                </w14:textFill>
              </w:rPr>
              <w:t>扩建项目</w:t>
            </w:r>
            <w:r>
              <w:rPr>
                <w:rFonts w:hint="eastAsia" w:cs="Times New Roman"/>
                <w:b w:val="0"/>
                <w:bCs/>
                <w:color w:val="000000" w:themeColor="text1"/>
                <w:kern w:val="2"/>
                <w:sz w:val="24"/>
                <w:szCs w:val="22"/>
                <w:highlight w:val="none"/>
                <w:lang w:val="en-US" w:eastAsia="zh-CN" w:bidi="ar-SA"/>
                <w14:textFill>
                  <w14:solidFill>
                    <w14:schemeClr w14:val="tx1"/>
                  </w14:solidFill>
                </w14:textFill>
              </w:rPr>
              <w:t>企业内部进行人员调配</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，不新增员工，</w:t>
            </w:r>
            <w:r>
              <w:rPr>
                <w:rFonts w:hint="eastAsia" w:cs="Times New Roman"/>
                <w:color w:val="000000" w:themeColor="text1"/>
                <w:kern w:val="2"/>
                <w:sz w:val="24"/>
                <w:szCs w:val="24"/>
                <w:highlight w:val="none"/>
                <w:lang w:val="en-US" w:eastAsia="zh-CN" w:bidi="ar-SA"/>
                <w14:textFill>
                  <w14:solidFill>
                    <w14:schemeClr w14:val="tx1"/>
                  </w14:solidFill>
                </w14:textFill>
              </w:rPr>
              <w:t>现有项目</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生产系统劳动时间</w:t>
            </w:r>
            <w:r>
              <w:rPr>
                <w:rFonts w:hint="eastAsia" w:cs="Times New Roman"/>
                <w:color w:val="000000" w:themeColor="text1"/>
                <w:kern w:val="2"/>
                <w:sz w:val="24"/>
                <w:szCs w:val="24"/>
                <w:highlight w:val="none"/>
                <w:lang w:val="en-US" w:eastAsia="zh-CN" w:bidi="ar-SA"/>
                <w14:textFill>
                  <w14:solidFill>
                    <w14:schemeClr w14:val="tx1"/>
                  </w14:solidFill>
                </w14:textFill>
              </w:rPr>
              <w:t>为10h/d，</w:t>
            </w:r>
            <w:r>
              <w:rPr>
                <w:rFonts w:hint="default" w:ascii="Times New Roman" w:hAnsi="Times New Roman" w:eastAsia="宋体" w:cs="Times New Roman"/>
                <w:color w:val="000000" w:themeColor="text1"/>
                <w:kern w:val="2"/>
                <w:sz w:val="24"/>
                <w:szCs w:val="24"/>
                <w:highlight w:val="none"/>
                <w14:textFill>
                  <w14:solidFill>
                    <w14:schemeClr w14:val="tx1"/>
                  </w14:solidFill>
                </w14:textFill>
              </w:rPr>
              <w:t>年工作</w:t>
            </w:r>
            <w:r>
              <w:rPr>
                <w:rFonts w:hint="eastAsia" w:cs="Times New Roman"/>
                <w:color w:val="000000" w:themeColor="text1"/>
                <w:kern w:val="2"/>
                <w:sz w:val="24"/>
                <w:szCs w:val="24"/>
                <w:highlight w:val="none"/>
                <w:lang w:val="en-US" w:eastAsia="zh-CN"/>
                <w14:textFill>
                  <w14:solidFill>
                    <w14:schemeClr w14:val="tx1"/>
                  </w14:solidFill>
                </w14:textFill>
              </w:rPr>
              <w:t>25</w:t>
            </w:r>
            <w:r>
              <w:rPr>
                <w:rFonts w:hint="default" w:ascii="Times New Roman" w:hAnsi="Times New Roman" w:eastAsia="宋体" w:cs="Times New Roman"/>
                <w:color w:val="000000" w:themeColor="text1"/>
                <w:kern w:val="2"/>
                <w:sz w:val="24"/>
                <w:szCs w:val="24"/>
                <w:highlight w:val="none"/>
                <w14:textFill>
                  <w14:solidFill>
                    <w14:schemeClr w14:val="tx1"/>
                  </w14:solidFill>
                </w14:textFill>
              </w:rPr>
              <w:t>0天</w:t>
            </w:r>
            <w:r>
              <w:rPr>
                <w:rFonts w:hint="eastAsia" w:cs="Times New Roman"/>
                <w:color w:val="000000" w:themeColor="text1"/>
                <w:kern w:val="2"/>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年工作时间总计为</w:t>
            </w:r>
            <w:r>
              <w:rPr>
                <w:rFonts w:hint="eastAsia" w:cs="Times New Roman"/>
                <w:color w:val="000000" w:themeColor="text1"/>
                <w:kern w:val="2"/>
                <w:sz w:val="24"/>
                <w:szCs w:val="24"/>
                <w:highlight w:val="none"/>
                <w:lang w:val="en-US" w:eastAsia="zh-CN" w:bidi="ar-SA"/>
                <w14:textFill>
                  <w14:solidFill>
                    <w14:schemeClr w14:val="tx1"/>
                  </w14:solidFill>
                </w14:textFill>
              </w:rPr>
              <w:t>25</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00小时</w:t>
            </w:r>
            <w:r>
              <w:rPr>
                <w:rFonts w:hint="eastAsia" w:cs="Times New Roman"/>
                <w:color w:val="000000" w:themeColor="text1"/>
                <w:kern w:val="2"/>
                <w:sz w:val="24"/>
                <w:szCs w:val="24"/>
                <w:highlight w:val="none"/>
                <w:lang w:eastAsia="zh-CN"/>
                <w14:textFill>
                  <w14:solidFill>
                    <w14:schemeClr w14:val="tx1"/>
                  </w14:solidFill>
                </w14:textFill>
              </w:rPr>
              <w:t>，</w:t>
            </w:r>
            <w:r>
              <w:rPr>
                <w:rFonts w:hint="eastAsia" w:cs="Times New Roman"/>
                <w:color w:val="000000" w:themeColor="text1"/>
                <w:kern w:val="2"/>
                <w:sz w:val="24"/>
                <w:szCs w:val="24"/>
                <w:highlight w:val="none"/>
                <w:lang w:val="en-US" w:eastAsia="zh-CN" w:bidi="ar-SA"/>
                <w14:textFill>
                  <w14:solidFill>
                    <w14:schemeClr w14:val="tx1"/>
                  </w14:solidFill>
                </w14:textFill>
              </w:rPr>
              <w:t>锅炉年运行8000h。本项目</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生产系统劳动时间</w:t>
            </w:r>
            <w:r>
              <w:rPr>
                <w:rFonts w:hint="eastAsia" w:cs="Times New Roman"/>
                <w:color w:val="000000" w:themeColor="text1"/>
                <w:kern w:val="2"/>
                <w:sz w:val="24"/>
                <w:szCs w:val="24"/>
                <w:highlight w:val="none"/>
                <w:lang w:val="en-US" w:eastAsia="zh-CN" w:bidi="ar-SA"/>
                <w14:textFill>
                  <w14:solidFill>
                    <w14:schemeClr w14:val="tx1"/>
                  </w14:solidFill>
                </w14:textFill>
              </w:rPr>
              <w:t>由每天10小时增加为14小时</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eastAsia" w:cs="Times New Roman"/>
                <w:color w:val="000000" w:themeColor="text1"/>
                <w:kern w:val="2"/>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kern w:val="2"/>
                <w:sz w:val="24"/>
                <w:szCs w:val="24"/>
                <w:highlight w:val="none"/>
                <w14:textFill>
                  <w14:solidFill>
                    <w14:schemeClr w14:val="tx1"/>
                  </w14:solidFill>
                </w14:textFill>
              </w:rPr>
              <w:t>班制，</w:t>
            </w:r>
            <w:r>
              <w:rPr>
                <w:rFonts w:hint="eastAsia" w:ascii="Times New Roman" w:hAnsi="Times New Roman" w:eastAsia="宋体" w:cs="Times New Roman"/>
                <w:color w:val="000000" w:themeColor="text1"/>
                <w:kern w:val="2"/>
                <w:sz w:val="24"/>
                <w:szCs w:val="24"/>
                <w:highlight w:val="none"/>
                <w:lang w:val="en-US" w:eastAsia="zh-CN"/>
                <w14:textFill>
                  <w14:solidFill>
                    <w14:schemeClr w14:val="tx1"/>
                  </w14:solidFill>
                </w14:textFill>
              </w:rPr>
              <w:t>每</w:t>
            </w:r>
            <w:r>
              <w:rPr>
                <w:rFonts w:hint="default" w:ascii="Times New Roman" w:hAnsi="Times New Roman" w:eastAsia="宋体" w:cs="Times New Roman"/>
                <w:color w:val="000000" w:themeColor="text1"/>
                <w:kern w:val="2"/>
                <w:sz w:val="24"/>
                <w:szCs w:val="24"/>
                <w:highlight w:val="none"/>
                <w14:textFill>
                  <w14:solidFill>
                    <w14:schemeClr w14:val="tx1"/>
                  </w14:solidFill>
                </w14:textFill>
              </w:rPr>
              <w:t>班</w:t>
            </w:r>
            <w:r>
              <w:rPr>
                <w:rFonts w:hint="eastAsia" w:cs="Times New Roman"/>
                <w:color w:val="000000" w:themeColor="text1"/>
                <w:kern w:val="2"/>
                <w:sz w:val="24"/>
                <w:szCs w:val="24"/>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kern w:val="2"/>
                <w:sz w:val="24"/>
                <w:szCs w:val="24"/>
                <w:highlight w:val="none"/>
                <w14:textFill>
                  <w14:solidFill>
                    <w14:schemeClr w14:val="tx1"/>
                  </w14:solidFill>
                </w14:textFill>
              </w:rPr>
              <w:t>小时，夜间不生产，年工作</w:t>
            </w:r>
            <w:r>
              <w:rPr>
                <w:rFonts w:hint="eastAsia" w:cs="Times New Roman"/>
                <w:color w:val="000000" w:themeColor="text1"/>
                <w:kern w:val="2"/>
                <w:sz w:val="24"/>
                <w:szCs w:val="24"/>
                <w:highlight w:val="none"/>
                <w:lang w:val="en-US" w:eastAsia="zh-CN"/>
                <w14:textFill>
                  <w14:solidFill>
                    <w14:schemeClr w14:val="tx1"/>
                  </w14:solidFill>
                </w14:textFill>
              </w:rPr>
              <w:t>25</w:t>
            </w:r>
            <w:r>
              <w:rPr>
                <w:rFonts w:hint="default" w:ascii="Times New Roman" w:hAnsi="Times New Roman" w:eastAsia="宋体" w:cs="Times New Roman"/>
                <w:color w:val="000000" w:themeColor="text1"/>
                <w:kern w:val="2"/>
                <w:sz w:val="24"/>
                <w:szCs w:val="24"/>
                <w:highlight w:val="none"/>
                <w14:textFill>
                  <w14:solidFill>
                    <w14:schemeClr w14:val="tx1"/>
                  </w14:solidFill>
                </w14:textFill>
              </w:rPr>
              <w:t>0天</w:t>
            </w:r>
            <w:r>
              <w:rPr>
                <w:rFonts w:hint="eastAsia" w:cs="Times New Roman"/>
                <w:color w:val="000000" w:themeColor="text1"/>
                <w:kern w:val="2"/>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年工作时间总计为</w:t>
            </w:r>
            <w:r>
              <w:rPr>
                <w:rFonts w:hint="eastAsia" w:cs="Times New Roman"/>
                <w:color w:val="000000" w:themeColor="text1"/>
                <w:kern w:val="2"/>
                <w:sz w:val="24"/>
                <w:szCs w:val="24"/>
                <w:highlight w:val="none"/>
                <w:lang w:val="en-US" w:eastAsia="zh-CN" w:bidi="ar-SA"/>
                <w14:textFill>
                  <w14:solidFill>
                    <w14:schemeClr w14:val="tx1"/>
                  </w14:solidFill>
                </w14:textFill>
              </w:rPr>
              <w:t>35</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00小时</w:t>
            </w:r>
            <w:r>
              <w:rPr>
                <w:rFonts w:hint="eastAsia" w:cs="Times New Roman"/>
                <w:color w:val="000000" w:themeColor="text1"/>
                <w:kern w:val="2"/>
                <w:sz w:val="24"/>
                <w:szCs w:val="24"/>
                <w:highlight w:val="none"/>
                <w:lang w:val="en-US" w:eastAsia="zh-CN" w:bidi="ar-SA"/>
                <w14:textFill>
                  <w14:solidFill>
                    <w14:schemeClr w14:val="tx1"/>
                  </w14:solidFill>
                </w14:textFill>
              </w:rPr>
              <w:t>，锅炉运行时间不变</w:t>
            </w:r>
            <w:r>
              <w:rPr>
                <w:rFonts w:hint="default" w:ascii="Times New Roman" w:hAnsi="Times New Roman" w:eastAsia="宋体" w:cs="Times New Roman"/>
                <w:color w:val="000000" w:themeColor="text1"/>
                <w:kern w:val="2"/>
                <w:sz w:val="24"/>
                <w:szCs w:val="24"/>
                <w:highlight w:val="none"/>
                <w14:textFill>
                  <w14:solidFill>
                    <w14:schemeClr w14:val="tx1"/>
                  </w14:solidFill>
                </w14:textFill>
              </w:rPr>
              <w:t>。</w:t>
            </w:r>
          </w:p>
          <w:p w14:paraId="2CF82C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3.9</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物料平衡</w:t>
            </w:r>
          </w:p>
          <w:p w14:paraId="5CC9B6E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w:t>
            </w:r>
            <w:r>
              <w:rPr>
                <w:rFonts w:hint="eastAsia" w:cs="Times New Roman"/>
                <w:color w:val="000000" w:themeColor="text1"/>
                <w:sz w:val="24"/>
                <w:szCs w:val="24"/>
                <w:highlight w:val="none"/>
                <w:lang w:val="en-US" w:eastAsia="zh-CN"/>
                <w14:textFill>
                  <w14:solidFill>
                    <w14:schemeClr w14:val="tx1"/>
                  </w14:solidFill>
                </w14:textFill>
              </w:rPr>
              <w:t>建成后</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物料平衡见</w:t>
            </w:r>
            <w:r>
              <w:rPr>
                <w:rFonts w:hint="eastAsia" w:cs="Times New Roman"/>
                <w:color w:val="000000" w:themeColor="text1"/>
                <w:sz w:val="24"/>
                <w:szCs w:val="24"/>
                <w:highlight w:val="none"/>
                <w:lang w:val="en-US" w:eastAsia="zh-CN"/>
                <w14:textFill>
                  <w14:solidFill>
                    <w14:schemeClr w14:val="tx1"/>
                  </w14:solidFill>
                </w14:textFill>
              </w:rPr>
              <w:t>下</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表。</w:t>
            </w:r>
          </w:p>
          <w:p w14:paraId="17061702">
            <w:pPr>
              <w:keepNext w:val="0"/>
              <w:keepLines w:val="0"/>
              <w:numPr>
                <w:ilvl w:val="0"/>
                <w:numId w:val="5"/>
              </w:numPr>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宋体" w:cs="Times New Roman"/>
                <w:b/>
                <w:bCs/>
                <w:color w:val="000000" w:themeColor="text1"/>
                <w:sz w:val="21"/>
                <w:szCs w:val="21"/>
                <w:highlight w:val="none"/>
                <w:lang w:val="zh-CN"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前处理车间</w:t>
            </w:r>
            <w:r>
              <w:rPr>
                <w:rFonts w:hint="default" w:ascii="Times New Roman" w:hAnsi="Times New Roman" w:eastAsia="宋体" w:cs="Times New Roman"/>
                <w:b/>
                <w:bCs/>
                <w:color w:val="000000" w:themeColor="text1"/>
                <w:sz w:val="21"/>
                <w:szCs w:val="21"/>
                <w:highlight w:val="none"/>
                <w:lang w:val="zh-CN" w:eastAsia="en-US"/>
                <w14:textFill>
                  <w14:solidFill>
                    <w14:schemeClr w14:val="tx1"/>
                  </w14:solidFill>
                </w14:textFill>
              </w:rPr>
              <w:t>物料平衡</w:t>
            </w:r>
            <w:r>
              <w:rPr>
                <w:rFonts w:hint="default" w:ascii="Times New Roman" w:hAnsi="Times New Roman" w:eastAsia="宋体" w:cs="Times New Roman"/>
                <w:b/>
                <w:bCs/>
                <w:color w:val="000000" w:themeColor="text1"/>
                <w:sz w:val="21"/>
                <w:szCs w:val="21"/>
                <w:highlight w:val="none"/>
                <w:lang w:val="zh-CN" w:eastAsia="zh-CN"/>
                <w14:textFill>
                  <w14:solidFill>
                    <w14:schemeClr w14:val="tx1"/>
                  </w14:solidFill>
                </w14:textFill>
              </w:rPr>
              <w:t>表</w:t>
            </w:r>
          </w:p>
          <w:tbl>
            <w:tblPr>
              <w:tblStyle w:val="35"/>
              <w:tblW w:w="4879"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99"/>
              <w:gridCol w:w="1613"/>
              <w:gridCol w:w="1524"/>
              <w:gridCol w:w="2739"/>
              <w:gridCol w:w="1316"/>
            </w:tblGrid>
            <w:tr w14:paraId="1A715B6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499" w:type="pct"/>
                  <w:vMerge w:val="restart"/>
                  <w:tcBorders>
                    <w:tl2br w:val="nil"/>
                    <w:tr2bl w:val="nil"/>
                  </w:tcBorders>
                  <w:shd w:val="clear" w:color="auto" w:fill="auto"/>
                  <w:noWrap/>
                  <w:vAlign w:val="center"/>
                </w:tcPr>
                <w:p w14:paraId="096951A5">
                  <w:pPr>
                    <w:pStyle w:val="28"/>
                    <w:keepNext w:val="0"/>
                    <w:keepLines w:val="0"/>
                    <w:suppressLineNumbers w:val="0"/>
                    <w:bidi w:val="0"/>
                    <w:spacing w:before="0" w:beforeAutospacing="0" w:after="0" w:afterAutospacing="0"/>
                    <w:ind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序号</w:t>
                  </w:r>
                </w:p>
              </w:tc>
              <w:tc>
                <w:tcPr>
                  <w:tcW w:w="1962" w:type="pct"/>
                  <w:gridSpan w:val="2"/>
                  <w:tcBorders>
                    <w:tl2br w:val="nil"/>
                    <w:tr2bl w:val="nil"/>
                  </w:tcBorders>
                  <w:shd w:val="clear" w:color="auto" w:fill="auto"/>
                  <w:vAlign w:val="center"/>
                </w:tcPr>
                <w:p w14:paraId="22463F9A">
                  <w:pPr>
                    <w:pStyle w:val="28"/>
                    <w:keepNext w:val="0"/>
                    <w:keepLines w:val="0"/>
                    <w:suppressLineNumbers w:val="0"/>
                    <w:bidi w:val="0"/>
                    <w:spacing w:before="0" w:beforeAutospacing="0" w:after="0" w:afterAutospacing="0"/>
                    <w:ind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原料</w:t>
                  </w:r>
                </w:p>
              </w:tc>
              <w:tc>
                <w:tcPr>
                  <w:tcW w:w="2537" w:type="pct"/>
                  <w:gridSpan w:val="2"/>
                  <w:tcBorders>
                    <w:tl2br w:val="nil"/>
                    <w:tr2bl w:val="nil"/>
                  </w:tcBorders>
                  <w:shd w:val="clear" w:color="auto" w:fill="auto"/>
                  <w:noWrap/>
                  <w:vAlign w:val="center"/>
                </w:tcPr>
                <w:p w14:paraId="3FC42EA9">
                  <w:pPr>
                    <w:pStyle w:val="28"/>
                    <w:keepNext w:val="0"/>
                    <w:keepLines w:val="0"/>
                    <w:suppressLineNumbers w:val="0"/>
                    <w:bidi w:val="0"/>
                    <w:spacing w:before="0" w:beforeAutospacing="0" w:after="0" w:afterAutospacing="0"/>
                    <w:ind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成品</w:t>
                  </w:r>
                </w:p>
              </w:tc>
            </w:tr>
            <w:tr w14:paraId="6F1CCE5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499" w:type="pct"/>
                  <w:vMerge w:val="continue"/>
                  <w:tcBorders>
                    <w:tl2br w:val="nil"/>
                    <w:tr2bl w:val="nil"/>
                  </w:tcBorders>
                  <w:shd w:val="clear" w:color="auto" w:fill="auto"/>
                  <w:noWrap/>
                  <w:vAlign w:val="center"/>
                </w:tcPr>
                <w:p w14:paraId="5711C455">
                  <w:pPr>
                    <w:pStyle w:val="28"/>
                    <w:keepNext w:val="0"/>
                    <w:keepLines w:val="0"/>
                    <w:suppressLineNumbers w:val="0"/>
                    <w:bidi w:val="0"/>
                    <w:spacing w:before="0" w:beforeAutospacing="0" w:after="0" w:afterAutospacing="0"/>
                    <w:ind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1009" w:type="pct"/>
                  <w:tcBorders>
                    <w:tl2br w:val="nil"/>
                    <w:tr2bl w:val="nil"/>
                  </w:tcBorders>
                  <w:shd w:val="clear" w:color="auto" w:fill="auto"/>
                  <w:vAlign w:val="center"/>
                </w:tcPr>
                <w:p w14:paraId="27BA41C7">
                  <w:pPr>
                    <w:pStyle w:val="28"/>
                    <w:keepNext w:val="0"/>
                    <w:keepLines w:val="0"/>
                    <w:suppressLineNumbers w:val="0"/>
                    <w:bidi w:val="0"/>
                    <w:spacing w:before="0" w:beforeAutospacing="0" w:after="0" w:afterAutospacing="0"/>
                    <w:ind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原料名称</w:t>
                  </w:r>
                </w:p>
              </w:tc>
              <w:tc>
                <w:tcPr>
                  <w:tcW w:w="953" w:type="pct"/>
                  <w:tcBorders>
                    <w:tl2br w:val="nil"/>
                    <w:tr2bl w:val="nil"/>
                  </w:tcBorders>
                  <w:shd w:val="clear" w:color="auto" w:fill="auto"/>
                  <w:noWrap/>
                  <w:vAlign w:val="center"/>
                </w:tcPr>
                <w:p w14:paraId="7A8DD70B">
                  <w:pPr>
                    <w:pStyle w:val="28"/>
                    <w:keepNext w:val="0"/>
                    <w:keepLines w:val="0"/>
                    <w:suppressLineNumbers w:val="0"/>
                    <w:bidi w:val="0"/>
                    <w:spacing w:before="0" w:beforeAutospacing="0" w:after="0" w:afterAutospacing="0"/>
                    <w:ind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数量（t</w:t>
                  </w: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/a</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w:t>
                  </w:r>
                </w:p>
              </w:tc>
              <w:tc>
                <w:tcPr>
                  <w:tcW w:w="1713" w:type="pct"/>
                  <w:tcBorders>
                    <w:tl2br w:val="nil"/>
                    <w:tr2bl w:val="nil"/>
                  </w:tcBorders>
                  <w:shd w:val="clear" w:color="auto" w:fill="auto"/>
                  <w:noWrap/>
                  <w:vAlign w:val="center"/>
                </w:tcPr>
                <w:p w14:paraId="3CECB6E5">
                  <w:pPr>
                    <w:pStyle w:val="28"/>
                    <w:keepNext w:val="0"/>
                    <w:keepLines w:val="0"/>
                    <w:suppressLineNumbers w:val="0"/>
                    <w:bidi w:val="0"/>
                    <w:spacing w:before="0" w:beforeAutospacing="0" w:after="0" w:afterAutospacing="0"/>
                    <w:ind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产品名称</w:t>
                  </w:r>
                </w:p>
              </w:tc>
              <w:tc>
                <w:tcPr>
                  <w:tcW w:w="823" w:type="pct"/>
                  <w:tcBorders>
                    <w:tl2br w:val="nil"/>
                    <w:tr2bl w:val="nil"/>
                  </w:tcBorders>
                  <w:shd w:val="clear" w:color="auto" w:fill="auto"/>
                  <w:vAlign w:val="center"/>
                </w:tcPr>
                <w:p w14:paraId="7EC17D10">
                  <w:pPr>
                    <w:pStyle w:val="28"/>
                    <w:keepNext w:val="0"/>
                    <w:keepLines w:val="0"/>
                    <w:suppressLineNumbers w:val="0"/>
                    <w:bidi w:val="0"/>
                    <w:spacing w:before="0" w:beforeAutospacing="0" w:after="0" w:afterAutospacing="0"/>
                    <w:ind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数量（t</w:t>
                  </w: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/a</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w:t>
                  </w:r>
                </w:p>
              </w:tc>
            </w:tr>
            <w:tr w14:paraId="5C40223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9" w:type="pct"/>
                  <w:tcBorders>
                    <w:tl2br w:val="nil"/>
                    <w:tr2bl w:val="nil"/>
                  </w:tcBorders>
                  <w:shd w:val="clear" w:color="auto" w:fill="auto"/>
                  <w:noWrap/>
                  <w:vAlign w:val="center"/>
                </w:tcPr>
                <w:p w14:paraId="1A29D6F6">
                  <w:pPr>
                    <w:pStyle w:val="63"/>
                    <w:keepNext w:val="0"/>
                    <w:keepLines w:val="0"/>
                    <w:pageBreakBefore w:val="0"/>
                    <w:widowControl w:val="0"/>
                    <w:numPr>
                      <w:ilvl w:val="0"/>
                      <w:numId w:val="13"/>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09" w:type="pct"/>
                  <w:tcBorders>
                    <w:tl2br w:val="nil"/>
                    <w:tr2bl w:val="nil"/>
                  </w:tcBorders>
                  <w:shd w:val="clear" w:color="auto" w:fill="auto"/>
                  <w:vAlign w:val="center"/>
                </w:tcPr>
                <w:p w14:paraId="2DC0F99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南</w:t>
                  </w: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沙参</w:t>
                  </w:r>
                </w:p>
              </w:tc>
              <w:tc>
                <w:tcPr>
                  <w:tcW w:w="953" w:type="pct"/>
                  <w:tcBorders>
                    <w:tl2br w:val="nil"/>
                    <w:tr2bl w:val="nil"/>
                  </w:tcBorders>
                  <w:shd w:val="clear" w:color="auto" w:fill="auto"/>
                  <w:noWrap/>
                  <w:vAlign w:val="center"/>
                </w:tcPr>
                <w:p w14:paraId="67C59025">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6</w:t>
                  </w:r>
                </w:p>
              </w:tc>
              <w:tc>
                <w:tcPr>
                  <w:tcW w:w="1713" w:type="pct"/>
                  <w:tcBorders>
                    <w:tl2br w:val="nil"/>
                    <w:tr2bl w:val="nil"/>
                  </w:tcBorders>
                  <w:shd w:val="clear" w:color="auto" w:fill="auto"/>
                  <w:noWrap/>
                  <w:vAlign w:val="center"/>
                </w:tcPr>
                <w:p w14:paraId="477B25D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eastAsia" w:cs="Times New Roman"/>
                      <w:color w:val="000000" w:themeColor="text1"/>
                      <w:sz w:val="21"/>
                      <w:szCs w:val="21"/>
                      <w:highlight w:val="none"/>
                      <w:lang w:val="en-US" w:eastAsia="zh-CN" w:bidi="en-US"/>
                      <w14:textFill>
                        <w14:solidFill>
                          <w14:schemeClr w14:val="tx1"/>
                        </w14:solidFill>
                      </w14:textFill>
                    </w:rPr>
                    <w:t>经典名方1</w:t>
                  </w:r>
                </w:p>
              </w:tc>
              <w:tc>
                <w:tcPr>
                  <w:tcW w:w="823" w:type="pct"/>
                  <w:tcBorders>
                    <w:tl2br w:val="nil"/>
                    <w:tr2bl w:val="nil"/>
                  </w:tcBorders>
                  <w:shd w:val="clear" w:color="auto" w:fill="auto"/>
                  <w:noWrap/>
                  <w:vAlign w:val="center"/>
                </w:tcPr>
                <w:p w14:paraId="644A878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28.5</w:t>
                  </w:r>
                </w:p>
              </w:tc>
            </w:tr>
            <w:tr w14:paraId="760288C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9" w:type="pct"/>
                  <w:tcBorders>
                    <w:tl2br w:val="nil"/>
                    <w:tr2bl w:val="nil"/>
                  </w:tcBorders>
                  <w:shd w:val="clear" w:color="auto" w:fill="auto"/>
                  <w:noWrap/>
                  <w:vAlign w:val="center"/>
                </w:tcPr>
                <w:p w14:paraId="1C2CF392">
                  <w:pPr>
                    <w:pStyle w:val="63"/>
                    <w:keepNext w:val="0"/>
                    <w:keepLines w:val="0"/>
                    <w:pageBreakBefore w:val="0"/>
                    <w:widowControl w:val="0"/>
                    <w:numPr>
                      <w:ilvl w:val="0"/>
                      <w:numId w:val="13"/>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09" w:type="pct"/>
                  <w:tcBorders>
                    <w:tl2br w:val="nil"/>
                    <w:tr2bl w:val="nil"/>
                  </w:tcBorders>
                  <w:shd w:val="clear" w:color="auto" w:fill="auto"/>
                  <w:vAlign w:val="center"/>
                </w:tcPr>
                <w:p w14:paraId="394094C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麦冬</w:t>
                  </w:r>
                </w:p>
              </w:tc>
              <w:tc>
                <w:tcPr>
                  <w:tcW w:w="953" w:type="pct"/>
                  <w:tcBorders>
                    <w:tl2br w:val="nil"/>
                    <w:tr2bl w:val="nil"/>
                  </w:tcBorders>
                  <w:shd w:val="clear" w:color="auto" w:fill="auto"/>
                  <w:vAlign w:val="center"/>
                </w:tcPr>
                <w:p w14:paraId="74374A5E">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8.5</w:t>
                  </w:r>
                </w:p>
              </w:tc>
              <w:tc>
                <w:tcPr>
                  <w:tcW w:w="1713" w:type="pct"/>
                  <w:tcBorders>
                    <w:tl2br w:val="nil"/>
                    <w:tr2bl w:val="nil"/>
                  </w:tcBorders>
                  <w:shd w:val="clear" w:color="auto" w:fill="auto"/>
                  <w:noWrap/>
                  <w:vAlign w:val="center"/>
                </w:tcPr>
                <w:p w14:paraId="1AEE73A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bidi="en-US"/>
                      <w14:textFill>
                        <w14:solidFill>
                          <w14:schemeClr w14:val="tx1"/>
                        </w14:solidFill>
                      </w14:textFill>
                    </w:rPr>
                    <w:t>经典名方2</w:t>
                  </w:r>
                </w:p>
              </w:tc>
              <w:tc>
                <w:tcPr>
                  <w:tcW w:w="823" w:type="pct"/>
                  <w:tcBorders>
                    <w:tl2br w:val="nil"/>
                    <w:tr2bl w:val="nil"/>
                  </w:tcBorders>
                  <w:shd w:val="clear" w:color="auto" w:fill="auto"/>
                  <w:noWrap/>
                  <w:vAlign w:val="top"/>
                </w:tcPr>
                <w:p w14:paraId="0942FCF4">
                  <w:pPr>
                    <w:keepNext w:val="0"/>
                    <w:keepLines w:val="0"/>
                    <w:suppressLineNumbers w:val="0"/>
                    <w:autoSpaceDE w:val="0"/>
                    <w:autoSpaceDN w:val="0"/>
                    <w:adjustRightInd w:val="0"/>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28.5</w:t>
                  </w:r>
                </w:p>
              </w:tc>
            </w:tr>
            <w:tr w14:paraId="72918B3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9" w:type="pct"/>
                  <w:tcBorders>
                    <w:tl2br w:val="nil"/>
                    <w:tr2bl w:val="nil"/>
                  </w:tcBorders>
                  <w:shd w:val="clear" w:color="auto" w:fill="auto"/>
                  <w:noWrap/>
                  <w:vAlign w:val="center"/>
                </w:tcPr>
                <w:p w14:paraId="05ABF680">
                  <w:pPr>
                    <w:pStyle w:val="63"/>
                    <w:keepNext w:val="0"/>
                    <w:keepLines w:val="0"/>
                    <w:pageBreakBefore w:val="0"/>
                    <w:widowControl w:val="0"/>
                    <w:numPr>
                      <w:ilvl w:val="0"/>
                      <w:numId w:val="13"/>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09" w:type="pct"/>
                  <w:tcBorders>
                    <w:tl2br w:val="nil"/>
                    <w:tr2bl w:val="nil"/>
                  </w:tcBorders>
                  <w:shd w:val="clear" w:color="auto" w:fill="auto"/>
                  <w:vAlign w:val="center"/>
                </w:tcPr>
                <w:p w14:paraId="4DB0A6D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甘草</w:t>
                  </w:r>
                </w:p>
              </w:tc>
              <w:tc>
                <w:tcPr>
                  <w:tcW w:w="953" w:type="pct"/>
                  <w:tcBorders>
                    <w:tl2br w:val="nil"/>
                    <w:tr2bl w:val="nil"/>
                  </w:tcBorders>
                  <w:shd w:val="clear" w:color="auto" w:fill="auto"/>
                  <w:vAlign w:val="center"/>
                </w:tcPr>
                <w:p w14:paraId="4ED7392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9.</w:t>
                  </w:r>
                  <w:r>
                    <w:rPr>
                      <w:rFonts w:hint="eastAsia" w:cs="Times New Roman"/>
                      <w:b w:val="0"/>
                      <w:bCs w:val="0"/>
                      <w:color w:val="000000" w:themeColor="text1"/>
                      <w:sz w:val="21"/>
                      <w:szCs w:val="21"/>
                      <w:highlight w:val="none"/>
                      <w:lang w:val="en-US" w:eastAsia="zh-CN"/>
                      <w14:textFill>
                        <w14:solidFill>
                          <w14:schemeClr w14:val="tx1"/>
                        </w14:solidFill>
                      </w14:textFill>
                    </w:rPr>
                    <w:t>5</w:t>
                  </w:r>
                </w:p>
              </w:tc>
              <w:tc>
                <w:tcPr>
                  <w:tcW w:w="1713" w:type="pct"/>
                  <w:tcBorders>
                    <w:tl2br w:val="nil"/>
                    <w:tr2bl w:val="nil"/>
                  </w:tcBorders>
                  <w:shd w:val="clear" w:color="auto" w:fill="auto"/>
                  <w:noWrap/>
                  <w:vAlign w:val="center"/>
                </w:tcPr>
                <w:p w14:paraId="1D95618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bidi="en-US"/>
                      <w14:textFill>
                        <w14:solidFill>
                          <w14:schemeClr w14:val="tx1"/>
                        </w14:solidFill>
                      </w14:textFill>
                    </w:rPr>
                    <w:t>经典名方3</w:t>
                  </w:r>
                </w:p>
              </w:tc>
              <w:tc>
                <w:tcPr>
                  <w:tcW w:w="823" w:type="pct"/>
                  <w:tcBorders>
                    <w:tl2br w:val="nil"/>
                    <w:tr2bl w:val="nil"/>
                  </w:tcBorders>
                  <w:shd w:val="clear" w:color="auto" w:fill="auto"/>
                  <w:noWrap/>
                  <w:vAlign w:val="top"/>
                </w:tcPr>
                <w:p w14:paraId="6A57B0FB">
                  <w:pPr>
                    <w:keepNext w:val="0"/>
                    <w:keepLines w:val="0"/>
                    <w:suppressLineNumbers w:val="0"/>
                    <w:autoSpaceDE w:val="0"/>
                    <w:autoSpaceDN w:val="0"/>
                    <w:adjustRightIn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28.5</w:t>
                  </w:r>
                </w:p>
              </w:tc>
            </w:tr>
            <w:tr w14:paraId="23B63D9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9" w:type="pct"/>
                  <w:tcBorders>
                    <w:tl2br w:val="nil"/>
                    <w:tr2bl w:val="nil"/>
                  </w:tcBorders>
                  <w:shd w:val="clear" w:color="auto" w:fill="auto"/>
                  <w:noWrap/>
                  <w:vAlign w:val="center"/>
                </w:tcPr>
                <w:p w14:paraId="66881713">
                  <w:pPr>
                    <w:pStyle w:val="63"/>
                    <w:keepNext w:val="0"/>
                    <w:keepLines w:val="0"/>
                    <w:pageBreakBefore w:val="0"/>
                    <w:widowControl w:val="0"/>
                    <w:numPr>
                      <w:ilvl w:val="0"/>
                      <w:numId w:val="13"/>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09" w:type="pct"/>
                  <w:tcBorders>
                    <w:tl2br w:val="nil"/>
                    <w:tr2bl w:val="nil"/>
                  </w:tcBorders>
                  <w:shd w:val="clear" w:color="auto" w:fill="auto"/>
                  <w:vAlign w:val="center"/>
                </w:tcPr>
                <w:p w14:paraId="5F4AE02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石膏</w:t>
                  </w:r>
                </w:p>
              </w:tc>
              <w:tc>
                <w:tcPr>
                  <w:tcW w:w="953" w:type="pct"/>
                  <w:tcBorders>
                    <w:tl2br w:val="nil"/>
                    <w:tr2bl w:val="nil"/>
                  </w:tcBorders>
                  <w:shd w:val="clear" w:color="auto" w:fill="auto"/>
                  <w:vAlign w:val="center"/>
                </w:tcPr>
                <w:p w14:paraId="0C78EB6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10</w:t>
                  </w:r>
                </w:p>
              </w:tc>
              <w:tc>
                <w:tcPr>
                  <w:tcW w:w="1713" w:type="pct"/>
                  <w:tcBorders>
                    <w:tl2br w:val="nil"/>
                    <w:tr2bl w:val="nil"/>
                  </w:tcBorders>
                  <w:shd w:val="clear" w:color="auto" w:fill="auto"/>
                  <w:noWrap/>
                  <w:vAlign w:val="center"/>
                </w:tcPr>
                <w:p w14:paraId="048217A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bidi="en-US"/>
                      <w14:textFill>
                        <w14:solidFill>
                          <w14:schemeClr w14:val="tx1"/>
                        </w14:solidFill>
                      </w14:textFill>
                    </w:rPr>
                    <w:t>经典名方4</w:t>
                  </w:r>
                </w:p>
              </w:tc>
              <w:tc>
                <w:tcPr>
                  <w:tcW w:w="823" w:type="pct"/>
                  <w:tcBorders>
                    <w:tl2br w:val="nil"/>
                    <w:tr2bl w:val="nil"/>
                  </w:tcBorders>
                  <w:shd w:val="clear" w:color="auto" w:fill="auto"/>
                  <w:noWrap/>
                  <w:vAlign w:val="top"/>
                </w:tcPr>
                <w:p w14:paraId="793A8BF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28.5</w:t>
                  </w:r>
                </w:p>
              </w:tc>
            </w:tr>
            <w:tr w14:paraId="4400A07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9" w:type="pct"/>
                  <w:tcBorders>
                    <w:tl2br w:val="nil"/>
                    <w:tr2bl w:val="nil"/>
                  </w:tcBorders>
                  <w:shd w:val="clear" w:color="auto" w:fill="auto"/>
                  <w:noWrap/>
                  <w:vAlign w:val="center"/>
                </w:tcPr>
                <w:p w14:paraId="1B7588D6">
                  <w:pPr>
                    <w:pStyle w:val="63"/>
                    <w:keepNext w:val="0"/>
                    <w:keepLines w:val="0"/>
                    <w:pageBreakBefore w:val="0"/>
                    <w:widowControl w:val="0"/>
                    <w:numPr>
                      <w:ilvl w:val="0"/>
                      <w:numId w:val="13"/>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09" w:type="pct"/>
                  <w:tcBorders>
                    <w:tl2br w:val="nil"/>
                    <w:tr2bl w:val="nil"/>
                  </w:tcBorders>
                  <w:shd w:val="clear" w:color="auto" w:fill="auto"/>
                  <w:vAlign w:val="center"/>
                </w:tcPr>
                <w:p w14:paraId="4E516FB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熟地黄</w:t>
                  </w:r>
                </w:p>
              </w:tc>
              <w:tc>
                <w:tcPr>
                  <w:tcW w:w="953" w:type="pct"/>
                  <w:tcBorders>
                    <w:tl2br w:val="nil"/>
                    <w:tr2bl w:val="nil"/>
                  </w:tcBorders>
                  <w:shd w:val="clear" w:color="auto" w:fill="auto"/>
                  <w:vAlign w:val="center"/>
                </w:tcPr>
                <w:p w14:paraId="0022705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9</w:t>
                  </w:r>
                </w:p>
              </w:tc>
              <w:tc>
                <w:tcPr>
                  <w:tcW w:w="1713" w:type="pct"/>
                  <w:tcBorders>
                    <w:tl2br w:val="nil"/>
                    <w:tr2bl w:val="nil"/>
                  </w:tcBorders>
                  <w:shd w:val="clear" w:color="auto" w:fill="auto"/>
                  <w:noWrap/>
                  <w:vAlign w:val="center"/>
                </w:tcPr>
                <w:p w14:paraId="6966ECB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14:textFill>
                        <w14:solidFill>
                          <w14:schemeClr w14:val="tx1"/>
                        </w14:solidFill>
                      </w14:textFill>
                    </w:rPr>
                    <w:t>其他</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中药材</w:t>
                  </w:r>
                  <w:r>
                    <w:rPr>
                      <w:rFonts w:hint="eastAsia" w:ascii="Times New Roman" w:hAnsi="Times New Roman" w:eastAsia="宋体" w:cs="Times New Roman"/>
                      <w:b w:val="0"/>
                      <w:bCs w:val="0"/>
                      <w:color w:val="000000" w:themeColor="text1"/>
                      <w:sz w:val="21"/>
                      <w:szCs w:val="21"/>
                      <w:highlight w:val="none"/>
                      <w14:textFill>
                        <w14:solidFill>
                          <w14:schemeClr w14:val="tx1"/>
                        </w14:solidFill>
                      </w14:textFill>
                    </w:rPr>
                    <w:t>炮制</w:t>
                  </w:r>
                </w:p>
              </w:tc>
              <w:tc>
                <w:tcPr>
                  <w:tcW w:w="823" w:type="pct"/>
                  <w:tcBorders>
                    <w:tl2br w:val="nil"/>
                    <w:tr2bl w:val="nil"/>
                  </w:tcBorders>
                  <w:shd w:val="clear" w:color="auto" w:fill="auto"/>
                  <w:noWrap/>
                  <w:vAlign w:val="top"/>
                </w:tcPr>
                <w:p w14:paraId="03FC6A6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28.5</w:t>
                  </w:r>
                </w:p>
              </w:tc>
            </w:tr>
            <w:tr w14:paraId="032EE03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9" w:type="pct"/>
                  <w:tcBorders>
                    <w:tl2br w:val="nil"/>
                    <w:tr2bl w:val="nil"/>
                  </w:tcBorders>
                  <w:shd w:val="clear" w:color="auto" w:fill="auto"/>
                  <w:noWrap/>
                  <w:vAlign w:val="center"/>
                </w:tcPr>
                <w:p w14:paraId="3FCFA294">
                  <w:pPr>
                    <w:pStyle w:val="63"/>
                    <w:keepNext w:val="0"/>
                    <w:keepLines w:val="0"/>
                    <w:pageBreakBefore w:val="0"/>
                    <w:widowControl w:val="0"/>
                    <w:numPr>
                      <w:ilvl w:val="0"/>
                      <w:numId w:val="13"/>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09" w:type="pct"/>
                  <w:tcBorders>
                    <w:tl2br w:val="nil"/>
                    <w:tr2bl w:val="nil"/>
                  </w:tcBorders>
                  <w:shd w:val="clear" w:color="auto" w:fill="auto"/>
                  <w:vAlign w:val="center"/>
                </w:tcPr>
                <w:p w14:paraId="4BA0AEE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知母</w:t>
                  </w:r>
                </w:p>
              </w:tc>
              <w:tc>
                <w:tcPr>
                  <w:tcW w:w="953" w:type="pct"/>
                  <w:tcBorders>
                    <w:tl2br w:val="nil"/>
                    <w:tr2bl w:val="nil"/>
                  </w:tcBorders>
                  <w:shd w:val="clear" w:color="auto" w:fill="auto"/>
                  <w:vAlign w:val="center"/>
                </w:tcPr>
                <w:p w14:paraId="09C4878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12</w:t>
                  </w:r>
                </w:p>
              </w:tc>
              <w:tc>
                <w:tcPr>
                  <w:tcW w:w="1713" w:type="pct"/>
                  <w:tcBorders>
                    <w:tl2br w:val="nil"/>
                    <w:tr2bl w:val="nil"/>
                  </w:tcBorders>
                  <w:shd w:val="clear" w:color="auto" w:fill="auto"/>
                  <w:noWrap/>
                  <w:vAlign w:val="center"/>
                </w:tcPr>
                <w:p w14:paraId="40F97BB0">
                  <w:pPr>
                    <w:pStyle w:val="28"/>
                    <w:keepNext w:val="0"/>
                    <w:keepLines w:val="0"/>
                    <w:suppressLineNumbers w:val="0"/>
                    <w:bidi w:val="0"/>
                    <w:spacing w:before="0" w:beforeAutospacing="0" w:after="0" w:afterAutospacing="0"/>
                    <w:ind w:left="420" w:leftChars="0" w:right="0" w:rightChars="0" w:hanging="420" w:hangingChars="20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有组织废气</w:t>
                  </w:r>
                </w:p>
              </w:tc>
              <w:tc>
                <w:tcPr>
                  <w:tcW w:w="823" w:type="pct"/>
                  <w:tcBorders>
                    <w:tl2br w:val="nil"/>
                    <w:tr2bl w:val="nil"/>
                  </w:tcBorders>
                  <w:shd w:val="clear" w:color="auto" w:fill="auto"/>
                  <w:noWrap/>
                  <w:vAlign w:val="center"/>
                </w:tcPr>
                <w:p w14:paraId="4BC44C11">
                  <w:pPr>
                    <w:pStyle w:val="28"/>
                    <w:keepNext w:val="0"/>
                    <w:keepLines w:val="0"/>
                    <w:suppressLineNumbers w:val="0"/>
                    <w:bidi w:val="0"/>
                    <w:spacing w:before="0" w:beforeAutospacing="0" w:after="0" w:afterAutospacing="0"/>
                    <w:ind w:right="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0.0034</w:t>
                  </w:r>
                </w:p>
              </w:tc>
            </w:tr>
            <w:tr w14:paraId="5075C4C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9" w:type="pct"/>
                  <w:tcBorders>
                    <w:tl2br w:val="nil"/>
                    <w:tr2bl w:val="nil"/>
                  </w:tcBorders>
                  <w:shd w:val="clear" w:color="auto" w:fill="auto"/>
                  <w:noWrap/>
                  <w:vAlign w:val="center"/>
                </w:tcPr>
                <w:p w14:paraId="162D8655">
                  <w:pPr>
                    <w:pStyle w:val="63"/>
                    <w:keepNext w:val="0"/>
                    <w:keepLines w:val="0"/>
                    <w:pageBreakBefore w:val="0"/>
                    <w:widowControl w:val="0"/>
                    <w:numPr>
                      <w:ilvl w:val="0"/>
                      <w:numId w:val="13"/>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09" w:type="pct"/>
                  <w:tcBorders>
                    <w:tl2br w:val="nil"/>
                    <w:tr2bl w:val="nil"/>
                  </w:tcBorders>
                  <w:shd w:val="clear" w:color="auto" w:fill="auto"/>
                  <w:vAlign w:val="center"/>
                </w:tcPr>
                <w:p w14:paraId="421F0C9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牛膝</w:t>
                  </w:r>
                </w:p>
              </w:tc>
              <w:tc>
                <w:tcPr>
                  <w:tcW w:w="953" w:type="pct"/>
                  <w:tcBorders>
                    <w:tl2br w:val="nil"/>
                    <w:tr2bl w:val="nil"/>
                  </w:tcBorders>
                  <w:shd w:val="clear" w:color="auto" w:fill="auto"/>
                  <w:vAlign w:val="center"/>
                </w:tcPr>
                <w:p w14:paraId="5635A64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3</w:t>
                  </w:r>
                </w:p>
              </w:tc>
              <w:tc>
                <w:tcPr>
                  <w:tcW w:w="1713" w:type="pct"/>
                  <w:tcBorders>
                    <w:tl2br w:val="nil"/>
                    <w:tr2bl w:val="nil"/>
                  </w:tcBorders>
                  <w:shd w:val="clear" w:color="auto" w:fill="auto"/>
                  <w:noWrap/>
                  <w:vAlign w:val="center"/>
                </w:tcPr>
                <w:p w14:paraId="5C9F8939">
                  <w:pPr>
                    <w:pStyle w:val="28"/>
                    <w:keepNext w:val="0"/>
                    <w:keepLines w:val="0"/>
                    <w:suppressLineNumbers w:val="0"/>
                    <w:bidi w:val="0"/>
                    <w:spacing w:before="0" w:beforeAutospacing="0" w:after="0" w:afterAutospacing="0"/>
                    <w:ind w:left="420" w:leftChars="0" w:right="0" w:rightChars="0" w:hanging="420" w:hangingChars="20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无组织废气</w:t>
                  </w:r>
                </w:p>
              </w:tc>
              <w:tc>
                <w:tcPr>
                  <w:tcW w:w="823" w:type="pct"/>
                  <w:tcBorders>
                    <w:tl2br w:val="nil"/>
                    <w:tr2bl w:val="nil"/>
                  </w:tcBorders>
                  <w:shd w:val="clear" w:color="auto" w:fill="auto"/>
                  <w:noWrap/>
                  <w:vAlign w:val="center"/>
                </w:tcPr>
                <w:p w14:paraId="2C1A9BB7">
                  <w:pPr>
                    <w:pStyle w:val="28"/>
                    <w:keepNext w:val="0"/>
                    <w:keepLines w:val="0"/>
                    <w:suppressLineNumbers w:val="0"/>
                    <w:bidi w:val="0"/>
                    <w:spacing w:before="0" w:beforeAutospacing="0" w:after="0" w:afterAutospacing="0"/>
                    <w:ind w:right="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0.0837</w:t>
                  </w:r>
                </w:p>
              </w:tc>
            </w:tr>
            <w:tr w14:paraId="484C93E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9" w:type="pct"/>
                  <w:tcBorders>
                    <w:tl2br w:val="nil"/>
                    <w:tr2bl w:val="nil"/>
                  </w:tcBorders>
                  <w:shd w:val="clear" w:color="auto" w:fill="auto"/>
                  <w:noWrap/>
                  <w:vAlign w:val="center"/>
                </w:tcPr>
                <w:p w14:paraId="5734BAFE">
                  <w:pPr>
                    <w:pStyle w:val="63"/>
                    <w:keepNext w:val="0"/>
                    <w:keepLines w:val="0"/>
                    <w:pageBreakBefore w:val="0"/>
                    <w:widowControl w:val="0"/>
                    <w:numPr>
                      <w:ilvl w:val="0"/>
                      <w:numId w:val="13"/>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09" w:type="pct"/>
                  <w:tcBorders>
                    <w:tl2br w:val="nil"/>
                    <w:tr2bl w:val="nil"/>
                  </w:tcBorders>
                  <w:shd w:val="clear" w:color="auto" w:fill="auto"/>
                  <w:vAlign w:val="center"/>
                </w:tcPr>
                <w:p w14:paraId="7555875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黄芪</w:t>
                  </w:r>
                </w:p>
              </w:tc>
              <w:tc>
                <w:tcPr>
                  <w:tcW w:w="953" w:type="pct"/>
                  <w:tcBorders>
                    <w:tl2br w:val="nil"/>
                    <w:tr2bl w:val="nil"/>
                  </w:tcBorders>
                  <w:shd w:val="clear" w:color="auto" w:fill="auto"/>
                  <w:vAlign w:val="center"/>
                </w:tcPr>
                <w:p w14:paraId="1EF72D0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13.5</w:t>
                  </w:r>
                </w:p>
              </w:tc>
              <w:tc>
                <w:tcPr>
                  <w:tcW w:w="1713" w:type="pct"/>
                  <w:tcBorders>
                    <w:tl2br w:val="nil"/>
                    <w:tr2bl w:val="nil"/>
                  </w:tcBorders>
                  <w:shd w:val="clear" w:color="auto" w:fill="auto"/>
                  <w:noWrap/>
                  <w:vAlign w:val="center"/>
                </w:tcPr>
                <w:p w14:paraId="02F337F1">
                  <w:pPr>
                    <w:pStyle w:val="28"/>
                    <w:keepNext w:val="0"/>
                    <w:keepLines w:val="0"/>
                    <w:suppressLineNumbers w:val="0"/>
                    <w:bidi w:val="0"/>
                    <w:spacing w:before="0" w:beforeAutospacing="0" w:after="0" w:afterAutospacing="0"/>
                    <w:ind w:left="420" w:leftChars="0" w:right="0" w:rightChars="0" w:hanging="420" w:hangingChars="20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分拣废渣</w:t>
                  </w:r>
                </w:p>
              </w:tc>
              <w:tc>
                <w:tcPr>
                  <w:tcW w:w="823" w:type="pct"/>
                  <w:tcBorders>
                    <w:tl2br w:val="nil"/>
                    <w:tr2bl w:val="nil"/>
                  </w:tcBorders>
                  <w:shd w:val="clear" w:color="auto" w:fill="auto"/>
                  <w:noWrap/>
                  <w:vAlign w:val="center"/>
                </w:tcPr>
                <w:p w14:paraId="7D992681">
                  <w:pPr>
                    <w:pStyle w:val="28"/>
                    <w:keepNext w:val="0"/>
                    <w:keepLines w:val="0"/>
                    <w:suppressLineNumbers w:val="0"/>
                    <w:bidi w:val="0"/>
                    <w:spacing w:before="0" w:beforeAutospacing="0" w:after="0" w:afterAutospacing="0"/>
                    <w:ind w:right="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8.5821</w:t>
                  </w:r>
                </w:p>
              </w:tc>
            </w:tr>
            <w:tr w14:paraId="7631183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9" w:type="pct"/>
                  <w:tcBorders>
                    <w:tl2br w:val="nil"/>
                    <w:tr2bl w:val="nil"/>
                  </w:tcBorders>
                  <w:shd w:val="clear" w:color="auto" w:fill="auto"/>
                  <w:noWrap/>
                  <w:vAlign w:val="center"/>
                </w:tcPr>
                <w:p w14:paraId="4AFD7A41">
                  <w:pPr>
                    <w:pStyle w:val="63"/>
                    <w:keepNext w:val="0"/>
                    <w:keepLines w:val="0"/>
                    <w:pageBreakBefore w:val="0"/>
                    <w:widowControl w:val="0"/>
                    <w:numPr>
                      <w:ilvl w:val="0"/>
                      <w:numId w:val="13"/>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09" w:type="pct"/>
                  <w:tcBorders>
                    <w:tl2br w:val="nil"/>
                    <w:tr2bl w:val="nil"/>
                  </w:tcBorders>
                  <w:shd w:val="clear" w:color="auto" w:fill="auto"/>
                  <w:vAlign w:val="center"/>
                </w:tcPr>
                <w:p w14:paraId="58756B4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t>柴胡</w:t>
                  </w:r>
                </w:p>
              </w:tc>
              <w:tc>
                <w:tcPr>
                  <w:tcW w:w="953" w:type="pct"/>
                  <w:tcBorders>
                    <w:tl2br w:val="nil"/>
                    <w:tr2bl w:val="nil"/>
                  </w:tcBorders>
                  <w:shd w:val="clear" w:color="auto" w:fill="auto"/>
                  <w:vAlign w:val="center"/>
                </w:tcPr>
                <w:p w14:paraId="2B3CB7E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3</w:t>
                  </w:r>
                </w:p>
              </w:tc>
              <w:tc>
                <w:tcPr>
                  <w:tcW w:w="1713" w:type="pct"/>
                  <w:tcBorders>
                    <w:tl2br w:val="nil"/>
                    <w:tr2bl w:val="nil"/>
                  </w:tcBorders>
                  <w:shd w:val="clear" w:color="auto" w:fill="auto"/>
                  <w:noWrap/>
                  <w:vAlign w:val="center"/>
                </w:tcPr>
                <w:p w14:paraId="11C66D43">
                  <w:pPr>
                    <w:pStyle w:val="28"/>
                    <w:keepNext w:val="0"/>
                    <w:keepLines w:val="0"/>
                    <w:suppressLineNumbers w:val="0"/>
                    <w:bidi w:val="0"/>
                    <w:spacing w:before="0" w:beforeAutospacing="0" w:after="0" w:afterAutospacing="0"/>
                    <w:ind w:left="420" w:leftChars="0" w:right="0" w:rightChars="0" w:hanging="420" w:hangingChars="20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废渣</w:t>
                  </w:r>
                </w:p>
              </w:tc>
              <w:tc>
                <w:tcPr>
                  <w:tcW w:w="823" w:type="pct"/>
                  <w:tcBorders>
                    <w:tl2br w:val="nil"/>
                    <w:tr2bl w:val="nil"/>
                  </w:tcBorders>
                  <w:shd w:val="clear" w:color="auto" w:fill="auto"/>
                  <w:noWrap/>
                  <w:vAlign w:val="center"/>
                </w:tcPr>
                <w:p w14:paraId="072CDD65">
                  <w:pPr>
                    <w:pStyle w:val="28"/>
                    <w:keepNext w:val="0"/>
                    <w:keepLines w:val="0"/>
                    <w:suppressLineNumbers w:val="0"/>
                    <w:bidi w:val="0"/>
                    <w:spacing w:before="0" w:beforeAutospacing="0" w:after="0" w:afterAutospacing="0"/>
                    <w:ind w:right="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0.30</w:t>
                  </w:r>
                </w:p>
              </w:tc>
            </w:tr>
            <w:tr w14:paraId="0CC5E1E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9" w:type="pct"/>
                  <w:tcBorders>
                    <w:tl2br w:val="nil"/>
                    <w:tr2bl w:val="nil"/>
                  </w:tcBorders>
                  <w:shd w:val="clear" w:color="auto" w:fill="auto"/>
                  <w:noWrap/>
                  <w:vAlign w:val="center"/>
                </w:tcPr>
                <w:p w14:paraId="3DC443BF">
                  <w:pPr>
                    <w:pStyle w:val="63"/>
                    <w:keepNext w:val="0"/>
                    <w:keepLines w:val="0"/>
                    <w:pageBreakBefore w:val="0"/>
                    <w:widowControl w:val="0"/>
                    <w:numPr>
                      <w:ilvl w:val="0"/>
                      <w:numId w:val="13"/>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09" w:type="pct"/>
                  <w:tcBorders>
                    <w:tl2br w:val="nil"/>
                    <w:tr2bl w:val="nil"/>
                  </w:tcBorders>
                  <w:shd w:val="clear" w:color="auto" w:fill="auto"/>
                  <w:vAlign w:val="center"/>
                </w:tcPr>
                <w:p w14:paraId="0E50EDB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白芍</w:t>
                  </w:r>
                </w:p>
              </w:tc>
              <w:tc>
                <w:tcPr>
                  <w:tcW w:w="953" w:type="pct"/>
                  <w:tcBorders>
                    <w:tl2br w:val="nil"/>
                    <w:tr2bl w:val="nil"/>
                  </w:tcBorders>
                  <w:shd w:val="clear" w:color="auto" w:fill="auto"/>
                  <w:vAlign w:val="center"/>
                </w:tcPr>
                <w:p w14:paraId="55E4813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7.5</w:t>
                  </w:r>
                </w:p>
              </w:tc>
              <w:tc>
                <w:tcPr>
                  <w:tcW w:w="1713" w:type="pct"/>
                  <w:tcBorders>
                    <w:tl2br w:val="nil"/>
                    <w:tr2bl w:val="nil"/>
                  </w:tcBorders>
                  <w:shd w:val="clear" w:color="auto" w:fill="auto"/>
                  <w:noWrap/>
                  <w:vAlign w:val="center"/>
                </w:tcPr>
                <w:p w14:paraId="03D2366E">
                  <w:pPr>
                    <w:pStyle w:val="28"/>
                    <w:keepNext w:val="0"/>
                    <w:keepLines w:val="0"/>
                    <w:suppressLineNumbers w:val="0"/>
                    <w:bidi w:val="0"/>
                    <w:spacing w:before="0" w:beforeAutospacing="0" w:after="0" w:afterAutospacing="0"/>
                    <w:ind w:left="420" w:leftChars="0" w:right="0" w:rightChars="0" w:hanging="420" w:hangingChars="20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除尘灰</w:t>
                  </w:r>
                </w:p>
              </w:tc>
              <w:tc>
                <w:tcPr>
                  <w:tcW w:w="823" w:type="pct"/>
                  <w:tcBorders>
                    <w:tl2br w:val="nil"/>
                    <w:tr2bl w:val="nil"/>
                  </w:tcBorders>
                  <w:shd w:val="clear" w:color="auto" w:fill="auto"/>
                  <w:noWrap/>
                  <w:vAlign w:val="center"/>
                </w:tcPr>
                <w:p w14:paraId="6E05912C">
                  <w:pPr>
                    <w:pStyle w:val="28"/>
                    <w:keepNext w:val="0"/>
                    <w:keepLines w:val="0"/>
                    <w:suppressLineNumbers w:val="0"/>
                    <w:bidi w:val="0"/>
                    <w:spacing w:before="0" w:beforeAutospacing="0" w:after="0" w:afterAutospacing="0"/>
                    <w:ind w:right="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0.3308</w:t>
                  </w:r>
                </w:p>
              </w:tc>
            </w:tr>
            <w:tr w14:paraId="7F291FA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9" w:type="pct"/>
                  <w:tcBorders>
                    <w:tl2br w:val="nil"/>
                    <w:tr2bl w:val="nil"/>
                  </w:tcBorders>
                  <w:shd w:val="clear" w:color="auto" w:fill="auto"/>
                  <w:noWrap/>
                  <w:vAlign w:val="center"/>
                </w:tcPr>
                <w:p w14:paraId="4CE1298D">
                  <w:pPr>
                    <w:pStyle w:val="63"/>
                    <w:keepNext w:val="0"/>
                    <w:keepLines w:val="0"/>
                    <w:pageBreakBefore w:val="0"/>
                    <w:widowControl w:val="0"/>
                    <w:numPr>
                      <w:ilvl w:val="0"/>
                      <w:numId w:val="13"/>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09" w:type="pct"/>
                  <w:tcBorders>
                    <w:tl2br w:val="nil"/>
                    <w:tr2bl w:val="nil"/>
                  </w:tcBorders>
                  <w:shd w:val="clear" w:color="auto" w:fill="auto"/>
                  <w:vAlign w:val="center"/>
                </w:tcPr>
                <w:p w14:paraId="4F32B0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延胡索</w:t>
                  </w:r>
                </w:p>
              </w:tc>
              <w:tc>
                <w:tcPr>
                  <w:tcW w:w="953" w:type="pct"/>
                  <w:tcBorders>
                    <w:tl2br w:val="nil"/>
                    <w:tr2bl w:val="nil"/>
                  </w:tcBorders>
                  <w:shd w:val="clear" w:color="auto" w:fill="auto"/>
                  <w:vAlign w:val="center"/>
                </w:tcPr>
                <w:p w14:paraId="46D6557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7.5</w:t>
                  </w:r>
                </w:p>
              </w:tc>
              <w:tc>
                <w:tcPr>
                  <w:tcW w:w="1713" w:type="pct"/>
                  <w:tcBorders>
                    <w:tl2br w:val="nil"/>
                    <w:tr2bl w:val="nil"/>
                  </w:tcBorders>
                  <w:shd w:val="clear" w:color="auto" w:fill="auto"/>
                  <w:noWrap/>
                  <w:vAlign w:val="center"/>
                </w:tcPr>
                <w:p w14:paraId="4F47D1A9">
                  <w:pPr>
                    <w:pStyle w:val="28"/>
                    <w:keepNext w:val="0"/>
                    <w:keepLines w:val="0"/>
                    <w:suppressLineNumbers w:val="0"/>
                    <w:bidi w:val="0"/>
                    <w:spacing w:before="0" w:beforeAutospacing="0" w:after="0" w:afterAutospacing="0"/>
                    <w:ind w:left="420" w:leftChars="0" w:right="0" w:rightChars="0" w:hanging="420" w:hangingChars="20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炮制废水</w:t>
                  </w:r>
                </w:p>
              </w:tc>
              <w:tc>
                <w:tcPr>
                  <w:tcW w:w="823" w:type="pct"/>
                  <w:tcBorders>
                    <w:tl2br w:val="nil"/>
                    <w:tr2bl w:val="nil"/>
                  </w:tcBorders>
                  <w:shd w:val="clear" w:color="auto" w:fill="auto"/>
                  <w:noWrap/>
                  <w:vAlign w:val="center"/>
                </w:tcPr>
                <w:p w14:paraId="7CA71B4F">
                  <w:pPr>
                    <w:pStyle w:val="28"/>
                    <w:keepNext w:val="0"/>
                    <w:keepLines w:val="0"/>
                    <w:suppressLineNumbers w:val="0"/>
                    <w:bidi w:val="0"/>
                    <w:spacing w:before="0" w:beforeAutospacing="0" w:after="0" w:afterAutospacing="0"/>
                    <w:ind w:right="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309.225</w:t>
                  </w:r>
                </w:p>
              </w:tc>
            </w:tr>
            <w:tr w14:paraId="7EF389E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9" w:type="pct"/>
                  <w:tcBorders>
                    <w:tl2br w:val="nil"/>
                    <w:tr2bl w:val="nil"/>
                  </w:tcBorders>
                  <w:shd w:val="clear" w:color="auto" w:fill="auto"/>
                  <w:noWrap/>
                  <w:vAlign w:val="center"/>
                </w:tcPr>
                <w:p w14:paraId="0D6EE013">
                  <w:pPr>
                    <w:pStyle w:val="63"/>
                    <w:keepNext w:val="0"/>
                    <w:keepLines w:val="0"/>
                    <w:pageBreakBefore w:val="0"/>
                    <w:widowControl w:val="0"/>
                    <w:numPr>
                      <w:ilvl w:val="0"/>
                      <w:numId w:val="13"/>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09" w:type="pct"/>
                  <w:tcBorders>
                    <w:tl2br w:val="nil"/>
                    <w:tr2bl w:val="nil"/>
                  </w:tcBorders>
                  <w:shd w:val="clear" w:color="auto" w:fill="auto"/>
                  <w:vAlign w:val="center"/>
                </w:tcPr>
                <w:p w14:paraId="2D7307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香附</w:t>
                  </w:r>
                </w:p>
              </w:tc>
              <w:tc>
                <w:tcPr>
                  <w:tcW w:w="953" w:type="pct"/>
                  <w:tcBorders>
                    <w:tl2br w:val="nil"/>
                    <w:tr2bl w:val="nil"/>
                  </w:tcBorders>
                  <w:shd w:val="clear" w:color="auto" w:fill="auto"/>
                  <w:vAlign w:val="center"/>
                </w:tcPr>
                <w:p w14:paraId="6B41C38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7.5</w:t>
                  </w:r>
                </w:p>
              </w:tc>
              <w:tc>
                <w:tcPr>
                  <w:tcW w:w="1713" w:type="pct"/>
                  <w:tcBorders>
                    <w:tl2br w:val="nil"/>
                    <w:tr2bl w:val="nil"/>
                  </w:tcBorders>
                  <w:shd w:val="clear" w:color="auto" w:fill="auto"/>
                  <w:noWrap/>
                  <w:vAlign w:val="center"/>
                </w:tcPr>
                <w:p w14:paraId="0084108B">
                  <w:pPr>
                    <w:pStyle w:val="28"/>
                    <w:keepNext w:val="0"/>
                    <w:keepLines w:val="0"/>
                    <w:suppressLineNumbers w:val="0"/>
                    <w:bidi w:val="0"/>
                    <w:spacing w:before="0" w:beforeAutospacing="0" w:after="0" w:afterAutospacing="0"/>
                    <w:ind w:left="420" w:leftChars="0" w:right="0" w:rightChars="0" w:hanging="420" w:hangingChars="20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损耗水量</w:t>
                  </w:r>
                </w:p>
              </w:tc>
              <w:tc>
                <w:tcPr>
                  <w:tcW w:w="823" w:type="pct"/>
                  <w:tcBorders>
                    <w:tl2br w:val="nil"/>
                    <w:tr2bl w:val="nil"/>
                  </w:tcBorders>
                  <w:shd w:val="clear" w:color="auto" w:fill="auto"/>
                  <w:noWrap/>
                  <w:vAlign w:val="center"/>
                </w:tcPr>
                <w:p w14:paraId="767BA069">
                  <w:pPr>
                    <w:pStyle w:val="28"/>
                    <w:keepNext w:val="0"/>
                    <w:keepLines w:val="0"/>
                    <w:suppressLineNumbers w:val="0"/>
                    <w:bidi w:val="0"/>
                    <w:spacing w:before="0" w:beforeAutospacing="0" w:after="0" w:afterAutospacing="0"/>
                    <w:ind w:right="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61.845</w:t>
                  </w:r>
                </w:p>
              </w:tc>
            </w:tr>
            <w:tr w14:paraId="66E89F7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9" w:type="pct"/>
                  <w:tcBorders>
                    <w:tl2br w:val="nil"/>
                    <w:tr2bl w:val="nil"/>
                  </w:tcBorders>
                  <w:shd w:val="clear" w:color="auto" w:fill="auto"/>
                  <w:noWrap/>
                  <w:vAlign w:val="center"/>
                </w:tcPr>
                <w:p w14:paraId="3EBEEE2D">
                  <w:pPr>
                    <w:pStyle w:val="63"/>
                    <w:keepNext w:val="0"/>
                    <w:keepLines w:val="0"/>
                    <w:pageBreakBefore w:val="0"/>
                    <w:widowControl w:val="0"/>
                    <w:numPr>
                      <w:ilvl w:val="0"/>
                      <w:numId w:val="13"/>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09" w:type="pct"/>
                  <w:tcBorders>
                    <w:tl2br w:val="nil"/>
                    <w:tr2bl w:val="nil"/>
                  </w:tcBorders>
                  <w:shd w:val="clear" w:color="auto" w:fill="auto"/>
                  <w:vAlign w:val="center"/>
                </w:tcPr>
                <w:p w14:paraId="13FD59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kern w:val="2"/>
                      <w:sz w:val="21"/>
                      <w:szCs w:val="21"/>
                      <w:highlight w:val="none"/>
                      <w:vertAlign w:val="baseline"/>
                      <w:lang w:val="en-US" w:eastAsia="zh-CN" w:bidi="ar-SA"/>
                      <w14:textFill>
                        <w14:solidFill>
                          <w14:schemeClr w14:val="tx1"/>
                        </w14:solidFill>
                      </w14:textFill>
                    </w:rPr>
                    <w:t>其它中药</w:t>
                  </w:r>
                </w:p>
              </w:tc>
              <w:tc>
                <w:tcPr>
                  <w:tcW w:w="953" w:type="pct"/>
                  <w:tcBorders>
                    <w:tl2br w:val="nil"/>
                    <w:tr2bl w:val="nil"/>
                  </w:tcBorders>
                  <w:shd w:val="clear" w:color="auto" w:fill="auto"/>
                  <w:vAlign w:val="center"/>
                </w:tcPr>
                <w:p w14:paraId="33A4324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54.8</w:t>
                  </w:r>
                </w:p>
              </w:tc>
              <w:tc>
                <w:tcPr>
                  <w:tcW w:w="1713" w:type="pct"/>
                  <w:tcBorders>
                    <w:tl2br w:val="nil"/>
                    <w:tr2bl w:val="nil"/>
                  </w:tcBorders>
                  <w:shd w:val="clear" w:color="auto" w:fill="auto"/>
                  <w:noWrap/>
                  <w:vAlign w:val="center"/>
                </w:tcPr>
                <w:p w14:paraId="4C9E7A9E">
                  <w:pPr>
                    <w:pStyle w:val="28"/>
                    <w:keepNext w:val="0"/>
                    <w:keepLines w:val="0"/>
                    <w:suppressLineNumbers w:val="0"/>
                    <w:bidi w:val="0"/>
                    <w:spacing w:before="0" w:beforeAutospacing="0" w:after="0" w:afterAutospacing="0"/>
                    <w:ind w:left="420" w:leftChars="0" w:right="0" w:rightChars="0" w:hanging="420" w:hangingChars="20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823" w:type="pct"/>
                  <w:tcBorders>
                    <w:tl2br w:val="nil"/>
                    <w:tr2bl w:val="nil"/>
                  </w:tcBorders>
                  <w:shd w:val="clear" w:color="auto" w:fill="auto"/>
                  <w:noWrap/>
                  <w:vAlign w:val="center"/>
                </w:tcPr>
                <w:p w14:paraId="5A3C7C07">
                  <w:pPr>
                    <w:pStyle w:val="28"/>
                    <w:keepNext w:val="0"/>
                    <w:keepLines w:val="0"/>
                    <w:suppressLineNumbers w:val="0"/>
                    <w:bidi w:val="0"/>
                    <w:spacing w:before="0" w:beforeAutospacing="0" w:after="0" w:afterAutospacing="0"/>
                    <w:ind w:right="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r>
            <w:tr w14:paraId="227FB0B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9" w:type="pct"/>
                  <w:tcBorders>
                    <w:tl2br w:val="nil"/>
                    <w:tr2bl w:val="nil"/>
                  </w:tcBorders>
                  <w:shd w:val="clear" w:color="auto" w:fill="auto"/>
                  <w:noWrap/>
                  <w:vAlign w:val="center"/>
                </w:tcPr>
                <w:p w14:paraId="6D0261FA">
                  <w:pPr>
                    <w:pStyle w:val="63"/>
                    <w:keepNext w:val="0"/>
                    <w:keepLines w:val="0"/>
                    <w:pageBreakBefore w:val="0"/>
                    <w:widowControl w:val="0"/>
                    <w:numPr>
                      <w:ilvl w:val="0"/>
                      <w:numId w:val="13"/>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09" w:type="pct"/>
                  <w:tcBorders>
                    <w:tl2br w:val="nil"/>
                    <w:tr2bl w:val="nil"/>
                  </w:tcBorders>
                  <w:shd w:val="clear" w:color="auto" w:fill="auto"/>
                  <w:vAlign w:val="center"/>
                </w:tcPr>
                <w:p w14:paraId="18A263BA">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软化水</w:t>
                  </w:r>
                </w:p>
              </w:tc>
              <w:tc>
                <w:tcPr>
                  <w:tcW w:w="953" w:type="pct"/>
                  <w:tcBorders>
                    <w:tl2br w:val="nil"/>
                    <w:tr2bl w:val="nil"/>
                  </w:tcBorders>
                  <w:shd w:val="clear" w:color="auto" w:fill="auto"/>
                  <w:vAlign w:val="center"/>
                </w:tcPr>
                <w:p w14:paraId="2CB6605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371.070</w:t>
                  </w:r>
                </w:p>
              </w:tc>
              <w:tc>
                <w:tcPr>
                  <w:tcW w:w="1713" w:type="pct"/>
                  <w:tcBorders>
                    <w:tl2br w:val="nil"/>
                    <w:tr2bl w:val="nil"/>
                  </w:tcBorders>
                  <w:shd w:val="clear" w:color="auto" w:fill="auto"/>
                  <w:noWrap/>
                  <w:vAlign w:val="center"/>
                </w:tcPr>
                <w:p w14:paraId="2E234D8C">
                  <w:pPr>
                    <w:pStyle w:val="28"/>
                    <w:keepNext w:val="0"/>
                    <w:keepLines w:val="0"/>
                    <w:suppressLineNumbers w:val="0"/>
                    <w:bidi w:val="0"/>
                    <w:spacing w:before="0" w:beforeAutospacing="0" w:after="0" w:afterAutospacing="0"/>
                    <w:ind w:left="420" w:leftChars="0" w:right="0" w:rightChars="0" w:hanging="420" w:hangingChars="20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823" w:type="pct"/>
                  <w:tcBorders>
                    <w:tl2br w:val="nil"/>
                    <w:tr2bl w:val="nil"/>
                  </w:tcBorders>
                  <w:shd w:val="clear" w:color="auto" w:fill="auto"/>
                  <w:noWrap/>
                  <w:vAlign w:val="center"/>
                </w:tcPr>
                <w:p w14:paraId="0E223511">
                  <w:pPr>
                    <w:pStyle w:val="28"/>
                    <w:keepNext w:val="0"/>
                    <w:keepLines w:val="0"/>
                    <w:suppressLineNumbers w:val="0"/>
                    <w:bidi w:val="0"/>
                    <w:spacing w:before="0" w:beforeAutospacing="0" w:after="0" w:afterAutospacing="0"/>
                    <w:ind w:right="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r>
            <w:tr w14:paraId="2A1970F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09" w:type="pct"/>
                  <w:gridSpan w:val="2"/>
                  <w:tcBorders>
                    <w:tl2br w:val="nil"/>
                    <w:tr2bl w:val="nil"/>
                  </w:tcBorders>
                  <w:shd w:val="clear" w:color="auto" w:fill="auto"/>
                  <w:noWrap/>
                  <w:vAlign w:val="center"/>
                </w:tcPr>
                <w:p w14:paraId="3AA4AEF6">
                  <w:pPr>
                    <w:pStyle w:val="28"/>
                    <w:keepNext w:val="0"/>
                    <w:keepLines w:val="0"/>
                    <w:suppressLineNumbers w:val="0"/>
                    <w:bidi w:val="0"/>
                    <w:spacing w:before="0" w:beforeAutospacing="0" w:after="0" w:afterAutospacing="0"/>
                    <w:ind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合计</w:t>
                  </w:r>
                </w:p>
              </w:tc>
              <w:tc>
                <w:tcPr>
                  <w:tcW w:w="953" w:type="pct"/>
                  <w:tcBorders>
                    <w:tl2br w:val="nil"/>
                    <w:tr2bl w:val="nil"/>
                  </w:tcBorders>
                  <w:shd w:val="clear" w:color="auto" w:fill="auto"/>
                  <w:noWrap/>
                  <w:vAlign w:val="center"/>
                </w:tcPr>
                <w:p w14:paraId="357D6123">
                  <w:pPr>
                    <w:pStyle w:val="28"/>
                    <w:keepNext w:val="0"/>
                    <w:keepLines w:val="0"/>
                    <w:suppressLineNumbers w:val="0"/>
                    <w:bidi w:val="0"/>
                    <w:spacing w:before="0" w:beforeAutospacing="0" w:after="0" w:afterAutospacing="0"/>
                    <w:ind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522.87</w:t>
                  </w:r>
                </w:p>
              </w:tc>
              <w:tc>
                <w:tcPr>
                  <w:tcW w:w="1713" w:type="pct"/>
                  <w:tcBorders>
                    <w:tl2br w:val="nil"/>
                    <w:tr2bl w:val="nil"/>
                  </w:tcBorders>
                  <w:shd w:val="clear" w:color="auto" w:fill="auto"/>
                  <w:noWrap/>
                  <w:vAlign w:val="center"/>
                </w:tcPr>
                <w:p w14:paraId="4BDE3227">
                  <w:pPr>
                    <w:pStyle w:val="28"/>
                    <w:keepNext w:val="0"/>
                    <w:keepLines w:val="0"/>
                    <w:suppressLineNumbers w:val="0"/>
                    <w:bidi w:val="0"/>
                    <w:spacing w:before="0" w:beforeAutospacing="0" w:after="0" w:afterAutospacing="0"/>
                    <w:ind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合计</w:t>
                  </w:r>
                </w:p>
              </w:tc>
              <w:tc>
                <w:tcPr>
                  <w:tcW w:w="823" w:type="pct"/>
                  <w:tcBorders>
                    <w:tl2br w:val="nil"/>
                    <w:tr2bl w:val="nil"/>
                  </w:tcBorders>
                  <w:shd w:val="clear" w:color="auto" w:fill="auto"/>
                  <w:noWrap/>
                  <w:vAlign w:val="center"/>
                </w:tcPr>
                <w:p w14:paraId="423BAEF5">
                  <w:pPr>
                    <w:pStyle w:val="28"/>
                    <w:keepNext w:val="0"/>
                    <w:keepLines w:val="0"/>
                    <w:suppressLineNumbers w:val="0"/>
                    <w:bidi w:val="0"/>
                    <w:spacing w:before="0" w:beforeAutospacing="0" w:after="0" w:afterAutospacing="0"/>
                    <w:ind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522.87</w:t>
                  </w:r>
                </w:p>
              </w:tc>
            </w:tr>
          </w:tbl>
          <w:p w14:paraId="0257B549">
            <w:pPr>
              <w:keepNext w:val="0"/>
              <w:keepLines w:val="0"/>
              <w:pageBreakBefore w:val="0"/>
              <w:widowControl w:val="0"/>
              <w:numPr>
                <w:ilvl w:val="0"/>
                <w:numId w:val="5"/>
              </w:numPr>
              <w:suppressLineNumbers w:val="0"/>
              <w:shd w:val="clear"/>
              <w:kinsoku/>
              <w:wordWrap/>
              <w:overflowPunct/>
              <w:topLinePunct w:val="0"/>
              <w:autoSpaceDE/>
              <w:autoSpaceDN/>
              <w:bidi w:val="0"/>
              <w:adjustRightInd/>
              <w:snapToGrid w:val="0"/>
              <w:spacing w:before="157" w:beforeLines="50" w:beforeAutospacing="0" w:after="0" w:afterLines="0" w:afterAutospacing="0"/>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zh-CN"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创新制剂车间</w:t>
            </w:r>
            <w:r>
              <w:rPr>
                <w:rFonts w:hint="default" w:ascii="Times New Roman" w:hAnsi="Times New Roman" w:eastAsia="宋体" w:cs="Times New Roman"/>
                <w:b/>
                <w:bCs/>
                <w:color w:val="000000" w:themeColor="text1"/>
                <w:sz w:val="21"/>
                <w:szCs w:val="21"/>
                <w:highlight w:val="none"/>
                <w:lang w:val="zh-CN" w:eastAsia="en-US"/>
                <w14:textFill>
                  <w14:solidFill>
                    <w14:schemeClr w14:val="tx1"/>
                  </w14:solidFill>
                </w14:textFill>
              </w:rPr>
              <w:t>物料平衡</w:t>
            </w:r>
            <w:r>
              <w:rPr>
                <w:rFonts w:hint="default" w:ascii="Times New Roman" w:hAnsi="Times New Roman" w:eastAsia="宋体" w:cs="Times New Roman"/>
                <w:b/>
                <w:bCs/>
                <w:color w:val="000000" w:themeColor="text1"/>
                <w:sz w:val="21"/>
                <w:szCs w:val="21"/>
                <w:highlight w:val="none"/>
                <w:lang w:val="zh-CN" w:eastAsia="zh-CN"/>
                <w14:textFill>
                  <w14:solidFill>
                    <w14:schemeClr w14:val="tx1"/>
                  </w14:solidFill>
                </w14:textFill>
              </w:rPr>
              <w:t>表</w:t>
            </w:r>
          </w:p>
          <w:tbl>
            <w:tblPr>
              <w:tblStyle w:val="35"/>
              <w:tblW w:w="4879"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35"/>
              <w:gridCol w:w="1644"/>
              <w:gridCol w:w="1519"/>
              <w:gridCol w:w="2693"/>
              <w:gridCol w:w="1301"/>
            </w:tblGrid>
            <w:tr w14:paraId="2EF5D11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22" w:type="pct"/>
                  <w:vMerge w:val="restart"/>
                  <w:tcBorders>
                    <w:tl2br w:val="nil"/>
                    <w:tr2bl w:val="nil"/>
                  </w:tcBorders>
                  <w:shd w:val="clear" w:color="auto" w:fill="auto"/>
                  <w:noWrap/>
                  <w:vAlign w:val="center"/>
                </w:tcPr>
                <w:p w14:paraId="76663BE9">
                  <w:pPr>
                    <w:pStyle w:val="28"/>
                    <w:keepNext w:val="0"/>
                    <w:keepLines w:val="0"/>
                    <w:suppressLineNumbers w:val="0"/>
                    <w:shd w:val="clear"/>
                    <w:bidi w:val="0"/>
                    <w:spacing w:before="0" w:beforeAutospacing="0" w:after="0" w:afterAutospacing="0"/>
                    <w:ind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序号</w:t>
                  </w:r>
                </w:p>
              </w:tc>
              <w:tc>
                <w:tcPr>
                  <w:tcW w:w="1978" w:type="pct"/>
                  <w:gridSpan w:val="2"/>
                  <w:tcBorders>
                    <w:tl2br w:val="nil"/>
                    <w:tr2bl w:val="nil"/>
                  </w:tcBorders>
                  <w:shd w:val="clear" w:color="auto" w:fill="auto"/>
                  <w:vAlign w:val="center"/>
                </w:tcPr>
                <w:p w14:paraId="0CC315B1">
                  <w:pPr>
                    <w:pStyle w:val="28"/>
                    <w:keepNext w:val="0"/>
                    <w:keepLines w:val="0"/>
                    <w:suppressLineNumbers w:val="0"/>
                    <w:shd w:val="clear"/>
                    <w:bidi w:val="0"/>
                    <w:spacing w:before="0" w:beforeAutospacing="0" w:after="0" w:afterAutospacing="0"/>
                    <w:ind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原料</w:t>
                  </w:r>
                </w:p>
              </w:tc>
              <w:tc>
                <w:tcPr>
                  <w:tcW w:w="2498" w:type="pct"/>
                  <w:gridSpan w:val="2"/>
                  <w:tcBorders>
                    <w:tl2br w:val="nil"/>
                    <w:tr2bl w:val="nil"/>
                  </w:tcBorders>
                  <w:shd w:val="clear" w:color="auto" w:fill="auto"/>
                  <w:noWrap/>
                  <w:vAlign w:val="center"/>
                </w:tcPr>
                <w:p w14:paraId="47ECC39A">
                  <w:pPr>
                    <w:pStyle w:val="28"/>
                    <w:keepNext w:val="0"/>
                    <w:keepLines w:val="0"/>
                    <w:suppressLineNumbers w:val="0"/>
                    <w:shd w:val="clear"/>
                    <w:bidi w:val="0"/>
                    <w:spacing w:before="0" w:beforeAutospacing="0" w:after="0" w:afterAutospacing="0"/>
                    <w:ind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成品</w:t>
                  </w:r>
                </w:p>
              </w:tc>
            </w:tr>
            <w:tr w14:paraId="6D8A0A7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22" w:type="pct"/>
                  <w:vMerge w:val="continue"/>
                  <w:tcBorders>
                    <w:tl2br w:val="nil"/>
                    <w:tr2bl w:val="nil"/>
                  </w:tcBorders>
                  <w:shd w:val="clear" w:color="auto" w:fill="auto"/>
                  <w:noWrap/>
                  <w:vAlign w:val="center"/>
                </w:tcPr>
                <w:p w14:paraId="0B979878">
                  <w:pPr>
                    <w:pStyle w:val="28"/>
                    <w:keepNext w:val="0"/>
                    <w:keepLines w:val="0"/>
                    <w:suppressLineNumbers w:val="0"/>
                    <w:shd w:val="clear"/>
                    <w:bidi w:val="0"/>
                    <w:spacing w:before="0" w:beforeAutospacing="0" w:after="0" w:afterAutospacing="0"/>
                    <w:ind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1028" w:type="pct"/>
                  <w:tcBorders>
                    <w:tl2br w:val="nil"/>
                    <w:tr2bl w:val="nil"/>
                  </w:tcBorders>
                  <w:shd w:val="clear" w:color="auto" w:fill="auto"/>
                  <w:vAlign w:val="center"/>
                </w:tcPr>
                <w:p w14:paraId="2439A279">
                  <w:pPr>
                    <w:pStyle w:val="28"/>
                    <w:keepNext w:val="0"/>
                    <w:keepLines w:val="0"/>
                    <w:suppressLineNumbers w:val="0"/>
                    <w:shd w:val="clear"/>
                    <w:bidi w:val="0"/>
                    <w:spacing w:before="0" w:beforeAutospacing="0" w:after="0" w:afterAutospacing="0"/>
                    <w:ind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原料名称</w:t>
                  </w:r>
                </w:p>
              </w:tc>
              <w:tc>
                <w:tcPr>
                  <w:tcW w:w="950" w:type="pct"/>
                  <w:tcBorders>
                    <w:tl2br w:val="nil"/>
                    <w:tr2bl w:val="nil"/>
                  </w:tcBorders>
                  <w:shd w:val="clear" w:color="auto" w:fill="auto"/>
                  <w:noWrap/>
                  <w:vAlign w:val="center"/>
                </w:tcPr>
                <w:p w14:paraId="100EAAA9">
                  <w:pPr>
                    <w:pStyle w:val="28"/>
                    <w:keepNext w:val="0"/>
                    <w:keepLines w:val="0"/>
                    <w:suppressLineNumbers w:val="0"/>
                    <w:shd w:val="clear"/>
                    <w:bidi w:val="0"/>
                    <w:spacing w:before="0" w:beforeAutospacing="0" w:after="0" w:afterAutospacing="0"/>
                    <w:ind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数量（t</w:t>
                  </w: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/a</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w:t>
                  </w:r>
                </w:p>
              </w:tc>
              <w:tc>
                <w:tcPr>
                  <w:tcW w:w="1684" w:type="pct"/>
                  <w:tcBorders>
                    <w:tl2br w:val="nil"/>
                    <w:tr2bl w:val="nil"/>
                  </w:tcBorders>
                  <w:shd w:val="clear" w:color="auto" w:fill="auto"/>
                  <w:noWrap/>
                  <w:vAlign w:val="center"/>
                </w:tcPr>
                <w:p w14:paraId="18188E4A">
                  <w:pPr>
                    <w:pStyle w:val="28"/>
                    <w:keepNext w:val="0"/>
                    <w:keepLines w:val="0"/>
                    <w:suppressLineNumbers w:val="0"/>
                    <w:shd w:val="clear"/>
                    <w:bidi w:val="0"/>
                    <w:spacing w:before="0" w:beforeAutospacing="0" w:after="0" w:afterAutospacing="0"/>
                    <w:ind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产品名称</w:t>
                  </w:r>
                </w:p>
              </w:tc>
              <w:tc>
                <w:tcPr>
                  <w:tcW w:w="813" w:type="pct"/>
                  <w:tcBorders>
                    <w:tl2br w:val="nil"/>
                    <w:tr2bl w:val="nil"/>
                  </w:tcBorders>
                  <w:shd w:val="clear" w:color="auto" w:fill="auto"/>
                  <w:vAlign w:val="center"/>
                </w:tcPr>
                <w:p w14:paraId="0DE9B1AC">
                  <w:pPr>
                    <w:pStyle w:val="28"/>
                    <w:keepNext w:val="0"/>
                    <w:keepLines w:val="0"/>
                    <w:suppressLineNumbers w:val="0"/>
                    <w:shd w:val="clear"/>
                    <w:bidi w:val="0"/>
                    <w:spacing w:before="0" w:beforeAutospacing="0" w:after="0" w:afterAutospacing="0"/>
                    <w:ind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数量（t</w:t>
                  </w: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/a</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w:t>
                  </w:r>
                </w:p>
              </w:tc>
            </w:tr>
            <w:tr w14:paraId="75E122A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2" w:type="pct"/>
                  <w:tcBorders>
                    <w:tl2br w:val="nil"/>
                    <w:tr2bl w:val="nil"/>
                  </w:tcBorders>
                  <w:shd w:val="clear" w:color="auto" w:fill="auto"/>
                  <w:noWrap/>
                  <w:vAlign w:val="center"/>
                </w:tcPr>
                <w:p w14:paraId="1E0754FE">
                  <w:pPr>
                    <w:pStyle w:val="63"/>
                    <w:keepNext w:val="0"/>
                    <w:keepLines w:val="0"/>
                    <w:pageBreakBefore w:val="0"/>
                    <w:widowControl w:val="0"/>
                    <w:numPr>
                      <w:ilvl w:val="0"/>
                      <w:numId w:val="14"/>
                    </w:numPr>
                    <w:suppressLineNumbers w:val="0"/>
                    <w:shd w:val="clear"/>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28" w:type="pct"/>
                  <w:tcBorders>
                    <w:tl2br w:val="nil"/>
                    <w:tr2bl w:val="nil"/>
                  </w:tcBorders>
                  <w:shd w:val="clear" w:color="auto" w:fill="auto"/>
                  <w:vAlign w:val="center"/>
                </w:tcPr>
                <w:p w14:paraId="26595573">
                  <w:pPr>
                    <w:keepNext w:val="0"/>
                    <w:keepLines w:val="0"/>
                    <w:widowControl/>
                    <w:suppressLineNumbers w:val="0"/>
                    <w:shd w:val="clear"/>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蔗糖</w:t>
                  </w:r>
                </w:p>
              </w:tc>
              <w:tc>
                <w:tcPr>
                  <w:tcW w:w="950" w:type="pct"/>
                  <w:tcBorders>
                    <w:tl2br w:val="nil"/>
                    <w:tr2bl w:val="nil"/>
                  </w:tcBorders>
                  <w:shd w:val="clear" w:color="auto" w:fill="auto"/>
                  <w:noWrap/>
                  <w:vAlign w:val="center"/>
                </w:tcPr>
                <w:p w14:paraId="04395B01">
                  <w:pPr>
                    <w:keepNext w:val="0"/>
                    <w:keepLines w:val="0"/>
                    <w:widowControl/>
                    <w:suppressLineNumbers w:val="0"/>
                    <w:shd w:val="clear"/>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2</w:t>
                  </w:r>
                </w:p>
              </w:tc>
              <w:tc>
                <w:tcPr>
                  <w:tcW w:w="1684" w:type="pct"/>
                  <w:tcBorders>
                    <w:tl2br w:val="nil"/>
                    <w:tr2bl w:val="nil"/>
                  </w:tcBorders>
                  <w:shd w:val="clear" w:color="auto" w:fill="auto"/>
                  <w:noWrap/>
                  <w:vAlign w:val="center"/>
                </w:tcPr>
                <w:p w14:paraId="1CE0F6D2">
                  <w:pPr>
                    <w:keepNext w:val="0"/>
                    <w:keepLines w:val="0"/>
                    <w:suppressLineNumbers w:val="0"/>
                    <w:shd w:val="clear"/>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参百灵颗粒</w:t>
                  </w:r>
                </w:p>
              </w:tc>
              <w:tc>
                <w:tcPr>
                  <w:tcW w:w="813" w:type="pct"/>
                  <w:tcBorders>
                    <w:tl2br w:val="nil"/>
                    <w:tr2bl w:val="nil"/>
                  </w:tcBorders>
                  <w:shd w:val="clear" w:color="auto" w:fill="auto"/>
                  <w:noWrap/>
                  <w:vAlign w:val="center"/>
                </w:tcPr>
                <w:p w14:paraId="1360BE78">
                  <w:pPr>
                    <w:keepNext w:val="0"/>
                    <w:keepLines w:val="0"/>
                    <w:suppressLineNumbers w:val="0"/>
                    <w:shd w:val="clear"/>
                    <w:spacing w:before="0" w:beforeAutospacing="0" w:after="0" w:afterAutospacing="0"/>
                    <w:ind w:left="0" w:leftChars="0" w:right="0" w:rightChars="0"/>
                    <w:jc w:val="center"/>
                    <w:rPr>
                      <w:rFonts w:hint="default" w:ascii="Times New Roman" w:hAnsi="Times New Roman"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1.5</w:t>
                  </w:r>
                </w:p>
              </w:tc>
            </w:tr>
            <w:tr w14:paraId="3343E2A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2" w:type="pct"/>
                  <w:tcBorders>
                    <w:tl2br w:val="nil"/>
                    <w:tr2bl w:val="nil"/>
                  </w:tcBorders>
                  <w:shd w:val="clear" w:color="auto" w:fill="auto"/>
                  <w:noWrap/>
                  <w:vAlign w:val="center"/>
                </w:tcPr>
                <w:p w14:paraId="6FDEFB63">
                  <w:pPr>
                    <w:pStyle w:val="63"/>
                    <w:keepNext w:val="0"/>
                    <w:keepLines w:val="0"/>
                    <w:pageBreakBefore w:val="0"/>
                    <w:widowControl w:val="0"/>
                    <w:numPr>
                      <w:ilvl w:val="0"/>
                      <w:numId w:val="14"/>
                    </w:numPr>
                    <w:suppressLineNumbers w:val="0"/>
                    <w:shd w:val="clear"/>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28" w:type="pct"/>
                  <w:tcBorders>
                    <w:tl2br w:val="nil"/>
                    <w:tr2bl w:val="nil"/>
                  </w:tcBorders>
                  <w:shd w:val="clear" w:color="auto" w:fill="auto"/>
                  <w:vAlign w:val="center"/>
                </w:tcPr>
                <w:p w14:paraId="708BA697">
                  <w:pPr>
                    <w:keepNext w:val="0"/>
                    <w:keepLines w:val="0"/>
                    <w:widowControl/>
                    <w:suppressLineNumbers w:val="0"/>
                    <w:shd w:val="clear"/>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糊精</w:t>
                  </w:r>
                </w:p>
              </w:tc>
              <w:tc>
                <w:tcPr>
                  <w:tcW w:w="950" w:type="pct"/>
                  <w:tcBorders>
                    <w:tl2br w:val="nil"/>
                    <w:tr2bl w:val="nil"/>
                  </w:tcBorders>
                  <w:shd w:val="clear" w:color="auto" w:fill="auto"/>
                  <w:vAlign w:val="center"/>
                </w:tcPr>
                <w:p w14:paraId="718BDD5C">
                  <w:pPr>
                    <w:keepNext w:val="0"/>
                    <w:keepLines w:val="0"/>
                    <w:widowControl/>
                    <w:suppressLineNumbers w:val="0"/>
                    <w:shd w:val="clear"/>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t>2</w:t>
                  </w:r>
                </w:p>
              </w:tc>
              <w:tc>
                <w:tcPr>
                  <w:tcW w:w="1684" w:type="pct"/>
                  <w:tcBorders>
                    <w:tl2br w:val="nil"/>
                    <w:tr2bl w:val="nil"/>
                  </w:tcBorders>
                  <w:shd w:val="clear" w:color="auto" w:fill="auto"/>
                  <w:noWrap/>
                  <w:vAlign w:val="center"/>
                </w:tcPr>
                <w:p w14:paraId="562A1AA4">
                  <w:pPr>
                    <w:keepNext w:val="0"/>
                    <w:keepLines w:val="0"/>
                    <w:suppressLineNumbers w:val="0"/>
                    <w:shd w:val="clear"/>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表实感冒颗粒</w:t>
                  </w:r>
                </w:p>
              </w:tc>
              <w:tc>
                <w:tcPr>
                  <w:tcW w:w="813" w:type="pct"/>
                  <w:tcBorders>
                    <w:tl2br w:val="nil"/>
                    <w:tr2bl w:val="nil"/>
                  </w:tcBorders>
                  <w:shd w:val="clear" w:color="auto" w:fill="auto"/>
                  <w:noWrap/>
                  <w:vAlign w:val="center"/>
                </w:tcPr>
                <w:p w14:paraId="075912E3">
                  <w:pPr>
                    <w:keepNext w:val="0"/>
                    <w:keepLines w:val="0"/>
                    <w:suppressLineNumbers w:val="0"/>
                    <w:shd w:val="clear"/>
                    <w:autoSpaceDE w:val="0"/>
                    <w:autoSpaceDN w:val="0"/>
                    <w:adjustRightInd w:val="0"/>
                    <w:spacing w:before="0" w:beforeAutospacing="0" w:after="0" w:afterAutospacing="0"/>
                    <w:ind w:left="0" w:leftChars="0" w:right="0" w:rightChars="0"/>
                    <w:jc w:val="center"/>
                    <w:rPr>
                      <w:rFonts w:hint="default" w:ascii="Times New Roman" w:hAnsi="Times New Roman"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0.5</w:t>
                  </w:r>
                </w:p>
              </w:tc>
            </w:tr>
            <w:tr w14:paraId="0224610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2" w:type="pct"/>
                  <w:tcBorders>
                    <w:tl2br w:val="nil"/>
                    <w:tr2bl w:val="nil"/>
                  </w:tcBorders>
                  <w:shd w:val="clear" w:color="auto" w:fill="auto"/>
                  <w:noWrap/>
                  <w:vAlign w:val="center"/>
                </w:tcPr>
                <w:p w14:paraId="6C83D484">
                  <w:pPr>
                    <w:pStyle w:val="63"/>
                    <w:keepNext w:val="0"/>
                    <w:keepLines w:val="0"/>
                    <w:pageBreakBefore w:val="0"/>
                    <w:widowControl w:val="0"/>
                    <w:numPr>
                      <w:ilvl w:val="0"/>
                      <w:numId w:val="14"/>
                    </w:numPr>
                    <w:suppressLineNumbers w:val="0"/>
                    <w:shd w:val="clear"/>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28" w:type="pct"/>
                  <w:tcBorders>
                    <w:tl2br w:val="nil"/>
                    <w:tr2bl w:val="nil"/>
                  </w:tcBorders>
                  <w:shd w:val="clear" w:color="auto" w:fill="auto"/>
                  <w:vAlign w:val="center"/>
                </w:tcPr>
                <w:p w14:paraId="5CA7A07E">
                  <w:pPr>
                    <w:keepNext w:val="0"/>
                    <w:keepLines w:val="0"/>
                    <w:widowControl/>
                    <w:suppressLineNumbers w:val="0"/>
                    <w:shd w:val="clear"/>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玉米粉</w:t>
                  </w:r>
                </w:p>
              </w:tc>
              <w:tc>
                <w:tcPr>
                  <w:tcW w:w="950" w:type="pct"/>
                  <w:tcBorders>
                    <w:tl2br w:val="nil"/>
                    <w:tr2bl w:val="nil"/>
                  </w:tcBorders>
                  <w:shd w:val="clear" w:color="auto" w:fill="auto"/>
                  <w:vAlign w:val="center"/>
                </w:tcPr>
                <w:p w14:paraId="67D09F90">
                  <w:pPr>
                    <w:keepNext w:val="0"/>
                    <w:keepLines w:val="0"/>
                    <w:widowControl/>
                    <w:suppressLineNumbers w:val="0"/>
                    <w:shd w:val="clear"/>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2.842</w:t>
                  </w:r>
                </w:p>
              </w:tc>
              <w:tc>
                <w:tcPr>
                  <w:tcW w:w="1684" w:type="pct"/>
                  <w:tcBorders>
                    <w:tl2br w:val="nil"/>
                    <w:tr2bl w:val="nil"/>
                  </w:tcBorders>
                  <w:shd w:val="clear" w:color="auto" w:fill="auto"/>
                  <w:noWrap/>
                  <w:vAlign w:val="center"/>
                </w:tcPr>
                <w:p w14:paraId="2853B891">
                  <w:pPr>
                    <w:keepNext w:val="0"/>
                    <w:keepLines w:val="0"/>
                    <w:suppressLineNumbers w:val="0"/>
                    <w:shd w:val="clear"/>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暑湿感冒颗粒</w:t>
                  </w:r>
                </w:p>
              </w:tc>
              <w:tc>
                <w:tcPr>
                  <w:tcW w:w="813" w:type="pct"/>
                  <w:tcBorders>
                    <w:tl2br w:val="nil"/>
                    <w:tr2bl w:val="nil"/>
                  </w:tcBorders>
                  <w:shd w:val="clear" w:color="auto" w:fill="auto"/>
                  <w:noWrap/>
                  <w:vAlign w:val="center"/>
                </w:tcPr>
                <w:p w14:paraId="24B107DD">
                  <w:pPr>
                    <w:keepNext w:val="0"/>
                    <w:keepLines w:val="0"/>
                    <w:suppressLineNumbers w:val="0"/>
                    <w:shd w:val="clear"/>
                    <w:autoSpaceDE w:val="0"/>
                    <w:autoSpaceDN w:val="0"/>
                    <w:adjustRightInd w:val="0"/>
                    <w:spacing w:before="0" w:beforeAutospacing="0" w:after="0" w:afterAutospacing="0"/>
                    <w:ind w:left="0" w:leftChars="0" w:right="0" w:rightChars="0"/>
                    <w:jc w:val="center"/>
                    <w:rPr>
                      <w:rFonts w:hint="default" w:ascii="Times New Roman" w:hAnsi="Times New Roman"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0.5</w:t>
                  </w:r>
                </w:p>
              </w:tc>
            </w:tr>
            <w:tr w14:paraId="27E6CFE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2" w:type="pct"/>
                  <w:tcBorders>
                    <w:tl2br w:val="nil"/>
                    <w:tr2bl w:val="nil"/>
                  </w:tcBorders>
                  <w:shd w:val="clear" w:color="auto" w:fill="auto"/>
                  <w:noWrap/>
                  <w:vAlign w:val="center"/>
                </w:tcPr>
                <w:p w14:paraId="648001FC">
                  <w:pPr>
                    <w:pStyle w:val="63"/>
                    <w:keepNext w:val="0"/>
                    <w:keepLines w:val="0"/>
                    <w:pageBreakBefore w:val="0"/>
                    <w:widowControl w:val="0"/>
                    <w:numPr>
                      <w:ilvl w:val="0"/>
                      <w:numId w:val="14"/>
                    </w:numPr>
                    <w:suppressLineNumbers w:val="0"/>
                    <w:shd w:val="clear"/>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28" w:type="pct"/>
                  <w:tcBorders>
                    <w:tl2br w:val="nil"/>
                    <w:tr2bl w:val="nil"/>
                  </w:tcBorders>
                  <w:shd w:val="clear" w:color="auto" w:fill="auto"/>
                  <w:vAlign w:val="center"/>
                </w:tcPr>
                <w:p w14:paraId="7F85CDA1">
                  <w:pPr>
                    <w:keepNext w:val="0"/>
                    <w:keepLines w:val="0"/>
                    <w:widowControl/>
                    <w:suppressLineNumbers w:val="0"/>
                    <w:shd w:val="clear"/>
                    <w:spacing w:before="0" w:beforeAutospacing="0" w:after="0" w:afterAutospacing="0"/>
                    <w:ind w:left="0" w:leftChars="0" w:right="0" w:rightChars="0"/>
                    <w:jc w:val="center"/>
                    <w:textAlignment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参百灵</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药膏</w:t>
                  </w:r>
                </w:p>
              </w:tc>
              <w:tc>
                <w:tcPr>
                  <w:tcW w:w="950" w:type="pct"/>
                  <w:tcBorders>
                    <w:tl2br w:val="nil"/>
                    <w:tr2bl w:val="nil"/>
                  </w:tcBorders>
                  <w:shd w:val="clear" w:color="auto" w:fill="auto"/>
                  <w:vAlign w:val="center"/>
                </w:tcPr>
                <w:p w14:paraId="22BD6F80">
                  <w:pPr>
                    <w:keepNext w:val="0"/>
                    <w:keepLines w:val="0"/>
                    <w:widowControl/>
                    <w:suppressLineNumbers w:val="0"/>
                    <w:shd w:val="clear"/>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0.5</w:t>
                  </w:r>
                </w:p>
              </w:tc>
              <w:tc>
                <w:tcPr>
                  <w:tcW w:w="1684" w:type="pct"/>
                  <w:tcBorders>
                    <w:tl2br w:val="nil"/>
                    <w:tr2bl w:val="nil"/>
                  </w:tcBorders>
                  <w:shd w:val="clear" w:color="auto" w:fill="auto"/>
                  <w:noWrap/>
                  <w:vAlign w:val="center"/>
                </w:tcPr>
                <w:p w14:paraId="5B94722D">
                  <w:pPr>
                    <w:keepNext w:val="0"/>
                    <w:keepLines w:val="0"/>
                    <w:suppressLineNumbers w:val="0"/>
                    <w:shd w:val="clear"/>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散痈解毒颗粒</w:t>
                  </w:r>
                </w:p>
              </w:tc>
              <w:tc>
                <w:tcPr>
                  <w:tcW w:w="813" w:type="pct"/>
                  <w:tcBorders>
                    <w:tl2br w:val="nil"/>
                    <w:tr2bl w:val="nil"/>
                  </w:tcBorders>
                  <w:shd w:val="clear" w:color="auto" w:fill="auto"/>
                  <w:noWrap/>
                  <w:vAlign w:val="center"/>
                </w:tcPr>
                <w:p w14:paraId="1AFBCDE2">
                  <w:pPr>
                    <w:keepNext w:val="0"/>
                    <w:keepLines w:val="0"/>
                    <w:suppressLineNumbers w:val="0"/>
                    <w:shd w:val="clear"/>
                    <w:spacing w:before="0" w:beforeAutospacing="0" w:after="0" w:afterAutospacing="0"/>
                    <w:ind w:left="0" w:leftChars="0" w:right="0" w:rightChars="0"/>
                    <w:jc w:val="center"/>
                    <w:rPr>
                      <w:rFonts w:hint="default" w:ascii="Times New Roman" w:hAnsi="Times New Roman"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0.5</w:t>
                  </w:r>
                </w:p>
              </w:tc>
            </w:tr>
            <w:tr w14:paraId="389AC52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2" w:type="pct"/>
                  <w:tcBorders>
                    <w:tl2br w:val="nil"/>
                    <w:tr2bl w:val="nil"/>
                  </w:tcBorders>
                  <w:shd w:val="clear" w:color="auto" w:fill="auto"/>
                  <w:noWrap/>
                  <w:vAlign w:val="center"/>
                </w:tcPr>
                <w:p w14:paraId="391CE180">
                  <w:pPr>
                    <w:pStyle w:val="63"/>
                    <w:keepNext w:val="0"/>
                    <w:keepLines w:val="0"/>
                    <w:pageBreakBefore w:val="0"/>
                    <w:widowControl w:val="0"/>
                    <w:numPr>
                      <w:ilvl w:val="0"/>
                      <w:numId w:val="14"/>
                    </w:numPr>
                    <w:suppressLineNumbers w:val="0"/>
                    <w:shd w:val="clear"/>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28" w:type="pct"/>
                  <w:tcBorders>
                    <w:tl2br w:val="nil"/>
                    <w:tr2bl w:val="nil"/>
                  </w:tcBorders>
                  <w:shd w:val="clear" w:color="auto" w:fill="auto"/>
                  <w:vAlign w:val="center"/>
                </w:tcPr>
                <w:p w14:paraId="6A49C2FB">
                  <w:pPr>
                    <w:keepNext w:val="0"/>
                    <w:keepLines w:val="0"/>
                    <w:widowControl/>
                    <w:suppressLineNumbers w:val="0"/>
                    <w:shd w:val="clear"/>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表实感冒</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药膏</w:t>
                  </w:r>
                </w:p>
              </w:tc>
              <w:tc>
                <w:tcPr>
                  <w:tcW w:w="950" w:type="pct"/>
                  <w:tcBorders>
                    <w:tl2br w:val="nil"/>
                    <w:tr2bl w:val="nil"/>
                  </w:tcBorders>
                  <w:shd w:val="clear" w:color="auto" w:fill="auto"/>
                  <w:vAlign w:val="center"/>
                </w:tcPr>
                <w:p w14:paraId="0C3D5172">
                  <w:pPr>
                    <w:keepNext w:val="0"/>
                    <w:keepLines w:val="0"/>
                    <w:widowControl/>
                    <w:suppressLineNumbers w:val="0"/>
                    <w:shd w:val="clear"/>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0.4</w:t>
                  </w:r>
                </w:p>
              </w:tc>
              <w:tc>
                <w:tcPr>
                  <w:tcW w:w="1684" w:type="pct"/>
                  <w:tcBorders>
                    <w:tl2br w:val="nil"/>
                    <w:tr2bl w:val="nil"/>
                  </w:tcBorders>
                  <w:shd w:val="clear" w:color="auto" w:fill="auto"/>
                  <w:noWrap/>
                  <w:vAlign w:val="center"/>
                </w:tcPr>
                <w:p w14:paraId="152A7407">
                  <w:pPr>
                    <w:keepNext w:val="0"/>
                    <w:keepLines w:val="0"/>
                    <w:suppressLineNumbers w:val="0"/>
                    <w:shd w:val="clear"/>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经典名方颗粒</w:t>
                  </w:r>
                </w:p>
              </w:tc>
              <w:tc>
                <w:tcPr>
                  <w:tcW w:w="813" w:type="pct"/>
                  <w:tcBorders>
                    <w:tl2br w:val="nil"/>
                    <w:tr2bl w:val="nil"/>
                  </w:tcBorders>
                  <w:shd w:val="clear" w:color="auto" w:fill="auto"/>
                  <w:noWrap/>
                  <w:vAlign w:val="center"/>
                </w:tcPr>
                <w:p w14:paraId="291D713D">
                  <w:pPr>
                    <w:keepNext w:val="0"/>
                    <w:keepLines w:val="0"/>
                    <w:suppressLineNumbers w:val="0"/>
                    <w:shd w:val="clear"/>
                    <w:spacing w:before="0" w:beforeAutospacing="0" w:after="0" w:afterAutospacing="0"/>
                    <w:ind w:left="0" w:leftChars="0" w:right="0" w:rightChars="0"/>
                    <w:jc w:val="center"/>
                    <w:rPr>
                      <w:rFonts w:hint="default" w:ascii="Times New Roman" w:hAnsi="Times New Roman"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2</w:t>
                  </w:r>
                </w:p>
              </w:tc>
            </w:tr>
            <w:tr w14:paraId="526DBBE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2" w:type="pct"/>
                  <w:tcBorders>
                    <w:tl2br w:val="nil"/>
                    <w:tr2bl w:val="nil"/>
                  </w:tcBorders>
                  <w:shd w:val="clear" w:color="auto" w:fill="auto"/>
                  <w:noWrap/>
                  <w:vAlign w:val="center"/>
                </w:tcPr>
                <w:p w14:paraId="52BB4B5F">
                  <w:pPr>
                    <w:pStyle w:val="63"/>
                    <w:keepNext w:val="0"/>
                    <w:keepLines w:val="0"/>
                    <w:pageBreakBefore w:val="0"/>
                    <w:widowControl w:val="0"/>
                    <w:numPr>
                      <w:ilvl w:val="0"/>
                      <w:numId w:val="14"/>
                    </w:numPr>
                    <w:suppressLineNumbers w:val="0"/>
                    <w:shd w:val="clear"/>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28" w:type="pct"/>
                  <w:tcBorders>
                    <w:tl2br w:val="nil"/>
                    <w:tr2bl w:val="nil"/>
                  </w:tcBorders>
                  <w:shd w:val="clear" w:color="auto" w:fill="auto"/>
                  <w:vAlign w:val="center"/>
                </w:tcPr>
                <w:p w14:paraId="02D84EFE">
                  <w:pPr>
                    <w:keepNext w:val="0"/>
                    <w:keepLines w:val="0"/>
                    <w:widowControl/>
                    <w:suppressLineNumbers w:val="0"/>
                    <w:shd w:val="clear"/>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暑湿感冒</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药膏</w:t>
                  </w:r>
                </w:p>
              </w:tc>
              <w:tc>
                <w:tcPr>
                  <w:tcW w:w="950" w:type="pct"/>
                  <w:tcBorders>
                    <w:tl2br w:val="nil"/>
                    <w:tr2bl w:val="nil"/>
                  </w:tcBorders>
                  <w:shd w:val="clear" w:color="auto" w:fill="auto"/>
                  <w:vAlign w:val="center"/>
                </w:tcPr>
                <w:p w14:paraId="69CDD58B">
                  <w:pPr>
                    <w:keepNext w:val="0"/>
                    <w:keepLines w:val="0"/>
                    <w:widowControl/>
                    <w:suppressLineNumbers w:val="0"/>
                    <w:shd w:val="clear"/>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0.4</w:t>
                  </w:r>
                </w:p>
              </w:tc>
              <w:tc>
                <w:tcPr>
                  <w:tcW w:w="1684" w:type="pct"/>
                  <w:tcBorders>
                    <w:tl2br w:val="nil"/>
                    <w:tr2bl w:val="nil"/>
                  </w:tcBorders>
                  <w:shd w:val="clear" w:color="auto" w:fill="auto"/>
                  <w:noWrap/>
                  <w:vAlign w:val="center"/>
                </w:tcPr>
                <w:p w14:paraId="56554328">
                  <w:pPr>
                    <w:keepNext w:val="0"/>
                    <w:keepLines w:val="0"/>
                    <w:suppressLineNumbers w:val="0"/>
                    <w:shd w:val="clear"/>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气滞胃痛片</w:t>
                  </w:r>
                </w:p>
              </w:tc>
              <w:tc>
                <w:tcPr>
                  <w:tcW w:w="813" w:type="pct"/>
                  <w:tcBorders>
                    <w:tl2br w:val="nil"/>
                    <w:tr2bl w:val="nil"/>
                  </w:tcBorders>
                  <w:shd w:val="clear" w:color="auto" w:fill="auto"/>
                  <w:noWrap/>
                  <w:vAlign w:val="center"/>
                </w:tcPr>
                <w:p w14:paraId="2ACB05E0">
                  <w:pPr>
                    <w:keepNext w:val="0"/>
                    <w:keepLines w:val="0"/>
                    <w:suppressLineNumbers w:val="0"/>
                    <w:shd w:val="clear"/>
                    <w:spacing w:before="0" w:beforeAutospacing="0" w:after="0" w:afterAutospacing="0"/>
                    <w:ind w:left="0" w:leftChars="0" w:right="0" w:rightChars="0"/>
                    <w:jc w:val="center"/>
                    <w:rPr>
                      <w:rFonts w:hint="default" w:ascii="Times New Roman" w:hAnsi="Times New Roman"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1</w:t>
                  </w:r>
                </w:p>
              </w:tc>
            </w:tr>
            <w:tr w14:paraId="34485BC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2" w:type="pct"/>
                  <w:tcBorders>
                    <w:tl2br w:val="nil"/>
                    <w:tr2bl w:val="nil"/>
                  </w:tcBorders>
                  <w:shd w:val="clear" w:color="auto" w:fill="auto"/>
                  <w:noWrap/>
                  <w:vAlign w:val="center"/>
                </w:tcPr>
                <w:p w14:paraId="04B74395">
                  <w:pPr>
                    <w:pStyle w:val="63"/>
                    <w:keepNext w:val="0"/>
                    <w:keepLines w:val="0"/>
                    <w:pageBreakBefore w:val="0"/>
                    <w:widowControl w:val="0"/>
                    <w:numPr>
                      <w:ilvl w:val="0"/>
                      <w:numId w:val="14"/>
                    </w:numPr>
                    <w:suppressLineNumbers w:val="0"/>
                    <w:shd w:val="clear"/>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28" w:type="pct"/>
                  <w:tcBorders>
                    <w:tl2br w:val="nil"/>
                    <w:tr2bl w:val="nil"/>
                  </w:tcBorders>
                  <w:shd w:val="clear" w:color="auto" w:fill="auto"/>
                  <w:vAlign w:val="center"/>
                </w:tcPr>
                <w:p w14:paraId="0DF2924F">
                  <w:pPr>
                    <w:keepNext w:val="0"/>
                    <w:keepLines w:val="0"/>
                    <w:widowControl/>
                    <w:suppressLineNumbers w:val="0"/>
                    <w:shd w:val="clear"/>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散痈解毒</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药膏</w:t>
                  </w:r>
                </w:p>
              </w:tc>
              <w:tc>
                <w:tcPr>
                  <w:tcW w:w="950" w:type="pct"/>
                  <w:tcBorders>
                    <w:tl2br w:val="nil"/>
                    <w:tr2bl w:val="nil"/>
                  </w:tcBorders>
                  <w:shd w:val="clear" w:color="auto" w:fill="auto"/>
                  <w:vAlign w:val="center"/>
                </w:tcPr>
                <w:p w14:paraId="0641C3D8">
                  <w:pPr>
                    <w:keepNext w:val="0"/>
                    <w:keepLines w:val="0"/>
                    <w:widowControl/>
                    <w:suppressLineNumbers w:val="0"/>
                    <w:shd w:val="clear"/>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0.3</w:t>
                  </w:r>
                </w:p>
              </w:tc>
              <w:tc>
                <w:tcPr>
                  <w:tcW w:w="1684" w:type="pct"/>
                  <w:tcBorders>
                    <w:tl2br w:val="nil"/>
                    <w:tr2bl w:val="nil"/>
                  </w:tcBorders>
                  <w:shd w:val="clear" w:color="auto" w:fill="auto"/>
                  <w:noWrap/>
                  <w:vAlign w:val="center"/>
                </w:tcPr>
                <w:p w14:paraId="01BB752C">
                  <w:pPr>
                    <w:keepNext w:val="0"/>
                    <w:keepLines w:val="0"/>
                    <w:suppressLineNumbers w:val="0"/>
                    <w:shd w:val="clear"/>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阴虚胃痛片</w:t>
                  </w:r>
                </w:p>
              </w:tc>
              <w:tc>
                <w:tcPr>
                  <w:tcW w:w="813" w:type="pct"/>
                  <w:tcBorders>
                    <w:tl2br w:val="nil"/>
                    <w:tr2bl w:val="nil"/>
                  </w:tcBorders>
                  <w:shd w:val="clear" w:color="auto" w:fill="auto"/>
                  <w:noWrap/>
                  <w:vAlign w:val="center"/>
                </w:tcPr>
                <w:p w14:paraId="6F7F4F94">
                  <w:pPr>
                    <w:keepNext w:val="0"/>
                    <w:keepLines w:val="0"/>
                    <w:suppressLineNumbers w:val="0"/>
                    <w:shd w:val="clear"/>
                    <w:spacing w:before="0" w:beforeAutospacing="0" w:after="0" w:afterAutospacing="0"/>
                    <w:ind w:left="0" w:leftChars="0" w:right="0" w:rightChars="0"/>
                    <w:jc w:val="center"/>
                    <w:rPr>
                      <w:rFonts w:hint="default" w:ascii="Times New Roman" w:hAnsi="Times New Roman"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1</w:t>
                  </w:r>
                </w:p>
              </w:tc>
            </w:tr>
            <w:tr w14:paraId="45FC1CD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2" w:type="pct"/>
                  <w:tcBorders>
                    <w:tl2br w:val="nil"/>
                    <w:tr2bl w:val="nil"/>
                  </w:tcBorders>
                  <w:shd w:val="clear" w:color="auto" w:fill="auto"/>
                  <w:noWrap/>
                  <w:vAlign w:val="center"/>
                </w:tcPr>
                <w:p w14:paraId="71FB5708">
                  <w:pPr>
                    <w:pStyle w:val="63"/>
                    <w:keepNext w:val="0"/>
                    <w:keepLines w:val="0"/>
                    <w:pageBreakBefore w:val="0"/>
                    <w:widowControl w:val="0"/>
                    <w:numPr>
                      <w:ilvl w:val="0"/>
                      <w:numId w:val="14"/>
                    </w:numPr>
                    <w:suppressLineNumbers w:val="0"/>
                    <w:shd w:val="clear"/>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28" w:type="pct"/>
                  <w:tcBorders>
                    <w:tl2br w:val="nil"/>
                    <w:tr2bl w:val="nil"/>
                  </w:tcBorders>
                  <w:shd w:val="clear" w:color="auto" w:fill="auto"/>
                  <w:vAlign w:val="center"/>
                </w:tcPr>
                <w:p w14:paraId="3EAD133F">
                  <w:pPr>
                    <w:keepNext w:val="0"/>
                    <w:keepLines w:val="0"/>
                    <w:widowControl/>
                    <w:suppressLineNumbers w:val="0"/>
                    <w:shd w:val="clear"/>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经典名方</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药膏</w:t>
                  </w:r>
                </w:p>
              </w:tc>
              <w:tc>
                <w:tcPr>
                  <w:tcW w:w="950" w:type="pct"/>
                  <w:tcBorders>
                    <w:tl2br w:val="nil"/>
                    <w:tr2bl w:val="nil"/>
                  </w:tcBorders>
                  <w:shd w:val="clear" w:color="auto" w:fill="auto"/>
                  <w:vAlign w:val="center"/>
                </w:tcPr>
                <w:p w14:paraId="3F40F5A8">
                  <w:pPr>
                    <w:keepNext w:val="0"/>
                    <w:keepLines w:val="0"/>
                    <w:widowControl/>
                    <w:suppressLineNumbers w:val="0"/>
                    <w:shd w:val="clear"/>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0.4</w:t>
                  </w:r>
                </w:p>
              </w:tc>
              <w:tc>
                <w:tcPr>
                  <w:tcW w:w="1684" w:type="pct"/>
                  <w:tcBorders>
                    <w:tl2br w:val="nil"/>
                    <w:tr2bl w:val="nil"/>
                  </w:tcBorders>
                  <w:shd w:val="clear" w:color="auto" w:fill="auto"/>
                  <w:noWrap/>
                  <w:vAlign w:val="center"/>
                </w:tcPr>
                <w:p w14:paraId="6EA41475">
                  <w:pPr>
                    <w:keepNext w:val="0"/>
                    <w:keepLines w:val="0"/>
                    <w:suppressLineNumbers w:val="0"/>
                    <w:shd w:val="clear"/>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阴虚胃痛胶囊</w:t>
                  </w:r>
                </w:p>
              </w:tc>
              <w:tc>
                <w:tcPr>
                  <w:tcW w:w="813" w:type="pct"/>
                  <w:tcBorders>
                    <w:tl2br w:val="nil"/>
                    <w:tr2bl w:val="nil"/>
                  </w:tcBorders>
                  <w:shd w:val="clear" w:color="auto" w:fill="auto"/>
                  <w:noWrap/>
                  <w:vAlign w:val="center"/>
                </w:tcPr>
                <w:p w14:paraId="50AC9992">
                  <w:pPr>
                    <w:keepNext w:val="0"/>
                    <w:keepLines w:val="0"/>
                    <w:suppressLineNumbers w:val="0"/>
                    <w:shd w:val="clear"/>
                    <w:spacing w:before="0" w:beforeAutospacing="0" w:after="0" w:afterAutospacing="0"/>
                    <w:ind w:left="0" w:leftChars="0" w:right="0" w:rightChars="0"/>
                    <w:jc w:val="center"/>
                    <w:rPr>
                      <w:rFonts w:hint="default" w:ascii="Times New Roman" w:hAnsi="Times New Roman"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0.8</w:t>
                  </w:r>
                </w:p>
              </w:tc>
            </w:tr>
            <w:tr w14:paraId="68DBBCC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2" w:type="pct"/>
                  <w:tcBorders>
                    <w:tl2br w:val="nil"/>
                    <w:tr2bl w:val="nil"/>
                  </w:tcBorders>
                  <w:shd w:val="clear" w:color="auto" w:fill="auto"/>
                  <w:noWrap/>
                  <w:vAlign w:val="center"/>
                </w:tcPr>
                <w:p w14:paraId="09B387F8">
                  <w:pPr>
                    <w:pStyle w:val="63"/>
                    <w:keepNext w:val="0"/>
                    <w:keepLines w:val="0"/>
                    <w:pageBreakBefore w:val="0"/>
                    <w:widowControl w:val="0"/>
                    <w:numPr>
                      <w:ilvl w:val="0"/>
                      <w:numId w:val="14"/>
                    </w:numPr>
                    <w:suppressLineNumbers w:val="0"/>
                    <w:shd w:val="clear"/>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28" w:type="pct"/>
                  <w:tcBorders>
                    <w:tl2br w:val="nil"/>
                    <w:tr2bl w:val="nil"/>
                  </w:tcBorders>
                  <w:shd w:val="clear" w:color="auto" w:fill="auto"/>
                  <w:vAlign w:val="center"/>
                </w:tcPr>
                <w:p w14:paraId="5AAF58AB">
                  <w:pPr>
                    <w:keepNext w:val="0"/>
                    <w:keepLines w:val="0"/>
                    <w:widowControl/>
                    <w:suppressLineNumbers w:val="0"/>
                    <w:shd w:val="clear"/>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气滞胃痛</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药膏</w:t>
                  </w:r>
                </w:p>
              </w:tc>
              <w:tc>
                <w:tcPr>
                  <w:tcW w:w="950" w:type="pct"/>
                  <w:tcBorders>
                    <w:tl2br w:val="nil"/>
                    <w:tr2bl w:val="nil"/>
                  </w:tcBorders>
                  <w:shd w:val="clear" w:color="auto" w:fill="auto"/>
                  <w:vAlign w:val="center"/>
                </w:tcPr>
                <w:p w14:paraId="10C391CB">
                  <w:pPr>
                    <w:keepNext w:val="0"/>
                    <w:keepLines w:val="0"/>
                    <w:widowControl/>
                    <w:suppressLineNumbers w:val="0"/>
                    <w:shd w:val="clear"/>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0.05</w:t>
                  </w:r>
                </w:p>
              </w:tc>
              <w:tc>
                <w:tcPr>
                  <w:tcW w:w="1684" w:type="pct"/>
                  <w:tcBorders>
                    <w:tl2br w:val="nil"/>
                    <w:tr2bl w:val="nil"/>
                  </w:tcBorders>
                  <w:shd w:val="clear" w:color="auto" w:fill="auto"/>
                  <w:noWrap/>
                  <w:vAlign w:val="center"/>
                </w:tcPr>
                <w:p w14:paraId="0032FD8A">
                  <w:pPr>
                    <w:keepNext w:val="0"/>
                    <w:keepLines w:val="0"/>
                    <w:suppressLineNumbers w:val="0"/>
                    <w:shd w:val="clear"/>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寒湿痹胶囊</w:t>
                  </w:r>
                </w:p>
              </w:tc>
              <w:tc>
                <w:tcPr>
                  <w:tcW w:w="813" w:type="pct"/>
                  <w:tcBorders>
                    <w:tl2br w:val="nil"/>
                    <w:tr2bl w:val="nil"/>
                  </w:tcBorders>
                  <w:shd w:val="clear" w:color="auto" w:fill="auto"/>
                  <w:noWrap/>
                  <w:vAlign w:val="center"/>
                </w:tcPr>
                <w:p w14:paraId="396D5FFD">
                  <w:pPr>
                    <w:keepNext w:val="0"/>
                    <w:keepLines w:val="0"/>
                    <w:suppressLineNumbers w:val="0"/>
                    <w:shd w:val="clear"/>
                    <w:spacing w:before="0" w:beforeAutospacing="0" w:after="0" w:afterAutospacing="0"/>
                    <w:ind w:left="0" w:leftChars="0" w:right="0" w:rightChars="0"/>
                    <w:jc w:val="center"/>
                    <w:rPr>
                      <w:rFonts w:hint="default" w:ascii="Times New Roman" w:hAnsi="Times New Roman"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1</w:t>
                  </w:r>
                </w:p>
              </w:tc>
            </w:tr>
            <w:tr w14:paraId="6C78707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2" w:type="pct"/>
                  <w:tcBorders>
                    <w:tl2br w:val="nil"/>
                    <w:tr2bl w:val="nil"/>
                  </w:tcBorders>
                  <w:shd w:val="clear" w:color="auto" w:fill="auto"/>
                  <w:noWrap/>
                  <w:vAlign w:val="center"/>
                </w:tcPr>
                <w:p w14:paraId="4DEB31B9">
                  <w:pPr>
                    <w:pStyle w:val="63"/>
                    <w:keepNext w:val="0"/>
                    <w:keepLines w:val="0"/>
                    <w:pageBreakBefore w:val="0"/>
                    <w:widowControl w:val="0"/>
                    <w:numPr>
                      <w:ilvl w:val="0"/>
                      <w:numId w:val="14"/>
                    </w:numPr>
                    <w:suppressLineNumbers w:val="0"/>
                    <w:shd w:val="clear"/>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28" w:type="pct"/>
                  <w:tcBorders>
                    <w:tl2br w:val="nil"/>
                    <w:tr2bl w:val="nil"/>
                  </w:tcBorders>
                  <w:shd w:val="clear" w:color="auto" w:fill="auto"/>
                  <w:vAlign w:val="center"/>
                </w:tcPr>
                <w:p w14:paraId="4B3D5522">
                  <w:pPr>
                    <w:keepNext w:val="0"/>
                    <w:keepLines w:val="0"/>
                    <w:widowControl/>
                    <w:suppressLineNumbers w:val="0"/>
                    <w:shd w:val="clear"/>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阴虚胃痛</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药膏</w:t>
                  </w:r>
                </w:p>
              </w:tc>
              <w:tc>
                <w:tcPr>
                  <w:tcW w:w="950" w:type="pct"/>
                  <w:tcBorders>
                    <w:tl2br w:val="nil"/>
                    <w:tr2bl w:val="nil"/>
                  </w:tcBorders>
                  <w:shd w:val="clear" w:color="auto" w:fill="auto"/>
                  <w:vAlign w:val="center"/>
                </w:tcPr>
                <w:p w14:paraId="02ABBC4F">
                  <w:pPr>
                    <w:keepNext w:val="0"/>
                    <w:keepLines w:val="0"/>
                    <w:widowControl/>
                    <w:suppressLineNumbers w:val="0"/>
                    <w:shd w:val="clear"/>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0.1</w:t>
                  </w:r>
                </w:p>
              </w:tc>
              <w:tc>
                <w:tcPr>
                  <w:tcW w:w="1684" w:type="pct"/>
                  <w:tcBorders>
                    <w:tl2br w:val="nil"/>
                    <w:tr2bl w:val="nil"/>
                  </w:tcBorders>
                  <w:shd w:val="clear" w:color="auto" w:fill="auto"/>
                  <w:noWrap/>
                  <w:vAlign w:val="center"/>
                </w:tcPr>
                <w:p w14:paraId="63ADA963">
                  <w:pPr>
                    <w:keepNext w:val="0"/>
                    <w:keepLines w:val="0"/>
                    <w:suppressLineNumbers w:val="0"/>
                    <w:shd w:val="clear"/>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尪痹胶囊</w:t>
                  </w:r>
                </w:p>
              </w:tc>
              <w:tc>
                <w:tcPr>
                  <w:tcW w:w="813" w:type="pct"/>
                  <w:tcBorders>
                    <w:tl2br w:val="nil"/>
                    <w:tr2bl w:val="nil"/>
                  </w:tcBorders>
                  <w:shd w:val="clear" w:color="auto" w:fill="auto"/>
                  <w:noWrap/>
                  <w:vAlign w:val="center"/>
                </w:tcPr>
                <w:p w14:paraId="4FB6216A">
                  <w:pPr>
                    <w:keepNext w:val="0"/>
                    <w:keepLines w:val="0"/>
                    <w:suppressLineNumbers w:val="0"/>
                    <w:shd w:val="clear"/>
                    <w:spacing w:before="0" w:beforeAutospacing="0" w:after="0" w:afterAutospacing="0"/>
                    <w:ind w:left="0" w:leftChars="0" w:right="0" w:rightChars="0"/>
                    <w:jc w:val="center"/>
                    <w:rPr>
                      <w:rFonts w:hint="default" w:ascii="Times New Roman" w:hAnsi="Times New Roman"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1.7</w:t>
                  </w:r>
                </w:p>
              </w:tc>
            </w:tr>
            <w:tr w14:paraId="5E1499E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2" w:type="pct"/>
                  <w:tcBorders>
                    <w:tl2br w:val="nil"/>
                    <w:tr2bl w:val="nil"/>
                  </w:tcBorders>
                  <w:shd w:val="clear" w:color="auto" w:fill="auto"/>
                  <w:noWrap/>
                  <w:vAlign w:val="center"/>
                </w:tcPr>
                <w:p w14:paraId="0AE66D97">
                  <w:pPr>
                    <w:pStyle w:val="63"/>
                    <w:keepNext w:val="0"/>
                    <w:keepLines w:val="0"/>
                    <w:pageBreakBefore w:val="0"/>
                    <w:widowControl w:val="0"/>
                    <w:numPr>
                      <w:ilvl w:val="0"/>
                      <w:numId w:val="14"/>
                    </w:numPr>
                    <w:suppressLineNumbers w:val="0"/>
                    <w:shd w:val="clear"/>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28" w:type="pct"/>
                  <w:tcBorders>
                    <w:tl2br w:val="nil"/>
                    <w:tr2bl w:val="nil"/>
                  </w:tcBorders>
                  <w:shd w:val="clear" w:color="auto" w:fill="auto"/>
                  <w:vAlign w:val="center"/>
                </w:tcPr>
                <w:p w14:paraId="2CCA6252">
                  <w:pPr>
                    <w:keepNext w:val="0"/>
                    <w:keepLines w:val="0"/>
                    <w:widowControl/>
                    <w:suppressLineNumbers w:val="0"/>
                    <w:shd w:val="clear"/>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寒湿痹</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药膏</w:t>
                  </w:r>
                </w:p>
              </w:tc>
              <w:tc>
                <w:tcPr>
                  <w:tcW w:w="950" w:type="pct"/>
                  <w:tcBorders>
                    <w:tl2br w:val="nil"/>
                    <w:tr2bl w:val="nil"/>
                  </w:tcBorders>
                  <w:shd w:val="clear" w:color="auto" w:fill="auto"/>
                  <w:vAlign w:val="center"/>
                </w:tcPr>
                <w:p w14:paraId="7D92DEBC">
                  <w:pPr>
                    <w:keepNext w:val="0"/>
                    <w:keepLines w:val="0"/>
                    <w:widowControl/>
                    <w:suppressLineNumbers w:val="0"/>
                    <w:shd w:val="clear"/>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0.1</w:t>
                  </w:r>
                </w:p>
              </w:tc>
              <w:tc>
                <w:tcPr>
                  <w:tcW w:w="1684" w:type="pct"/>
                  <w:tcBorders>
                    <w:tl2br w:val="nil"/>
                    <w:tr2bl w:val="nil"/>
                  </w:tcBorders>
                  <w:shd w:val="clear" w:color="auto" w:fill="auto"/>
                  <w:noWrap/>
                  <w:vAlign w:val="center"/>
                </w:tcPr>
                <w:p w14:paraId="24DA90B8">
                  <w:pPr>
                    <w:pStyle w:val="28"/>
                    <w:keepNext w:val="0"/>
                    <w:keepLines w:val="0"/>
                    <w:suppressLineNumbers w:val="0"/>
                    <w:shd w:val="clear"/>
                    <w:bidi w:val="0"/>
                    <w:spacing w:before="0" w:beforeAutospacing="0" w:after="0" w:afterAutospacing="0"/>
                    <w:ind w:left="420" w:leftChars="0" w:right="0" w:rightChars="0" w:hanging="420" w:hangingChars="20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有组织废气</w:t>
                  </w:r>
                </w:p>
              </w:tc>
              <w:tc>
                <w:tcPr>
                  <w:tcW w:w="813" w:type="pct"/>
                  <w:tcBorders>
                    <w:tl2br w:val="nil"/>
                    <w:tr2bl w:val="nil"/>
                  </w:tcBorders>
                  <w:shd w:val="clear" w:color="auto" w:fill="auto"/>
                  <w:noWrap/>
                  <w:vAlign w:val="center"/>
                </w:tcPr>
                <w:p w14:paraId="22BA63FF">
                  <w:pPr>
                    <w:pStyle w:val="28"/>
                    <w:keepNext w:val="0"/>
                    <w:keepLines w:val="0"/>
                    <w:suppressLineNumbers w:val="0"/>
                    <w:shd w:val="clear"/>
                    <w:bidi w:val="0"/>
                    <w:spacing w:before="0" w:beforeAutospacing="0" w:after="0" w:afterAutospacing="0"/>
                    <w:ind w:left="420" w:leftChars="0" w:right="0" w:hanging="420" w:hangingChars="20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0.0003</w:t>
                  </w:r>
                </w:p>
              </w:tc>
            </w:tr>
            <w:tr w14:paraId="4A58F43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2" w:type="pct"/>
                  <w:tcBorders>
                    <w:tl2br w:val="nil"/>
                    <w:tr2bl w:val="nil"/>
                  </w:tcBorders>
                  <w:shd w:val="clear" w:color="auto" w:fill="auto"/>
                  <w:noWrap/>
                  <w:vAlign w:val="center"/>
                </w:tcPr>
                <w:p w14:paraId="0ED2F82A">
                  <w:pPr>
                    <w:pStyle w:val="63"/>
                    <w:keepNext w:val="0"/>
                    <w:keepLines w:val="0"/>
                    <w:pageBreakBefore w:val="0"/>
                    <w:widowControl w:val="0"/>
                    <w:numPr>
                      <w:ilvl w:val="0"/>
                      <w:numId w:val="14"/>
                    </w:numPr>
                    <w:suppressLineNumbers w:val="0"/>
                    <w:shd w:val="clear"/>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28" w:type="pct"/>
                  <w:tcBorders>
                    <w:tl2br w:val="nil"/>
                    <w:tr2bl w:val="nil"/>
                  </w:tcBorders>
                  <w:shd w:val="clear" w:color="auto" w:fill="auto"/>
                  <w:vAlign w:val="center"/>
                </w:tcPr>
                <w:p w14:paraId="3F2AA03F">
                  <w:pPr>
                    <w:keepNext w:val="0"/>
                    <w:keepLines w:val="0"/>
                    <w:widowControl/>
                    <w:suppressLineNumbers w:val="0"/>
                    <w:shd w:val="clear"/>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尪痹</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药膏</w:t>
                  </w:r>
                </w:p>
              </w:tc>
              <w:tc>
                <w:tcPr>
                  <w:tcW w:w="950" w:type="pct"/>
                  <w:tcBorders>
                    <w:tl2br w:val="nil"/>
                    <w:tr2bl w:val="nil"/>
                  </w:tcBorders>
                  <w:shd w:val="clear" w:color="auto" w:fill="auto"/>
                  <w:vAlign w:val="center"/>
                </w:tcPr>
                <w:p w14:paraId="62B6175A">
                  <w:pPr>
                    <w:keepNext w:val="0"/>
                    <w:keepLines w:val="0"/>
                    <w:widowControl/>
                    <w:suppressLineNumbers w:val="0"/>
                    <w:shd w:val="clear"/>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0.4</w:t>
                  </w:r>
                </w:p>
              </w:tc>
              <w:tc>
                <w:tcPr>
                  <w:tcW w:w="1684" w:type="pct"/>
                  <w:tcBorders>
                    <w:tl2br w:val="nil"/>
                    <w:tr2bl w:val="nil"/>
                  </w:tcBorders>
                  <w:shd w:val="clear" w:color="auto" w:fill="auto"/>
                  <w:noWrap/>
                  <w:vAlign w:val="center"/>
                </w:tcPr>
                <w:p w14:paraId="6E7FD15D">
                  <w:pPr>
                    <w:pStyle w:val="28"/>
                    <w:keepNext w:val="0"/>
                    <w:keepLines w:val="0"/>
                    <w:suppressLineNumbers w:val="0"/>
                    <w:shd w:val="clear"/>
                    <w:bidi w:val="0"/>
                    <w:spacing w:before="0" w:beforeAutospacing="0" w:after="0" w:afterAutospacing="0"/>
                    <w:ind w:left="420" w:leftChars="0" w:right="0" w:rightChars="0" w:hanging="420" w:hangingChars="20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无组织废气</w:t>
                  </w:r>
                </w:p>
              </w:tc>
              <w:tc>
                <w:tcPr>
                  <w:tcW w:w="813" w:type="pct"/>
                  <w:tcBorders>
                    <w:tl2br w:val="nil"/>
                    <w:tr2bl w:val="nil"/>
                  </w:tcBorders>
                  <w:shd w:val="clear" w:color="auto" w:fill="auto"/>
                  <w:noWrap/>
                  <w:vAlign w:val="center"/>
                </w:tcPr>
                <w:p w14:paraId="6882FE19">
                  <w:pPr>
                    <w:pStyle w:val="28"/>
                    <w:keepNext w:val="0"/>
                    <w:keepLines w:val="0"/>
                    <w:suppressLineNumbers w:val="0"/>
                    <w:shd w:val="clear"/>
                    <w:bidi w:val="0"/>
                    <w:spacing w:before="0" w:beforeAutospacing="0" w:after="0" w:afterAutospacing="0"/>
                    <w:ind w:left="420" w:leftChars="0" w:right="0" w:hanging="420" w:hangingChars="20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0.0084</w:t>
                  </w:r>
                </w:p>
              </w:tc>
            </w:tr>
            <w:tr w14:paraId="4AC8D77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2" w:type="pct"/>
                  <w:tcBorders>
                    <w:tl2br w:val="nil"/>
                    <w:tr2bl w:val="nil"/>
                  </w:tcBorders>
                  <w:shd w:val="clear" w:color="auto" w:fill="auto"/>
                  <w:noWrap/>
                  <w:vAlign w:val="center"/>
                </w:tcPr>
                <w:p w14:paraId="0AB91D9A">
                  <w:pPr>
                    <w:pStyle w:val="63"/>
                    <w:keepNext w:val="0"/>
                    <w:keepLines w:val="0"/>
                    <w:pageBreakBefore w:val="0"/>
                    <w:widowControl w:val="0"/>
                    <w:numPr>
                      <w:ilvl w:val="0"/>
                      <w:numId w:val="14"/>
                    </w:numPr>
                    <w:suppressLineNumbers w:val="0"/>
                    <w:shd w:val="clear"/>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28" w:type="pct"/>
                  <w:tcBorders>
                    <w:tl2br w:val="nil"/>
                    <w:tr2bl w:val="nil"/>
                  </w:tcBorders>
                  <w:shd w:val="clear" w:color="auto" w:fill="auto"/>
                  <w:vAlign w:val="center"/>
                </w:tcPr>
                <w:p w14:paraId="2D70702D">
                  <w:pPr>
                    <w:keepNext w:val="0"/>
                    <w:keepLines w:val="0"/>
                    <w:widowControl/>
                    <w:suppressLineNumbers w:val="0"/>
                    <w:shd w:val="clear"/>
                    <w:spacing w:before="0" w:beforeAutospacing="0" w:after="0" w:afterAutospacing="0"/>
                    <w:ind w:left="0" w:leftChars="0" w:right="0" w:rightChars="0"/>
                    <w:jc w:val="center"/>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软化水</w:t>
                  </w:r>
                </w:p>
              </w:tc>
              <w:tc>
                <w:tcPr>
                  <w:tcW w:w="950" w:type="pct"/>
                  <w:tcBorders>
                    <w:tl2br w:val="nil"/>
                    <w:tr2bl w:val="nil"/>
                  </w:tcBorders>
                  <w:shd w:val="clear" w:color="auto" w:fill="auto"/>
                  <w:vAlign w:val="center"/>
                </w:tcPr>
                <w:p w14:paraId="49684E6E">
                  <w:pPr>
                    <w:keepNext w:val="0"/>
                    <w:keepLines w:val="0"/>
                    <w:widowControl/>
                    <w:suppressLineNumbers w:val="0"/>
                    <w:shd w:val="clear"/>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1.050</w:t>
                  </w:r>
                </w:p>
              </w:tc>
              <w:tc>
                <w:tcPr>
                  <w:tcW w:w="1684" w:type="pct"/>
                  <w:tcBorders>
                    <w:tl2br w:val="nil"/>
                    <w:tr2bl w:val="nil"/>
                  </w:tcBorders>
                  <w:shd w:val="clear" w:color="auto" w:fill="auto"/>
                  <w:noWrap/>
                  <w:vAlign w:val="center"/>
                </w:tcPr>
                <w:p w14:paraId="64763AB1">
                  <w:pPr>
                    <w:pStyle w:val="28"/>
                    <w:keepNext w:val="0"/>
                    <w:keepLines w:val="0"/>
                    <w:suppressLineNumbers w:val="0"/>
                    <w:shd w:val="clear"/>
                    <w:bidi w:val="0"/>
                    <w:spacing w:before="0" w:beforeAutospacing="0" w:after="0" w:afterAutospacing="0"/>
                    <w:ind w:left="420" w:leftChars="0" w:right="0" w:rightChars="0" w:hanging="420" w:hangingChars="20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除尘灰</w:t>
                  </w:r>
                </w:p>
              </w:tc>
              <w:tc>
                <w:tcPr>
                  <w:tcW w:w="813" w:type="pct"/>
                  <w:tcBorders>
                    <w:tl2br w:val="nil"/>
                    <w:tr2bl w:val="nil"/>
                  </w:tcBorders>
                  <w:shd w:val="clear" w:color="auto" w:fill="auto"/>
                  <w:noWrap/>
                  <w:vAlign w:val="center"/>
                </w:tcPr>
                <w:p w14:paraId="1BADADA0">
                  <w:pPr>
                    <w:pStyle w:val="28"/>
                    <w:keepNext w:val="0"/>
                    <w:keepLines w:val="0"/>
                    <w:suppressLineNumbers w:val="0"/>
                    <w:shd w:val="clear"/>
                    <w:bidi w:val="0"/>
                    <w:spacing w:before="0" w:beforeAutospacing="0" w:after="0" w:afterAutospacing="0"/>
                    <w:ind w:left="420" w:leftChars="0" w:right="0" w:hanging="420" w:hangingChars="20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0.0333</w:t>
                  </w:r>
                </w:p>
              </w:tc>
            </w:tr>
            <w:tr w14:paraId="070FC58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2" w:type="pct"/>
                  <w:tcBorders>
                    <w:tl2br w:val="nil"/>
                    <w:tr2bl w:val="nil"/>
                  </w:tcBorders>
                  <w:shd w:val="clear" w:color="auto" w:fill="auto"/>
                  <w:noWrap/>
                  <w:vAlign w:val="center"/>
                </w:tcPr>
                <w:p w14:paraId="199E1305">
                  <w:pPr>
                    <w:pStyle w:val="63"/>
                    <w:keepNext w:val="0"/>
                    <w:keepLines w:val="0"/>
                    <w:pageBreakBefore w:val="0"/>
                    <w:widowControl w:val="0"/>
                    <w:numPr>
                      <w:ilvl w:val="0"/>
                      <w:numId w:val="14"/>
                    </w:numPr>
                    <w:suppressLineNumbers w:val="0"/>
                    <w:shd w:val="clear"/>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28" w:type="pct"/>
                  <w:tcBorders>
                    <w:tl2br w:val="nil"/>
                    <w:tr2bl w:val="nil"/>
                  </w:tcBorders>
                  <w:shd w:val="clear" w:color="auto" w:fill="auto"/>
                  <w:vAlign w:val="center"/>
                </w:tcPr>
                <w:p w14:paraId="77AB1F36">
                  <w:pPr>
                    <w:keepNext w:val="0"/>
                    <w:keepLines w:val="0"/>
                    <w:widowControl/>
                    <w:suppressLineNumbers w:val="0"/>
                    <w:shd w:val="clear"/>
                    <w:spacing w:before="0" w:beforeAutospacing="0" w:after="0" w:afterAutospacing="0"/>
                    <w:ind w:left="0" w:leftChars="0" w:right="0" w:rightChars="0"/>
                    <w:jc w:val="center"/>
                    <w:rPr>
                      <w:rFonts w:hint="eastAsia" w:ascii="Times New Roman" w:hAnsi="Times New Roman" w:eastAsia="宋体" w:cs="Times New Roman"/>
                      <w:color w:val="000000" w:themeColor="text1"/>
                      <w:sz w:val="21"/>
                      <w:szCs w:val="21"/>
                      <w:highlight w:val="none"/>
                      <w14:textFill>
                        <w14:solidFill>
                          <w14:schemeClr w14:val="tx1"/>
                        </w14:solidFill>
                      </w14:textFill>
                    </w:rPr>
                  </w:pPr>
                </w:p>
              </w:tc>
              <w:tc>
                <w:tcPr>
                  <w:tcW w:w="950" w:type="pct"/>
                  <w:tcBorders>
                    <w:tl2br w:val="nil"/>
                    <w:tr2bl w:val="nil"/>
                  </w:tcBorders>
                  <w:shd w:val="clear" w:color="auto" w:fill="auto"/>
                  <w:vAlign w:val="center"/>
                </w:tcPr>
                <w:p w14:paraId="45B077E5">
                  <w:pPr>
                    <w:keepNext w:val="0"/>
                    <w:keepLines w:val="0"/>
                    <w:widowControl/>
                    <w:suppressLineNumbers w:val="0"/>
                    <w:shd w:val="clear"/>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1684" w:type="pct"/>
                  <w:tcBorders>
                    <w:tl2br w:val="nil"/>
                    <w:tr2bl w:val="nil"/>
                  </w:tcBorders>
                  <w:shd w:val="clear" w:color="auto" w:fill="auto"/>
                  <w:noWrap/>
                  <w:vAlign w:val="center"/>
                </w:tcPr>
                <w:p w14:paraId="18CC9A57">
                  <w:pPr>
                    <w:pStyle w:val="28"/>
                    <w:keepNext w:val="0"/>
                    <w:keepLines w:val="0"/>
                    <w:suppressLineNumbers w:val="0"/>
                    <w:shd w:val="clear"/>
                    <w:bidi w:val="0"/>
                    <w:spacing w:before="0" w:beforeAutospacing="0" w:after="0" w:afterAutospacing="0"/>
                    <w:ind w:left="420" w:leftChars="0" w:right="0" w:rightChars="0" w:hanging="420" w:hangingChars="20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813" w:type="pct"/>
                  <w:tcBorders>
                    <w:tl2br w:val="nil"/>
                    <w:tr2bl w:val="nil"/>
                  </w:tcBorders>
                  <w:shd w:val="clear" w:color="auto" w:fill="auto"/>
                  <w:noWrap/>
                  <w:vAlign w:val="center"/>
                </w:tcPr>
                <w:p w14:paraId="4B1B5042">
                  <w:pPr>
                    <w:pStyle w:val="28"/>
                    <w:keepNext w:val="0"/>
                    <w:keepLines w:val="0"/>
                    <w:suppressLineNumbers w:val="0"/>
                    <w:shd w:val="clear"/>
                    <w:bidi w:val="0"/>
                    <w:spacing w:before="0" w:beforeAutospacing="0" w:after="0" w:afterAutospacing="0"/>
                    <w:ind w:left="420" w:leftChars="0" w:right="0" w:hanging="420" w:hangingChars="20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r>
            <w:tr w14:paraId="22E6D17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50" w:type="pct"/>
                  <w:gridSpan w:val="2"/>
                  <w:tcBorders>
                    <w:tl2br w:val="nil"/>
                    <w:tr2bl w:val="nil"/>
                  </w:tcBorders>
                  <w:shd w:val="clear" w:color="auto" w:fill="auto"/>
                  <w:noWrap/>
                  <w:vAlign w:val="center"/>
                </w:tcPr>
                <w:p w14:paraId="4EEFF462">
                  <w:pPr>
                    <w:pStyle w:val="28"/>
                    <w:keepNext w:val="0"/>
                    <w:keepLines w:val="0"/>
                    <w:suppressLineNumbers w:val="0"/>
                    <w:shd w:val="clear"/>
                    <w:bidi w:val="0"/>
                    <w:spacing w:before="0" w:beforeAutospacing="0" w:after="0" w:afterAutospacing="0"/>
                    <w:ind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合计</w:t>
                  </w:r>
                </w:p>
              </w:tc>
              <w:tc>
                <w:tcPr>
                  <w:tcW w:w="950" w:type="pct"/>
                  <w:tcBorders>
                    <w:tl2br w:val="nil"/>
                    <w:tr2bl w:val="nil"/>
                  </w:tcBorders>
                  <w:shd w:val="clear" w:color="auto" w:fill="auto"/>
                  <w:noWrap/>
                  <w:vAlign w:val="center"/>
                </w:tcPr>
                <w:p w14:paraId="45ADB458">
                  <w:pPr>
                    <w:pStyle w:val="28"/>
                    <w:keepNext w:val="0"/>
                    <w:keepLines w:val="0"/>
                    <w:suppressLineNumbers w:val="0"/>
                    <w:shd w:val="clear"/>
                    <w:bidi w:val="0"/>
                    <w:spacing w:before="0" w:beforeAutospacing="0" w:after="0" w:afterAutospacing="0"/>
                    <w:ind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10.542</w:t>
                  </w:r>
                </w:p>
              </w:tc>
              <w:tc>
                <w:tcPr>
                  <w:tcW w:w="1684" w:type="pct"/>
                  <w:tcBorders>
                    <w:tl2br w:val="nil"/>
                    <w:tr2bl w:val="nil"/>
                  </w:tcBorders>
                  <w:shd w:val="clear" w:color="auto" w:fill="auto"/>
                  <w:noWrap/>
                  <w:vAlign w:val="center"/>
                </w:tcPr>
                <w:p w14:paraId="189ED869">
                  <w:pPr>
                    <w:pStyle w:val="28"/>
                    <w:keepNext w:val="0"/>
                    <w:keepLines w:val="0"/>
                    <w:suppressLineNumbers w:val="0"/>
                    <w:shd w:val="clear"/>
                    <w:bidi w:val="0"/>
                    <w:spacing w:before="0" w:beforeAutospacing="0" w:after="0" w:afterAutospacing="0"/>
                    <w:ind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合计</w:t>
                  </w:r>
                </w:p>
              </w:tc>
              <w:tc>
                <w:tcPr>
                  <w:tcW w:w="813" w:type="pct"/>
                  <w:tcBorders>
                    <w:tl2br w:val="nil"/>
                    <w:tr2bl w:val="nil"/>
                  </w:tcBorders>
                  <w:shd w:val="clear" w:color="auto" w:fill="auto"/>
                  <w:noWrap/>
                  <w:vAlign w:val="center"/>
                </w:tcPr>
                <w:p w14:paraId="002EAA0F">
                  <w:pPr>
                    <w:pStyle w:val="28"/>
                    <w:keepNext w:val="0"/>
                    <w:keepLines w:val="0"/>
                    <w:suppressLineNumbers w:val="0"/>
                    <w:shd w:val="clear"/>
                    <w:bidi w:val="0"/>
                    <w:spacing w:before="0" w:beforeAutospacing="0" w:after="0" w:afterAutospacing="0"/>
                    <w:ind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10.542</w:t>
                  </w:r>
                </w:p>
              </w:tc>
            </w:tr>
          </w:tbl>
          <w:p w14:paraId="03548C86">
            <w:pPr>
              <w:keepNext w:val="0"/>
              <w:keepLines w:val="0"/>
              <w:pageBreakBefore w:val="0"/>
              <w:widowControl w:val="0"/>
              <w:numPr>
                <w:ilvl w:val="0"/>
                <w:numId w:val="5"/>
              </w:numPr>
              <w:suppressLineNumbers w:val="0"/>
              <w:kinsoku/>
              <w:wordWrap/>
              <w:overflowPunct/>
              <w:topLinePunct w:val="0"/>
              <w:autoSpaceDE/>
              <w:autoSpaceDN/>
              <w:bidi w:val="0"/>
              <w:adjustRightInd/>
              <w:snapToGrid w:val="0"/>
              <w:spacing w:before="157" w:beforeLines="50" w:beforeAutospacing="0" w:after="0" w:afterLines="0" w:afterAutospacing="0"/>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zh-CN"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eastAsia" w:cs="Times New Roman"/>
                <w:b/>
                <w:bCs/>
                <w:color w:val="000000" w:themeColor="text1"/>
                <w:sz w:val="21"/>
                <w:szCs w:val="21"/>
                <w:highlight w:val="none"/>
                <w:lang w:val="en-US" w:eastAsia="zh-CN"/>
                <w14:textFill>
                  <w14:solidFill>
                    <w14:schemeClr w14:val="tx1"/>
                  </w14:solidFill>
                </w14:textFill>
              </w:rPr>
              <w:t>综合</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制剂车间</w:t>
            </w:r>
            <w:r>
              <w:rPr>
                <w:rFonts w:hint="default" w:ascii="Times New Roman" w:hAnsi="Times New Roman" w:eastAsia="宋体" w:cs="Times New Roman"/>
                <w:b/>
                <w:bCs/>
                <w:color w:val="000000" w:themeColor="text1"/>
                <w:sz w:val="21"/>
                <w:szCs w:val="21"/>
                <w:highlight w:val="none"/>
                <w:lang w:val="zh-CN" w:eastAsia="en-US"/>
                <w14:textFill>
                  <w14:solidFill>
                    <w14:schemeClr w14:val="tx1"/>
                  </w14:solidFill>
                </w14:textFill>
              </w:rPr>
              <w:t>物料平衡</w:t>
            </w:r>
            <w:r>
              <w:rPr>
                <w:rFonts w:hint="default" w:ascii="Times New Roman" w:hAnsi="Times New Roman" w:eastAsia="宋体" w:cs="Times New Roman"/>
                <w:b/>
                <w:bCs/>
                <w:color w:val="000000" w:themeColor="text1"/>
                <w:sz w:val="21"/>
                <w:szCs w:val="21"/>
                <w:highlight w:val="none"/>
                <w:lang w:val="zh-CN" w:eastAsia="zh-CN"/>
                <w14:textFill>
                  <w14:solidFill>
                    <w14:schemeClr w14:val="tx1"/>
                  </w14:solidFill>
                </w14:textFill>
              </w:rPr>
              <w:t>表</w:t>
            </w:r>
          </w:p>
          <w:tbl>
            <w:tblPr>
              <w:tblStyle w:val="35"/>
              <w:tblW w:w="4879"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35"/>
              <w:gridCol w:w="1644"/>
              <w:gridCol w:w="1519"/>
              <w:gridCol w:w="2339"/>
              <w:gridCol w:w="1655"/>
            </w:tblGrid>
            <w:tr w14:paraId="3208341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22" w:type="pct"/>
                  <w:vMerge w:val="restart"/>
                  <w:tcBorders>
                    <w:tl2br w:val="nil"/>
                    <w:tr2bl w:val="nil"/>
                  </w:tcBorders>
                  <w:shd w:val="clear" w:color="auto" w:fill="auto"/>
                  <w:noWrap/>
                  <w:vAlign w:val="center"/>
                </w:tcPr>
                <w:p w14:paraId="7C4BF498">
                  <w:pPr>
                    <w:pStyle w:val="28"/>
                    <w:keepNext w:val="0"/>
                    <w:keepLines w:val="0"/>
                    <w:suppressLineNumbers w:val="0"/>
                    <w:bidi w:val="0"/>
                    <w:spacing w:before="0" w:beforeAutospacing="0" w:after="0" w:afterAutospacing="0"/>
                    <w:ind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序号</w:t>
                  </w:r>
                </w:p>
              </w:tc>
              <w:tc>
                <w:tcPr>
                  <w:tcW w:w="1978" w:type="pct"/>
                  <w:gridSpan w:val="2"/>
                  <w:tcBorders>
                    <w:tl2br w:val="nil"/>
                    <w:tr2bl w:val="nil"/>
                  </w:tcBorders>
                  <w:shd w:val="clear" w:color="auto" w:fill="auto"/>
                  <w:vAlign w:val="center"/>
                </w:tcPr>
                <w:p w14:paraId="43DC3C45">
                  <w:pPr>
                    <w:pStyle w:val="28"/>
                    <w:keepNext w:val="0"/>
                    <w:keepLines w:val="0"/>
                    <w:suppressLineNumbers w:val="0"/>
                    <w:bidi w:val="0"/>
                    <w:spacing w:before="0" w:beforeAutospacing="0" w:after="0" w:afterAutospacing="0"/>
                    <w:ind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原料</w:t>
                  </w:r>
                </w:p>
              </w:tc>
              <w:tc>
                <w:tcPr>
                  <w:tcW w:w="2498" w:type="pct"/>
                  <w:gridSpan w:val="2"/>
                  <w:tcBorders>
                    <w:tl2br w:val="nil"/>
                    <w:tr2bl w:val="nil"/>
                  </w:tcBorders>
                  <w:shd w:val="clear" w:color="auto" w:fill="auto"/>
                  <w:noWrap/>
                  <w:vAlign w:val="center"/>
                </w:tcPr>
                <w:p w14:paraId="022240BC">
                  <w:pPr>
                    <w:pStyle w:val="28"/>
                    <w:keepNext w:val="0"/>
                    <w:keepLines w:val="0"/>
                    <w:suppressLineNumbers w:val="0"/>
                    <w:bidi w:val="0"/>
                    <w:spacing w:before="0" w:beforeAutospacing="0" w:after="0" w:afterAutospacing="0"/>
                    <w:ind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成品</w:t>
                  </w:r>
                </w:p>
              </w:tc>
            </w:tr>
            <w:tr w14:paraId="17620D3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22" w:type="pct"/>
                  <w:vMerge w:val="continue"/>
                  <w:tcBorders>
                    <w:tl2br w:val="nil"/>
                    <w:tr2bl w:val="nil"/>
                  </w:tcBorders>
                  <w:shd w:val="clear" w:color="auto" w:fill="auto"/>
                  <w:noWrap/>
                  <w:vAlign w:val="center"/>
                </w:tcPr>
                <w:p w14:paraId="2C581876">
                  <w:pPr>
                    <w:pStyle w:val="28"/>
                    <w:keepNext w:val="0"/>
                    <w:keepLines w:val="0"/>
                    <w:suppressLineNumbers w:val="0"/>
                    <w:bidi w:val="0"/>
                    <w:spacing w:before="0" w:beforeAutospacing="0" w:after="0" w:afterAutospacing="0"/>
                    <w:ind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1028" w:type="pct"/>
                  <w:tcBorders>
                    <w:tl2br w:val="nil"/>
                    <w:tr2bl w:val="nil"/>
                  </w:tcBorders>
                  <w:shd w:val="clear" w:color="auto" w:fill="auto"/>
                  <w:vAlign w:val="center"/>
                </w:tcPr>
                <w:p w14:paraId="009F6B30">
                  <w:pPr>
                    <w:pStyle w:val="28"/>
                    <w:keepNext w:val="0"/>
                    <w:keepLines w:val="0"/>
                    <w:suppressLineNumbers w:val="0"/>
                    <w:bidi w:val="0"/>
                    <w:spacing w:before="0" w:beforeAutospacing="0" w:after="0" w:afterAutospacing="0"/>
                    <w:ind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原料名称</w:t>
                  </w:r>
                </w:p>
              </w:tc>
              <w:tc>
                <w:tcPr>
                  <w:tcW w:w="950" w:type="pct"/>
                  <w:tcBorders>
                    <w:tl2br w:val="nil"/>
                    <w:tr2bl w:val="nil"/>
                  </w:tcBorders>
                  <w:shd w:val="clear" w:color="auto" w:fill="auto"/>
                  <w:noWrap/>
                  <w:vAlign w:val="center"/>
                </w:tcPr>
                <w:p w14:paraId="02352650">
                  <w:pPr>
                    <w:pStyle w:val="28"/>
                    <w:keepNext w:val="0"/>
                    <w:keepLines w:val="0"/>
                    <w:suppressLineNumbers w:val="0"/>
                    <w:bidi w:val="0"/>
                    <w:spacing w:before="0" w:beforeAutospacing="0" w:after="0" w:afterAutospacing="0"/>
                    <w:ind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数量（t</w:t>
                  </w: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/a</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w:t>
                  </w:r>
                </w:p>
              </w:tc>
              <w:tc>
                <w:tcPr>
                  <w:tcW w:w="1463" w:type="pct"/>
                  <w:tcBorders>
                    <w:tl2br w:val="nil"/>
                    <w:tr2bl w:val="nil"/>
                  </w:tcBorders>
                  <w:shd w:val="clear" w:color="auto" w:fill="auto"/>
                  <w:noWrap/>
                  <w:vAlign w:val="center"/>
                </w:tcPr>
                <w:p w14:paraId="7B4F53D0">
                  <w:pPr>
                    <w:pStyle w:val="28"/>
                    <w:keepNext w:val="0"/>
                    <w:keepLines w:val="0"/>
                    <w:suppressLineNumbers w:val="0"/>
                    <w:bidi w:val="0"/>
                    <w:spacing w:before="0" w:beforeAutospacing="0" w:after="0" w:afterAutospacing="0"/>
                    <w:ind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产品名称</w:t>
                  </w:r>
                </w:p>
              </w:tc>
              <w:tc>
                <w:tcPr>
                  <w:tcW w:w="1035" w:type="pct"/>
                  <w:tcBorders>
                    <w:tl2br w:val="nil"/>
                    <w:tr2bl w:val="nil"/>
                  </w:tcBorders>
                  <w:shd w:val="clear" w:color="auto" w:fill="auto"/>
                  <w:vAlign w:val="center"/>
                </w:tcPr>
                <w:p w14:paraId="3517B264">
                  <w:pPr>
                    <w:pStyle w:val="28"/>
                    <w:keepNext w:val="0"/>
                    <w:keepLines w:val="0"/>
                    <w:suppressLineNumbers w:val="0"/>
                    <w:bidi w:val="0"/>
                    <w:spacing w:before="0" w:beforeAutospacing="0" w:after="0" w:afterAutospacing="0"/>
                    <w:ind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数量（t</w:t>
                  </w: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/a</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w:t>
                  </w:r>
                </w:p>
              </w:tc>
            </w:tr>
            <w:tr w14:paraId="4C56393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2" w:type="pct"/>
                  <w:tcBorders>
                    <w:tl2br w:val="nil"/>
                    <w:tr2bl w:val="nil"/>
                  </w:tcBorders>
                  <w:shd w:val="clear" w:color="auto" w:fill="auto"/>
                  <w:noWrap/>
                  <w:vAlign w:val="center"/>
                </w:tcPr>
                <w:p w14:paraId="78A7C489">
                  <w:pPr>
                    <w:pStyle w:val="63"/>
                    <w:keepNext w:val="0"/>
                    <w:keepLines w:val="0"/>
                    <w:pageBreakBefore w:val="0"/>
                    <w:widowControl w:val="0"/>
                    <w:numPr>
                      <w:ilvl w:val="0"/>
                      <w:numId w:val="15"/>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28" w:type="pct"/>
                  <w:tcBorders>
                    <w:tl2br w:val="nil"/>
                    <w:tr2bl w:val="nil"/>
                  </w:tcBorders>
                  <w:shd w:val="clear" w:color="auto" w:fill="auto"/>
                  <w:vAlign w:val="center"/>
                </w:tcPr>
                <w:p w14:paraId="1B5D160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中草药原料</w:t>
                  </w:r>
                </w:p>
              </w:tc>
              <w:tc>
                <w:tcPr>
                  <w:tcW w:w="950" w:type="pct"/>
                  <w:tcBorders>
                    <w:tl2br w:val="nil"/>
                    <w:tr2bl w:val="nil"/>
                  </w:tcBorders>
                  <w:shd w:val="clear" w:color="auto" w:fill="auto"/>
                  <w:noWrap/>
                  <w:vAlign w:val="center"/>
                </w:tcPr>
                <w:p w14:paraId="68CF8E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753</w:t>
                  </w:r>
                </w:p>
              </w:tc>
              <w:tc>
                <w:tcPr>
                  <w:tcW w:w="1463" w:type="pct"/>
                  <w:tcBorders>
                    <w:tl2br w:val="nil"/>
                    <w:tr2bl w:val="nil"/>
                  </w:tcBorders>
                  <w:shd w:val="clear" w:color="auto" w:fill="auto"/>
                  <w:noWrap/>
                  <w:vAlign w:val="center"/>
                </w:tcPr>
                <w:p w14:paraId="0A841E6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气滞胃痛片</w:t>
                  </w:r>
                </w:p>
              </w:tc>
              <w:tc>
                <w:tcPr>
                  <w:tcW w:w="1035" w:type="pct"/>
                  <w:tcBorders>
                    <w:tl2br w:val="nil"/>
                    <w:tr2bl w:val="nil"/>
                  </w:tcBorders>
                  <w:shd w:val="clear" w:color="auto" w:fill="auto"/>
                  <w:noWrap/>
                  <w:vAlign w:val="center"/>
                </w:tcPr>
                <w:p w14:paraId="7CF476F5">
                  <w:pPr>
                    <w:keepNext w:val="0"/>
                    <w:keepLines w:val="0"/>
                    <w:suppressLineNumbers w:val="0"/>
                    <w:spacing w:before="0" w:beforeAutospacing="0" w:after="0" w:afterAutospacing="0"/>
                    <w:ind w:left="0" w:leftChars="0" w:right="0" w:rightChars="0"/>
                    <w:jc w:val="center"/>
                    <w:rPr>
                      <w:rFonts w:hint="default" w:ascii="Times New Roman" w:hAnsi="Times New Roman"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75（</w:t>
                  </w:r>
                  <w:r>
                    <w:rPr>
                      <w:rFonts w:hint="eastAsia" w:cs="Times New Roman"/>
                      <w:b w:val="0"/>
                      <w:bCs w:val="0"/>
                      <w:color w:val="000000" w:themeColor="text1"/>
                      <w:sz w:val="21"/>
                      <w:szCs w:val="21"/>
                      <w:highlight w:val="none"/>
                      <w:lang w:val="en-US" w:eastAsia="zh-CN"/>
                      <w14:textFill>
                        <w14:solidFill>
                          <w14:schemeClr w14:val="tx1"/>
                        </w14:solidFill>
                      </w14:textFill>
                    </w:rPr>
                    <w:t>1</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r>
                    <w:rPr>
                      <w:rFonts w:hint="eastAsia" w:cs="Times New Roman"/>
                      <w:b w:val="0"/>
                      <w:bCs w:val="0"/>
                      <w:color w:val="000000" w:themeColor="text1"/>
                      <w:sz w:val="21"/>
                      <w:szCs w:val="21"/>
                      <w:highlight w:val="none"/>
                      <w:lang w:val="en-US" w:eastAsia="zh-CN"/>
                      <w14:textFill>
                        <w14:solidFill>
                          <w14:schemeClr w14:val="tx1"/>
                        </w14:solidFill>
                      </w14:textFill>
                    </w:rPr>
                    <w:t>5</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亿</w:t>
                  </w: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片</w:t>
                  </w:r>
                  <w:r>
                    <w:rPr>
                      <w:rFonts w:hint="eastAsia" w:cs="Times New Roman"/>
                      <w:b w:val="0"/>
                      <w:bCs w:val="0"/>
                      <w:color w:val="000000" w:themeColor="text1"/>
                      <w:kern w:val="0"/>
                      <w:sz w:val="21"/>
                      <w:szCs w:val="21"/>
                      <w:highlight w:val="none"/>
                      <w:lang w:val="en-US" w:eastAsia="zh-CN"/>
                      <w14:textFill>
                        <w14:solidFill>
                          <w14:schemeClr w14:val="tx1"/>
                        </w14:solidFill>
                      </w14:textFill>
                    </w:rPr>
                    <w:t>）</w:t>
                  </w:r>
                </w:p>
              </w:tc>
            </w:tr>
            <w:tr w14:paraId="71336B2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2" w:type="pct"/>
                  <w:tcBorders>
                    <w:tl2br w:val="nil"/>
                    <w:tr2bl w:val="nil"/>
                  </w:tcBorders>
                  <w:shd w:val="clear" w:color="auto" w:fill="auto"/>
                  <w:noWrap/>
                  <w:vAlign w:val="center"/>
                </w:tcPr>
                <w:p w14:paraId="2AD6282C">
                  <w:pPr>
                    <w:pStyle w:val="63"/>
                    <w:keepNext w:val="0"/>
                    <w:keepLines w:val="0"/>
                    <w:pageBreakBefore w:val="0"/>
                    <w:widowControl w:val="0"/>
                    <w:numPr>
                      <w:ilvl w:val="0"/>
                      <w:numId w:val="15"/>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28" w:type="pct"/>
                  <w:tcBorders>
                    <w:tl2br w:val="nil"/>
                    <w:tr2bl w:val="nil"/>
                  </w:tcBorders>
                  <w:shd w:val="clear" w:color="auto" w:fill="auto"/>
                  <w:vAlign w:val="center"/>
                </w:tcPr>
                <w:p w14:paraId="2139FC2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中草药辅料</w:t>
                  </w:r>
                </w:p>
              </w:tc>
              <w:tc>
                <w:tcPr>
                  <w:tcW w:w="950" w:type="pct"/>
                  <w:tcBorders>
                    <w:tl2br w:val="nil"/>
                    <w:tr2bl w:val="nil"/>
                  </w:tcBorders>
                  <w:shd w:val="clear" w:color="auto" w:fill="auto"/>
                  <w:vAlign w:val="center"/>
                </w:tcPr>
                <w:p w14:paraId="091BA7D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67.34</w:t>
                  </w:r>
                </w:p>
              </w:tc>
              <w:tc>
                <w:tcPr>
                  <w:tcW w:w="1463" w:type="pct"/>
                  <w:tcBorders>
                    <w:tl2br w:val="nil"/>
                    <w:tr2bl w:val="nil"/>
                  </w:tcBorders>
                  <w:shd w:val="clear" w:color="auto" w:fill="auto"/>
                  <w:noWrap/>
                  <w:vAlign w:val="center"/>
                </w:tcPr>
                <w:p w14:paraId="4F3EE2A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瘀血痹片</w:t>
                  </w:r>
                </w:p>
              </w:tc>
              <w:tc>
                <w:tcPr>
                  <w:tcW w:w="1035" w:type="pct"/>
                  <w:tcBorders>
                    <w:tl2br w:val="nil"/>
                    <w:tr2bl w:val="nil"/>
                  </w:tcBorders>
                  <w:shd w:val="clear" w:color="auto" w:fill="auto"/>
                  <w:noWrap/>
                  <w:vAlign w:val="center"/>
                </w:tcPr>
                <w:p w14:paraId="4FBD1E8B">
                  <w:pPr>
                    <w:keepNext w:val="0"/>
                    <w:keepLines w:val="0"/>
                    <w:suppressLineNumbers w:val="0"/>
                    <w:autoSpaceDE w:val="0"/>
                    <w:autoSpaceDN w:val="0"/>
                    <w:adjustRightInd w:val="0"/>
                    <w:spacing w:before="0" w:beforeAutospacing="0" w:after="0" w:afterAutospacing="0"/>
                    <w:ind w:left="0" w:leftChars="0" w:right="0" w:rightChars="0"/>
                    <w:jc w:val="center"/>
                    <w:rPr>
                      <w:rFonts w:hint="default" w:ascii="Times New Roman" w:hAnsi="Times New Roman"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pPr>
                  <w:r>
                    <w:rPr>
                      <w:rFonts w:hint="eastAsia"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t>125（</w:t>
                  </w:r>
                  <w:r>
                    <w:rPr>
                      <w:rFonts w:hint="eastAsia" w:cs="Times New Roman"/>
                      <w:b w:val="0"/>
                      <w:bCs w:val="0"/>
                      <w:color w:val="000000" w:themeColor="text1"/>
                      <w:sz w:val="21"/>
                      <w:szCs w:val="21"/>
                      <w:highlight w:val="none"/>
                      <w:lang w:val="en-US" w:eastAsia="zh-CN"/>
                      <w14:textFill>
                        <w14:solidFill>
                          <w14:schemeClr w14:val="tx1"/>
                        </w14:solidFill>
                      </w14:textFill>
                    </w:rPr>
                    <w:t>2.5</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亿</w:t>
                  </w: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片</w:t>
                  </w:r>
                  <w:r>
                    <w:rPr>
                      <w:rFonts w:hint="eastAsia"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t>）</w:t>
                  </w:r>
                </w:p>
              </w:tc>
            </w:tr>
            <w:tr w14:paraId="4F7131B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2" w:type="pct"/>
                  <w:tcBorders>
                    <w:tl2br w:val="nil"/>
                    <w:tr2bl w:val="nil"/>
                  </w:tcBorders>
                  <w:shd w:val="clear" w:color="auto" w:fill="auto"/>
                  <w:noWrap/>
                  <w:vAlign w:val="center"/>
                </w:tcPr>
                <w:p w14:paraId="5E0183A3">
                  <w:pPr>
                    <w:pStyle w:val="63"/>
                    <w:keepNext w:val="0"/>
                    <w:keepLines w:val="0"/>
                    <w:pageBreakBefore w:val="0"/>
                    <w:widowControl w:val="0"/>
                    <w:numPr>
                      <w:ilvl w:val="0"/>
                      <w:numId w:val="15"/>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28" w:type="pct"/>
                  <w:tcBorders>
                    <w:tl2br w:val="nil"/>
                    <w:tr2bl w:val="nil"/>
                  </w:tcBorders>
                  <w:shd w:val="clear" w:color="auto" w:fill="auto"/>
                  <w:vAlign w:val="center"/>
                </w:tcPr>
                <w:p w14:paraId="610881A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软化水</w:t>
                  </w:r>
                </w:p>
              </w:tc>
              <w:tc>
                <w:tcPr>
                  <w:tcW w:w="950" w:type="pct"/>
                  <w:tcBorders>
                    <w:tl2br w:val="nil"/>
                    <w:tr2bl w:val="nil"/>
                  </w:tcBorders>
                  <w:shd w:val="clear" w:color="auto" w:fill="auto"/>
                  <w:vAlign w:val="center"/>
                </w:tcPr>
                <w:p w14:paraId="1563016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color w:val="000000" w:themeColor="text1"/>
                      <w:sz w:val="21"/>
                      <w:szCs w:val="21"/>
                      <w:highlight w:val="none"/>
                      <w:lang w:val="en-US" w:eastAsia="zh-CN" w:bidi="ar-SA"/>
                      <w14:textFill>
                        <w14:solidFill>
                          <w14:schemeClr w14:val="tx1"/>
                        </w14:solidFill>
                      </w14:textFill>
                    </w:rPr>
                    <w:t>15970.14</w:t>
                  </w:r>
                </w:p>
              </w:tc>
              <w:tc>
                <w:tcPr>
                  <w:tcW w:w="1463" w:type="pct"/>
                  <w:tcBorders>
                    <w:tl2br w:val="nil"/>
                    <w:tr2bl w:val="nil"/>
                  </w:tcBorders>
                  <w:shd w:val="clear" w:color="auto" w:fill="auto"/>
                  <w:noWrap/>
                  <w:vAlign w:val="center"/>
                </w:tcPr>
                <w:p w14:paraId="69AC51C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尪痹胶囊</w:t>
                  </w:r>
                </w:p>
              </w:tc>
              <w:tc>
                <w:tcPr>
                  <w:tcW w:w="1035" w:type="pct"/>
                  <w:tcBorders>
                    <w:tl2br w:val="nil"/>
                    <w:tr2bl w:val="nil"/>
                  </w:tcBorders>
                  <w:shd w:val="clear" w:color="auto" w:fill="auto"/>
                  <w:noWrap/>
                  <w:vAlign w:val="center"/>
                </w:tcPr>
                <w:p w14:paraId="0D55E3DF">
                  <w:pPr>
                    <w:keepNext w:val="0"/>
                    <w:keepLines w:val="0"/>
                    <w:suppressLineNumbers w:val="0"/>
                    <w:spacing w:before="0" w:beforeAutospacing="0" w:after="0" w:afterAutospacing="0"/>
                    <w:ind w:left="0" w:leftChars="0" w:right="0" w:rightChars="0"/>
                    <w:jc w:val="center"/>
                    <w:rPr>
                      <w:rFonts w:hint="default" w:ascii="Times New Roman" w:hAnsi="Times New Roman"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pPr>
                  <w:r>
                    <w:rPr>
                      <w:rFonts w:hint="eastAsia"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t>55（</w:t>
                  </w:r>
                  <w:r>
                    <w:rPr>
                      <w:rFonts w:hint="eastAsia"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亿</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粒</w:t>
                  </w:r>
                  <w:r>
                    <w:rPr>
                      <w:rFonts w:hint="eastAsia"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t>）</w:t>
                  </w:r>
                </w:p>
              </w:tc>
            </w:tr>
            <w:tr w14:paraId="70A77FA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2" w:type="pct"/>
                  <w:tcBorders>
                    <w:tl2br w:val="nil"/>
                    <w:tr2bl w:val="nil"/>
                  </w:tcBorders>
                  <w:shd w:val="clear" w:color="auto" w:fill="auto"/>
                  <w:noWrap/>
                  <w:vAlign w:val="center"/>
                </w:tcPr>
                <w:p w14:paraId="5ECC6104">
                  <w:pPr>
                    <w:pStyle w:val="63"/>
                    <w:keepNext w:val="0"/>
                    <w:keepLines w:val="0"/>
                    <w:pageBreakBefore w:val="0"/>
                    <w:widowControl w:val="0"/>
                    <w:numPr>
                      <w:ilvl w:val="0"/>
                      <w:numId w:val="15"/>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28" w:type="pct"/>
                  <w:tcBorders>
                    <w:tl2br w:val="nil"/>
                    <w:tr2bl w:val="nil"/>
                  </w:tcBorders>
                  <w:shd w:val="clear" w:color="auto" w:fill="auto"/>
                  <w:vAlign w:val="center"/>
                </w:tcPr>
                <w:p w14:paraId="55B97ED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950" w:type="pct"/>
                  <w:tcBorders>
                    <w:tl2br w:val="nil"/>
                    <w:tr2bl w:val="nil"/>
                  </w:tcBorders>
                  <w:shd w:val="clear" w:color="auto" w:fill="auto"/>
                  <w:vAlign w:val="center"/>
                </w:tcPr>
                <w:p w14:paraId="397CA7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p>
              </w:tc>
              <w:tc>
                <w:tcPr>
                  <w:tcW w:w="1463" w:type="pct"/>
                  <w:tcBorders>
                    <w:tl2br w:val="nil"/>
                    <w:tr2bl w:val="nil"/>
                  </w:tcBorders>
                  <w:shd w:val="clear" w:color="auto" w:fill="auto"/>
                  <w:noWrap/>
                  <w:vAlign w:val="center"/>
                </w:tcPr>
                <w:p w14:paraId="09E5099D">
                  <w:pPr>
                    <w:pStyle w:val="28"/>
                    <w:keepNext w:val="0"/>
                    <w:keepLines w:val="0"/>
                    <w:suppressLineNumbers w:val="0"/>
                    <w:bidi w:val="0"/>
                    <w:spacing w:before="0" w:beforeAutospacing="0" w:after="0" w:afterAutospacing="0"/>
                    <w:ind w:left="420" w:leftChars="0" w:right="0" w:rightChars="0" w:hanging="420" w:hangingChars="20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有组织废气</w:t>
                  </w:r>
                </w:p>
              </w:tc>
              <w:tc>
                <w:tcPr>
                  <w:tcW w:w="1035" w:type="pct"/>
                  <w:tcBorders>
                    <w:tl2br w:val="nil"/>
                    <w:tr2bl w:val="nil"/>
                  </w:tcBorders>
                  <w:shd w:val="clear" w:color="auto" w:fill="auto"/>
                  <w:noWrap/>
                  <w:vAlign w:val="center"/>
                </w:tcPr>
                <w:p w14:paraId="4132894B">
                  <w:pPr>
                    <w:keepNext w:val="0"/>
                    <w:keepLines w:val="0"/>
                    <w:suppressLineNumbers w:val="0"/>
                    <w:spacing w:before="0" w:beforeAutospacing="0" w:after="0" w:afterAutospacing="0"/>
                    <w:ind w:left="0" w:leftChars="0" w:right="0" w:rightChars="0"/>
                    <w:jc w:val="center"/>
                    <w:rPr>
                      <w:rFonts w:hint="default" w:ascii="Times New Roman" w:hAnsi="Times New Roman"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pPr>
                  <w:r>
                    <w:rPr>
                      <w:rFonts w:hint="eastAsia"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t>0.005</w:t>
                  </w:r>
                </w:p>
              </w:tc>
            </w:tr>
            <w:tr w14:paraId="3330F90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2" w:type="pct"/>
                  <w:tcBorders>
                    <w:tl2br w:val="nil"/>
                    <w:tr2bl w:val="nil"/>
                  </w:tcBorders>
                  <w:shd w:val="clear" w:color="auto" w:fill="auto"/>
                  <w:noWrap/>
                  <w:vAlign w:val="center"/>
                </w:tcPr>
                <w:p w14:paraId="21863E03">
                  <w:pPr>
                    <w:pStyle w:val="63"/>
                    <w:keepNext w:val="0"/>
                    <w:keepLines w:val="0"/>
                    <w:pageBreakBefore w:val="0"/>
                    <w:widowControl w:val="0"/>
                    <w:numPr>
                      <w:ilvl w:val="0"/>
                      <w:numId w:val="15"/>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28" w:type="pct"/>
                  <w:tcBorders>
                    <w:tl2br w:val="nil"/>
                    <w:tr2bl w:val="nil"/>
                  </w:tcBorders>
                  <w:shd w:val="clear" w:color="auto" w:fill="auto"/>
                  <w:vAlign w:val="center"/>
                </w:tcPr>
                <w:p w14:paraId="7303F2F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p>
              </w:tc>
              <w:tc>
                <w:tcPr>
                  <w:tcW w:w="950" w:type="pct"/>
                  <w:tcBorders>
                    <w:tl2br w:val="nil"/>
                    <w:tr2bl w:val="nil"/>
                  </w:tcBorders>
                  <w:shd w:val="clear" w:color="auto" w:fill="auto"/>
                  <w:vAlign w:val="center"/>
                </w:tcPr>
                <w:p w14:paraId="603D41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1463" w:type="pct"/>
                  <w:tcBorders>
                    <w:tl2br w:val="nil"/>
                    <w:tr2bl w:val="nil"/>
                  </w:tcBorders>
                  <w:shd w:val="clear" w:color="auto" w:fill="auto"/>
                  <w:noWrap/>
                  <w:vAlign w:val="center"/>
                </w:tcPr>
                <w:p w14:paraId="3DF606E2">
                  <w:pPr>
                    <w:pStyle w:val="28"/>
                    <w:keepNext w:val="0"/>
                    <w:keepLines w:val="0"/>
                    <w:suppressLineNumbers w:val="0"/>
                    <w:bidi w:val="0"/>
                    <w:spacing w:before="0" w:beforeAutospacing="0" w:after="0" w:afterAutospacing="0"/>
                    <w:ind w:left="420" w:leftChars="0" w:right="0" w:rightChars="0" w:hanging="420" w:hangingChars="20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无组织废气</w:t>
                  </w:r>
                </w:p>
              </w:tc>
              <w:tc>
                <w:tcPr>
                  <w:tcW w:w="1035" w:type="pct"/>
                  <w:tcBorders>
                    <w:tl2br w:val="nil"/>
                    <w:tr2bl w:val="nil"/>
                  </w:tcBorders>
                  <w:shd w:val="clear" w:color="auto" w:fill="auto"/>
                  <w:noWrap/>
                  <w:vAlign w:val="center"/>
                </w:tcPr>
                <w:p w14:paraId="18423026">
                  <w:pPr>
                    <w:keepNext w:val="0"/>
                    <w:keepLines w:val="0"/>
                    <w:suppressLineNumbers w:val="0"/>
                    <w:spacing w:before="0" w:beforeAutospacing="0" w:after="0" w:afterAutospacing="0"/>
                    <w:ind w:left="0" w:leftChars="0" w:right="0" w:rightChars="0"/>
                    <w:jc w:val="center"/>
                    <w:rPr>
                      <w:rFonts w:hint="default" w:ascii="Times New Roman" w:hAnsi="Times New Roman"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pPr>
                  <w:r>
                    <w:rPr>
                      <w:rFonts w:hint="eastAsia"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t>0.102</w:t>
                  </w:r>
                </w:p>
              </w:tc>
            </w:tr>
            <w:tr w14:paraId="79C7C51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2" w:type="pct"/>
                  <w:tcBorders>
                    <w:tl2br w:val="nil"/>
                    <w:tr2bl w:val="nil"/>
                  </w:tcBorders>
                  <w:shd w:val="clear" w:color="auto" w:fill="auto"/>
                  <w:noWrap/>
                  <w:vAlign w:val="center"/>
                </w:tcPr>
                <w:p w14:paraId="3D777117">
                  <w:pPr>
                    <w:pStyle w:val="63"/>
                    <w:keepNext w:val="0"/>
                    <w:keepLines w:val="0"/>
                    <w:pageBreakBefore w:val="0"/>
                    <w:widowControl w:val="0"/>
                    <w:numPr>
                      <w:ilvl w:val="0"/>
                      <w:numId w:val="15"/>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28" w:type="pct"/>
                  <w:tcBorders>
                    <w:tl2br w:val="nil"/>
                    <w:tr2bl w:val="nil"/>
                  </w:tcBorders>
                  <w:shd w:val="clear" w:color="auto" w:fill="auto"/>
                  <w:vAlign w:val="center"/>
                </w:tcPr>
                <w:p w14:paraId="4511F48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950" w:type="pct"/>
                  <w:tcBorders>
                    <w:tl2br w:val="nil"/>
                    <w:tr2bl w:val="nil"/>
                  </w:tcBorders>
                  <w:shd w:val="clear" w:color="auto" w:fill="auto"/>
                  <w:vAlign w:val="center"/>
                </w:tcPr>
                <w:p w14:paraId="42B0B1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1463" w:type="pct"/>
                  <w:tcBorders>
                    <w:tl2br w:val="nil"/>
                    <w:tr2bl w:val="nil"/>
                  </w:tcBorders>
                  <w:shd w:val="clear" w:color="auto" w:fill="auto"/>
                  <w:noWrap/>
                  <w:vAlign w:val="center"/>
                </w:tcPr>
                <w:p w14:paraId="42A0FFC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eastAsia="宋体" w:cs="Times New Roman"/>
                      <w:color w:val="000000" w:themeColor="text1"/>
                      <w:kern w:val="2"/>
                      <w:sz w:val="21"/>
                      <w:szCs w:val="21"/>
                      <w:highlight w:val="none"/>
                      <w:lang w:val="en-US" w:eastAsia="zh-CN" w:bidi="ar-SA"/>
                      <w14:textFill>
                        <w14:solidFill>
                          <w14:schemeClr w14:val="tx1"/>
                        </w14:solidFill>
                      </w14:textFill>
                    </w:rPr>
                    <w:t>除尘灰</w:t>
                  </w:r>
                </w:p>
              </w:tc>
              <w:tc>
                <w:tcPr>
                  <w:tcW w:w="1035" w:type="pct"/>
                  <w:tcBorders>
                    <w:tl2br w:val="nil"/>
                    <w:tr2bl w:val="nil"/>
                  </w:tcBorders>
                  <w:shd w:val="clear" w:color="auto" w:fill="auto"/>
                  <w:noWrap/>
                  <w:vAlign w:val="center"/>
                </w:tcPr>
                <w:p w14:paraId="375E96C5">
                  <w:pPr>
                    <w:keepNext w:val="0"/>
                    <w:keepLines w:val="0"/>
                    <w:suppressLineNumbers w:val="0"/>
                    <w:spacing w:before="0" w:beforeAutospacing="0" w:after="0" w:afterAutospacing="0"/>
                    <w:ind w:left="0" w:leftChars="0" w:right="0" w:rightChars="0"/>
                    <w:jc w:val="center"/>
                    <w:rPr>
                      <w:rFonts w:hint="default" w:ascii="Times New Roman" w:hAnsi="Times New Roman"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pPr>
                  <w:r>
                    <w:rPr>
                      <w:rFonts w:hint="eastAsia"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t>0.913</w:t>
                  </w:r>
                </w:p>
              </w:tc>
            </w:tr>
            <w:tr w14:paraId="24189F7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2" w:type="pct"/>
                  <w:tcBorders>
                    <w:tl2br w:val="nil"/>
                    <w:tr2bl w:val="nil"/>
                  </w:tcBorders>
                  <w:shd w:val="clear" w:color="auto" w:fill="auto"/>
                  <w:noWrap/>
                  <w:vAlign w:val="center"/>
                </w:tcPr>
                <w:p w14:paraId="3730DC32">
                  <w:pPr>
                    <w:pStyle w:val="63"/>
                    <w:keepNext w:val="0"/>
                    <w:keepLines w:val="0"/>
                    <w:pageBreakBefore w:val="0"/>
                    <w:widowControl w:val="0"/>
                    <w:numPr>
                      <w:ilvl w:val="0"/>
                      <w:numId w:val="15"/>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28" w:type="pct"/>
                  <w:tcBorders>
                    <w:tl2br w:val="nil"/>
                    <w:tr2bl w:val="nil"/>
                  </w:tcBorders>
                  <w:shd w:val="clear" w:color="auto" w:fill="auto"/>
                  <w:vAlign w:val="center"/>
                </w:tcPr>
                <w:p w14:paraId="15BE255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950" w:type="pct"/>
                  <w:tcBorders>
                    <w:tl2br w:val="nil"/>
                    <w:tr2bl w:val="nil"/>
                  </w:tcBorders>
                  <w:shd w:val="clear" w:color="auto" w:fill="auto"/>
                  <w:vAlign w:val="center"/>
                </w:tcPr>
                <w:p w14:paraId="16083B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1463" w:type="pct"/>
                  <w:tcBorders>
                    <w:tl2br w:val="nil"/>
                    <w:tr2bl w:val="nil"/>
                  </w:tcBorders>
                  <w:shd w:val="clear" w:color="auto" w:fill="auto"/>
                  <w:noWrap/>
                  <w:vAlign w:val="center"/>
                </w:tcPr>
                <w:p w14:paraId="0DF7580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干中药渣</w:t>
                  </w:r>
                </w:p>
              </w:tc>
              <w:tc>
                <w:tcPr>
                  <w:tcW w:w="1035" w:type="pct"/>
                  <w:tcBorders>
                    <w:tl2br w:val="nil"/>
                    <w:tr2bl w:val="nil"/>
                  </w:tcBorders>
                  <w:shd w:val="clear" w:color="auto" w:fill="auto"/>
                  <w:noWrap/>
                  <w:vAlign w:val="center"/>
                </w:tcPr>
                <w:p w14:paraId="244F00D3">
                  <w:pPr>
                    <w:keepNext w:val="0"/>
                    <w:keepLines w:val="0"/>
                    <w:suppressLineNumbers w:val="0"/>
                    <w:spacing w:before="0" w:beforeAutospacing="0" w:after="0" w:afterAutospacing="0"/>
                    <w:ind w:left="0" w:leftChars="0" w:right="0" w:rightChars="0"/>
                    <w:jc w:val="center"/>
                    <w:rPr>
                      <w:rFonts w:hint="default" w:ascii="Times New Roman" w:hAnsi="Times New Roman"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pPr>
                  <w:r>
                    <w:rPr>
                      <w:rFonts w:hint="default" w:ascii="Times New Roman" w:hAnsi="Times New Roman"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t>564.32</w:t>
                  </w:r>
                </w:p>
              </w:tc>
            </w:tr>
            <w:tr w14:paraId="45F20AE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2" w:type="pct"/>
                  <w:tcBorders>
                    <w:tl2br w:val="nil"/>
                    <w:tr2bl w:val="nil"/>
                  </w:tcBorders>
                  <w:shd w:val="clear" w:color="auto" w:fill="auto"/>
                  <w:noWrap/>
                  <w:vAlign w:val="center"/>
                </w:tcPr>
                <w:p w14:paraId="4A3C2F2B">
                  <w:pPr>
                    <w:pStyle w:val="63"/>
                    <w:keepNext w:val="0"/>
                    <w:keepLines w:val="0"/>
                    <w:pageBreakBefore w:val="0"/>
                    <w:widowControl w:val="0"/>
                    <w:numPr>
                      <w:ilvl w:val="0"/>
                      <w:numId w:val="15"/>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28" w:type="pct"/>
                  <w:tcBorders>
                    <w:tl2br w:val="nil"/>
                    <w:tr2bl w:val="nil"/>
                  </w:tcBorders>
                  <w:shd w:val="clear" w:color="auto" w:fill="auto"/>
                  <w:vAlign w:val="center"/>
                </w:tcPr>
                <w:p w14:paraId="0CB0B67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950" w:type="pct"/>
                  <w:tcBorders>
                    <w:tl2br w:val="nil"/>
                    <w:tr2bl w:val="nil"/>
                  </w:tcBorders>
                  <w:shd w:val="clear" w:color="auto" w:fill="auto"/>
                  <w:vAlign w:val="center"/>
                </w:tcPr>
                <w:p w14:paraId="653590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1463" w:type="pct"/>
                  <w:tcBorders>
                    <w:tl2br w:val="nil"/>
                    <w:tr2bl w:val="nil"/>
                  </w:tcBorders>
                  <w:shd w:val="clear" w:color="auto" w:fill="auto"/>
                  <w:noWrap/>
                  <w:vAlign w:val="center"/>
                </w:tcPr>
                <w:p w14:paraId="65046A4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中药渣</w:t>
                  </w: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带走水量</w:t>
                  </w:r>
                </w:p>
              </w:tc>
              <w:tc>
                <w:tcPr>
                  <w:tcW w:w="1035" w:type="pct"/>
                  <w:tcBorders>
                    <w:tl2br w:val="nil"/>
                    <w:tr2bl w:val="nil"/>
                  </w:tcBorders>
                  <w:shd w:val="clear" w:color="auto" w:fill="auto"/>
                  <w:noWrap/>
                  <w:vAlign w:val="center"/>
                </w:tcPr>
                <w:p w14:paraId="5C6D09D3">
                  <w:pPr>
                    <w:keepNext w:val="0"/>
                    <w:keepLines w:val="0"/>
                    <w:suppressLineNumbers w:val="0"/>
                    <w:spacing w:before="0" w:beforeAutospacing="0" w:after="0" w:afterAutospacing="0"/>
                    <w:ind w:left="0" w:leftChars="0" w:right="0" w:rightChars="0"/>
                    <w:jc w:val="center"/>
                    <w:rPr>
                      <w:rFonts w:hint="default" w:ascii="Times New Roman" w:hAnsi="Times New Roman"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pPr>
                  <w:r>
                    <w:rPr>
                      <w:rFonts w:hint="default" w:ascii="Times New Roman" w:hAnsi="Times New Roman"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t>1316.75</w:t>
                  </w:r>
                </w:p>
              </w:tc>
            </w:tr>
            <w:tr w14:paraId="2ADD611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2" w:type="pct"/>
                  <w:tcBorders>
                    <w:tl2br w:val="nil"/>
                    <w:tr2bl w:val="nil"/>
                  </w:tcBorders>
                  <w:shd w:val="clear" w:color="auto" w:fill="auto"/>
                  <w:noWrap/>
                  <w:vAlign w:val="center"/>
                </w:tcPr>
                <w:p w14:paraId="78F187A4">
                  <w:pPr>
                    <w:pStyle w:val="63"/>
                    <w:keepNext w:val="0"/>
                    <w:keepLines w:val="0"/>
                    <w:pageBreakBefore w:val="0"/>
                    <w:widowControl w:val="0"/>
                    <w:numPr>
                      <w:ilvl w:val="0"/>
                      <w:numId w:val="15"/>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28" w:type="pct"/>
                  <w:tcBorders>
                    <w:tl2br w:val="nil"/>
                    <w:tr2bl w:val="nil"/>
                  </w:tcBorders>
                  <w:shd w:val="clear" w:color="auto" w:fill="auto"/>
                  <w:vAlign w:val="center"/>
                </w:tcPr>
                <w:p w14:paraId="3ED800F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950" w:type="pct"/>
                  <w:tcBorders>
                    <w:tl2br w:val="nil"/>
                    <w:tr2bl w:val="nil"/>
                  </w:tcBorders>
                  <w:shd w:val="clear" w:color="auto" w:fill="auto"/>
                  <w:vAlign w:val="center"/>
                </w:tcPr>
                <w:p w14:paraId="381F915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1463" w:type="pct"/>
                  <w:tcBorders>
                    <w:tl2br w:val="nil"/>
                    <w:tr2bl w:val="nil"/>
                  </w:tcBorders>
                  <w:shd w:val="clear" w:color="auto" w:fill="auto"/>
                  <w:noWrap/>
                  <w:vAlign w:val="center"/>
                </w:tcPr>
                <w:p w14:paraId="5DDAEE6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提取废水</w:t>
                  </w:r>
                </w:p>
              </w:tc>
              <w:tc>
                <w:tcPr>
                  <w:tcW w:w="1035" w:type="pct"/>
                  <w:tcBorders>
                    <w:tl2br w:val="nil"/>
                    <w:tr2bl w:val="nil"/>
                  </w:tcBorders>
                  <w:shd w:val="clear" w:color="auto" w:fill="auto"/>
                  <w:noWrap/>
                  <w:vAlign w:val="center"/>
                </w:tcPr>
                <w:p w14:paraId="564B49EA">
                  <w:pPr>
                    <w:keepNext w:val="0"/>
                    <w:keepLines w:val="0"/>
                    <w:suppressLineNumbers w:val="0"/>
                    <w:spacing w:before="0" w:beforeAutospacing="0" w:after="0" w:afterAutospacing="0"/>
                    <w:ind w:left="0" w:leftChars="0" w:right="0" w:rightChars="0"/>
                    <w:jc w:val="center"/>
                    <w:rPr>
                      <w:rFonts w:hint="default" w:ascii="Times New Roman" w:hAnsi="Times New Roman" w:eastAsia="Helvetica" w:cs="Times New Roman"/>
                      <w:i w:val="0"/>
                      <w:iCs w:val="0"/>
                      <w:caps w:val="0"/>
                      <w:color w:val="000000" w:themeColor="text1"/>
                      <w:spacing w:val="0"/>
                      <w:kern w:val="2"/>
                      <w:sz w:val="21"/>
                      <w:szCs w:val="21"/>
                      <w:highlight w:val="none"/>
                      <w:shd w:val="clear" w:fill="FFFFFF"/>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11271.0</w:t>
                  </w:r>
                </w:p>
              </w:tc>
            </w:tr>
            <w:tr w14:paraId="7B5FCC9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2" w:type="pct"/>
                  <w:tcBorders>
                    <w:tl2br w:val="nil"/>
                    <w:tr2bl w:val="nil"/>
                  </w:tcBorders>
                  <w:shd w:val="clear" w:color="auto" w:fill="auto"/>
                  <w:noWrap/>
                  <w:vAlign w:val="center"/>
                </w:tcPr>
                <w:p w14:paraId="78B9AD46">
                  <w:pPr>
                    <w:pStyle w:val="63"/>
                    <w:keepNext w:val="0"/>
                    <w:keepLines w:val="0"/>
                    <w:pageBreakBefore w:val="0"/>
                    <w:widowControl w:val="0"/>
                    <w:numPr>
                      <w:ilvl w:val="0"/>
                      <w:numId w:val="15"/>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28" w:type="pct"/>
                  <w:tcBorders>
                    <w:tl2br w:val="nil"/>
                    <w:tr2bl w:val="nil"/>
                  </w:tcBorders>
                  <w:shd w:val="clear" w:color="auto" w:fill="auto"/>
                  <w:vAlign w:val="center"/>
                </w:tcPr>
                <w:p w14:paraId="23484CF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950" w:type="pct"/>
                  <w:tcBorders>
                    <w:tl2br w:val="nil"/>
                    <w:tr2bl w:val="nil"/>
                  </w:tcBorders>
                  <w:shd w:val="clear" w:color="auto" w:fill="auto"/>
                  <w:vAlign w:val="center"/>
                </w:tcPr>
                <w:p w14:paraId="2E5809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1463" w:type="pct"/>
                  <w:tcBorders>
                    <w:tl2br w:val="nil"/>
                    <w:tr2bl w:val="nil"/>
                  </w:tcBorders>
                  <w:shd w:val="clear" w:color="auto" w:fill="auto"/>
                  <w:noWrap/>
                  <w:vAlign w:val="center"/>
                </w:tcPr>
                <w:p w14:paraId="1C6E8CF9">
                  <w:pPr>
                    <w:keepNext w:val="0"/>
                    <w:keepLines w:val="0"/>
                    <w:suppressLineNumbers w:val="0"/>
                    <w:spacing w:before="0" w:beforeAutospacing="0" w:after="0" w:afterAutospacing="0"/>
                    <w:ind w:left="0" w:leftChars="0" w:right="0" w:rightChars="0"/>
                    <w:jc w:val="center"/>
                    <w:rPr>
                      <w:rFonts w:hint="eastAsia"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固体制剂废水</w:t>
                  </w:r>
                </w:p>
              </w:tc>
              <w:tc>
                <w:tcPr>
                  <w:tcW w:w="1035" w:type="pct"/>
                  <w:tcBorders>
                    <w:tl2br w:val="nil"/>
                    <w:tr2bl w:val="nil"/>
                  </w:tcBorders>
                  <w:shd w:val="clear" w:color="auto" w:fill="auto"/>
                  <w:noWrap/>
                  <w:vAlign w:val="center"/>
                </w:tcPr>
                <w:p w14:paraId="4B2DBAF3">
                  <w:pPr>
                    <w:keepNext w:val="0"/>
                    <w:keepLines w:val="0"/>
                    <w:suppressLineNumbers w:val="0"/>
                    <w:spacing w:before="0" w:beforeAutospacing="0" w:after="0" w:afterAutospacing="0"/>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2037.45</w:t>
                  </w:r>
                </w:p>
              </w:tc>
            </w:tr>
            <w:tr w14:paraId="6D407F3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2" w:type="pct"/>
                  <w:tcBorders>
                    <w:tl2br w:val="nil"/>
                    <w:tr2bl w:val="nil"/>
                  </w:tcBorders>
                  <w:shd w:val="clear" w:color="auto" w:fill="auto"/>
                  <w:noWrap/>
                  <w:vAlign w:val="center"/>
                </w:tcPr>
                <w:p w14:paraId="0BD2B8B5">
                  <w:pPr>
                    <w:pStyle w:val="63"/>
                    <w:keepNext w:val="0"/>
                    <w:keepLines w:val="0"/>
                    <w:pageBreakBefore w:val="0"/>
                    <w:widowControl w:val="0"/>
                    <w:numPr>
                      <w:ilvl w:val="0"/>
                      <w:numId w:val="15"/>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028" w:type="pct"/>
                  <w:tcBorders>
                    <w:tl2br w:val="nil"/>
                    <w:tr2bl w:val="nil"/>
                  </w:tcBorders>
                  <w:shd w:val="clear" w:color="auto" w:fill="auto"/>
                  <w:vAlign w:val="center"/>
                </w:tcPr>
                <w:p w14:paraId="2A28499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950" w:type="pct"/>
                  <w:tcBorders>
                    <w:tl2br w:val="nil"/>
                    <w:tr2bl w:val="nil"/>
                  </w:tcBorders>
                  <w:shd w:val="clear" w:color="auto" w:fill="auto"/>
                  <w:vAlign w:val="center"/>
                </w:tcPr>
                <w:p w14:paraId="4A4D76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tc>
              <w:tc>
                <w:tcPr>
                  <w:tcW w:w="1463" w:type="pct"/>
                  <w:tcBorders>
                    <w:tl2br w:val="nil"/>
                    <w:tr2bl w:val="nil"/>
                  </w:tcBorders>
                  <w:shd w:val="clear" w:color="auto" w:fill="auto"/>
                  <w:noWrap/>
                  <w:vAlign w:val="center"/>
                </w:tcPr>
                <w:p w14:paraId="375A24A2">
                  <w:pPr>
                    <w:pStyle w:val="28"/>
                    <w:keepNext w:val="0"/>
                    <w:keepLines w:val="0"/>
                    <w:suppressLineNumbers w:val="0"/>
                    <w:bidi w:val="0"/>
                    <w:spacing w:before="0" w:beforeAutospacing="0" w:after="0" w:afterAutospacing="0"/>
                    <w:ind w:left="420" w:leftChars="0" w:right="0" w:rightChars="0" w:hanging="420" w:hangingChars="20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损耗水量</w:t>
                  </w:r>
                </w:p>
              </w:tc>
              <w:tc>
                <w:tcPr>
                  <w:tcW w:w="1035" w:type="pct"/>
                  <w:tcBorders>
                    <w:tl2br w:val="nil"/>
                    <w:tr2bl w:val="nil"/>
                  </w:tcBorders>
                  <w:shd w:val="clear" w:color="auto" w:fill="auto"/>
                  <w:noWrap/>
                  <w:vAlign w:val="center"/>
                </w:tcPr>
                <w:p w14:paraId="04151604">
                  <w:pPr>
                    <w:pStyle w:val="28"/>
                    <w:keepNext w:val="0"/>
                    <w:keepLines w:val="0"/>
                    <w:suppressLineNumbers w:val="0"/>
                    <w:bidi w:val="0"/>
                    <w:spacing w:before="0" w:beforeAutospacing="0" w:after="0" w:afterAutospacing="0"/>
                    <w:ind w:left="420" w:leftChars="0" w:right="0" w:rightChars="0" w:hanging="420" w:hangingChars="20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1344.94</w:t>
                  </w:r>
                </w:p>
              </w:tc>
            </w:tr>
            <w:tr w14:paraId="47EB53A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50" w:type="pct"/>
                  <w:gridSpan w:val="2"/>
                  <w:tcBorders>
                    <w:tl2br w:val="nil"/>
                    <w:tr2bl w:val="nil"/>
                  </w:tcBorders>
                  <w:shd w:val="clear" w:color="auto" w:fill="auto"/>
                  <w:noWrap/>
                  <w:vAlign w:val="center"/>
                </w:tcPr>
                <w:p w14:paraId="499EF89F">
                  <w:pPr>
                    <w:pStyle w:val="28"/>
                    <w:keepNext w:val="0"/>
                    <w:keepLines w:val="0"/>
                    <w:suppressLineNumbers w:val="0"/>
                    <w:bidi w:val="0"/>
                    <w:spacing w:before="0" w:beforeAutospacing="0" w:after="0" w:afterAutospacing="0"/>
                    <w:ind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合计</w:t>
                  </w:r>
                </w:p>
              </w:tc>
              <w:tc>
                <w:tcPr>
                  <w:tcW w:w="950" w:type="pct"/>
                  <w:tcBorders>
                    <w:tl2br w:val="nil"/>
                    <w:tr2bl w:val="nil"/>
                  </w:tcBorders>
                  <w:shd w:val="clear" w:color="auto" w:fill="auto"/>
                  <w:noWrap/>
                  <w:vAlign w:val="center"/>
                </w:tcPr>
                <w:p w14:paraId="313A8F2F">
                  <w:pPr>
                    <w:pStyle w:val="28"/>
                    <w:keepNext w:val="0"/>
                    <w:keepLines w:val="0"/>
                    <w:suppressLineNumbers w:val="0"/>
                    <w:bidi w:val="0"/>
                    <w:spacing w:before="0" w:beforeAutospacing="0" w:after="0" w:afterAutospacing="0"/>
                    <w:ind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16790.480</w:t>
                  </w:r>
                </w:p>
              </w:tc>
              <w:tc>
                <w:tcPr>
                  <w:tcW w:w="1463" w:type="pct"/>
                  <w:tcBorders>
                    <w:tl2br w:val="nil"/>
                    <w:tr2bl w:val="nil"/>
                  </w:tcBorders>
                  <w:shd w:val="clear" w:color="auto" w:fill="auto"/>
                  <w:noWrap/>
                  <w:vAlign w:val="center"/>
                </w:tcPr>
                <w:p w14:paraId="4853960A">
                  <w:pPr>
                    <w:pStyle w:val="28"/>
                    <w:keepNext w:val="0"/>
                    <w:keepLines w:val="0"/>
                    <w:suppressLineNumbers w:val="0"/>
                    <w:bidi w:val="0"/>
                    <w:spacing w:before="0" w:beforeAutospacing="0" w:after="0" w:afterAutospacing="0"/>
                    <w:ind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合计</w:t>
                  </w:r>
                </w:p>
              </w:tc>
              <w:tc>
                <w:tcPr>
                  <w:tcW w:w="1035" w:type="pct"/>
                  <w:tcBorders>
                    <w:tl2br w:val="nil"/>
                    <w:tr2bl w:val="nil"/>
                  </w:tcBorders>
                  <w:shd w:val="clear" w:color="auto" w:fill="auto"/>
                  <w:noWrap/>
                  <w:vAlign w:val="center"/>
                </w:tcPr>
                <w:p w14:paraId="5D9DA34A">
                  <w:pPr>
                    <w:pStyle w:val="28"/>
                    <w:keepNext w:val="0"/>
                    <w:keepLines w:val="0"/>
                    <w:suppressLineNumbers w:val="0"/>
                    <w:bidi w:val="0"/>
                    <w:spacing w:before="0" w:beforeAutospacing="0" w:after="0" w:afterAutospacing="0"/>
                    <w:ind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16790.480</w:t>
                  </w:r>
                </w:p>
              </w:tc>
            </w:tr>
          </w:tbl>
          <w:p w14:paraId="2F74202E">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3.10</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公用工程</w:t>
            </w:r>
          </w:p>
          <w:p w14:paraId="3C93B446">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新宋体" w:cs="Times New Roman"/>
                <w:color w:val="000000" w:themeColor="text1"/>
                <w:sz w:val="24"/>
                <w:szCs w:val="24"/>
                <w:highlight w:val="none"/>
                <w:lang w:bidi="ar-SA"/>
                <w14:textFill>
                  <w14:solidFill>
                    <w14:schemeClr w14:val="tx1"/>
                  </w14:solidFill>
                </w14:textFill>
              </w:rPr>
            </w:pPr>
            <w:r>
              <w:rPr>
                <w:rFonts w:hint="default" w:ascii="Times New Roman" w:hAnsi="Times New Roman" w:cs="Times New Roman"/>
                <w:b/>
                <w:color w:val="000000" w:themeColor="text1"/>
                <w:sz w:val="24"/>
                <w:szCs w:val="24"/>
                <w:highlight w:val="none"/>
                <w:lang w:eastAsia="zh-CN" w:bidi="ar-SA"/>
                <w14:textFill>
                  <w14:solidFill>
                    <w14:schemeClr w14:val="tx1"/>
                  </w14:solidFill>
                </w14:textFill>
              </w:rPr>
              <w:t>（</w:t>
            </w:r>
            <w:r>
              <w:rPr>
                <w:rFonts w:hint="default" w:ascii="Times New Roman" w:hAnsi="Times New Roman" w:cs="Times New Roman"/>
                <w:b/>
                <w:color w:val="000000" w:themeColor="text1"/>
                <w:sz w:val="24"/>
                <w:szCs w:val="24"/>
                <w:highlight w:val="none"/>
                <w:lang w:val="en-US" w:eastAsia="zh-CN" w:bidi="ar-SA"/>
                <w14:textFill>
                  <w14:solidFill>
                    <w14:schemeClr w14:val="tx1"/>
                  </w14:solidFill>
                </w14:textFill>
              </w:rPr>
              <w:t>1</w:t>
            </w:r>
            <w:r>
              <w:rPr>
                <w:rFonts w:hint="default" w:ascii="Times New Roman" w:hAnsi="Times New Roman" w:cs="Times New Roman"/>
                <w:b/>
                <w:color w:val="000000" w:themeColor="text1"/>
                <w:sz w:val="24"/>
                <w:szCs w:val="24"/>
                <w:highlight w:val="none"/>
                <w:lang w:eastAsia="zh-CN" w:bidi="ar-SA"/>
                <w14:textFill>
                  <w14:solidFill>
                    <w14:schemeClr w14:val="tx1"/>
                  </w14:solidFill>
                </w14:textFill>
              </w:rPr>
              <w:t>）</w:t>
            </w:r>
            <w:r>
              <w:rPr>
                <w:rFonts w:hint="default" w:ascii="Times New Roman" w:hAnsi="Times New Roman" w:cs="Times New Roman"/>
                <w:b/>
                <w:color w:val="000000" w:themeColor="text1"/>
                <w:sz w:val="24"/>
                <w:szCs w:val="24"/>
                <w:highlight w:val="none"/>
                <w:lang w:bidi="ar-SA"/>
                <w14:textFill>
                  <w14:solidFill>
                    <w14:schemeClr w14:val="tx1"/>
                  </w14:solidFill>
                </w14:textFill>
              </w:rPr>
              <w:t>给水：</w:t>
            </w:r>
            <w:r>
              <w:rPr>
                <w:rFonts w:hint="default" w:ascii="Times New Roman" w:hAnsi="Times New Roman" w:eastAsia="新宋体" w:cs="Times New Roman"/>
                <w:color w:val="000000" w:themeColor="text1"/>
                <w:sz w:val="24"/>
                <w:szCs w:val="24"/>
                <w:highlight w:val="none"/>
                <w:lang w:bidi="ar-SA"/>
                <w14:textFill>
                  <w14:solidFill>
                    <w14:schemeClr w14:val="tx1"/>
                  </w14:solidFill>
                </w14:textFill>
              </w:rPr>
              <w:t>本项</w:t>
            </w:r>
            <w:r>
              <w:rPr>
                <w:rFonts w:hint="default" w:ascii="Times New Roman" w:hAnsi="Times New Roman" w:cs="Times New Roman"/>
                <w:color w:val="000000" w:themeColor="text1"/>
                <w:kern w:val="0"/>
                <w:sz w:val="24"/>
                <w:szCs w:val="24"/>
                <w:highlight w:val="none"/>
                <w:lang w:bidi="ar-SA"/>
                <w14:textFill>
                  <w14:solidFill>
                    <w14:schemeClr w14:val="tx1"/>
                  </w14:solidFill>
                </w14:textFill>
              </w:rPr>
              <w:t>目用水主要为</w:t>
            </w:r>
            <w:r>
              <w:rPr>
                <w:rFonts w:hint="eastAsia" w:cs="Times New Roman"/>
                <w:color w:val="000000" w:themeColor="text1"/>
                <w:kern w:val="0"/>
                <w:sz w:val="24"/>
                <w:szCs w:val="24"/>
                <w:highlight w:val="none"/>
                <w:lang w:val="en-US" w:eastAsia="zh-CN" w:bidi="ar-SA"/>
                <w14:textFill>
                  <w14:solidFill>
                    <w14:schemeClr w14:val="tx1"/>
                  </w14:solidFill>
                </w14:textFill>
              </w:rPr>
              <w:t>药材清洗用水、配料用水、提取用水、质检用水、设备清洗用水、软化水制备用水。</w:t>
            </w:r>
            <w:r>
              <w:rPr>
                <w:rFonts w:hint="eastAsia" w:cs="Times New Roman"/>
                <w:b w:val="0"/>
                <w:bCs/>
                <w:color w:val="000000" w:themeColor="text1"/>
                <w:kern w:val="2"/>
                <w:sz w:val="24"/>
                <w:szCs w:val="24"/>
                <w:highlight w:val="none"/>
                <w:lang w:val="en-US" w:eastAsia="zh-CN" w:bidi="ar-SA"/>
                <w14:textFill>
                  <w14:solidFill>
                    <w14:schemeClr w14:val="tx1"/>
                  </w14:solidFill>
                </w14:textFill>
              </w:rPr>
              <w:t>新鲜水</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总用水量为</w:t>
            </w:r>
            <w:r>
              <w:rPr>
                <w:rFonts w:hint="eastAsia" w:cs="Times New Roman"/>
                <w:b w:val="0"/>
                <w:bCs/>
                <w:color w:val="000000" w:themeColor="text1"/>
                <w:kern w:val="2"/>
                <w:sz w:val="24"/>
                <w:szCs w:val="24"/>
                <w:highlight w:val="none"/>
                <w:lang w:val="en-US" w:eastAsia="zh-CN" w:bidi="ar-SA"/>
                <w14:textFill>
                  <w14:solidFill>
                    <w14:schemeClr w14:val="tx1"/>
                  </w14:solidFill>
                </w14:textFill>
              </w:rPr>
              <w:t>17841.025</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b w:val="0"/>
                <w:bCs/>
                <w:color w:val="000000" w:themeColor="text1"/>
                <w:kern w:val="2"/>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/a</w:t>
            </w:r>
            <w:r>
              <w:rPr>
                <w:rFonts w:hint="eastAsia" w:cs="Times New Roman"/>
                <w:b w:val="0"/>
                <w:bCs/>
                <w:color w:val="000000" w:themeColor="text1"/>
                <w:kern w:val="2"/>
                <w:sz w:val="24"/>
                <w:szCs w:val="24"/>
                <w:highlight w:val="none"/>
                <w:lang w:val="en-US" w:eastAsia="zh-CN" w:bidi="ar-SA"/>
                <w14:textFill>
                  <w14:solidFill>
                    <w14:schemeClr w14:val="tx1"/>
                  </w14:solidFill>
                </w14:textFill>
              </w:rPr>
              <w:t>（71.364</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/d</w:t>
            </w:r>
            <w:r>
              <w:rPr>
                <w:rFonts w:hint="eastAsia" w:cs="Times New Roman"/>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w:t>
            </w:r>
            <w:r>
              <w:rPr>
                <w:rFonts w:hint="eastAsia" w:cs="Times New Roman"/>
                <w:b w:val="0"/>
                <w:bCs/>
                <w:color w:val="000000" w:themeColor="text1"/>
                <w:kern w:val="2"/>
                <w:sz w:val="24"/>
                <w:szCs w:val="24"/>
                <w:highlight w:val="none"/>
                <w:lang w:val="en-US" w:eastAsia="zh-CN" w:bidi="ar-SA"/>
                <w14:textFill>
                  <w14:solidFill>
                    <w14:schemeClr w14:val="tx1"/>
                  </w14:solidFill>
                </w14:textFill>
              </w:rPr>
              <w:t>软化水</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总用水量为</w:t>
            </w:r>
            <w:r>
              <w:rPr>
                <w:rFonts w:hint="eastAsia" w:cs="Times New Roman"/>
                <w:color w:val="000000" w:themeColor="text1"/>
                <w:kern w:val="2"/>
                <w:sz w:val="24"/>
                <w:szCs w:val="24"/>
                <w:highlight w:val="none"/>
                <w:lang w:val="en-US" w:eastAsia="zh-CN" w:bidi="ar-SA"/>
                <w14:textFill>
                  <w14:solidFill>
                    <w14:schemeClr w14:val="tx1"/>
                  </w14:solidFill>
                </w14:textFill>
              </w:rPr>
              <w:t>14272.820</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b w:val="0"/>
                <w:bCs/>
                <w:color w:val="000000" w:themeColor="text1"/>
                <w:kern w:val="2"/>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/a</w:t>
            </w:r>
            <w:r>
              <w:rPr>
                <w:rFonts w:hint="eastAsia" w:cs="Times New Roman"/>
                <w:b w:val="0"/>
                <w:bCs/>
                <w:color w:val="000000" w:themeColor="text1"/>
                <w:kern w:val="2"/>
                <w:sz w:val="24"/>
                <w:szCs w:val="24"/>
                <w:highlight w:val="none"/>
                <w:lang w:val="en-US" w:eastAsia="zh-CN" w:bidi="ar-SA"/>
                <w14:textFill>
                  <w14:solidFill>
                    <w14:schemeClr w14:val="tx1"/>
                  </w14:solidFill>
                </w14:textFill>
              </w:rPr>
              <w:t>（57.091</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/d</w:t>
            </w:r>
            <w:r>
              <w:rPr>
                <w:rFonts w:hint="eastAsia" w:cs="Times New Roman"/>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新宋体" w:cs="Times New Roman"/>
                <w:color w:val="000000" w:themeColor="text1"/>
                <w:sz w:val="24"/>
                <w:szCs w:val="24"/>
                <w:highlight w:val="none"/>
                <w:lang w:bidi="ar-SA"/>
                <w14:textFill>
                  <w14:solidFill>
                    <w14:schemeClr w14:val="tx1"/>
                  </w14:solidFill>
                </w14:textFill>
              </w:rPr>
              <w:t>。</w:t>
            </w:r>
          </w:p>
          <w:p w14:paraId="7CF14B32">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新宋体" w:cs="Times New Roman"/>
                <w:color w:val="000000" w:themeColor="text1"/>
                <w:sz w:val="24"/>
                <w:szCs w:val="24"/>
                <w:highlight w:val="none"/>
                <w:lang w:bidi="ar-SA"/>
                <w14:textFill>
                  <w14:solidFill>
                    <w14:schemeClr w14:val="tx1"/>
                  </w14:solidFill>
                </w14:textFill>
              </w:rPr>
            </w:pPr>
            <w:r>
              <w:rPr>
                <w:rFonts w:hint="default" w:ascii="Times New Roman" w:hAnsi="Times New Roman" w:cs="Times New Roman"/>
                <w:b/>
                <w:color w:val="000000" w:themeColor="text1"/>
                <w:sz w:val="24"/>
                <w:szCs w:val="24"/>
                <w:highlight w:val="none"/>
                <w:lang w:eastAsia="zh-CN" w:bidi="ar-SA"/>
                <w14:textFill>
                  <w14:solidFill>
                    <w14:schemeClr w14:val="tx1"/>
                  </w14:solidFill>
                </w14:textFill>
              </w:rPr>
              <w:t>（</w:t>
            </w:r>
            <w:r>
              <w:rPr>
                <w:rFonts w:hint="default" w:ascii="Times New Roman" w:hAnsi="Times New Roman" w:cs="Times New Roman"/>
                <w:b/>
                <w:color w:val="000000" w:themeColor="text1"/>
                <w:sz w:val="24"/>
                <w:szCs w:val="24"/>
                <w:highlight w:val="none"/>
                <w:lang w:val="en-US" w:eastAsia="zh-CN" w:bidi="ar-SA"/>
                <w14:textFill>
                  <w14:solidFill>
                    <w14:schemeClr w14:val="tx1"/>
                  </w14:solidFill>
                </w14:textFill>
              </w:rPr>
              <w:t>2</w:t>
            </w:r>
            <w:r>
              <w:rPr>
                <w:rFonts w:hint="default" w:ascii="Times New Roman" w:hAnsi="Times New Roman" w:cs="Times New Roman"/>
                <w:b/>
                <w:color w:val="000000" w:themeColor="text1"/>
                <w:sz w:val="24"/>
                <w:szCs w:val="24"/>
                <w:highlight w:val="none"/>
                <w:lang w:eastAsia="zh-CN" w:bidi="ar-SA"/>
                <w14:textFill>
                  <w14:solidFill>
                    <w14:schemeClr w14:val="tx1"/>
                  </w14:solidFill>
                </w14:textFill>
              </w:rPr>
              <w:t>）</w:t>
            </w:r>
            <w:r>
              <w:rPr>
                <w:rFonts w:hint="default" w:ascii="Times New Roman" w:hAnsi="Times New Roman" w:cs="Times New Roman"/>
                <w:b/>
                <w:color w:val="000000" w:themeColor="text1"/>
                <w:sz w:val="24"/>
                <w:szCs w:val="24"/>
                <w:highlight w:val="none"/>
                <w:lang w:bidi="ar-SA"/>
                <w14:textFill>
                  <w14:solidFill>
                    <w14:schemeClr w14:val="tx1"/>
                  </w14:solidFill>
                </w14:textFill>
              </w:rPr>
              <w:t>排水：</w:t>
            </w:r>
            <w:r>
              <w:rPr>
                <w:rFonts w:hint="default" w:ascii="Times New Roman" w:hAnsi="Times New Roman" w:eastAsia="新宋体" w:cs="Times New Roman"/>
                <w:color w:val="000000" w:themeColor="text1"/>
                <w:sz w:val="24"/>
                <w:szCs w:val="24"/>
                <w:highlight w:val="none"/>
                <w:lang w:bidi="ar-SA"/>
                <w14:textFill>
                  <w14:solidFill>
                    <w14:schemeClr w14:val="tx1"/>
                  </w14:solidFill>
                </w14:textFill>
              </w:rPr>
              <w:t>本项目依托现有的800m</w:t>
            </w:r>
            <w:r>
              <w:rPr>
                <w:rFonts w:hint="default" w:ascii="Times New Roman" w:hAnsi="Times New Roman" w:eastAsia="新宋体" w:cs="Times New Roman"/>
                <w:color w:val="000000" w:themeColor="text1"/>
                <w:sz w:val="24"/>
                <w:szCs w:val="24"/>
                <w:highlight w:val="none"/>
                <w:vertAlign w:val="superscript"/>
                <w:lang w:bidi="ar-SA"/>
                <w14:textFill>
                  <w14:solidFill>
                    <w14:schemeClr w14:val="tx1"/>
                  </w14:solidFill>
                </w14:textFill>
              </w:rPr>
              <w:t>3</w:t>
            </w:r>
            <w:r>
              <w:rPr>
                <w:rFonts w:hint="default" w:ascii="Times New Roman" w:hAnsi="Times New Roman" w:eastAsia="新宋体" w:cs="Times New Roman"/>
                <w:color w:val="000000" w:themeColor="text1"/>
                <w:sz w:val="24"/>
                <w:szCs w:val="24"/>
                <w:highlight w:val="none"/>
                <w:lang w:bidi="ar-SA"/>
                <w14:textFill>
                  <w14:solidFill>
                    <w14:schemeClr w14:val="tx1"/>
                  </w14:solidFill>
                </w14:textFill>
              </w:rPr>
              <w:t>/d废水处理站，产生的废水进入厂内污水处理站进行处理，处理达标后，排入厂区污水管网后排入高新区市政管网最终排入石桥子污水处理厂。</w:t>
            </w:r>
          </w:p>
          <w:p w14:paraId="64B7968B">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eastAsia="zh-CN" w:bidi="ar-SA"/>
                <w14:textFill>
                  <w14:solidFill>
                    <w14:schemeClr w14:val="tx1"/>
                  </w14:solidFill>
                </w14:textFill>
              </w:rPr>
              <w:t>（</w:t>
            </w:r>
            <w:r>
              <w:rPr>
                <w:rFonts w:hint="default" w:ascii="Times New Roman" w:hAnsi="Times New Roman" w:cs="Times New Roman"/>
                <w:b/>
                <w:color w:val="000000" w:themeColor="text1"/>
                <w:sz w:val="24"/>
                <w:szCs w:val="24"/>
                <w:highlight w:val="none"/>
                <w:lang w:val="en-US" w:eastAsia="zh-CN" w:bidi="ar-SA"/>
                <w14:textFill>
                  <w14:solidFill>
                    <w14:schemeClr w14:val="tx1"/>
                  </w14:solidFill>
                </w14:textFill>
              </w:rPr>
              <w:t>3</w:t>
            </w:r>
            <w:r>
              <w:rPr>
                <w:rFonts w:hint="default" w:ascii="Times New Roman" w:hAnsi="Times New Roman" w:cs="Times New Roman"/>
                <w:b/>
                <w:color w:val="000000" w:themeColor="text1"/>
                <w:sz w:val="24"/>
                <w:szCs w:val="24"/>
                <w:highlight w:val="none"/>
                <w:lang w:eastAsia="zh-CN" w:bidi="ar-SA"/>
                <w14:textFill>
                  <w14:solidFill>
                    <w14:schemeClr w14:val="tx1"/>
                  </w14:solidFill>
                </w14:textFill>
              </w:rPr>
              <w:t>）</w:t>
            </w:r>
            <w:r>
              <w:rPr>
                <w:rFonts w:hint="default" w:ascii="Times New Roman" w:hAnsi="Times New Roman" w:cs="Times New Roman"/>
                <w:b/>
                <w:color w:val="000000" w:themeColor="text1"/>
                <w:sz w:val="24"/>
                <w:szCs w:val="24"/>
                <w:highlight w:val="none"/>
                <w:lang w:bidi="ar-SA"/>
                <w14:textFill>
                  <w14:solidFill>
                    <w14:schemeClr w14:val="tx1"/>
                  </w14:solidFill>
                </w14:textFill>
              </w:rPr>
              <w:t>供电：</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本项目用电由市政电网供电，</w:t>
            </w:r>
            <w:r>
              <w:rPr>
                <w:rFonts w:hint="eastAsia" w:cs="Times New Roman"/>
                <w:color w:val="000000" w:themeColor="text1"/>
                <w:sz w:val="24"/>
                <w:szCs w:val="24"/>
                <w:highlight w:val="none"/>
                <w:lang w:val="en-US" w:eastAsia="zh-CN"/>
                <w14:textFill>
                  <w14:solidFill>
                    <w14:schemeClr w14:val="tx1"/>
                  </w14:solidFill>
                </w14:textFill>
              </w:rPr>
              <w:t>新增</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用电量为</w:t>
            </w:r>
            <w:r>
              <w:rPr>
                <w:rFonts w:hint="eastAsia" w:cs="Times New Roman"/>
                <w:color w:val="000000" w:themeColor="text1"/>
                <w:sz w:val="24"/>
                <w:szCs w:val="24"/>
                <w:highlight w:val="none"/>
                <w:lang w:val="en-US" w:eastAsia="zh-CN" w:bidi="ar-SA"/>
                <w14:textFill>
                  <w14:solidFill>
                    <w14:schemeClr w14:val="tx1"/>
                  </w14:solidFill>
                </w14:textFill>
              </w:rPr>
              <w:t>6.8</w:t>
            </w:r>
            <w:r>
              <w:rPr>
                <w:rFonts w:hint="default" w:ascii="Times New Roman" w:hAnsi="Times New Roman" w:cs="Times New Roman"/>
                <w:color w:val="000000" w:themeColor="text1"/>
                <w:sz w:val="24"/>
                <w:szCs w:val="24"/>
                <w:highlight w:val="none"/>
                <w:lang w:bidi="ar-SA"/>
                <w14:textFill>
                  <w14:solidFill>
                    <w14:schemeClr w14:val="tx1"/>
                  </w14:solidFill>
                </w14:textFill>
              </w:rPr>
              <w:t>万</w:t>
            </w:r>
            <w:r>
              <w:rPr>
                <w:rFonts w:hint="default" w:ascii="Times New Roman" w:hAnsi="Times New Roman" w:cs="Times New Roman"/>
                <w:color w:val="000000" w:themeColor="text1"/>
                <w:kern w:val="0"/>
                <w:sz w:val="24"/>
                <w:szCs w:val="24"/>
                <w:highlight w:val="none"/>
                <w:lang w:bidi="ar-SA"/>
                <w14:textFill>
                  <w14:solidFill>
                    <w14:schemeClr w14:val="tx1"/>
                  </w14:solidFill>
                </w14:textFill>
              </w:rPr>
              <w:t>k</w:t>
            </w:r>
            <w:r>
              <w:rPr>
                <w:rFonts w:hint="default" w:ascii="Times New Roman" w:hAnsi="Times New Roman" w:eastAsia="宋体" w:cs="Times New Roman"/>
                <w:color w:val="000000" w:themeColor="text1"/>
                <w:kern w:val="0"/>
                <w:sz w:val="24"/>
                <w:szCs w:val="24"/>
                <w:highlight w:val="none"/>
                <w:lang w:bidi="ar-SA"/>
                <w14:textFill>
                  <w14:solidFill>
                    <w14:schemeClr w14:val="tx1"/>
                  </w14:solidFill>
                </w14:textFill>
              </w:rPr>
              <w:t>W</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bidi="ar-SA"/>
                <w14:textFill>
                  <w14:solidFill>
                    <w14:schemeClr w14:val="tx1"/>
                  </w14:solidFill>
                </w14:textFill>
              </w:rPr>
              <w:t>h</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/a</w:t>
            </w:r>
            <w:r>
              <w:rPr>
                <w:rFonts w:hint="eastAsia" w:cs="Times New Roman"/>
                <w:color w:val="000000" w:themeColor="text1"/>
                <w:kern w:val="0"/>
                <w:sz w:val="24"/>
                <w:szCs w:val="24"/>
                <w:highlight w:val="none"/>
                <w:lang w:val="en-US" w:eastAsia="zh-CN" w:bidi="ar-SA"/>
                <w14:textFill>
                  <w14:solidFill>
                    <w14:schemeClr w14:val="tx1"/>
                  </w14:solidFill>
                </w14:textFill>
              </w:rPr>
              <w:t>，项目建成后全厂用电量为665.6</w:t>
            </w:r>
            <w:r>
              <w:rPr>
                <w:rFonts w:hint="default" w:ascii="Times New Roman" w:hAnsi="Times New Roman" w:cs="Times New Roman"/>
                <w:color w:val="000000" w:themeColor="text1"/>
                <w:sz w:val="24"/>
                <w:szCs w:val="24"/>
                <w:highlight w:val="none"/>
                <w:lang w:bidi="ar-SA"/>
                <w14:textFill>
                  <w14:solidFill>
                    <w14:schemeClr w14:val="tx1"/>
                  </w14:solidFill>
                </w14:textFill>
              </w:rPr>
              <w:t>万</w:t>
            </w:r>
            <w:r>
              <w:rPr>
                <w:rFonts w:hint="default" w:ascii="Times New Roman" w:hAnsi="Times New Roman" w:cs="Times New Roman"/>
                <w:color w:val="000000" w:themeColor="text1"/>
                <w:kern w:val="0"/>
                <w:sz w:val="24"/>
                <w:szCs w:val="24"/>
                <w:highlight w:val="none"/>
                <w:lang w:bidi="ar-SA"/>
                <w14:textFill>
                  <w14:solidFill>
                    <w14:schemeClr w14:val="tx1"/>
                  </w14:solidFill>
                </w14:textFill>
              </w:rPr>
              <w:t>k</w:t>
            </w:r>
            <w:r>
              <w:rPr>
                <w:rFonts w:hint="default" w:ascii="Times New Roman" w:hAnsi="Times New Roman" w:eastAsia="宋体" w:cs="Times New Roman"/>
                <w:color w:val="000000" w:themeColor="text1"/>
                <w:kern w:val="0"/>
                <w:sz w:val="24"/>
                <w:szCs w:val="24"/>
                <w:highlight w:val="none"/>
                <w:lang w:bidi="ar-SA"/>
                <w14:textFill>
                  <w14:solidFill>
                    <w14:schemeClr w14:val="tx1"/>
                  </w14:solidFill>
                </w14:textFill>
              </w:rPr>
              <w:t>W</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bidi="ar-SA"/>
                <w14:textFill>
                  <w14:solidFill>
                    <w14:schemeClr w14:val="tx1"/>
                  </w14:solidFill>
                </w14:textFill>
              </w:rPr>
              <w:t>h</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/a。</w:t>
            </w:r>
          </w:p>
          <w:p w14:paraId="3D1C6177">
            <w:pPr>
              <w:pStyle w:val="19"/>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color w:val="000000" w:themeColor="text1"/>
                <w:sz w:val="24"/>
                <w:szCs w:val="24"/>
                <w:highlight w:val="none"/>
                <w:lang w:eastAsia="zh-CN" w:bidi="ar-SA"/>
                <w14:textFill>
                  <w14:solidFill>
                    <w14:schemeClr w14:val="tx1"/>
                  </w14:solidFill>
                </w14:textFill>
              </w:rPr>
              <w:t>（</w:t>
            </w:r>
            <w:r>
              <w:rPr>
                <w:rFonts w:hint="default" w:ascii="Times New Roman" w:hAnsi="Times New Roman" w:cs="Times New Roman"/>
                <w:b/>
                <w:color w:val="000000" w:themeColor="text1"/>
                <w:sz w:val="24"/>
                <w:szCs w:val="24"/>
                <w:highlight w:val="none"/>
                <w:lang w:val="en-US" w:eastAsia="zh-CN" w:bidi="ar-SA"/>
                <w14:textFill>
                  <w14:solidFill>
                    <w14:schemeClr w14:val="tx1"/>
                  </w14:solidFill>
                </w14:textFill>
              </w:rPr>
              <w:t>4</w:t>
            </w:r>
            <w:r>
              <w:rPr>
                <w:rFonts w:hint="default" w:ascii="Times New Roman" w:hAnsi="Times New Roman" w:cs="Times New Roman"/>
                <w:b/>
                <w:color w:val="000000" w:themeColor="text1"/>
                <w:sz w:val="24"/>
                <w:szCs w:val="24"/>
                <w:highlight w:val="none"/>
                <w:lang w:eastAsia="zh-CN" w:bidi="ar-SA"/>
                <w14:textFill>
                  <w14:solidFill>
                    <w14:schemeClr w14:val="tx1"/>
                  </w14:solidFill>
                </w14:textFill>
              </w:rPr>
              <w:t>）</w:t>
            </w:r>
            <w:r>
              <w:rPr>
                <w:rFonts w:hint="default" w:ascii="Times New Roman" w:hAnsi="Times New Roman" w:cs="Times New Roman"/>
                <w:b/>
                <w:color w:val="000000" w:themeColor="text1"/>
                <w:sz w:val="24"/>
                <w:szCs w:val="24"/>
                <w:highlight w:val="none"/>
                <w:lang w:bidi="ar-SA"/>
                <w14:textFill>
                  <w14:solidFill>
                    <w14:schemeClr w14:val="tx1"/>
                  </w14:solidFill>
                </w14:textFill>
              </w:rPr>
              <w:t>供暖</w:t>
            </w:r>
            <w:r>
              <w:rPr>
                <w:rFonts w:hint="eastAsia" w:ascii="Times New Roman" w:hAnsi="Times New Roman" w:cs="Times New Roman"/>
                <w:b/>
                <w:color w:val="000000" w:themeColor="text1"/>
                <w:sz w:val="24"/>
                <w:szCs w:val="24"/>
                <w:highlight w:val="none"/>
                <w:lang w:val="en-US" w:eastAsia="zh-CN" w:bidi="ar-SA"/>
                <w14:textFill>
                  <w14:solidFill>
                    <w14:schemeClr w14:val="tx1"/>
                  </w14:solidFill>
                </w14:textFill>
              </w:rPr>
              <w:t>及供热</w:t>
            </w:r>
            <w:r>
              <w:rPr>
                <w:rFonts w:hint="default" w:ascii="Times New Roman" w:hAnsi="Times New Roman" w:cs="Times New Roman"/>
                <w:b/>
                <w:color w:val="000000" w:themeColor="text1"/>
                <w:sz w:val="24"/>
                <w:szCs w:val="24"/>
                <w:highlight w:val="none"/>
                <w:lang w:bidi="ar-SA"/>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供暖及供热</w:t>
            </w:r>
            <w:r>
              <w:rPr>
                <w:rFonts w:hint="default" w:ascii="Times New Roman" w:hAnsi="Times New Roman" w:eastAsia="新宋体" w:cs="Times New Roman"/>
                <w:color w:val="000000" w:themeColor="text1"/>
                <w:sz w:val="24"/>
                <w:szCs w:val="24"/>
                <w:highlight w:val="none"/>
                <w:lang w:bidi="ar-SA"/>
                <w14:textFill>
                  <w14:solidFill>
                    <w14:schemeClr w14:val="tx1"/>
                  </w14:solidFill>
                </w14:textFill>
              </w:rPr>
              <w:t>依托现有1台10t/h和6t/h燃气锅炉提供，1台15t/h燃气锅炉备用</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508F39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000000" w:themeColor="text1"/>
                <w:sz w:val="24"/>
                <w:szCs w:val="24"/>
                <w:highlight w:val="none"/>
                <w:lang w:val="en-US"/>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w:t>
            </w:r>
            <w:r>
              <w:rPr>
                <w:rFonts w:hint="eastAsia" w:cs="Times New Roman"/>
                <w:b/>
                <w:bCs/>
                <w:color w:val="000000" w:themeColor="text1"/>
                <w:kern w:val="0"/>
                <w:sz w:val="24"/>
                <w:szCs w:val="24"/>
                <w:highlight w:val="none"/>
                <w:lang w:val="en-US" w:eastAsia="zh-CN" w:bidi="ar"/>
                <w14:textFill>
                  <w14:solidFill>
                    <w14:schemeClr w14:val="tx1"/>
                  </w14:solidFill>
                </w14:textFill>
              </w:rPr>
              <w:t>5</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cs="Times New Roman"/>
                <w:b/>
                <w:bCs/>
                <w:color w:val="000000" w:themeColor="text1"/>
                <w:kern w:val="0"/>
                <w:sz w:val="24"/>
                <w:szCs w:val="24"/>
                <w:highlight w:val="none"/>
                <w:lang w:val="en-US" w:eastAsia="zh-CN" w:bidi="ar"/>
                <w14:textFill>
                  <w14:solidFill>
                    <w14:schemeClr w14:val="tx1"/>
                  </w14:solidFill>
                </w14:textFill>
              </w:rPr>
              <w:t>水平衡</w:t>
            </w:r>
          </w:p>
          <w:p w14:paraId="545D31F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本项目用水</w:t>
            </w:r>
            <w:r>
              <w:rPr>
                <w:rFonts w:hint="default" w:ascii="Times New Roman" w:hAnsi="Times New Roman" w:cs="Times New Roman"/>
                <w:color w:val="000000" w:themeColor="text1"/>
                <w:kern w:val="0"/>
                <w:sz w:val="24"/>
                <w:szCs w:val="24"/>
                <w:highlight w:val="none"/>
                <w:lang w:val="en-US" w:eastAsia="zh-CN" w:bidi="ar"/>
                <w14:textFill>
                  <w14:solidFill>
                    <w14:schemeClr w14:val="tx1"/>
                  </w14:solidFill>
                </w14:textFill>
              </w:rPr>
              <w:t>主要为</w:t>
            </w:r>
            <w:r>
              <w:rPr>
                <w:rFonts w:hint="eastAsia" w:cs="Times New Roman"/>
                <w:color w:val="000000" w:themeColor="text1"/>
                <w:kern w:val="0"/>
                <w:sz w:val="24"/>
                <w:szCs w:val="24"/>
                <w:highlight w:val="none"/>
                <w:lang w:val="en-US" w:eastAsia="zh-CN" w:bidi="ar-SA"/>
                <w14:textFill>
                  <w14:solidFill>
                    <w14:schemeClr w14:val="tx1"/>
                  </w14:solidFill>
                </w14:textFill>
              </w:rPr>
              <w:t>药材炮制用水、配料用水、提取用水、固体制剂用水、化学检验用水、设备清洗用水、软化水制备用水。</w:t>
            </w:r>
          </w:p>
          <w:p w14:paraId="1286F01C">
            <w:pPr>
              <w:keepNext w:val="0"/>
              <w:keepLines w:val="0"/>
              <w:pageBreakBefore w:val="0"/>
              <w:widowControl/>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default" w:ascii="Times New Roman" w:hAnsi="Times New Roman" w:cs="Times New Roman"/>
                <w:b/>
                <w:bCs/>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val="en-US" w:eastAsia="zh-CN"/>
                <w14:textFill>
                  <w14:solidFill>
                    <w14:schemeClr w14:val="tx1"/>
                  </w14:solidFill>
                </w14:textFill>
              </w:rPr>
              <w:t>①</w:t>
            </w:r>
            <w:r>
              <w:rPr>
                <w:rFonts w:hint="default" w:ascii="Times New Roman" w:hAnsi="Times New Roman" w:cs="Times New Roman"/>
                <w:b/>
                <w:bCs/>
                <w:color w:val="000000" w:themeColor="text1"/>
                <w:kern w:val="0"/>
                <w:sz w:val="24"/>
                <w:szCs w:val="24"/>
                <w:highlight w:val="none"/>
                <w:lang w:val="en-US" w:eastAsia="zh-CN" w:bidi="ar"/>
                <w14:textFill>
                  <w14:solidFill>
                    <w14:schemeClr w14:val="tx1"/>
                  </w14:solidFill>
                </w14:textFill>
              </w:rPr>
              <w:t>药材</w:t>
            </w:r>
            <w:r>
              <w:rPr>
                <w:rFonts w:hint="eastAsia" w:cs="Times New Roman"/>
                <w:b/>
                <w:bCs/>
                <w:color w:val="000000" w:themeColor="text1"/>
                <w:kern w:val="0"/>
                <w:sz w:val="24"/>
                <w:szCs w:val="24"/>
                <w:highlight w:val="none"/>
                <w:lang w:val="en-US" w:eastAsia="zh-CN" w:bidi="ar"/>
                <w14:textFill>
                  <w14:solidFill>
                    <w14:schemeClr w14:val="tx1"/>
                  </w14:solidFill>
                </w14:textFill>
              </w:rPr>
              <w:t>炮制</w:t>
            </w:r>
            <w:r>
              <w:rPr>
                <w:rFonts w:hint="default" w:ascii="Times New Roman" w:hAnsi="Times New Roman" w:cs="Times New Roman"/>
                <w:b/>
                <w:bCs/>
                <w:color w:val="000000" w:themeColor="text1"/>
                <w:kern w:val="0"/>
                <w:sz w:val="24"/>
                <w:szCs w:val="24"/>
                <w:highlight w:val="none"/>
                <w:lang w:val="en-US" w:eastAsia="zh-CN" w:bidi="ar"/>
                <w14:textFill>
                  <w14:solidFill>
                    <w14:schemeClr w14:val="tx1"/>
                  </w14:solidFill>
                </w14:textFill>
              </w:rPr>
              <w:t>用水</w:t>
            </w:r>
          </w:p>
          <w:p w14:paraId="7862AC9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新宋体" w:cs="Times New Roman"/>
                <w:color w:val="000000" w:themeColor="text1"/>
                <w:sz w:val="24"/>
                <w:szCs w:val="24"/>
                <w:highlight w:val="none"/>
                <w:lang w:bidi="ar-SA"/>
                <w14:textFill>
                  <w14:solidFill>
                    <w14:schemeClr w14:val="tx1"/>
                  </w14:solidFill>
                </w14:textFill>
              </w:rPr>
            </w:pPr>
            <w:r>
              <w:rPr>
                <w:rFonts w:hint="eastAsia" w:cs="Times New Roman"/>
                <w:b w:val="0"/>
                <w:bCs w:val="0"/>
                <w:color w:val="000000" w:themeColor="text1"/>
                <w:kern w:val="0"/>
                <w:sz w:val="24"/>
                <w:szCs w:val="24"/>
                <w:highlight w:val="none"/>
                <w:lang w:val="en-US" w:eastAsia="zh-CN" w:bidi="ar"/>
                <w14:textFill>
                  <w14:solidFill>
                    <w14:schemeClr w14:val="tx1"/>
                  </w14:solidFill>
                </w14:textFill>
              </w:rPr>
              <w:t>本项目前处理车间对药材进行炮制（净制、软化）需要使用软化水，中药饮片产量为142.50t/a</w:t>
            </w:r>
            <w:r>
              <w:rPr>
                <w:rFonts w:hint="default" w:ascii="Times New Roman" w:hAnsi="Times New Roman" w:cs="Times New Roman"/>
                <w:b w:val="0"/>
                <w:bCs w:val="0"/>
                <w:color w:val="000000" w:themeColor="text1"/>
                <w:kern w:val="0"/>
                <w:sz w:val="24"/>
                <w:szCs w:val="24"/>
                <w:highlight w:val="none"/>
                <w:lang w:val="en-US" w:eastAsia="zh-CN" w:bidi="ar"/>
                <w14:textFill>
                  <w14:solidFill>
                    <w14:schemeClr w14:val="tx1"/>
                  </w14:solidFill>
                </w14:textFill>
              </w:rPr>
              <w:t>＜</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200t/a，</w:t>
            </w:r>
            <w:r>
              <w:rPr>
                <w:rFonts w:hint="eastAsia" w:eastAsia="宋体"/>
                <w:color w:val="000000" w:themeColor="text1"/>
                <w:sz w:val="24"/>
                <w:szCs w:val="24"/>
                <w:highlight w:val="none"/>
                <w:lang w:eastAsia="zh-CN"/>
                <w14:textFill>
                  <w14:solidFill>
                    <w14:schemeClr w14:val="tx1"/>
                  </w14:solidFill>
                </w14:textFill>
              </w:rPr>
              <w:t>根据</w:t>
            </w:r>
            <w:r>
              <w:rPr>
                <w:rFonts w:hint="default"/>
                <w:bCs/>
                <w:color w:val="000000" w:themeColor="text1"/>
                <w:sz w:val="24"/>
                <w:highlight w:val="none"/>
                <w14:textFill>
                  <w14:solidFill>
                    <w14:schemeClr w14:val="tx1"/>
                  </w14:solidFill>
                </w14:textFill>
              </w:rPr>
              <w:t>《排放源统计调查产排污核算方法和系数手册》（环境部公告2021年第24号）</w:t>
            </w:r>
            <w:r>
              <w:rPr>
                <w:rFonts w:hint="eastAsia"/>
                <w:bCs/>
                <w:color w:val="000000" w:themeColor="text1"/>
                <w:sz w:val="24"/>
                <w:highlight w:val="none"/>
                <w14:textFill>
                  <w14:solidFill>
                    <w14:schemeClr w14:val="tx1"/>
                  </w14:solidFill>
                </w14:textFill>
              </w:rPr>
              <w:t>中的</w:t>
            </w:r>
            <w:r>
              <w:rPr>
                <w:rFonts w:hint="eastAsia"/>
                <w:color w:val="000000" w:themeColor="text1"/>
                <w:sz w:val="24"/>
                <w:highlight w:val="none"/>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2730中药饮片加工</w:t>
            </w:r>
            <w:r>
              <w:rPr>
                <w:rFonts w:hint="eastAsia"/>
                <w:bCs/>
                <w:color w:val="000000" w:themeColor="text1"/>
                <w:sz w:val="24"/>
                <w:highlight w:val="none"/>
                <w14:textFill>
                  <w14:solidFill>
                    <w14:schemeClr w14:val="tx1"/>
                  </w14:solidFill>
                </w14:textFill>
              </w:rPr>
              <w:t>行业系数手册</w:t>
            </w:r>
            <w:r>
              <w:rPr>
                <w:rFonts w:hint="eastAsia"/>
                <w:color w:val="000000" w:themeColor="text1"/>
                <w:sz w:val="24"/>
                <w:highlight w:val="none"/>
                <w14:textFill>
                  <w14:solidFill>
                    <w14:schemeClr w14:val="tx1"/>
                  </w14:solidFill>
                </w14:textFill>
              </w:rPr>
              <w:t>”中</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炮制-中药饮片-中药草-规模等级</w:t>
            </w:r>
            <w:r>
              <w:rPr>
                <w:rFonts w:hint="default" w:ascii="Times New Roman" w:hAnsi="Times New Roman" w:cs="Times New Roman"/>
                <w:b w:val="0"/>
                <w:bCs w:val="0"/>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cs="Times New Roman"/>
                <w:b w:val="0"/>
                <w:bCs w:val="0"/>
                <w:color w:val="000000" w:themeColor="text1"/>
                <w:kern w:val="0"/>
                <w:sz w:val="24"/>
                <w:szCs w:val="24"/>
                <w:highlight w:val="none"/>
                <w:lang w:val="en-US" w:eastAsia="zh-CN" w:bidi="ar"/>
                <w14:textFill>
                  <w14:solidFill>
                    <w14:schemeClr w14:val="tx1"/>
                  </w14:solidFill>
                </w14:textFill>
              </w:rPr>
              <w:t>200</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t/a</w:t>
            </w:r>
            <w:r>
              <w:rPr>
                <w:rFonts w:hint="eastAsia" w:ascii="Times New Roman" w:hAnsi="Times New Roman" w:cs="Times New Roman"/>
                <w:b w:val="0"/>
                <w:bCs w:val="0"/>
                <w:color w:val="000000" w:themeColor="text1"/>
                <w:kern w:val="0"/>
                <w:sz w:val="24"/>
                <w:szCs w:val="24"/>
                <w:highlight w:val="none"/>
                <w:lang w:val="en-US" w:eastAsia="zh-CN" w:bidi="ar"/>
                <w14:textFill>
                  <w14:solidFill>
                    <w14:schemeClr w14:val="tx1"/>
                  </w14:solidFill>
                </w14:textFill>
              </w:rPr>
              <w:t>中药饮片</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可知，废水产生量为2.17t/t-中药饮片，</w:t>
            </w:r>
            <w:r>
              <w:rPr>
                <w:rFonts w:hint="eastAsia" w:cs="Times New Roman"/>
                <w:color w:val="000000" w:themeColor="text1"/>
                <w:sz w:val="24"/>
                <w:szCs w:val="24"/>
                <w:highlight w:val="none"/>
                <w:lang w:val="en-US" w:eastAsia="zh-CN"/>
                <w14:textFill>
                  <w14:solidFill>
                    <w14:schemeClr w14:val="tx1"/>
                  </w14:solidFill>
                </w14:textFill>
              </w:rPr>
              <w:t>水密度按照1000kg/m</w:t>
            </w:r>
            <w:r>
              <w:rPr>
                <w:rFonts w:hint="eastAsia" w:cs="Times New Roman"/>
                <w:color w:val="000000" w:themeColor="text1"/>
                <w:sz w:val="24"/>
                <w:szCs w:val="24"/>
                <w:highlight w:val="none"/>
                <w:vertAlign w:val="superscript"/>
                <w:lang w:val="en-US" w:eastAsia="zh-CN"/>
                <w14:textFill>
                  <w14:solidFill>
                    <w14:schemeClr w14:val="tx1"/>
                  </w14:solidFill>
                </w14:textFill>
              </w:rPr>
              <w:t>3</w:t>
            </w:r>
            <w:r>
              <w:rPr>
                <w:rFonts w:hint="eastAsia" w:cs="Times New Roman"/>
                <w:color w:val="000000" w:themeColor="text1"/>
                <w:sz w:val="24"/>
                <w:szCs w:val="24"/>
                <w:highlight w:val="none"/>
                <w:vertAlign w:val="baseline"/>
                <w:lang w:val="en-US" w:eastAsia="zh-CN"/>
                <w14:textFill>
                  <w14:solidFill>
                    <w14:schemeClr w14:val="tx1"/>
                  </w14:solidFill>
                </w14:textFill>
              </w:rPr>
              <w:t>计算</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则本项目</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废水产生量为</w:t>
            </w:r>
            <w:r>
              <w:rPr>
                <w:rFonts w:hint="eastAsia" w:cs="Times New Roman"/>
                <w:color w:val="000000" w:themeColor="text1"/>
                <w:sz w:val="24"/>
                <w:szCs w:val="24"/>
                <w:highlight w:val="none"/>
                <w:lang w:val="en-US" w:eastAsia="zh-CN"/>
                <w14:textFill>
                  <w14:solidFill>
                    <w14:schemeClr w14:val="tx1"/>
                  </w14:solidFill>
                </w14:textFill>
              </w:rPr>
              <w:t>309.225</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/a</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炮制用水</w:t>
            </w:r>
            <w:r>
              <w:rPr>
                <w:rFonts w:hint="eastAsia"/>
                <w:color w:val="000000" w:themeColor="text1"/>
                <w:sz w:val="24"/>
                <w:highlight w:val="none"/>
                <w:lang w:val="en-US" w:eastAsia="zh-CN"/>
                <w14:textFill>
                  <w14:solidFill>
                    <w14:schemeClr w14:val="tx1"/>
                  </w14:solidFill>
                </w14:textFill>
              </w:rPr>
              <w:t>量按照</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炮制</w:t>
            </w:r>
            <w:r>
              <w:rPr>
                <w:rFonts w:hint="eastAsia" w:cs="Times New Roman"/>
                <w:color w:val="000000" w:themeColor="text1"/>
                <w:kern w:val="0"/>
                <w:sz w:val="24"/>
                <w:szCs w:val="24"/>
                <w:highlight w:val="none"/>
                <w:lang w:val="en-US" w:eastAsia="zh-CN"/>
                <w14:textFill>
                  <w14:solidFill>
                    <w14:schemeClr w14:val="tx1"/>
                  </w14:solidFill>
                </w14:textFill>
              </w:rPr>
              <w:t>废水产生量的120</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%计，则</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炮制用水</w:t>
            </w:r>
            <w:r>
              <w:rPr>
                <w:rFonts w:hint="eastAsia"/>
                <w:color w:val="000000" w:themeColor="text1"/>
                <w:sz w:val="24"/>
                <w:highlight w:val="none"/>
                <w:lang w:val="en-US" w:eastAsia="zh-CN"/>
                <w14:textFill>
                  <w14:solidFill>
                    <w14:schemeClr w14:val="tx1"/>
                  </w14:solidFill>
                </w14:textFill>
              </w:rPr>
              <w:t>量为</w:t>
            </w:r>
            <w:r>
              <w:rPr>
                <w:rFonts w:hint="eastAsia" w:cs="Times New Roman"/>
                <w:color w:val="000000" w:themeColor="text1"/>
                <w:sz w:val="24"/>
                <w:szCs w:val="24"/>
                <w:highlight w:val="none"/>
                <w:lang w:val="en-US" w:eastAsia="zh-CN" w:bidi="ar-SA"/>
                <w14:textFill>
                  <w14:solidFill>
                    <w14:schemeClr w14:val="tx1"/>
                  </w14:solidFill>
                </w14:textFill>
              </w:rPr>
              <w:t>371.07</w:t>
            </w:r>
            <w:r>
              <w:rPr>
                <w:rFonts w:hint="eastAsia" w:ascii="Times New Roman" w:hAnsi="Times New Roman" w:cs="Times New Roman"/>
                <w:color w:val="000000" w:themeColor="text1"/>
                <w:sz w:val="24"/>
                <w:szCs w:val="24"/>
                <w:highlight w:val="none"/>
                <w:lang w:val="en-US" w:eastAsia="zh-CN" w:bidi="ar-SA"/>
                <w14:textFill>
                  <w14:solidFill>
                    <w14:schemeClr w14:val="tx1"/>
                  </w14:solidFill>
                </w14:textFill>
              </w:rPr>
              <w:t>0</w:t>
            </w:r>
            <w:r>
              <w:rPr>
                <w:rFonts w:hint="default" w:ascii="Times New Roman" w:hAnsi="Times New Roman" w:cs="Times New Roman"/>
                <w:color w:val="000000" w:themeColor="text1"/>
                <w:sz w:val="24"/>
                <w:szCs w:val="24"/>
                <w:highlight w:val="none"/>
                <w:lang w:val="en-US" w:eastAsia="zh-CN" w:bidi="ar-SA"/>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lang w:val="en-US" w:eastAsia="zh-CN" w:bidi="ar-SA"/>
                <w14:textFill>
                  <w14:solidFill>
                    <w14:schemeClr w14:val="tx1"/>
                  </w14:solidFill>
                </w14:textFill>
              </w:rPr>
              <w:t>3</w:t>
            </w:r>
            <w:r>
              <w:rPr>
                <w:rFonts w:hint="default" w:ascii="Times New Roman" w:hAnsi="Times New Roman" w:cs="Times New Roman"/>
                <w:color w:val="000000" w:themeColor="text1"/>
                <w:sz w:val="24"/>
                <w:szCs w:val="24"/>
                <w:highlight w:val="none"/>
                <w:lang w:val="en-US" w:eastAsia="zh-CN" w:bidi="ar-SA"/>
                <w14:textFill>
                  <w14:solidFill>
                    <w14:schemeClr w14:val="tx1"/>
                  </w14:solidFill>
                </w14:textFill>
              </w:rPr>
              <w:t>/a</w:t>
            </w:r>
            <w:r>
              <w:rPr>
                <w:rFonts w:hint="eastAsia" w:ascii="Times New Roman" w:hAnsi="Times New Roman" w:cs="Times New Roman"/>
                <w:color w:val="000000" w:themeColor="text1"/>
                <w:sz w:val="24"/>
                <w:szCs w:val="24"/>
                <w:highlight w:val="none"/>
                <w:lang w:val="en-US" w:eastAsia="zh-CN" w:bidi="ar-SA"/>
                <w14:textFill>
                  <w14:solidFill>
                    <w14:schemeClr w14:val="tx1"/>
                  </w14:solidFill>
                </w14:textFill>
              </w:rPr>
              <w:t>。</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炮制</w:t>
            </w:r>
            <w:r>
              <w:rPr>
                <w:rFonts w:hint="default" w:ascii="Times New Roman" w:hAnsi="Times New Roman" w:eastAsia="新宋体" w:cs="Times New Roman"/>
                <w:color w:val="000000" w:themeColor="text1"/>
                <w:sz w:val="24"/>
                <w:szCs w:val="24"/>
                <w:highlight w:val="none"/>
                <w:lang w:bidi="ar-SA"/>
                <w14:textFill>
                  <w14:solidFill>
                    <w14:schemeClr w14:val="tx1"/>
                  </w14:solidFill>
                </w14:textFill>
              </w:rPr>
              <w:t>废水</w:t>
            </w:r>
            <w:r>
              <w:rPr>
                <w:rFonts w:hint="eastAsia" w:cs="Times New Roman"/>
                <w:color w:val="000000" w:themeColor="text1"/>
                <w:sz w:val="24"/>
                <w:szCs w:val="24"/>
                <w:highlight w:val="none"/>
                <w:lang w:val="en-US" w:eastAsia="zh-CN"/>
                <w14:textFill>
                  <w14:solidFill>
                    <w14:schemeClr w14:val="tx1"/>
                  </w14:solidFill>
                </w14:textFill>
              </w:rPr>
              <w:t>排入</w:t>
            </w:r>
            <w:r>
              <w:rPr>
                <w:rFonts w:hint="default" w:ascii="Times New Roman" w:hAnsi="Times New Roman" w:eastAsia="新宋体" w:cs="Times New Roman"/>
                <w:color w:val="000000" w:themeColor="text1"/>
                <w:sz w:val="24"/>
                <w:szCs w:val="24"/>
                <w:highlight w:val="none"/>
                <w:lang w:bidi="ar-SA"/>
                <w14:textFill>
                  <w14:solidFill>
                    <w14:schemeClr w14:val="tx1"/>
                  </w14:solidFill>
                </w14:textFill>
              </w:rPr>
              <w:t>厂内污水处理站进行处理，处理达标后，排入厂区污水管网后排入高新区市政管网最终排入石桥子污水处理厂。</w:t>
            </w:r>
          </w:p>
          <w:p w14:paraId="4B582D14">
            <w:pPr>
              <w:keepNext w:val="0"/>
              <w:keepLines w:val="0"/>
              <w:pageBreakBefore w:val="0"/>
              <w:widowControl/>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default" w:ascii="Times New Roman" w:hAnsi="Times New Roman" w:cs="Times New Roman"/>
                <w:b/>
                <w:bCs/>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val="en-US" w:eastAsia="zh-CN" w:bidi="ar"/>
                <w14:textFill>
                  <w14:solidFill>
                    <w14:schemeClr w14:val="tx1"/>
                  </w14:solidFill>
                </w14:textFill>
              </w:rPr>
              <w:t>②</w:t>
            </w:r>
            <w:r>
              <w:rPr>
                <w:rFonts w:hint="eastAsia" w:ascii="Times New Roman" w:hAnsi="Times New Roman" w:cs="Times New Roman"/>
                <w:b/>
                <w:bCs/>
                <w:color w:val="000000" w:themeColor="text1"/>
                <w:kern w:val="0"/>
                <w:sz w:val="24"/>
                <w:szCs w:val="24"/>
                <w:highlight w:val="none"/>
                <w:lang w:val="en-US" w:eastAsia="zh-CN" w:bidi="ar"/>
                <w14:textFill>
                  <w14:solidFill>
                    <w14:schemeClr w14:val="tx1"/>
                  </w14:solidFill>
                </w14:textFill>
              </w:rPr>
              <w:t>配料</w:t>
            </w:r>
            <w:r>
              <w:rPr>
                <w:rFonts w:hint="default" w:ascii="Times New Roman" w:hAnsi="Times New Roman" w:cs="Times New Roman"/>
                <w:b/>
                <w:bCs/>
                <w:color w:val="000000" w:themeColor="text1"/>
                <w:kern w:val="0"/>
                <w:sz w:val="24"/>
                <w:szCs w:val="24"/>
                <w:highlight w:val="none"/>
                <w:lang w:val="en-US" w:eastAsia="zh-CN" w:bidi="ar"/>
                <w14:textFill>
                  <w14:solidFill>
                    <w14:schemeClr w14:val="tx1"/>
                  </w14:solidFill>
                </w14:textFill>
              </w:rPr>
              <w:t>用水</w:t>
            </w:r>
          </w:p>
          <w:p w14:paraId="57A6F405">
            <w:pPr>
              <w:keepNext w:val="0"/>
              <w:keepLines w:val="0"/>
              <w:pageBreakBefore w:val="0"/>
              <w:widowControl/>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ascii="Times New Roman" w:hAnsi="Times New Roman" w:cs="Times New Roman"/>
                <w:color w:val="000000" w:themeColor="text1"/>
                <w:sz w:val="24"/>
                <w:szCs w:val="24"/>
                <w:highlight w:val="none"/>
                <w:lang w:val="en-US" w:eastAsia="zh-CN" w:bidi="ar-SA"/>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本项目创新制剂车间配料工序需要使用软化水，根据企业现有项目工艺情况，软化水用量约为产品产量的10%，项目中成药产量为10.50</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t/a，</w:t>
            </w:r>
            <w:r>
              <w:rPr>
                <w:rFonts w:hint="eastAsia" w:cs="Times New Roman"/>
                <w:color w:val="000000" w:themeColor="text1"/>
                <w:sz w:val="24"/>
                <w:szCs w:val="24"/>
                <w:highlight w:val="none"/>
                <w:lang w:val="en-US" w:eastAsia="zh-CN"/>
                <w14:textFill>
                  <w14:solidFill>
                    <w14:schemeClr w14:val="tx1"/>
                  </w14:solidFill>
                </w14:textFill>
              </w:rPr>
              <w:t>水密度按照1000kg/m</w:t>
            </w:r>
            <w:r>
              <w:rPr>
                <w:rFonts w:hint="eastAsia" w:cs="Times New Roman"/>
                <w:color w:val="000000" w:themeColor="text1"/>
                <w:sz w:val="24"/>
                <w:szCs w:val="24"/>
                <w:highlight w:val="none"/>
                <w:vertAlign w:val="superscript"/>
                <w:lang w:val="en-US" w:eastAsia="zh-CN"/>
                <w14:textFill>
                  <w14:solidFill>
                    <w14:schemeClr w14:val="tx1"/>
                  </w14:solidFill>
                </w14:textFill>
              </w:rPr>
              <w:t>3</w:t>
            </w:r>
            <w:r>
              <w:rPr>
                <w:rFonts w:hint="eastAsia" w:cs="Times New Roman"/>
                <w:color w:val="000000" w:themeColor="text1"/>
                <w:sz w:val="24"/>
                <w:szCs w:val="24"/>
                <w:highlight w:val="none"/>
                <w:vertAlign w:val="baseline"/>
                <w:lang w:val="en-US" w:eastAsia="zh-CN"/>
                <w14:textFill>
                  <w14:solidFill>
                    <w14:schemeClr w14:val="tx1"/>
                  </w14:solidFill>
                </w14:textFill>
              </w:rPr>
              <w:t>计算</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则软化水用量为1.050</w:t>
            </w:r>
            <w:r>
              <w:rPr>
                <w:rFonts w:hint="default" w:ascii="Times New Roman" w:hAnsi="Times New Roman" w:cs="Times New Roman"/>
                <w:color w:val="000000" w:themeColor="text1"/>
                <w:sz w:val="24"/>
                <w:szCs w:val="24"/>
                <w:highlight w:val="none"/>
                <w:lang w:val="en-US" w:eastAsia="zh-CN" w:bidi="ar-SA"/>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lang w:val="en-US" w:eastAsia="zh-CN" w:bidi="ar-SA"/>
                <w14:textFill>
                  <w14:solidFill>
                    <w14:schemeClr w14:val="tx1"/>
                  </w14:solidFill>
                </w14:textFill>
              </w:rPr>
              <w:t>3</w:t>
            </w:r>
            <w:r>
              <w:rPr>
                <w:rFonts w:hint="default" w:ascii="Times New Roman" w:hAnsi="Times New Roman" w:cs="Times New Roman"/>
                <w:color w:val="000000" w:themeColor="text1"/>
                <w:sz w:val="24"/>
                <w:szCs w:val="24"/>
                <w:highlight w:val="none"/>
                <w:lang w:val="en-US" w:eastAsia="zh-CN" w:bidi="ar-SA"/>
                <w14:textFill>
                  <w14:solidFill>
                    <w14:schemeClr w14:val="tx1"/>
                  </w14:solidFill>
                </w14:textFill>
              </w:rPr>
              <w:t>/a</w:t>
            </w:r>
            <w:r>
              <w:rPr>
                <w:rFonts w:hint="eastAsia" w:ascii="Times New Roman" w:hAnsi="Times New Roman" w:cs="Times New Roman"/>
                <w:color w:val="000000" w:themeColor="text1"/>
                <w:sz w:val="24"/>
                <w:szCs w:val="24"/>
                <w:highlight w:val="none"/>
                <w:lang w:val="en-US" w:eastAsia="zh-CN" w:bidi="ar-SA"/>
                <w14:textFill>
                  <w14:solidFill>
                    <w14:schemeClr w14:val="tx1"/>
                  </w14:solidFill>
                </w14:textFill>
              </w:rPr>
              <w:t>，配料用水全部进入产品，无外排。</w:t>
            </w:r>
          </w:p>
          <w:p w14:paraId="45006413">
            <w:pPr>
              <w:keepNext w:val="0"/>
              <w:keepLines w:val="0"/>
              <w:pageBreakBefore w:val="0"/>
              <w:widowControl/>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default" w:ascii="Times New Roman" w:hAnsi="Times New Roman" w:cs="Times New Roman"/>
                <w:b/>
                <w:color w:val="000000" w:themeColor="text1"/>
                <w:sz w:val="24"/>
                <w:szCs w:val="24"/>
                <w:highlight w:val="none"/>
                <w:lang w:eastAsia="zh-CN" w:bidi="ar-SA"/>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val="en-US" w:eastAsia="zh-CN" w:bidi="ar"/>
                <w14:textFill>
                  <w14:solidFill>
                    <w14:schemeClr w14:val="tx1"/>
                  </w14:solidFill>
                </w14:textFill>
              </w:rPr>
              <w:t>③</w:t>
            </w:r>
            <w:r>
              <w:rPr>
                <w:rFonts w:hint="default" w:ascii="Times New Roman" w:hAnsi="Times New Roman" w:cs="Times New Roman"/>
                <w:b/>
                <w:color w:val="000000" w:themeColor="text1"/>
                <w:sz w:val="24"/>
                <w:szCs w:val="24"/>
                <w:highlight w:val="none"/>
                <w:lang w:eastAsia="zh-CN" w:bidi="ar-SA"/>
                <w14:textFill>
                  <w14:solidFill>
                    <w14:schemeClr w14:val="tx1"/>
                  </w14:solidFill>
                </w14:textFill>
              </w:rPr>
              <w:t>提取用水</w:t>
            </w:r>
          </w:p>
          <w:p w14:paraId="44B7E221">
            <w:pPr>
              <w:pStyle w:val="33"/>
              <w:keepNext w:val="0"/>
              <w:keepLines w:val="0"/>
              <w:pageBreakBefore w:val="0"/>
              <w:suppressLineNumbers w:val="0"/>
              <w:kinsoku/>
              <w:wordWrap w:val="0"/>
              <w:overflowPunct/>
              <w:topLinePunct w:val="0"/>
              <w:autoSpaceDE/>
              <w:autoSpaceDN/>
              <w:bidi w:val="0"/>
              <w:snapToGrid/>
              <w:spacing w:before="0" w:beforeAutospacing="0" w:after="0" w:afterAutospacing="0" w:line="360" w:lineRule="auto"/>
              <w:ind w:left="0" w:right="0" w:firstLine="480" w:firstLineChars="200"/>
              <w:textAlignment w:val="auto"/>
              <w:rPr>
                <w:rFonts w:hint="default" w:ascii="Times New Roman" w:hAnsi="Times New Roman" w:eastAsia="新宋体" w:cs="Times New Roman"/>
                <w:color w:val="000000" w:themeColor="text1"/>
                <w:sz w:val="24"/>
                <w:szCs w:val="24"/>
                <w:highlight w:val="none"/>
                <w:lang w:bidi="ar-SA"/>
                <w14:textFill>
                  <w14:solidFill>
                    <w14:schemeClr w14:val="tx1"/>
                  </w14:solidFill>
                </w14:textFill>
              </w:rPr>
            </w:pPr>
            <w:r>
              <w:rPr>
                <w:rFonts w:hint="eastAsia" w:cs="Times New Roman"/>
                <w:b w:val="0"/>
                <w:bCs w:val="0"/>
                <w:color w:val="000000" w:themeColor="text1"/>
                <w:kern w:val="0"/>
                <w:sz w:val="24"/>
                <w:szCs w:val="24"/>
                <w:highlight w:val="none"/>
                <w:lang w:val="en-US" w:eastAsia="zh-CN" w:bidi="ar"/>
                <w14:textFill>
                  <w14:solidFill>
                    <w14:schemeClr w14:val="tx1"/>
                  </w14:solidFill>
                </w14:textFill>
              </w:rPr>
              <w:t>本项目提取工序药材水提需要使用软化水，项目新增片剂和胶囊剂共计255t/a（200~1000t/a），</w:t>
            </w:r>
            <w:r>
              <w:rPr>
                <w:rFonts w:hint="eastAsia" w:eastAsia="宋体"/>
                <w:color w:val="000000" w:themeColor="text1"/>
                <w:sz w:val="24"/>
                <w:szCs w:val="24"/>
                <w:highlight w:val="none"/>
                <w:lang w:eastAsia="zh-CN"/>
                <w14:textFill>
                  <w14:solidFill>
                    <w14:schemeClr w14:val="tx1"/>
                  </w14:solidFill>
                </w14:textFill>
              </w:rPr>
              <w:t>根据</w:t>
            </w:r>
            <w:r>
              <w:rPr>
                <w:rFonts w:hint="default"/>
                <w:bCs/>
                <w:color w:val="000000" w:themeColor="text1"/>
                <w:sz w:val="24"/>
                <w:highlight w:val="none"/>
                <w14:textFill>
                  <w14:solidFill>
                    <w14:schemeClr w14:val="tx1"/>
                  </w14:solidFill>
                </w14:textFill>
              </w:rPr>
              <w:t>《排放源统计调查产排污核算方法和系数手册》（环境部公告2021年第24号）</w:t>
            </w:r>
            <w:r>
              <w:rPr>
                <w:rFonts w:hint="eastAsia"/>
                <w:bCs/>
                <w:color w:val="000000" w:themeColor="text1"/>
                <w:sz w:val="24"/>
                <w:highlight w:val="none"/>
                <w14:textFill>
                  <w14:solidFill>
                    <w14:schemeClr w14:val="tx1"/>
                  </w14:solidFill>
                </w14:textFill>
              </w:rPr>
              <w:t>中的</w:t>
            </w:r>
            <w:r>
              <w:rPr>
                <w:rFonts w:hint="eastAsia"/>
                <w:color w:val="000000" w:themeColor="text1"/>
                <w:sz w:val="24"/>
                <w:highlight w:val="none"/>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2740中成药生产</w:t>
            </w:r>
            <w:r>
              <w:rPr>
                <w:rFonts w:hint="eastAsia"/>
                <w:bCs/>
                <w:color w:val="000000" w:themeColor="text1"/>
                <w:sz w:val="24"/>
                <w:highlight w:val="none"/>
                <w14:textFill>
                  <w14:solidFill>
                    <w14:schemeClr w14:val="tx1"/>
                  </w14:solidFill>
                </w14:textFill>
              </w:rPr>
              <w:t>行业系数手册</w:t>
            </w:r>
            <w:r>
              <w:rPr>
                <w:rFonts w:hint="eastAsia"/>
                <w:color w:val="000000" w:themeColor="text1"/>
                <w:sz w:val="24"/>
                <w:highlight w:val="none"/>
                <w14:textFill>
                  <w14:solidFill>
                    <w14:schemeClr w14:val="tx1"/>
                  </w14:solidFill>
                </w14:textFill>
              </w:rPr>
              <w:t>”中</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煮提-煮提产物-中药饮片-提取（不使用有机溶剂）-规模等级</w:t>
            </w:r>
            <w:r>
              <w:rPr>
                <w:rFonts w:hint="eastAsia" w:ascii="Times New Roman" w:hAnsi="Times New Roman" w:cs="Times New Roman"/>
                <w:b w:val="0"/>
                <w:bCs w:val="0"/>
                <w:color w:val="000000" w:themeColor="text1"/>
                <w:kern w:val="0"/>
                <w:sz w:val="24"/>
                <w:szCs w:val="24"/>
                <w:highlight w:val="none"/>
                <w:lang w:val="en-US" w:eastAsia="zh-CN" w:bidi="ar"/>
                <w14:textFill>
                  <w14:solidFill>
                    <w14:schemeClr w14:val="tx1"/>
                  </w14:solidFill>
                </w14:textFill>
              </w:rPr>
              <w:t>200</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~1000t/a</w:t>
            </w:r>
            <w:r>
              <w:rPr>
                <w:rFonts w:hint="eastAsia" w:ascii="Times New Roman" w:hAnsi="Times New Roman" w:cs="Times New Roman"/>
                <w:b w:val="0"/>
                <w:bCs w:val="0"/>
                <w:color w:val="000000" w:themeColor="text1"/>
                <w:kern w:val="0"/>
                <w:sz w:val="24"/>
                <w:szCs w:val="24"/>
                <w:highlight w:val="none"/>
                <w:lang w:val="en-US" w:eastAsia="zh-CN" w:bidi="ar"/>
                <w14:textFill>
                  <w14:solidFill>
                    <w14:schemeClr w14:val="tx1"/>
                  </w14:solidFill>
                </w14:textFill>
              </w:rPr>
              <w:t>中药饮片</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可知，废水产生量为44.2t/t-中药饮片，</w:t>
            </w:r>
            <w:r>
              <w:rPr>
                <w:rFonts w:hint="eastAsia" w:cs="Times New Roman"/>
                <w:color w:val="000000" w:themeColor="text1"/>
                <w:sz w:val="24"/>
                <w:szCs w:val="24"/>
                <w:highlight w:val="none"/>
                <w:lang w:val="en-US" w:eastAsia="zh-CN"/>
                <w14:textFill>
                  <w14:solidFill>
                    <w14:schemeClr w14:val="tx1"/>
                  </w14:solidFill>
                </w14:textFill>
              </w:rPr>
              <w:t>水密度按照1000kg/m</w:t>
            </w:r>
            <w:r>
              <w:rPr>
                <w:rFonts w:hint="eastAsia" w:cs="Times New Roman"/>
                <w:color w:val="000000" w:themeColor="text1"/>
                <w:sz w:val="24"/>
                <w:szCs w:val="24"/>
                <w:highlight w:val="none"/>
                <w:vertAlign w:val="superscript"/>
                <w:lang w:val="en-US" w:eastAsia="zh-CN"/>
                <w14:textFill>
                  <w14:solidFill>
                    <w14:schemeClr w14:val="tx1"/>
                  </w14:solidFill>
                </w14:textFill>
              </w:rPr>
              <w:t>3</w:t>
            </w:r>
            <w:r>
              <w:rPr>
                <w:rFonts w:hint="eastAsia" w:cs="Times New Roman"/>
                <w:color w:val="000000" w:themeColor="text1"/>
                <w:sz w:val="24"/>
                <w:szCs w:val="24"/>
                <w:highlight w:val="none"/>
                <w:vertAlign w:val="baseline"/>
                <w:lang w:val="en-US" w:eastAsia="zh-CN"/>
                <w14:textFill>
                  <w14:solidFill>
                    <w14:schemeClr w14:val="tx1"/>
                  </w14:solidFill>
                </w14:textFill>
              </w:rPr>
              <w:t>计算</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则本项目</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废水产生量为</w:t>
            </w:r>
            <w:r>
              <w:rPr>
                <w:rFonts w:hint="eastAsia" w:cs="Times New Roman"/>
                <w:color w:val="000000" w:themeColor="text1"/>
                <w:sz w:val="24"/>
                <w:szCs w:val="24"/>
                <w:highlight w:val="none"/>
                <w:lang w:val="en-US" w:eastAsia="zh-CN"/>
                <w14:textFill>
                  <w14:solidFill>
                    <w14:schemeClr w14:val="tx1"/>
                  </w14:solidFill>
                </w14:textFill>
              </w:rPr>
              <w:t>11271.0</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/a</w:t>
            </w:r>
            <w:r>
              <w:rPr>
                <w:rFonts w:hint="eastAsia" w:ascii="Times New Roman" w:hAnsi="Times New Roman" w:cs="Times New Roman"/>
                <w:color w:val="000000" w:themeColor="text1"/>
                <w:sz w:val="24"/>
                <w:szCs w:val="24"/>
                <w:highlight w:val="none"/>
                <w:lang w:eastAsia="zh-CN"/>
                <w14:textFill>
                  <w14:solidFill>
                    <w14:schemeClr w14:val="tx1"/>
                  </w14:solidFill>
                </w14:textFill>
              </w:rPr>
              <w:t>，提取用水</w:t>
            </w:r>
            <w:r>
              <w:rPr>
                <w:rFonts w:hint="eastAsia"/>
                <w:color w:val="000000" w:themeColor="text1"/>
                <w:sz w:val="24"/>
                <w:highlight w:val="none"/>
                <w:lang w:val="en-US" w:eastAsia="zh-CN"/>
                <w14:textFill>
                  <w14:solidFill>
                    <w14:schemeClr w14:val="tx1"/>
                  </w14:solidFill>
                </w14:textFill>
              </w:rPr>
              <w:t>量按照</w:t>
            </w:r>
            <w:r>
              <w:rPr>
                <w:rFonts w:hint="eastAsia" w:ascii="Times New Roman" w:hAnsi="Times New Roman" w:cs="Times New Roman"/>
                <w:color w:val="000000" w:themeColor="text1"/>
                <w:sz w:val="24"/>
                <w:szCs w:val="24"/>
                <w:highlight w:val="none"/>
                <w:lang w:eastAsia="zh-CN"/>
                <w14:textFill>
                  <w14:solidFill>
                    <w14:schemeClr w14:val="tx1"/>
                  </w14:solidFill>
                </w14:textFill>
              </w:rPr>
              <w:t>提取</w:t>
            </w:r>
            <w:r>
              <w:rPr>
                <w:rFonts w:hint="eastAsia" w:cs="Times New Roman"/>
                <w:color w:val="000000" w:themeColor="text1"/>
                <w:kern w:val="0"/>
                <w:sz w:val="24"/>
                <w:szCs w:val="24"/>
                <w:highlight w:val="none"/>
                <w:lang w:val="en-US" w:eastAsia="zh-CN"/>
                <w14:textFill>
                  <w14:solidFill>
                    <w14:schemeClr w14:val="tx1"/>
                  </w14:solidFill>
                </w14:textFill>
              </w:rPr>
              <w:t>废水产生量的120</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%计，则</w:t>
            </w:r>
            <w:r>
              <w:rPr>
                <w:rFonts w:hint="eastAsia" w:ascii="Times New Roman" w:hAnsi="Times New Roman" w:cs="Times New Roman"/>
                <w:color w:val="000000" w:themeColor="text1"/>
                <w:sz w:val="24"/>
                <w:szCs w:val="24"/>
                <w:highlight w:val="none"/>
                <w:lang w:eastAsia="zh-CN"/>
                <w14:textFill>
                  <w14:solidFill>
                    <w14:schemeClr w14:val="tx1"/>
                  </w14:solidFill>
                </w14:textFill>
              </w:rPr>
              <w:t>提取</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用水</w:t>
            </w:r>
            <w:r>
              <w:rPr>
                <w:rFonts w:hint="eastAsia"/>
                <w:color w:val="000000" w:themeColor="text1"/>
                <w:sz w:val="24"/>
                <w:highlight w:val="none"/>
                <w:lang w:val="en-US" w:eastAsia="zh-CN"/>
                <w14:textFill>
                  <w14:solidFill>
                    <w14:schemeClr w14:val="tx1"/>
                  </w14:solidFill>
                </w14:textFill>
              </w:rPr>
              <w:t>量为</w:t>
            </w:r>
            <w:r>
              <w:rPr>
                <w:rFonts w:hint="eastAsia" w:cs="Times New Roman"/>
                <w:color w:val="000000" w:themeColor="text1"/>
                <w:sz w:val="24"/>
                <w:szCs w:val="24"/>
                <w:highlight w:val="none"/>
                <w:lang w:val="en-US" w:eastAsia="zh-CN" w:bidi="ar-SA"/>
                <w14:textFill>
                  <w14:solidFill>
                    <w14:schemeClr w14:val="tx1"/>
                  </w14:solidFill>
                </w14:textFill>
              </w:rPr>
              <w:t>13525.20</w:t>
            </w:r>
            <w:r>
              <w:rPr>
                <w:rFonts w:hint="default" w:ascii="Times New Roman" w:hAnsi="Times New Roman" w:cs="Times New Roman"/>
                <w:color w:val="000000" w:themeColor="text1"/>
                <w:sz w:val="24"/>
                <w:szCs w:val="24"/>
                <w:highlight w:val="none"/>
                <w:lang w:val="en-US" w:eastAsia="zh-CN" w:bidi="ar-SA"/>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lang w:val="en-US" w:eastAsia="zh-CN" w:bidi="ar-SA"/>
                <w14:textFill>
                  <w14:solidFill>
                    <w14:schemeClr w14:val="tx1"/>
                  </w14:solidFill>
                </w14:textFill>
              </w:rPr>
              <w:t>3</w:t>
            </w:r>
            <w:r>
              <w:rPr>
                <w:rFonts w:hint="default" w:ascii="Times New Roman" w:hAnsi="Times New Roman" w:cs="Times New Roman"/>
                <w:color w:val="000000" w:themeColor="text1"/>
                <w:sz w:val="24"/>
                <w:szCs w:val="24"/>
                <w:highlight w:val="none"/>
                <w:lang w:val="en-US" w:eastAsia="zh-CN" w:bidi="ar-SA"/>
                <w14:textFill>
                  <w14:solidFill>
                    <w14:schemeClr w14:val="tx1"/>
                  </w14:solidFill>
                </w14:textFill>
              </w:rPr>
              <w:t>/a</w:t>
            </w:r>
            <w:r>
              <w:rPr>
                <w:rFonts w:hint="eastAsia" w:cs="Times New Roman"/>
                <w:color w:val="000000" w:themeColor="text1"/>
                <w:sz w:val="24"/>
                <w:szCs w:val="24"/>
                <w:highlight w:val="none"/>
                <w:lang w:val="en-US" w:eastAsia="zh-CN" w:bidi="ar-SA"/>
                <w14:textFill>
                  <w14:solidFill>
                    <w14:schemeClr w14:val="tx1"/>
                  </w14:solidFill>
                </w14:textFill>
              </w:rPr>
              <w:t>，根据后文中药渣含水量计算，中药渣带走水量为</w:t>
            </w:r>
            <w:r>
              <w:rPr>
                <w:rFonts w:hint="eastAsia" w:cs="Times New Roman"/>
                <w:color w:val="000000" w:themeColor="text1"/>
                <w:sz w:val="24"/>
                <w:szCs w:val="24"/>
                <w:highlight w:val="none"/>
                <w:lang w:val="en-US" w:eastAsia="zh-CN"/>
                <w14:textFill>
                  <w14:solidFill>
                    <w14:schemeClr w14:val="tx1"/>
                  </w14:solidFill>
                </w14:textFill>
              </w:rPr>
              <w:t>1316.75</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t/a</w:t>
            </w:r>
            <w:r>
              <w:rPr>
                <w:rFonts w:hint="eastAsia" w:eastAsia="宋体" w:cs="Times New Roman"/>
                <w:color w:val="000000" w:themeColor="text1"/>
                <w:sz w:val="24"/>
                <w:szCs w:val="24"/>
                <w:highlight w:val="none"/>
                <w:lang w:val="en-US" w:eastAsia="zh-CN"/>
                <w14:textFill>
                  <w14:solidFill>
                    <w14:schemeClr w14:val="tx1"/>
                  </w14:solidFill>
                </w14:textFill>
              </w:rPr>
              <w:t>，所以损耗水量为</w:t>
            </w:r>
            <w:r>
              <w:rPr>
                <w:rFonts w:hint="eastAsia" w:cs="Times New Roman"/>
                <w:color w:val="000000" w:themeColor="text1"/>
                <w:sz w:val="24"/>
                <w:szCs w:val="24"/>
                <w:highlight w:val="none"/>
                <w:lang w:val="en-US" w:eastAsia="zh-CN"/>
                <w14:textFill>
                  <w14:solidFill>
                    <w14:schemeClr w14:val="tx1"/>
                  </w14:solidFill>
                </w14:textFill>
              </w:rPr>
              <w:t>937.45</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t/a</w:t>
            </w:r>
            <w:r>
              <w:rPr>
                <w:rFonts w:hint="eastAsia" w:ascii="Times New Roman" w:hAnsi="Times New Roman" w:cs="Times New Roman"/>
                <w:color w:val="000000" w:themeColor="text1"/>
                <w:sz w:val="24"/>
                <w:szCs w:val="24"/>
                <w:highlight w:val="none"/>
                <w:lang w:val="en-US" w:eastAsia="zh-CN" w:bidi="ar-SA"/>
                <w14:textFill>
                  <w14:solidFill>
                    <w14:schemeClr w14:val="tx1"/>
                  </w14:solidFill>
                </w14:textFill>
              </w:rPr>
              <w:t>。</w:t>
            </w:r>
            <w:r>
              <w:rPr>
                <w:rFonts w:hint="eastAsia" w:ascii="Times New Roman" w:hAnsi="Times New Roman" w:cs="Times New Roman"/>
                <w:color w:val="000000" w:themeColor="text1"/>
                <w:sz w:val="24"/>
                <w:szCs w:val="24"/>
                <w:highlight w:val="none"/>
                <w:lang w:eastAsia="zh-CN"/>
                <w14:textFill>
                  <w14:solidFill>
                    <w14:schemeClr w14:val="tx1"/>
                  </w14:solidFill>
                </w14:textFill>
              </w:rPr>
              <w:t>提取</w:t>
            </w:r>
            <w:r>
              <w:rPr>
                <w:rFonts w:hint="default" w:ascii="Times New Roman" w:hAnsi="Times New Roman" w:eastAsia="新宋体" w:cs="Times New Roman"/>
                <w:color w:val="000000" w:themeColor="text1"/>
                <w:sz w:val="24"/>
                <w:szCs w:val="24"/>
                <w:highlight w:val="none"/>
                <w:lang w:bidi="ar-SA"/>
                <w14:textFill>
                  <w14:solidFill>
                    <w14:schemeClr w14:val="tx1"/>
                  </w14:solidFill>
                </w14:textFill>
              </w:rPr>
              <w:t>废水</w:t>
            </w:r>
            <w:r>
              <w:rPr>
                <w:rFonts w:hint="eastAsia" w:cs="Times New Roman"/>
                <w:color w:val="000000" w:themeColor="text1"/>
                <w:sz w:val="24"/>
                <w:szCs w:val="24"/>
                <w:highlight w:val="none"/>
                <w:lang w:val="en-US" w:eastAsia="zh-CN"/>
                <w14:textFill>
                  <w14:solidFill>
                    <w14:schemeClr w14:val="tx1"/>
                  </w14:solidFill>
                </w14:textFill>
              </w:rPr>
              <w:t>排入</w:t>
            </w:r>
            <w:r>
              <w:rPr>
                <w:rFonts w:hint="default" w:ascii="Times New Roman" w:hAnsi="Times New Roman" w:eastAsia="新宋体" w:cs="Times New Roman"/>
                <w:color w:val="000000" w:themeColor="text1"/>
                <w:sz w:val="24"/>
                <w:szCs w:val="24"/>
                <w:highlight w:val="none"/>
                <w:lang w:bidi="ar-SA"/>
                <w14:textFill>
                  <w14:solidFill>
                    <w14:schemeClr w14:val="tx1"/>
                  </w14:solidFill>
                </w14:textFill>
              </w:rPr>
              <w:t>厂内污水处理站进行处理，处理达标后，排入厂区污水管网后排入高新区市政管网最终排入石桥子污水处理厂。</w:t>
            </w:r>
          </w:p>
          <w:p w14:paraId="5D12C998">
            <w:pPr>
              <w:pStyle w:val="33"/>
              <w:keepNext w:val="0"/>
              <w:keepLines w:val="0"/>
              <w:pageBreakBefore w:val="0"/>
              <w:suppressLineNumbers w:val="0"/>
              <w:kinsoku/>
              <w:wordWrap w:val="0"/>
              <w:overflowPunct/>
              <w:topLinePunct w:val="0"/>
              <w:autoSpaceDE/>
              <w:autoSpaceDN/>
              <w:bidi w:val="0"/>
              <w:snapToGrid/>
              <w:spacing w:before="0" w:beforeAutospacing="0" w:after="0" w:afterAutospacing="0" w:line="360" w:lineRule="auto"/>
              <w:ind w:left="0" w:right="0" w:firstLine="482" w:firstLineChars="200"/>
              <w:textAlignment w:val="auto"/>
              <w:rPr>
                <w:rFonts w:hint="default" w:ascii="Times New Roman" w:hAnsi="Times New Roman" w:cs="Times New Roman"/>
                <w:b/>
                <w:color w:val="000000" w:themeColor="text1"/>
                <w:sz w:val="24"/>
                <w:szCs w:val="24"/>
                <w:highlight w:val="none"/>
                <w:lang w:eastAsia="zh-CN" w:bidi="ar-SA"/>
                <w14:textFill>
                  <w14:solidFill>
                    <w14:schemeClr w14:val="tx1"/>
                  </w14:solidFill>
                </w14:textFill>
              </w:rPr>
            </w:pPr>
            <w:r>
              <w:rPr>
                <w:rFonts w:hint="default" w:ascii="Times New Roman" w:hAnsi="Times New Roman" w:cs="Times New Roman"/>
                <w:b/>
                <w:color w:val="000000" w:themeColor="text1"/>
                <w:sz w:val="24"/>
                <w:szCs w:val="24"/>
                <w:highlight w:val="none"/>
                <w:lang w:eastAsia="zh-CN" w:bidi="ar-SA"/>
                <w14:textFill>
                  <w14:solidFill>
                    <w14:schemeClr w14:val="tx1"/>
                  </w14:solidFill>
                </w14:textFill>
              </w:rPr>
              <w:t>④</w:t>
            </w:r>
            <w:r>
              <w:rPr>
                <w:rFonts w:hint="eastAsia" w:ascii="Times New Roman" w:hAnsi="Times New Roman" w:cs="Times New Roman"/>
                <w:b/>
                <w:color w:val="000000" w:themeColor="text1"/>
                <w:sz w:val="24"/>
                <w:szCs w:val="24"/>
                <w:highlight w:val="none"/>
                <w:lang w:val="en-US" w:eastAsia="zh-CN" w:bidi="ar-SA"/>
                <w14:textFill>
                  <w14:solidFill>
                    <w14:schemeClr w14:val="tx1"/>
                  </w14:solidFill>
                </w14:textFill>
              </w:rPr>
              <w:t>固体制剂用水</w:t>
            </w:r>
          </w:p>
          <w:p w14:paraId="187C2FA0">
            <w:pPr>
              <w:pStyle w:val="33"/>
              <w:keepNext w:val="0"/>
              <w:keepLines w:val="0"/>
              <w:pageBreakBefore w:val="0"/>
              <w:suppressLineNumbers w:val="0"/>
              <w:kinsoku/>
              <w:wordWrap w:val="0"/>
              <w:overflowPunct/>
              <w:topLinePunct w:val="0"/>
              <w:autoSpaceDE/>
              <w:autoSpaceDN/>
              <w:bidi w:val="0"/>
              <w:snapToGrid/>
              <w:spacing w:before="0" w:beforeAutospacing="0" w:after="0" w:afterAutospacing="0" w:line="360" w:lineRule="auto"/>
              <w:ind w:left="0" w:right="0" w:firstLine="480" w:firstLineChars="200"/>
              <w:textAlignment w:val="auto"/>
              <w:rPr>
                <w:rFonts w:hint="default" w:ascii="Times New Roman" w:hAnsi="Times New Roman" w:eastAsia="新宋体" w:cs="Times New Roman"/>
                <w:color w:val="000000" w:themeColor="text1"/>
                <w:sz w:val="24"/>
                <w:szCs w:val="24"/>
                <w:highlight w:val="none"/>
                <w:lang w:val="en-US" w:eastAsia="zh-CN" w:bidi="ar-SA"/>
                <w14:textFill>
                  <w14:solidFill>
                    <w14:schemeClr w14:val="tx1"/>
                  </w14:solidFill>
                </w14:textFill>
              </w:rPr>
            </w:pPr>
            <w:r>
              <w:rPr>
                <w:rFonts w:hint="eastAsia" w:cs="Times New Roman"/>
                <w:b w:val="0"/>
                <w:bCs w:val="0"/>
                <w:color w:val="000000" w:themeColor="text1"/>
                <w:kern w:val="0"/>
                <w:sz w:val="24"/>
                <w:szCs w:val="24"/>
                <w:highlight w:val="none"/>
                <w:lang w:val="en-US" w:eastAsia="zh-CN" w:bidi="ar"/>
                <w14:textFill>
                  <w14:solidFill>
                    <w14:schemeClr w14:val="tx1"/>
                  </w14:solidFill>
                </w14:textFill>
              </w:rPr>
              <w:t>本项目固体制剂工序需要使用软化水，项目新增片剂和胶囊剂共计255t/a（200~1000t/a），</w:t>
            </w:r>
            <w:r>
              <w:rPr>
                <w:rFonts w:hint="eastAsia" w:eastAsia="宋体"/>
                <w:color w:val="000000" w:themeColor="text1"/>
                <w:sz w:val="24"/>
                <w:szCs w:val="24"/>
                <w:highlight w:val="none"/>
                <w:lang w:eastAsia="zh-CN"/>
                <w14:textFill>
                  <w14:solidFill>
                    <w14:schemeClr w14:val="tx1"/>
                  </w14:solidFill>
                </w14:textFill>
              </w:rPr>
              <w:t>根据</w:t>
            </w:r>
            <w:r>
              <w:rPr>
                <w:rFonts w:hint="default"/>
                <w:bCs/>
                <w:color w:val="000000" w:themeColor="text1"/>
                <w:sz w:val="24"/>
                <w:highlight w:val="none"/>
                <w14:textFill>
                  <w14:solidFill>
                    <w14:schemeClr w14:val="tx1"/>
                  </w14:solidFill>
                </w14:textFill>
              </w:rPr>
              <w:t>《排放源统计调查产排污核算方法和系数手册》（环境部公告2021年第24号）</w:t>
            </w:r>
            <w:r>
              <w:rPr>
                <w:rFonts w:hint="eastAsia"/>
                <w:bCs/>
                <w:color w:val="000000" w:themeColor="text1"/>
                <w:sz w:val="24"/>
                <w:highlight w:val="none"/>
                <w14:textFill>
                  <w14:solidFill>
                    <w14:schemeClr w14:val="tx1"/>
                  </w14:solidFill>
                </w14:textFill>
              </w:rPr>
              <w:t>中的</w:t>
            </w:r>
            <w:r>
              <w:rPr>
                <w:rFonts w:hint="eastAsia"/>
                <w:color w:val="000000" w:themeColor="text1"/>
                <w:sz w:val="24"/>
                <w:highlight w:val="none"/>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2740中成药生产</w:t>
            </w:r>
            <w:r>
              <w:rPr>
                <w:rFonts w:hint="eastAsia"/>
                <w:bCs/>
                <w:color w:val="000000" w:themeColor="text1"/>
                <w:sz w:val="24"/>
                <w:highlight w:val="none"/>
                <w14:textFill>
                  <w14:solidFill>
                    <w14:schemeClr w14:val="tx1"/>
                  </w14:solidFill>
                </w14:textFill>
              </w:rPr>
              <w:t>行业系数手册</w:t>
            </w:r>
            <w:r>
              <w:rPr>
                <w:rFonts w:hint="eastAsia"/>
                <w:color w:val="000000" w:themeColor="text1"/>
                <w:sz w:val="24"/>
                <w:highlight w:val="none"/>
                <w14:textFill>
                  <w14:solidFill>
                    <w14:schemeClr w14:val="tx1"/>
                  </w14:solidFill>
                </w14:textFill>
              </w:rPr>
              <w:t>”中</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制剂-中成药-煮提产物-固体制剂-规模等级</w:t>
            </w:r>
            <w:r>
              <w:rPr>
                <w:rFonts w:hint="eastAsia" w:ascii="Times New Roman" w:hAnsi="Times New Roman" w:cs="Times New Roman"/>
                <w:b w:val="0"/>
                <w:bCs w:val="0"/>
                <w:color w:val="000000" w:themeColor="text1"/>
                <w:kern w:val="0"/>
                <w:sz w:val="24"/>
                <w:szCs w:val="24"/>
                <w:highlight w:val="none"/>
                <w:lang w:val="en-US" w:eastAsia="zh-CN" w:bidi="ar"/>
                <w14:textFill>
                  <w14:solidFill>
                    <w14:schemeClr w14:val="tx1"/>
                  </w14:solidFill>
                </w14:textFill>
              </w:rPr>
              <w:t>200</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~1000t/a</w:t>
            </w:r>
            <w:r>
              <w:rPr>
                <w:rFonts w:hint="eastAsia" w:ascii="Times New Roman" w:hAnsi="Times New Roman" w:cs="Times New Roman"/>
                <w:b w:val="0"/>
                <w:bCs w:val="0"/>
                <w:color w:val="000000" w:themeColor="text1"/>
                <w:kern w:val="0"/>
                <w:sz w:val="24"/>
                <w:szCs w:val="24"/>
                <w:highlight w:val="none"/>
                <w:lang w:val="en-US" w:eastAsia="zh-CN" w:bidi="ar"/>
                <w14:textFill>
                  <w14:solidFill>
                    <w14:schemeClr w14:val="tx1"/>
                  </w14:solidFill>
                </w14:textFill>
              </w:rPr>
              <w:t>中药饮片</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可知，废水产生量为7.99t/t-中成药，</w:t>
            </w:r>
            <w:r>
              <w:rPr>
                <w:rFonts w:hint="eastAsia" w:cs="Times New Roman"/>
                <w:color w:val="000000" w:themeColor="text1"/>
                <w:sz w:val="24"/>
                <w:szCs w:val="24"/>
                <w:highlight w:val="none"/>
                <w:lang w:val="en-US" w:eastAsia="zh-CN"/>
                <w14:textFill>
                  <w14:solidFill>
                    <w14:schemeClr w14:val="tx1"/>
                  </w14:solidFill>
                </w14:textFill>
              </w:rPr>
              <w:t>水密度按照1000kg/m</w:t>
            </w:r>
            <w:r>
              <w:rPr>
                <w:rFonts w:hint="eastAsia" w:cs="Times New Roman"/>
                <w:color w:val="000000" w:themeColor="text1"/>
                <w:sz w:val="24"/>
                <w:szCs w:val="24"/>
                <w:highlight w:val="none"/>
                <w:vertAlign w:val="superscript"/>
                <w:lang w:val="en-US" w:eastAsia="zh-CN"/>
                <w14:textFill>
                  <w14:solidFill>
                    <w14:schemeClr w14:val="tx1"/>
                  </w14:solidFill>
                </w14:textFill>
              </w:rPr>
              <w:t>3</w:t>
            </w:r>
            <w:r>
              <w:rPr>
                <w:rFonts w:hint="eastAsia" w:cs="Times New Roman"/>
                <w:color w:val="000000" w:themeColor="text1"/>
                <w:sz w:val="24"/>
                <w:szCs w:val="24"/>
                <w:highlight w:val="none"/>
                <w:vertAlign w:val="baseline"/>
                <w:lang w:val="en-US" w:eastAsia="zh-CN"/>
                <w14:textFill>
                  <w14:solidFill>
                    <w14:schemeClr w14:val="tx1"/>
                  </w14:solidFill>
                </w14:textFill>
              </w:rPr>
              <w:t>计算</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则本项目</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废水产生量为</w:t>
            </w:r>
            <w:r>
              <w:rPr>
                <w:rFonts w:hint="eastAsia" w:cs="Times New Roman"/>
                <w:color w:val="000000" w:themeColor="text1"/>
                <w:sz w:val="24"/>
                <w:szCs w:val="24"/>
                <w:highlight w:val="none"/>
                <w:lang w:val="en-US" w:eastAsia="zh-CN"/>
                <w14:textFill>
                  <w14:solidFill>
                    <w14:schemeClr w14:val="tx1"/>
                  </w14:solidFill>
                </w14:textFill>
              </w:rPr>
              <w:t>2037.45</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/a</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固体制剂</w:t>
            </w:r>
            <w:r>
              <w:rPr>
                <w:rFonts w:hint="eastAsia" w:ascii="Times New Roman" w:hAnsi="Times New Roman" w:cs="Times New Roman"/>
                <w:color w:val="000000" w:themeColor="text1"/>
                <w:sz w:val="24"/>
                <w:szCs w:val="24"/>
                <w:highlight w:val="none"/>
                <w:lang w:eastAsia="zh-CN"/>
                <w14:textFill>
                  <w14:solidFill>
                    <w14:schemeClr w14:val="tx1"/>
                  </w14:solidFill>
                </w14:textFill>
              </w:rPr>
              <w:t>用水</w:t>
            </w:r>
            <w:r>
              <w:rPr>
                <w:rFonts w:hint="eastAsia"/>
                <w:color w:val="000000" w:themeColor="text1"/>
                <w:sz w:val="24"/>
                <w:highlight w:val="none"/>
                <w:lang w:val="en-US" w:eastAsia="zh-CN"/>
                <w14:textFill>
                  <w14:solidFill>
                    <w14:schemeClr w14:val="tx1"/>
                  </w14:solidFill>
                </w14:textFill>
              </w:rPr>
              <w:t>量按照</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固体制剂</w:t>
            </w:r>
            <w:r>
              <w:rPr>
                <w:rFonts w:hint="eastAsia" w:cs="Times New Roman"/>
                <w:color w:val="000000" w:themeColor="text1"/>
                <w:kern w:val="0"/>
                <w:sz w:val="24"/>
                <w:szCs w:val="24"/>
                <w:highlight w:val="none"/>
                <w:lang w:val="en-US" w:eastAsia="zh-CN"/>
                <w14:textFill>
                  <w14:solidFill>
                    <w14:schemeClr w14:val="tx1"/>
                  </w14:solidFill>
                </w14:textFill>
              </w:rPr>
              <w:t>废水产生量的120</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%计，则</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固体制剂用水</w:t>
            </w:r>
            <w:r>
              <w:rPr>
                <w:rFonts w:hint="eastAsia"/>
                <w:color w:val="000000" w:themeColor="text1"/>
                <w:sz w:val="24"/>
                <w:highlight w:val="none"/>
                <w:lang w:val="en-US" w:eastAsia="zh-CN"/>
                <w14:textFill>
                  <w14:solidFill>
                    <w14:schemeClr w14:val="tx1"/>
                  </w14:solidFill>
                </w14:textFill>
              </w:rPr>
              <w:t>量为</w:t>
            </w:r>
            <w:r>
              <w:rPr>
                <w:rFonts w:hint="eastAsia" w:cs="Times New Roman"/>
                <w:color w:val="000000" w:themeColor="text1"/>
                <w:sz w:val="24"/>
                <w:szCs w:val="24"/>
                <w:highlight w:val="none"/>
                <w:lang w:val="en-US" w:eastAsia="zh-CN" w:bidi="ar-SA"/>
                <w14:textFill>
                  <w14:solidFill>
                    <w14:schemeClr w14:val="tx1"/>
                  </w14:solidFill>
                </w14:textFill>
              </w:rPr>
              <w:t>2444.94</w:t>
            </w:r>
            <w:r>
              <w:rPr>
                <w:rFonts w:hint="default" w:ascii="Times New Roman" w:hAnsi="Times New Roman" w:cs="Times New Roman"/>
                <w:color w:val="000000" w:themeColor="text1"/>
                <w:sz w:val="24"/>
                <w:szCs w:val="24"/>
                <w:highlight w:val="none"/>
                <w:lang w:val="en-US" w:eastAsia="zh-CN" w:bidi="ar-SA"/>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lang w:val="en-US" w:eastAsia="zh-CN" w:bidi="ar-SA"/>
                <w14:textFill>
                  <w14:solidFill>
                    <w14:schemeClr w14:val="tx1"/>
                  </w14:solidFill>
                </w14:textFill>
              </w:rPr>
              <w:t>3</w:t>
            </w:r>
            <w:r>
              <w:rPr>
                <w:rFonts w:hint="default" w:ascii="Times New Roman" w:hAnsi="Times New Roman" w:cs="Times New Roman"/>
                <w:color w:val="000000" w:themeColor="text1"/>
                <w:sz w:val="24"/>
                <w:szCs w:val="24"/>
                <w:highlight w:val="none"/>
                <w:lang w:val="en-US" w:eastAsia="zh-CN" w:bidi="ar-SA"/>
                <w14:textFill>
                  <w14:solidFill>
                    <w14:schemeClr w14:val="tx1"/>
                  </w14:solidFill>
                </w14:textFill>
              </w:rPr>
              <w:t>/a</w:t>
            </w:r>
            <w:r>
              <w:rPr>
                <w:rFonts w:hint="eastAsia" w:ascii="Times New Roman" w:hAnsi="Times New Roman" w:cs="Times New Roman"/>
                <w:color w:val="000000" w:themeColor="text1"/>
                <w:sz w:val="24"/>
                <w:szCs w:val="24"/>
                <w:highlight w:val="none"/>
                <w:lang w:val="en-US" w:eastAsia="zh-CN" w:bidi="ar-SA"/>
                <w14:textFill>
                  <w14:solidFill>
                    <w14:schemeClr w14:val="tx1"/>
                  </w14:solidFill>
                </w14:textFill>
              </w:rPr>
              <w:t>。</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固体制剂</w:t>
            </w:r>
            <w:r>
              <w:rPr>
                <w:rFonts w:hint="default" w:ascii="Times New Roman" w:hAnsi="Times New Roman" w:eastAsia="新宋体" w:cs="Times New Roman"/>
                <w:color w:val="000000" w:themeColor="text1"/>
                <w:sz w:val="24"/>
                <w:szCs w:val="24"/>
                <w:highlight w:val="none"/>
                <w:lang w:bidi="ar-SA"/>
                <w14:textFill>
                  <w14:solidFill>
                    <w14:schemeClr w14:val="tx1"/>
                  </w14:solidFill>
                </w14:textFill>
              </w:rPr>
              <w:t>废水</w:t>
            </w:r>
            <w:r>
              <w:rPr>
                <w:rFonts w:hint="eastAsia" w:cs="Times New Roman"/>
                <w:color w:val="000000" w:themeColor="text1"/>
                <w:sz w:val="24"/>
                <w:szCs w:val="24"/>
                <w:highlight w:val="none"/>
                <w:lang w:val="en-US" w:eastAsia="zh-CN"/>
                <w14:textFill>
                  <w14:solidFill>
                    <w14:schemeClr w14:val="tx1"/>
                  </w14:solidFill>
                </w14:textFill>
              </w:rPr>
              <w:t>排入</w:t>
            </w:r>
            <w:r>
              <w:rPr>
                <w:rFonts w:hint="default" w:ascii="Times New Roman" w:hAnsi="Times New Roman" w:eastAsia="新宋体" w:cs="Times New Roman"/>
                <w:color w:val="000000" w:themeColor="text1"/>
                <w:sz w:val="24"/>
                <w:szCs w:val="24"/>
                <w:highlight w:val="none"/>
                <w:lang w:bidi="ar-SA"/>
                <w14:textFill>
                  <w14:solidFill>
                    <w14:schemeClr w14:val="tx1"/>
                  </w14:solidFill>
                </w14:textFill>
              </w:rPr>
              <w:t>厂内污水处理站进行处理，处理达标后，排入厂区污水管网后排入高新区市政管网最终排入石桥子污水处理厂。</w:t>
            </w:r>
          </w:p>
          <w:p w14:paraId="561F617D">
            <w:pPr>
              <w:pStyle w:val="33"/>
              <w:keepNext w:val="0"/>
              <w:keepLines w:val="0"/>
              <w:pageBreakBefore w:val="0"/>
              <w:suppressLineNumbers w:val="0"/>
              <w:kinsoku/>
              <w:wordWrap w:val="0"/>
              <w:overflowPunct/>
              <w:topLinePunct w:val="0"/>
              <w:autoSpaceDE/>
              <w:autoSpaceDN/>
              <w:bidi w:val="0"/>
              <w:snapToGrid/>
              <w:spacing w:before="0" w:beforeAutospacing="0" w:after="0" w:afterAutospacing="0" w:line="360" w:lineRule="auto"/>
              <w:ind w:left="0" w:right="0" w:firstLine="482" w:firstLineChars="200"/>
              <w:textAlignment w:val="auto"/>
              <w:rPr>
                <w:rFonts w:hint="default" w:ascii="Times New Roman" w:hAnsi="Times New Roman" w:cs="Times New Roman"/>
                <w:b/>
                <w:color w:val="000000" w:themeColor="text1"/>
                <w:sz w:val="24"/>
                <w:szCs w:val="24"/>
                <w:highlight w:val="none"/>
                <w:lang w:eastAsia="zh-CN" w:bidi="ar-SA"/>
                <w14:textFill>
                  <w14:solidFill>
                    <w14:schemeClr w14:val="tx1"/>
                  </w14:solidFill>
                </w14:textFill>
              </w:rPr>
            </w:pPr>
            <w:r>
              <w:rPr>
                <w:rFonts w:hint="default" w:ascii="Times New Roman" w:hAnsi="Times New Roman" w:eastAsia="宋体" w:cs="Times New Roman"/>
                <w:b/>
                <w:color w:val="000000" w:themeColor="text1"/>
                <w:sz w:val="24"/>
                <w:szCs w:val="24"/>
                <w:highlight w:val="none"/>
                <w:lang w:val="en-US" w:eastAsia="zh-CN" w:bidi="ar-SA"/>
                <w14:textFill>
                  <w14:solidFill>
                    <w14:schemeClr w14:val="tx1"/>
                  </w14:solidFill>
                </w14:textFill>
              </w:rPr>
              <w:t>⑤</w:t>
            </w:r>
            <w:r>
              <w:rPr>
                <w:rFonts w:hint="eastAsia" w:cs="Times New Roman"/>
                <w:b/>
                <w:color w:val="000000" w:themeColor="text1"/>
                <w:sz w:val="24"/>
                <w:szCs w:val="24"/>
                <w:highlight w:val="none"/>
                <w:lang w:val="en-US" w:eastAsia="zh-CN" w:bidi="ar-SA"/>
                <w14:textFill>
                  <w14:solidFill>
                    <w14:schemeClr w14:val="tx1"/>
                  </w14:solidFill>
                </w14:textFill>
              </w:rPr>
              <w:t>化学检验</w:t>
            </w:r>
            <w:r>
              <w:rPr>
                <w:rFonts w:hint="default" w:ascii="Times New Roman" w:hAnsi="Times New Roman" w:cs="Times New Roman"/>
                <w:b/>
                <w:color w:val="000000" w:themeColor="text1"/>
                <w:sz w:val="24"/>
                <w:szCs w:val="24"/>
                <w:highlight w:val="none"/>
                <w:lang w:eastAsia="zh-CN" w:bidi="ar-SA"/>
                <w14:textFill>
                  <w14:solidFill>
                    <w14:schemeClr w14:val="tx1"/>
                  </w14:solidFill>
                </w14:textFill>
              </w:rPr>
              <w:t>用水</w:t>
            </w:r>
          </w:p>
          <w:p w14:paraId="5750CC9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000000" w:themeColor="text1"/>
                <w:kern w:val="2"/>
                <w:sz w:val="24"/>
                <w:szCs w:val="28"/>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2"/>
                <w:sz w:val="24"/>
                <w:szCs w:val="28"/>
                <w:highlight w:val="none"/>
                <w:lang w:val="en-US" w:eastAsia="zh-CN" w:bidi="ar-SA"/>
                <w14:textFill>
                  <w14:solidFill>
                    <w14:schemeClr w14:val="tx1"/>
                  </w14:solidFill>
                </w14:textFill>
              </w:rPr>
              <w:t>化学检验主要进行药品检验和生产工艺及质量标准研究，化学检验</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用水使用</w:t>
            </w:r>
            <w:r>
              <w:rPr>
                <w:rFonts w:hint="eastAsia" w:cs="Times New Roman"/>
                <w:color w:val="000000" w:themeColor="text1"/>
                <w:sz w:val="24"/>
                <w:szCs w:val="24"/>
                <w:highlight w:val="none"/>
                <w:lang w:val="en-US" w:eastAsia="zh-CN"/>
                <w14:textFill>
                  <w14:solidFill>
                    <w14:schemeClr w14:val="tx1"/>
                  </w14:solidFill>
                </w14:textFill>
              </w:rPr>
              <w:t>软化水</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。根据企业提供资料，</w:t>
            </w:r>
            <w:r>
              <w:rPr>
                <w:rFonts w:hint="eastAsia" w:cs="Times New Roman"/>
                <w:color w:val="000000" w:themeColor="text1"/>
                <w:sz w:val="24"/>
                <w:szCs w:val="24"/>
                <w:highlight w:val="none"/>
                <w:lang w:val="en-US" w:eastAsia="zh-CN"/>
                <w14:textFill>
                  <w14:solidFill>
                    <w14:schemeClr w14:val="tx1"/>
                  </w14:solidFill>
                </w14:textFill>
              </w:rPr>
              <w:t>本</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项目</w:t>
            </w:r>
            <w:r>
              <w:rPr>
                <w:rFonts w:hint="default" w:ascii="Times New Roman" w:hAnsi="Times New Roman" w:eastAsia="宋体" w:cs="Times New Roman"/>
                <w:bCs/>
                <w:color w:val="000000" w:themeColor="text1"/>
                <w:kern w:val="2"/>
                <w:sz w:val="24"/>
                <w:szCs w:val="28"/>
                <w:highlight w:val="none"/>
                <w:lang w:val="en-US" w:eastAsia="zh-CN" w:bidi="ar-SA"/>
                <w14:textFill>
                  <w14:solidFill>
                    <w14:schemeClr w14:val="tx1"/>
                  </w14:solidFill>
                </w14:textFill>
              </w:rPr>
              <w:t>化学检验</w:t>
            </w:r>
            <w:r>
              <w:rPr>
                <w:rFonts w:hint="default" w:ascii="Times New Roman" w:hAnsi="Times New Roman" w:eastAsia="宋体" w:cs="Times New Roman"/>
                <w:color w:val="000000" w:themeColor="text1"/>
                <w:sz w:val="24"/>
                <w:szCs w:val="24"/>
                <w:highlight w:val="none"/>
                <w14:textFill>
                  <w14:solidFill>
                    <w14:schemeClr w14:val="tx1"/>
                  </w14:solidFill>
                </w14:textFill>
              </w:rPr>
              <w:t>用水量</w:t>
            </w:r>
            <w:r>
              <w:rPr>
                <w:rFonts w:hint="eastAsia" w:cs="Times New Roman"/>
                <w:color w:val="000000" w:themeColor="text1"/>
                <w:sz w:val="24"/>
                <w:szCs w:val="24"/>
                <w:highlight w:val="none"/>
                <w:lang w:val="en-US" w:eastAsia="zh-CN"/>
                <w14:textFill>
                  <w14:solidFill>
                    <w14:schemeClr w14:val="tx1"/>
                  </w14:solidFill>
                </w14:textFill>
              </w:rPr>
              <w:t>约</w:t>
            </w:r>
            <w:r>
              <w:rPr>
                <w:rFonts w:hint="default" w:ascii="Times New Roman" w:hAnsi="Times New Roman" w:eastAsia="宋体" w:cs="Times New Roman"/>
                <w:color w:val="000000" w:themeColor="text1"/>
                <w:sz w:val="24"/>
                <w:szCs w:val="24"/>
                <w:highlight w:val="none"/>
                <w14:textFill>
                  <w14:solidFill>
                    <w14:schemeClr w14:val="tx1"/>
                  </w14:solidFill>
                </w14:textFill>
              </w:rPr>
              <w:t>为</w:t>
            </w:r>
            <w:r>
              <w:rPr>
                <w:rFonts w:hint="eastAsia" w:ascii="Times New Roman" w:hAnsi="Times New Roman" w:cs="Times New Roman"/>
                <w:bCs/>
                <w:color w:val="000000" w:themeColor="text1"/>
                <w:kern w:val="2"/>
                <w:sz w:val="24"/>
                <w:szCs w:val="28"/>
                <w:highlight w:val="none"/>
                <w:lang w:val="en-US" w:eastAsia="zh-CN" w:bidi="ar-SA"/>
                <w14:textFill>
                  <w14:solidFill>
                    <w14:schemeClr w14:val="tx1"/>
                  </w14:solidFill>
                </w14:textFill>
              </w:rPr>
              <w:t>0</w:t>
            </w:r>
            <w:r>
              <w:rPr>
                <w:rFonts w:hint="default" w:ascii="Times New Roman" w:hAnsi="Times New Roman" w:cs="Times New Roman"/>
                <w:bCs/>
                <w:color w:val="000000" w:themeColor="text1"/>
                <w:kern w:val="2"/>
                <w:sz w:val="24"/>
                <w:szCs w:val="28"/>
                <w:highlight w:val="none"/>
                <w:lang w:val="en-US" w:eastAsia="zh-CN" w:bidi="ar-SA"/>
                <w14:textFill>
                  <w14:solidFill>
                    <w14:schemeClr w14:val="tx1"/>
                  </w14:solidFill>
                </w14:textFill>
              </w:rPr>
              <w:t>.</w:t>
            </w:r>
            <w:r>
              <w:rPr>
                <w:rFonts w:hint="eastAsia" w:cs="Times New Roman"/>
                <w:bCs/>
                <w:color w:val="000000" w:themeColor="text1"/>
                <w:kern w:val="2"/>
                <w:sz w:val="24"/>
                <w:szCs w:val="28"/>
                <w:highlight w:val="none"/>
                <w:lang w:val="en-US" w:eastAsia="zh-CN" w:bidi="ar-SA"/>
                <w14:textFill>
                  <w14:solidFill>
                    <w14:schemeClr w14:val="tx1"/>
                  </w14:solidFill>
                </w14:textFill>
              </w:rPr>
              <w:t>6</w:t>
            </w:r>
            <w:r>
              <w:rPr>
                <w:rFonts w:hint="eastAsia" w:ascii="Times New Roman" w:hAnsi="Times New Roman" w:cs="Times New Roman"/>
                <w:bCs/>
                <w:color w:val="000000" w:themeColor="text1"/>
                <w:kern w:val="2"/>
                <w:sz w:val="24"/>
                <w:szCs w:val="28"/>
                <w:highlight w:val="none"/>
                <w:lang w:val="en-US" w:eastAsia="zh-CN" w:bidi="ar-SA"/>
                <w14:textFill>
                  <w14:solidFill>
                    <w14:schemeClr w14:val="tx1"/>
                  </w14:solidFill>
                </w14:textFill>
              </w:rPr>
              <w:t>0</w:t>
            </w:r>
            <w:r>
              <w:rPr>
                <w:rFonts w:hint="default" w:ascii="Times New Roman" w:hAnsi="Times New Roman" w:eastAsia="宋体" w:cs="Times New Roman"/>
                <w:bCs/>
                <w:color w:val="000000" w:themeColor="text1"/>
                <w:kern w:val="2"/>
                <w:sz w:val="24"/>
                <w:szCs w:val="28"/>
                <w:highlight w:val="none"/>
                <w:lang w:val="en-US" w:eastAsia="zh-CN" w:bidi="ar-SA"/>
                <w14:textFill>
                  <w14:solidFill>
                    <w14:schemeClr w14:val="tx1"/>
                  </w14:solidFill>
                </w14:textFill>
              </w:rPr>
              <w:t>m</w:t>
            </w:r>
            <w:r>
              <w:rPr>
                <w:rFonts w:hint="default" w:ascii="Times New Roman" w:hAnsi="Times New Roman" w:eastAsia="宋体" w:cs="Times New Roman"/>
                <w:bCs/>
                <w:color w:val="000000" w:themeColor="text1"/>
                <w:kern w:val="2"/>
                <w:sz w:val="24"/>
                <w:szCs w:val="28"/>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Cs/>
                <w:color w:val="000000" w:themeColor="text1"/>
                <w:kern w:val="2"/>
                <w:sz w:val="24"/>
                <w:szCs w:val="28"/>
                <w:highlight w:val="none"/>
                <w:lang w:val="en-US" w:eastAsia="zh-CN" w:bidi="ar-SA"/>
                <w14:textFill>
                  <w14:solidFill>
                    <w14:schemeClr w14:val="tx1"/>
                  </w14:solidFill>
                </w14:textFill>
              </w:rPr>
              <w:t>/a</w:t>
            </w:r>
            <w:r>
              <w:rPr>
                <w:rFonts w:hint="default" w:ascii="Times New Roman" w:hAnsi="Times New Roman" w:eastAsia="宋体" w:cs="Times New Roman"/>
                <w:color w:val="000000" w:themeColor="text1"/>
                <w:sz w:val="24"/>
                <w:szCs w:val="24"/>
                <w:highlight w:val="none"/>
                <w14:textFill>
                  <w14:solidFill>
                    <w14:schemeClr w14:val="tx1"/>
                  </w14:solidFill>
                </w14:textFill>
              </w:rPr>
              <w:t>。项目</w:t>
            </w:r>
            <w:r>
              <w:rPr>
                <w:rFonts w:hint="default" w:ascii="Times New Roman" w:hAnsi="Times New Roman" w:eastAsia="宋体" w:cs="Times New Roman"/>
                <w:bCs/>
                <w:color w:val="000000" w:themeColor="text1"/>
                <w:kern w:val="2"/>
                <w:sz w:val="24"/>
                <w:szCs w:val="28"/>
                <w:highlight w:val="none"/>
                <w:lang w:val="en-US" w:eastAsia="zh-CN" w:bidi="ar-SA"/>
                <w14:textFill>
                  <w14:solidFill>
                    <w14:schemeClr w14:val="tx1"/>
                  </w14:solidFill>
                </w14:textFill>
              </w:rPr>
              <w:t>化学检验</w:t>
            </w:r>
            <w:r>
              <w:rPr>
                <w:rFonts w:hint="eastAsia" w:cs="Times New Roman"/>
                <w:color w:val="000000" w:themeColor="text1"/>
                <w:sz w:val="24"/>
                <w:szCs w:val="24"/>
                <w:highlight w:val="none"/>
                <w:lang w:val="en-US" w:eastAsia="zh-CN"/>
                <w14:textFill>
                  <w14:solidFill>
                    <w14:schemeClr w14:val="tx1"/>
                  </w14:solidFill>
                </w14:textFill>
              </w:rPr>
              <w:t>废液</w:t>
            </w:r>
            <w:r>
              <w:rPr>
                <w:rFonts w:hint="default" w:ascii="Times New Roman" w:hAnsi="Times New Roman" w:eastAsia="宋体" w:cs="Times New Roman"/>
                <w:color w:val="000000" w:themeColor="text1"/>
                <w:sz w:val="24"/>
                <w:szCs w:val="24"/>
                <w:highlight w:val="none"/>
                <w14:textFill>
                  <w14:solidFill>
                    <w14:schemeClr w14:val="tx1"/>
                  </w14:solidFill>
                </w14:textFill>
              </w:rPr>
              <w:t>主要来源于检测仪器、试管等玻璃器皿的清洗及少量</w:t>
            </w:r>
            <w:r>
              <w:rPr>
                <w:rFonts w:hint="eastAsia" w:cs="Times New Roman"/>
                <w:color w:val="000000" w:themeColor="text1"/>
                <w:sz w:val="24"/>
                <w:szCs w:val="24"/>
                <w:highlight w:val="none"/>
                <w:lang w:eastAsia="zh-CN"/>
                <w14:textFill>
                  <w14:solidFill>
                    <w14:schemeClr w14:val="tx1"/>
                  </w14:solidFill>
                </w14:textFill>
              </w:rPr>
              <w:t>化学</w:t>
            </w:r>
            <w:r>
              <w:rPr>
                <w:rFonts w:hint="eastAsia" w:cs="Times New Roman"/>
                <w:color w:val="000000" w:themeColor="text1"/>
                <w:sz w:val="24"/>
                <w:szCs w:val="24"/>
                <w:highlight w:val="none"/>
                <w:lang w:val="en-US" w:eastAsia="zh-CN"/>
                <w14:textFill>
                  <w14:solidFill>
                    <w14:schemeClr w14:val="tx1"/>
                  </w14:solidFill>
                </w14:textFill>
              </w:rPr>
              <w:t>废试剂</w:t>
            </w:r>
            <w:r>
              <w:rPr>
                <w:rFonts w:hint="eastAsia" w:cs="Times New Roman"/>
                <w:color w:val="000000" w:themeColor="text1"/>
                <w:sz w:val="24"/>
                <w:szCs w:val="24"/>
                <w:highlight w:val="no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与</w:t>
            </w:r>
            <w:r>
              <w:rPr>
                <w:rFonts w:hint="default" w:ascii="Times New Roman" w:hAnsi="Times New Roman" w:eastAsia="宋体" w:cs="Times New Roman"/>
                <w:color w:val="000000" w:themeColor="text1"/>
                <w:sz w:val="24"/>
                <w:szCs w:val="24"/>
                <w:highlight w:val="none"/>
                <w14:textFill>
                  <w14:solidFill>
                    <w14:schemeClr w14:val="tx1"/>
                  </w14:solidFill>
                </w14:textFill>
              </w:rPr>
              <w:t>玻璃器皿的</w:t>
            </w:r>
            <w:r>
              <w:rPr>
                <w:rFonts w:hint="eastAsia" w:cs="Times New Roman"/>
                <w:color w:val="000000" w:themeColor="text1"/>
                <w:sz w:val="24"/>
                <w:szCs w:val="24"/>
                <w:highlight w:val="none"/>
                <w:lang w:val="en-US" w:eastAsia="zh-CN"/>
                <w14:textFill>
                  <w14:solidFill>
                    <w14:schemeClr w14:val="tx1"/>
                  </w14:solidFill>
                </w14:textFill>
              </w:rPr>
              <w:t>清洗废水混合的化学废试剂量约为</w:t>
            </w:r>
            <w:r>
              <w:rPr>
                <w:rFonts w:hint="eastAsia" w:ascii="Times New Roman" w:hAnsi="Times New Roman" w:cs="Times New Roman"/>
                <w:bCs/>
                <w:color w:val="000000" w:themeColor="text1"/>
                <w:kern w:val="2"/>
                <w:sz w:val="24"/>
                <w:szCs w:val="28"/>
                <w:highlight w:val="none"/>
                <w:lang w:val="en-US" w:eastAsia="zh-CN" w:bidi="ar-SA"/>
                <w14:textFill>
                  <w14:solidFill>
                    <w14:schemeClr w14:val="tx1"/>
                  </w14:solidFill>
                </w14:textFill>
              </w:rPr>
              <w:t>0</w:t>
            </w:r>
            <w:r>
              <w:rPr>
                <w:rFonts w:hint="default" w:ascii="Times New Roman" w:hAnsi="Times New Roman" w:cs="Times New Roman"/>
                <w:bCs/>
                <w:color w:val="000000" w:themeColor="text1"/>
                <w:kern w:val="2"/>
                <w:sz w:val="24"/>
                <w:szCs w:val="28"/>
                <w:highlight w:val="none"/>
                <w:lang w:val="en-US" w:eastAsia="zh-CN" w:bidi="ar-SA"/>
                <w14:textFill>
                  <w14:solidFill>
                    <w14:schemeClr w14:val="tx1"/>
                  </w14:solidFill>
                </w14:textFill>
              </w:rPr>
              <w:t>.</w:t>
            </w:r>
            <w:r>
              <w:rPr>
                <w:rFonts w:hint="eastAsia" w:cs="Times New Roman"/>
                <w:bCs/>
                <w:color w:val="000000" w:themeColor="text1"/>
                <w:kern w:val="2"/>
                <w:sz w:val="24"/>
                <w:szCs w:val="28"/>
                <w:highlight w:val="none"/>
                <w:lang w:val="en-US" w:eastAsia="zh-CN" w:bidi="ar-SA"/>
                <w14:textFill>
                  <w14:solidFill>
                    <w14:schemeClr w14:val="tx1"/>
                  </w14:solidFill>
                </w14:textFill>
              </w:rPr>
              <w:t>4</w:t>
            </w:r>
            <w:r>
              <w:rPr>
                <w:rFonts w:hint="eastAsia" w:ascii="Times New Roman" w:hAnsi="Times New Roman" w:cs="Times New Roman"/>
                <w:bCs/>
                <w:color w:val="000000" w:themeColor="text1"/>
                <w:kern w:val="2"/>
                <w:sz w:val="24"/>
                <w:szCs w:val="28"/>
                <w:highlight w:val="none"/>
                <w:lang w:val="en-US" w:eastAsia="zh-CN" w:bidi="ar-SA"/>
                <w14:textFill>
                  <w14:solidFill>
                    <w14:schemeClr w14:val="tx1"/>
                  </w14:solidFill>
                </w14:textFill>
              </w:rPr>
              <w:t>0</w:t>
            </w:r>
            <w:r>
              <w:rPr>
                <w:rFonts w:hint="default" w:ascii="Times New Roman" w:hAnsi="Times New Roman" w:eastAsia="宋体" w:cs="Times New Roman"/>
                <w:bCs/>
                <w:color w:val="000000" w:themeColor="text1"/>
                <w:kern w:val="2"/>
                <w:sz w:val="24"/>
                <w:szCs w:val="28"/>
                <w:highlight w:val="none"/>
                <w:lang w:val="en-US" w:eastAsia="zh-CN" w:bidi="ar-SA"/>
                <w14:textFill>
                  <w14:solidFill>
                    <w14:schemeClr w14:val="tx1"/>
                  </w14:solidFill>
                </w14:textFill>
              </w:rPr>
              <w:t>m</w:t>
            </w:r>
            <w:r>
              <w:rPr>
                <w:rFonts w:hint="default" w:ascii="Times New Roman" w:hAnsi="Times New Roman" w:eastAsia="宋体" w:cs="Times New Roman"/>
                <w:bCs/>
                <w:color w:val="000000" w:themeColor="text1"/>
                <w:kern w:val="2"/>
                <w:sz w:val="24"/>
                <w:szCs w:val="28"/>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Cs/>
                <w:color w:val="000000" w:themeColor="text1"/>
                <w:kern w:val="2"/>
                <w:sz w:val="24"/>
                <w:szCs w:val="28"/>
                <w:highlight w:val="none"/>
                <w:lang w:val="en-US" w:eastAsia="zh-CN" w:bidi="ar-SA"/>
                <w14:textFill>
                  <w14:solidFill>
                    <w14:schemeClr w14:val="tx1"/>
                  </w14:solidFill>
                </w14:textFill>
              </w:rPr>
              <w:t>/a</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则</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化学检验废液</w:t>
            </w:r>
            <w:r>
              <w:rPr>
                <w:rFonts w:hint="default" w:ascii="Times New Roman" w:hAnsi="Times New Roman" w:eastAsia="宋体" w:cs="Times New Roman"/>
                <w:color w:val="000000" w:themeColor="text1"/>
                <w:sz w:val="24"/>
                <w:szCs w:val="24"/>
                <w:highlight w:val="none"/>
                <w14:textFill>
                  <w14:solidFill>
                    <w14:schemeClr w14:val="tx1"/>
                  </w14:solidFill>
                </w14:textFill>
              </w:rPr>
              <w:t>产生量</w:t>
            </w:r>
            <w:r>
              <w:rPr>
                <w:rFonts w:hint="eastAsia" w:cs="Times New Roman"/>
                <w:color w:val="000000" w:themeColor="text1"/>
                <w:sz w:val="24"/>
                <w:szCs w:val="24"/>
                <w:highlight w:val="none"/>
                <w:lang w:val="en-US" w:eastAsia="zh-CN"/>
                <w14:textFill>
                  <w14:solidFill>
                    <w14:schemeClr w14:val="tx1"/>
                  </w14:solidFill>
                </w14:textFill>
              </w:rPr>
              <w:t>约</w:t>
            </w:r>
            <w:r>
              <w:rPr>
                <w:rFonts w:hint="default" w:ascii="Times New Roman" w:hAnsi="Times New Roman" w:eastAsia="宋体" w:cs="Times New Roman"/>
                <w:color w:val="000000" w:themeColor="text1"/>
                <w:sz w:val="24"/>
                <w:szCs w:val="24"/>
                <w:highlight w:val="none"/>
                <w14:textFill>
                  <w14:solidFill>
                    <w14:schemeClr w14:val="tx1"/>
                  </w14:solidFill>
                </w14:textFill>
              </w:rPr>
              <w:t>为</w:t>
            </w:r>
            <w:r>
              <w:rPr>
                <w:rFonts w:hint="eastAsia" w:cs="Times New Roman"/>
                <w:color w:val="000000" w:themeColor="text1"/>
                <w:sz w:val="24"/>
                <w:szCs w:val="24"/>
                <w:highlight w:val="none"/>
                <w:lang w:val="en-US" w:eastAsia="zh-CN"/>
                <w14:textFill>
                  <w14:solidFill>
                    <w14:schemeClr w14:val="tx1"/>
                  </w14:solidFill>
                </w14:textFill>
              </w:rPr>
              <w:t>1.0</w:t>
            </w:r>
            <w:r>
              <w:rPr>
                <w:rFonts w:hint="default" w:ascii="Times New Roman" w:hAnsi="Times New Roman" w:eastAsia="宋体" w:cs="Times New Roman"/>
                <w:bCs/>
                <w:color w:val="000000" w:themeColor="text1"/>
                <w:kern w:val="2"/>
                <w:sz w:val="24"/>
                <w:szCs w:val="28"/>
                <w:highlight w:val="none"/>
                <w:lang w:val="en-US" w:eastAsia="zh-CN" w:bidi="ar-SA"/>
                <w14:textFill>
                  <w14:solidFill>
                    <w14:schemeClr w14:val="tx1"/>
                  </w14:solidFill>
                </w14:textFill>
              </w:rPr>
              <w:t>m</w:t>
            </w:r>
            <w:r>
              <w:rPr>
                <w:rFonts w:hint="default" w:ascii="Times New Roman" w:hAnsi="Times New Roman" w:eastAsia="宋体" w:cs="Times New Roman"/>
                <w:bCs/>
                <w:color w:val="000000" w:themeColor="text1"/>
                <w:kern w:val="2"/>
                <w:sz w:val="24"/>
                <w:szCs w:val="28"/>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Cs/>
                <w:color w:val="000000" w:themeColor="text1"/>
                <w:kern w:val="2"/>
                <w:sz w:val="24"/>
                <w:szCs w:val="28"/>
                <w:highlight w:val="none"/>
                <w:lang w:val="en-US" w:eastAsia="zh-CN" w:bidi="ar-SA"/>
                <w14:textFill>
                  <w14:solidFill>
                    <w14:schemeClr w14:val="tx1"/>
                  </w14:solidFill>
                </w14:textFill>
              </w:rPr>
              <w:t>/a</w:t>
            </w:r>
            <w:r>
              <w:rPr>
                <w:rFonts w:hint="default" w:ascii="Times New Roman" w:hAnsi="Times New Roman" w:cs="Times New Roman"/>
                <w:color w:val="000000" w:themeColor="text1"/>
                <w:sz w:val="24"/>
                <w:szCs w:val="24"/>
                <w:highlight w:val="none"/>
                <w:lang w:eastAsia="zh-CN"/>
                <w14:textFill>
                  <w14:solidFill>
                    <w14:schemeClr w14:val="tx1"/>
                  </w14:solidFill>
                </w14:textFill>
              </w:rPr>
              <w:t>，属于危险废物，定期交由有资质单位处置</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347E0C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default" w:ascii="Times New Roman" w:hAnsi="Times New Roman" w:cs="Times New Roman"/>
                <w:b/>
                <w:bCs/>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24"/>
                <w:szCs w:val="24"/>
                <w:highlight w:val="none"/>
                <w:lang w:val="en-US" w:eastAsia="zh-CN" w:bidi="ar-SA"/>
                <w14:textFill>
                  <w14:solidFill>
                    <w14:schemeClr w14:val="tx1"/>
                  </w14:solidFill>
                </w14:textFill>
              </w:rPr>
              <w:t>⑥</w:t>
            </w:r>
            <w:r>
              <w:rPr>
                <w:rFonts w:hint="default" w:ascii="Times New Roman" w:hAnsi="Times New Roman" w:cs="Times New Roman"/>
                <w:b/>
                <w:bCs/>
                <w:color w:val="000000" w:themeColor="text1"/>
                <w:kern w:val="0"/>
                <w:sz w:val="24"/>
                <w:szCs w:val="24"/>
                <w:highlight w:val="none"/>
                <w:lang w:val="en-US" w:eastAsia="zh-CN"/>
                <w14:textFill>
                  <w14:solidFill>
                    <w14:schemeClr w14:val="tx1"/>
                  </w14:solidFill>
                </w14:textFill>
              </w:rPr>
              <w:t>设备清洗用水</w:t>
            </w:r>
          </w:p>
          <w:p w14:paraId="0F9EC9F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kern w:val="2"/>
                <w:sz w:val="24"/>
                <w:szCs w:val="28"/>
                <w:highlight w:val="none"/>
                <w:lang w:val="en-US" w:eastAsia="zh-CN" w:bidi="ar-SA"/>
                <w14:textFill>
                  <w14:solidFill>
                    <w14:schemeClr w14:val="tx1"/>
                  </w14:solidFill>
                </w14:textFill>
              </w:rPr>
              <w:t>项目设备器具定期清洗，确保表面清洁</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w:t>
            </w:r>
            <w:r>
              <w:rPr>
                <w:rFonts w:hint="default" w:ascii="Times New Roman" w:hAnsi="Times New Roman" w:eastAsia="宋体" w:cs="Times New Roman"/>
                <w:bCs/>
                <w:color w:val="000000" w:themeColor="text1"/>
                <w:kern w:val="2"/>
                <w:sz w:val="24"/>
                <w:szCs w:val="28"/>
                <w:highlight w:val="none"/>
                <w:lang w:val="en-US" w:eastAsia="zh-CN" w:bidi="ar-SA"/>
                <w14:textFill>
                  <w14:solidFill>
                    <w14:schemeClr w14:val="tx1"/>
                  </w14:solidFill>
                </w14:textFill>
              </w:rPr>
              <w:t>项目生产设备使用</w:t>
            </w:r>
            <w:r>
              <w:rPr>
                <w:rFonts w:hint="eastAsia" w:cs="Times New Roman"/>
                <w:bCs/>
                <w:color w:val="000000" w:themeColor="text1"/>
                <w:kern w:val="2"/>
                <w:sz w:val="24"/>
                <w:szCs w:val="28"/>
                <w:highlight w:val="none"/>
                <w:lang w:val="en-US" w:eastAsia="zh-CN" w:bidi="ar-SA"/>
                <w14:textFill>
                  <w14:solidFill>
                    <w14:schemeClr w14:val="tx1"/>
                  </w14:solidFill>
                </w14:textFill>
              </w:rPr>
              <w:t>软化水</w:t>
            </w:r>
            <w:r>
              <w:rPr>
                <w:rFonts w:hint="default" w:ascii="Times New Roman" w:hAnsi="Times New Roman" w:eastAsia="宋体" w:cs="Times New Roman"/>
                <w:bCs/>
                <w:color w:val="000000" w:themeColor="text1"/>
                <w:kern w:val="2"/>
                <w:sz w:val="24"/>
                <w:szCs w:val="28"/>
                <w:highlight w:val="none"/>
                <w:lang w:val="en-US" w:eastAsia="zh-CN" w:bidi="ar-SA"/>
                <w14:textFill>
                  <w14:solidFill>
                    <w14:schemeClr w14:val="tx1"/>
                  </w14:solidFill>
                </w14:textFill>
              </w:rPr>
              <w:t>清洗，根据企业提供资料，</w:t>
            </w:r>
            <w:r>
              <w:rPr>
                <w:rFonts w:hint="eastAsia" w:cs="Times New Roman"/>
                <w:bCs/>
                <w:color w:val="000000" w:themeColor="text1"/>
                <w:kern w:val="2"/>
                <w:sz w:val="24"/>
                <w:szCs w:val="28"/>
                <w:highlight w:val="none"/>
                <w:lang w:val="en-US" w:eastAsia="zh-CN" w:bidi="ar-SA"/>
                <w14:textFill>
                  <w14:solidFill>
                    <w14:schemeClr w14:val="tx1"/>
                  </w14:solidFill>
                </w14:textFill>
              </w:rPr>
              <w:t>软化水</w:t>
            </w:r>
            <w:r>
              <w:rPr>
                <w:rFonts w:hint="default" w:ascii="Times New Roman" w:hAnsi="Times New Roman" w:eastAsia="宋体" w:cs="Times New Roman"/>
                <w:bCs/>
                <w:color w:val="000000" w:themeColor="text1"/>
                <w:kern w:val="2"/>
                <w:sz w:val="24"/>
                <w:szCs w:val="28"/>
                <w:highlight w:val="none"/>
                <w:lang w:val="en-US" w:eastAsia="zh-CN" w:bidi="ar-SA"/>
                <w14:textFill>
                  <w14:solidFill>
                    <w14:schemeClr w14:val="tx1"/>
                  </w14:solidFill>
                </w14:textFill>
              </w:rPr>
              <w:t>使用量为</w:t>
            </w:r>
            <w:r>
              <w:rPr>
                <w:rFonts w:hint="default" w:ascii="Times New Roman" w:hAnsi="Times New Roman" w:cs="Times New Roman"/>
                <w:bCs/>
                <w:color w:val="000000" w:themeColor="text1"/>
                <w:kern w:val="2"/>
                <w:sz w:val="24"/>
                <w:szCs w:val="28"/>
                <w:highlight w:val="none"/>
                <w:lang w:val="en-US" w:eastAsia="zh-CN" w:bidi="ar-SA"/>
                <w14:textFill>
                  <w14:solidFill>
                    <w14:schemeClr w14:val="tx1"/>
                  </w14:solidFill>
                </w14:textFill>
              </w:rPr>
              <w:t>375</w:t>
            </w:r>
            <w:r>
              <w:rPr>
                <w:rFonts w:hint="default" w:ascii="Times New Roman" w:hAnsi="Times New Roman" w:eastAsia="宋体" w:cs="Times New Roman"/>
                <w:bCs/>
                <w:color w:val="000000" w:themeColor="text1"/>
                <w:kern w:val="2"/>
                <w:sz w:val="24"/>
                <w:szCs w:val="28"/>
                <w:highlight w:val="none"/>
                <w:lang w:val="en-US" w:eastAsia="zh-CN" w:bidi="ar-SA"/>
                <w14:textFill>
                  <w14:solidFill>
                    <w14:schemeClr w14:val="tx1"/>
                  </w14:solidFill>
                </w14:textFill>
              </w:rPr>
              <w:t>m</w:t>
            </w:r>
            <w:r>
              <w:rPr>
                <w:rFonts w:hint="default" w:ascii="Times New Roman" w:hAnsi="Times New Roman" w:eastAsia="宋体" w:cs="Times New Roman"/>
                <w:bCs/>
                <w:color w:val="000000" w:themeColor="text1"/>
                <w:kern w:val="2"/>
                <w:sz w:val="24"/>
                <w:szCs w:val="28"/>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Cs/>
                <w:color w:val="000000" w:themeColor="text1"/>
                <w:kern w:val="2"/>
                <w:sz w:val="24"/>
                <w:szCs w:val="28"/>
                <w:highlight w:val="none"/>
                <w:lang w:val="en-US" w:eastAsia="zh-CN" w:bidi="ar-SA"/>
                <w14:textFill>
                  <w14:solidFill>
                    <w14:schemeClr w14:val="tx1"/>
                  </w14:solidFill>
                </w14:textFill>
              </w:rPr>
              <w:t>/a</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废水产生系数按照90%计算，则</w:t>
            </w:r>
            <w:r>
              <w:rPr>
                <w:rFonts w:hint="default" w:ascii="Times New Roman" w:hAnsi="Times New Roman" w:eastAsia="宋体" w:cs="Times New Roman"/>
                <w:color w:val="000000" w:themeColor="text1"/>
                <w:sz w:val="24"/>
                <w:szCs w:val="24"/>
                <w:highlight w:val="none"/>
                <w14:textFill>
                  <w14:solidFill>
                    <w14:schemeClr w14:val="tx1"/>
                  </w14:solidFill>
                </w14:textFill>
              </w:rPr>
              <w:t>产生量约为</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337.50</w:t>
            </w:r>
            <w:r>
              <w:rPr>
                <w:rFonts w:hint="default" w:ascii="Times New Roman" w:hAnsi="Times New Roman" w:eastAsia="宋体" w:cs="Times New Roman"/>
                <w:bCs/>
                <w:color w:val="000000" w:themeColor="text1"/>
                <w:kern w:val="2"/>
                <w:sz w:val="24"/>
                <w:szCs w:val="28"/>
                <w:highlight w:val="none"/>
                <w:lang w:val="en-US" w:eastAsia="zh-CN" w:bidi="ar-SA"/>
                <w14:textFill>
                  <w14:solidFill>
                    <w14:schemeClr w14:val="tx1"/>
                  </w14:solidFill>
                </w14:textFill>
              </w:rPr>
              <w:t>m</w:t>
            </w:r>
            <w:r>
              <w:rPr>
                <w:rFonts w:hint="default" w:ascii="Times New Roman" w:hAnsi="Times New Roman" w:eastAsia="宋体" w:cs="Times New Roman"/>
                <w:bCs/>
                <w:color w:val="000000" w:themeColor="text1"/>
                <w:kern w:val="2"/>
                <w:sz w:val="24"/>
                <w:szCs w:val="28"/>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Cs/>
                <w:color w:val="000000" w:themeColor="text1"/>
                <w:kern w:val="2"/>
                <w:sz w:val="24"/>
                <w:szCs w:val="28"/>
                <w:highlight w:val="none"/>
                <w:lang w:val="en-US" w:eastAsia="zh-CN" w:bidi="ar-SA"/>
                <w14:textFill>
                  <w14:solidFill>
                    <w14:schemeClr w14:val="tx1"/>
                  </w14:solidFill>
                </w14:textFill>
              </w:rPr>
              <w:t>/a</w:t>
            </w:r>
            <w:r>
              <w:rPr>
                <w:rFonts w:hint="default" w:ascii="Times New Roman" w:hAnsi="Times New Roman" w:eastAsia="宋体" w:cs="Times New Roman"/>
                <w:color w:val="000000" w:themeColor="text1"/>
                <w:sz w:val="24"/>
                <w:szCs w:val="24"/>
                <w:highlight w:val="none"/>
                <w14:textFill>
                  <w14:solidFill>
                    <w14:schemeClr w14:val="tx1"/>
                  </w14:solidFill>
                </w14:textFill>
              </w:rPr>
              <w:t>。清洗废水</w:t>
            </w:r>
            <w:r>
              <w:rPr>
                <w:rFonts w:hint="eastAsia" w:cs="Times New Roman"/>
                <w:color w:val="000000" w:themeColor="text1"/>
                <w:sz w:val="24"/>
                <w:szCs w:val="24"/>
                <w:highlight w:val="none"/>
                <w:lang w:val="en-US" w:eastAsia="zh-CN"/>
                <w14:textFill>
                  <w14:solidFill>
                    <w14:schemeClr w14:val="tx1"/>
                  </w14:solidFill>
                </w14:textFill>
              </w:rPr>
              <w:t>排入</w:t>
            </w:r>
            <w:r>
              <w:rPr>
                <w:rFonts w:hint="default" w:ascii="Times New Roman" w:hAnsi="Times New Roman" w:eastAsia="宋体" w:cs="Times New Roman"/>
                <w:color w:val="000000" w:themeColor="text1"/>
                <w:sz w:val="24"/>
                <w:szCs w:val="24"/>
                <w:highlight w:val="none"/>
                <w14:textFill>
                  <w14:solidFill>
                    <w14:schemeClr w14:val="tx1"/>
                  </w14:solidFill>
                </w14:textFill>
              </w:rPr>
              <w:t>厂内污水处理站进行处理，处理达标后，排入厂区污水管网后排入高新区市政管网最终排入石桥子污水处理厂。</w:t>
            </w:r>
          </w:p>
          <w:p w14:paraId="49D15AE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b/>
                <w:color w:val="000000" w:themeColor="text1"/>
                <w:sz w:val="24"/>
                <w:szCs w:val="24"/>
                <w:highlight w:val="none"/>
                <w:lang w:val="en-US" w:eastAsia="zh-CN" w:bidi="ar-SA"/>
                <w14:textFill>
                  <w14:solidFill>
                    <w14:schemeClr w14:val="tx1"/>
                  </w14:solidFill>
                </w14:textFill>
              </w:rPr>
              <w:t>⑦</w:t>
            </w:r>
            <w:r>
              <w:rPr>
                <w:rFonts w:hint="eastAsia" w:cs="Times New Roman"/>
                <w:b/>
                <w:color w:val="000000" w:themeColor="text1"/>
                <w:sz w:val="24"/>
                <w:szCs w:val="24"/>
                <w:highlight w:val="none"/>
                <w:lang w:val="en-US" w:eastAsia="zh-CN" w:bidi="ar-SA"/>
                <w14:textFill>
                  <w14:solidFill>
                    <w14:schemeClr w14:val="tx1"/>
                  </w14:solidFill>
                </w14:textFill>
              </w:rPr>
              <w:t>软化水</w:t>
            </w:r>
            <w:r>
              <w:rPr>
                <w:rFonts w:hint="default" w:ascii="Times New Roman" w:hAnsi="Times New Roman" w:eastAsia="宋体" w:cs="Times New Roman"/>
                <w:b/>
                <w:color w:val="000000" w:themeColor="text1"/>
                <w:sz w:val="24"/>
                <w:szCs w:val="24"/>
                <w:highlight w:val="none"/>
                <w:lang w:val="en-US" w:eastAsia="zh-CN" w:bidi="ar-SA"/>
                <w14:textFill>
                  <w14:solidFill>
                    <w14:schemeClr w14:val="tx1"/>
                  </w14:solidFill>
                </w14:textFill>
              </w:rPr>
              <w:t>制备用水</w:t>
            </w:r>
          </w:p>
          <w:p w14:paraId="5898BF09">
            <w:pPr>
              <w:keepNext w:val="0"/>
              <w:keepLines w:val="0"/>
              <w:pageBreakBefore w:val="0"/>
              <w:widowControl/>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b/>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项目</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在生产过程中需要</w:t>
            </w:r>
            <w:r>
              <w:rPr>
                <w:rFonts w:hint="eastAsia" w:cs="Times New Roman"/>
                <w:color w:val="000000" w:themeColor="text1"/>
                <w:kern w:val="2"/>
                <w:sz w:val="24"/>
                <w:szCs w:val="24"/>
                <w:highlight w:val="none"/>
                <w:lang w:val="en-US" w:eastAsia="zh-CN" w:bidi="ar-SA"/>
                <w14:textFill>
                  <w14:solidFill>
                    <w14:schemeClr w14:val="tx1"/>
                  </w14:solidFill>
                </w14:textFill>
              </w:rPr>
              <w:t>软化水</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（包括药材清洗用水</w:t>
            </w:r>
            <w:r>
              <w:rPr>
                <w:rFonts w:hint="default" w:ascii="Times New Roman" w:hAnsi="Times New Roman" w:cs="Times New Roman"/>
                <w:b w:val="0"/>
                <w:bCs/>
                <w:color w:val="000000" w:themeColor="text1"/>
                <w:kern w:val="2"/>
                <w:sz w:val="24"/>
                <w:szCs w:val="22"/>
                <w:highlight w:val="none"/>
                <w:lang w:val="en-US" w:eastAsia="zh-CN" w:bidi="ar-SA"/>
                <w14:textFill>
                  <w14:solidFill>
                    <w14:schemeClr w14:val="tx1"/>
                  </w14:solidFill>
                </w14:textFill>
              </w:rPr>
              <w:t>、配料用水、质检用水和设备清洗用水</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，采用一套离子交换树脂装置进行制备，纯化水收率约</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8</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0%</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计</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，在</w:t>
            </w:r>
            <w:r>
              <w:rPr>
                <w:rFonts w:hint="eastAsia" w:cs="Times New Roman"/>
                <w:color w:val="000000" w:themeColor="text1"/>
                <w:kern w:val="2"/>
                <w:sz w:val="24"/>
                <w:szCs w:val="24"/>
                <w:highlight w:val="none"/>
                <w:lang w:val="en-US" w:eastAsia="zh-CN" w:bidi="ar-SA"/>
                <w14:textFill>
                  <w14:solidFill>
                    <w14:schemeClr w14:val="tx1"/>
                  </w14:solidFill>
                </w14:textFill>
              </w:rPr>
              <w:t>软化水</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制备过程中会产生一定量的废水（浓水），项目</w:t>
            </w:r>
            <w:r>
              <w:rPr>
                <w:rFonts w:hint="eastAsia" w:cs="Times New Roman"/>
                <w:color w:val="000000" w:themeColor="text1"/>
                <w:kern w:val="2"/>
                <w:sz w:val="24"/>
                <w:szCs w:val="24"/>
                <w:highlight w:val="none"/>
                <w:lang w:val="en-US" w:eastAsia="zh-CN" w:bidi="ar-SA"/>
                <w14:textFill>
                  <w14:solidFill>
                    <w14:schemeClr w14:val="tx1"/>
                  </w14:solidFill>
                </w14:textFill>
              </w:rPr>
              <w:t>软化水</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用水总量</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为</w:t>
            </w:r>
            <w:r>
              <w:rPr>
                <w:rFonts w:hint="eastAsia" w:cs="Times New Roman"/>
                <w:color w:val="000000" w:themeColor="text1"/>
                <w:kern w:val="2"/>
                <w:sz w:val="24"/>
                <w:szCs w:val="24"/>
                <w:highlight w:val="none"/>
                <w:lang w:val="en-US" w:eastAsia="zh-CN" w:bidi="ar-SA"/>
                <w14:textFill>
                  <w14:solidFill>
                    <w14:schemeClr w14:val="tx1"/>
                  </w14:solidFill>
                </w14:textFill>
              </w:rPr>
              <w:t>16717.86</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/a，据此核算新鲜水用量为</w:t>
            </w:r>
            <w:r>
              <w:rPr>
                <w:rFonts w:hint="eastAsia" w:cs="Times New Roman"/>
                <w:color w:val="000000" w:themeColor="text1"/>
                <w:kern w:val="2"/>
                <w:sz w:val="24"/>
                <w:szCs w:val="24"/>
                <w:highlight w:val="none"/>
                <w:lang w:val="en-US" w:eastAsia="zh-CN" w:bidi="ar-SA"/>
                <w14:textFill>
                  <w14:solidFill>
                    <w14:schemeClr w14:val="tx1"/>
                  </w14:solidFill>
                </w14:textFill>
              </w:rPr>
              <w:t>20897.325</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/a</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浓水产生量为</w:t>
            </w:r>
            <w:r>
              <w:rPr>
                <w:rFonts w:hint="eastAsia" w:cs="Times New Roman"/>
                <w:color w:val="000000" w:themeColor="text1"/>
                <w:kern w:val="2"/>
                <w:sz w:val="24"/>
                <w:szCs w:val="24"/>
                <w:highlight w:val="none"/>
                <w:lang w:val="en-US" w:eastAsia="zh-CN" w:bidi="ar-SA"/>
                <w14:textFill>
                  <w14:solidFill>
                    <w14:schemeClr w14:val="tx1"/>
                  </w14:solidFill>
                </w14:textFill>
              </w:rPr>
              <w:t>4179.465</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/a</w:t>
            </w:r>
            <w:r>
              <w:rPr>
                <w:rFonts w:hint="eastAsia"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废水</w:t>
            </w:r>
            <w:r>
              <w:rPr>
                <w:rFonts w:hint="eastAsia" w:cs="Times New Roman"/>
                <w:color w:val="000000" w:themeColor="text1"/>
                <w:sz w:val="24"/>
                <w:szCs w:val="24"/>
                <w:highlight w:val="none"/>
                <w:lang w:val="en-US" w:eastAsia="zh-CN"/>
                <w14:textFill>
                  <w14:solidFill>
                    <w14:schemeClr w14:val="tx1"/>
                  </w14:solidFill>
                </w14:textFill>
              </w:rPr>
              <w:t>排入</w:t>
            </w:r>
            <w:r>
              <w:rPr>
                <w:rFonts w:hint="default" w:ascii="Times New Roman" w:hAnsi="Times New Roman" w:eastAsia="宋体" w:cs="Times New Roman"/>
                <w:color w:val="000000" w:themeColor="text1"/>
                <w:sz w:val="24"/>
                <w:szCs w:val="24"/>
                <w:highlight w:val="none"/>
                <w14:textFill>
                  <w14:solidFill>
                    <w14:schemeClr w14:val="tx1"/>
                  </w14:solidFill>
                </w14:textFill>
              </w:rPr>
              <w:t>厂内污水处理站进行处理，处理达标后，排入厂区污水管网后排入高新区市政管网最终排入石桥子污水处理厂。</w:t>
            </w:r>
          </w:p>
          <w:p w14:paraId="5381CA87">
            <w:pPr>
              <w:keepNext w:val="0"/>
              <w:keepLines w:val="0"/>
              <w:pageBreakBefore w:val="0"/>
              <w:widowControl/>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w:t>
            </w:r>
            <w:r>
              <w:rPr>
                <w:rFonts w:hint="eastAsia" w:cs="Times New Roman"/>
                <w:b/>
                <w:bCs/>
                <w:color w:val="000000" w:themeColor="text1"/>
                <w:kern w:val="0"/>
                <w:sz w:val="24"/>
                <w:szCs w:val="24"/>
                <w:highlight w:val="none"/>
                <w:lang w:val="en-US" w:eastAsia="zh-CN" w:bidi="ar"/>
                <w14:textFill>
                  <w14:solidFill>
                    <w14:schemeClr w14:val="tx1"/>
                  </w14:solidFill>
                </w14:textFill>
              </w:rPr>
              <w:t>6</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b/>
                <w:bCs/>
                <w:color w:val="000000" w:themeColor="text1"/>
                <w:kern w:val="0"/>
                <w:sz w:val="24"/>
                <w:szCs w:val="24"/>
                <w:highlight w:val="none"/>
                <w:lang w:val="en-US" w:eastAsia="zh-CN"/>
                <w14:textFill>
                  <w14:solidFill>
                    <w14:schemeClr w14:val="tx1"/>
                  </w14:solidFill>
                </w14:textFill>
              </w:rPr>
              <w:t>用排水总量分析</w:t>
            </w:r>
          </w:p>
          <w:p w14:paraId="340735D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新宋体" w:cs="Times New Roman"/>
                <w:color w:val="000000" w:themeColor="text1"/>
                <w:sz w:val="24"/>
                <w:szCs w:val="24"/>
                <w:highlight w:val="none"/>
                <w:lang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本项目</w:t>
            </w:r>
            <w:r>
              <w:rPr>
                <w:rFonts w:hint="eastAsia" w:cs="Times New Roman"/>
                <w:b w:val="0"/>
                <w:bCs/>
                <w:color w:val="000000" w:themeColor="text1"/>
                <w:kern w:val="2"/>
                <w:sz w:val="24"/>
                <w:szCs w:val="24"/>
                <w:highlight w:val="none"/>
                <w:lang w:val="en-US" w:eastAsia="zh-CN" w:bidi="ar-SA"/>
                <w14:textFill>
                  <w14:solidFill>
                    <w14:schemeClr w14:val="tx1"/>
                  </w14:solidFill>
                </w14:textFill>
              </w:rPr>
              <w:t>新鲜水</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总用水量为</w:t>
            </w:r>
            <w:r>
              <w:rPr>
                <w:rFonts w:hint="eastAsia" w:cs="Times New Roman"/>
                <w:color w:val="000000" w:themeColor="text1"/>
                <w:kern w:val="2"/>
                <w:sz w:val="24"/>
                <w:szCs w:val="24"/>
                <w:highlight w:val="none"/>
                <w:lang w:val="en-US" w:eastAsia="zh-CN" w:bidi="ar-SA"/>
                <w14:textFill>
                  <w14:solidFill>
                    <w14:schemeClr w14:val="tx1"/>
                  </w14:solidFill>
                </w14:textFill>
              </w:rPr>
              <w:t>20897.325</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b w:val="0"/>
                <w:bCs/>
                <w:color w:val="000000" w:themeColor="text1"/>
                <w:kern w:val="2"/>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/a</w:t>
            </w:r>
            <w:r>
              <w:rPr>
                <w:rFonts w:hint="eastAsia" w:cs="Times New Roman"/>
                <w:b w:val="0"/>
                <w:bCs/>
                <w:color w:val="000000" w:themeColor="text1"/>
                <w:kern w:val="2"/>
                <w:sz w:val="24"/>
                <w:szCs w:val="24"/>
                <w:highlight w:val="none"/>
                <w:lang w:val="en-US" w:eastAsia="zh-CN" w:bidi="ar-SA"/>
                <w14:textFill>
                  <w14:solidFill>
                    <w14:schemeClr w14:val="tx1"/>
                  </w14:solidFill>
                </w14:textFill>
              </w:rPr>
              <w:t>（83.589</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/d</w:t>
            </w:r>
            <w:r>
              <w:rPr>
                <w:rFonts w:hint="eastAsia" w:cs="Times New Roman"/>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w:t>
            </w:r>
            <w:r>
              <w:rPr>
                <w:rFonts w:hint="eastAsia" w:cs="Times New Roman"/>
                <w:b w:val="0"/>
                <w:bCs/>
                <w:color w:val="000000" w:themeColor="text1"/>
                <w:kern w:val="2"/>
                <w:sz w:val="24"/>
                <w:szCs w:val="24"/>
                <w:highlight w:val="none"/>
                <w:lang w:val="en-US" w:eastAsia="zh-CN" w:bidi="ar-SA"/>
                <w14:textFill>
                  <w14:solidFill>
                    <w14:schemeClr w14:val="tx1"/>
                  </w14:solidFill>
                </w14:textFill>
              </w:rPr>
              <w:t>软化水</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总用水量为</w:t>
            </w:r>
            <w:r>
              <w:rPr>
                <w:rFonts w:hint="eastAsia" w:cs="Times New Roman"/>
                <w:color w:val="000000" w:themeColor="text1"/>
                <w:kern w:val="2"/>
                <w:sz w:val="24"/>
                <w:szCs w:val="24"/>
                <w:highlight w:val="none"/>
                <w:lang w:val="en-US" w:eastAsia="zh-CN" w:bidi="ar-SA"/>
                <w14:textFill>
                  <w14:solidFill>
                    <w14:schemeClr w14:val="tx1"/>
                  </w14:solidFill>
                </w14:textFill>
              </w:rPr>
              <w:t>16717.86</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b w:val="0"/>
                <w:bCs/>
                <w:color w:val="000000" w:themeColor="text1"/>
                <w:kern w:val="2"/>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/a</w:t>
            </w:r>
            <w:r>
              <w:rPr>
                <w:rFonts w:hint="eastAsia" w:cs="Times New Roman"/>
                <w:b w:val="0"/>
                <w:bCs/>
                <w:color w:val="000000" w:themeColor="text1"/>
                <w:kern w:val="2"/>
                <w:sz w:val="24"/>
                <w:szCs w:val="24"/>
                <w:highlight w:val="none"/>
                <w:lang w:val="en-US" w:eastAsia="zh-CN" w:bidi="ar-SA"/>
                <w14:textFill>
                  <w14:solidFill>
                    <w14:schemeClr w14:val="tx1"/>
                  </w14:solidFill>
                </w14:textFill>
              </w:rPr>
              <w:t>（66.871</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/d</w:t>
            </w:r>
            <w:r>
              <w:rPr>
                <w:rFonts w:hint="eastAsia" w:cs="Times New Roman"/>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w:t>
            </w:r>
            <w:r>
              <w:rPr>
                <w:rFonts w:hint="eastAsia" w:cs="Times New Roman"/>
                <w:b w:val="0"/>
                <w:bCs/>
                <w:color w:val="000000" w:themeColor="text1"/>
                <w:kern w:val="2"/>
                <w:sz w:val="24"/>
                <w:szCs w:val="24"/>
                <w:highlight w:val="none"/>
                <w:lang w:val="en-US" w:eastAsia="zh-CN" w:bidi="ar-SA"/>
                <w14:textFill>
                  <w14:solidFill>
                    <w14:schemeClr w14:val="tx1"/>
                  </w14:solidFill>
                </w14:textFill>
              </w:rPr>
              <w:t>其中</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药材</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炮制</w:t>
            </w:r>
            <w:r>
              <w:rPr>
                <w:rFonts w:hint="eastAsia" w:cs="Times New Roman"/>
                <w:b w:val="0"/>
                <w:bCs/>
                <w:color w:val="000000" w:themeColor="text1"/>
                <w:kern w:val="2"/>
                <w:sz w:val="24"/>
                <w:szCs w:val="24"/>
                <w:highlight w:val="none"/>
                <w:lang w:val="en-US" w:eastAsia="zh-CN" w:bidi="ar-SA"/>
                <w14:textFill>
                  <w14:solidFill>
                    <w14:schemeClr w14:val="tx1"/>
                  </w14:solidFill>
                </w14:textFill>
              </w:rPr>
              <w:t>软化水</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用水量为</w:t>
            </w:r>
            <w:r>
              <w:rPr>
                <w:rFonts w:hint="eastAsia" w:cs="Times New Roman"/>
                <w:color w:val="000000" w:themeColor="text1"/>
                <w:sz w:val="24"/>
                <w:szCs w:val="24"/>
                <w:highlight w:val="none"/>
                <w:lang w:val="en-US" w:eastAsia="zh-CN" w:bidi="ar-SA"/>
                <w14:textFill>
                  <w14:solidFill>
                    <w14:schemeClr w14:val="tx1"/>
                  </w14:solidFill>
                </w14:textFill>
              </w:rPr>
              <w:t>371.07</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b w:val="0"/>
                <w:bCs/>
                <w:color w:val="000000" w:themeColor="text1"/>
                <w:kern w:val="2"/>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/a</w:t>
            </w:r>
            <w:r>
              <w:rPr>
                <w:rFonts w:hint="eastAsia" w:cs="Times New Roman"/>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cs="Times New Roman"/>
                <w:b w:val="0"/>
                <w:bCs/>
                <w:color w:val="000000" w:themeColor="text1"/>
                <w:kern w:val="2"/>
                <w:sz w:val="24"/>
                <w:szCs w:val="22"/>
                <w:highlight w:val="none"/>
                <w:lang w:val="en-US" w:eastAsia="zh-CN" w:bidi="ar-SA"/>
                <w14:textFill>
                  <w14:solidFill>
                    <w14:schemeClr w14:val="tx1"/>
                  </w14:solidFill>
                </w14:textFill>
              </w:rPr>
              <w:t>配料</w:t>
            </w:r>
            <w:r>
              <w:rPr>
                <w:rFonts w:hint="eastAsia" w:cs="Times New Roman"/>
                <w:b w:val="0"/>
                <w:bCs/>
                <w:color w:val="000000" w:themeColor="text1"/>
                <w:kern w:val="2"/>
                <w:sz w:val="24"/>
                <w:szCs w:val="24"/>
                <w:highlight w:val="none"/>
                <w:lang w:val="en-US" w:eastAsia="zh-CN" w:bidi="ar-SA"/>
                <w14:textFill>
                  <w14:solidFill>
                    <w14:schemeClr w14:val="tx1"/>
                  </w14:solidFill>
                </w14:textFill>
              </w:rPr>
              <w:t>软化水</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用水量为</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1.05</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b w:val="0"/>
                <w:bCs/>
                <w:color w:val="000000" w:themeColor="text1"/>
                <w:kern w:val="2"/>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/a</w:t>
            </w:r>
            <w:r>
              <w:rPr>
                <w:rFonts w:hint="eastAsia" w:cs="Times New Roman"/>
                <w:b w:val="0"/>
                <w:bCs/>
                <w:color w:val="000000" w:themeColor="text1"/>
                <w:kern w:val="2"/>
                <w:sz w:val="24"/>
                <w:szCs w:val="24"/>
                <w:highlight w:val="none"/>
                <w:lang w:val="en-US" w:eastAsia="zh-CN" w:bidi="ar-SA"/>
                <w14:textFill>
                  <w14:solidFill>
                    <w14:schemeClr w14:val="tx1"/>
                  </w14:solidFill>
                </w14:textFill>
              </w:rPr>
              <w:t>；</w:t>
            </w:r>
            <w:r>
              <w:rPr>
                <w:rFonts w:hint="eastAsia" w:cs="Times New Roman"/>
                <w:b w:val="0"/>
                <w:bCs/>
                <w:color w:val="000000" w:themeColor="text1"/>
                <w:kern w:val="2"/>
                <w:sz w:val="24"/>
                <w:szCs w:val="22"/>
                <w:highlight w:val="none"/>
                <w:lang w:val="en-US" w:eastAsia="zh-CN" w:bidi="ar-SA"/>
                <w14:textFill>
                  <w14:solidFill>
                    <w14:schemeClr w14:val="tx1"/>
                  </w14:solidFill>
                </w14:textFill>
              </w:rPr>
              <w:t>提取</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用水量为</w:t>
            </w:r>
            <w:r>
              <w:rPr>
                <w:rFonts w:hint="eastAsia" w:cs="Times New Roman"/>
                <w:bCs/>
                <w:color w:val="000000" w:themeColor="text1"/>
                <w:kern w:val="2"/>
                <w:sz w:val="24"/>
                <w:szCs w:val="28"/>
                <w:highlight w:val="none"/>
                <w:lang w:val="en-US" w:eastAsia="zh-CN" w:bidi="ar-SA"/>
                <w14:textFill>
                  <w14:solidFill>
                    <w14:schemeClr w14:val="tx1"/>
                  </w14:solidFill>
                </w14:textFill>
              </w:rPr>
              <w:t>13525.20</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b w:val="0"/>
                <w:bCs/>
                <w:color w:val="000000" w:themeColor="text1"/>
                <w:kern w:val="2"/>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/a</w:t>
            </w:r>
            <w:r>
              <w:rPr>
                <w:rFonts w:hint="eastAsia" w:cs="Times New Roman"/>
                <w:b w:val="0"/>
                <w:bCs/>
                <w:color w:val="000000" w:themeColor="text1"/>
                <w:kern w:val="2"/>
                <w:sz w:val="24"/>
                <w:szCs w:val="24"/>
                <w:highlight w:val="none"/>
                <w:lang w:val="en-US" w:eastAsia="zh-CN" w:bidi="ar-SA"/>
                <w14:textFill>
                  <w14:solidFill>
                    <w14:schemeClr w14:val="tx1"/>
                  </w14:solidFill>
                </w14:textFill>
              </w:rPr>
              <w:t>；固体制剂</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用水量为</w:t>
            </w:r>
            <w:r>
              <w:rPr>
                <w:rFonts w:hint="eastAsia" w:cs="Times New Roman"/>
                <w:bCs/>
                <w:color w:val="000000" w:themeColor="text1"/>
                <w:kern w:val="2"/>
                <w:sz w:val="24"/>
                <w:szCs w:val="28"/>
                <w:highlight w:val="none"/>
                <w:lang w:val="en-US" w:eastAsia="zh-CN" w:bidi="ar-SA"/>
                <w14:textFill>
                  <w14:solidFill>
                    <w14:schemeClr w14:val="tx1"/>
                  </w14:solidFill>
                </w14:textFill>
              </w:rPr>
              <w:t>2444.940</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b w:val="0"/>
                <w:bCs/>
                <w:color w:val="000000" w:themeColor="text1"/>
                <w:kern w:val="2"/>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/a</w:t>
            </w:r>
            <w:r>
              <w:rPr>
                <w:rFonts w:hint="eastAsia" w:cs="Times New Roman"/>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bCs/>
                <w:color w:val="000000" w:themeColor="text1"/>
                <w:kern w:val="2"/>
                <w:sz w:val="24"/>
                <w:szCs w:val="28"/>
                <w:highlight w:val="none"/>
                <w:lang w:val="en-US" w:eastAsia="zh-CN" w:bidi="ar-SA"/>
                <w14:textFill>
                  <w14:solidFill>
                    <w14:schemeClr w14:val="tx1"/>
                  </w14:solidFill>
                </w14:textFill>
              </w:rPr>
              <w:t>化学检验</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用水</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量为</w:t>
            </w:r>
            <w:r>
              <w:rPr>
                <w:rFonts w:hint="eastAsia" w:ascii="Times New Roman" w:hAnsi="Times New Roman" w:cs="Times New Roman"/>
                <w:bCs/>
                <w:color w:val="000000" w:themeColor="text1"/>
                <w:kern w:val="2"/>
                <w:sz w:val="24"/>
                <w:szCs w:val="28"/>
                <w:highlight w:val="none"/>
                <w:lang w:val="en-US" w:eastAsia="zh-CN" w:bidi="ar-SA"/>
                <w14:textFill>
                  <w14:solidFill>
                    <w14:schemeClr w14:val="tx1"/>
                  </w14:solidFill>
                </w14:textFill>
              </w:rPr>
              <w:t>0</w:t>
            </w:r>
            <w:r>
              <w:rPr>
                <w:rFonts w:hint="default" w:ascii="Times New Roman" w:hAnsi="Times New Roman" w:cs="Times New Roman"/>
                <w:bCs/>
                <w:color w:val="000000" w:themeColor="text1"/>
                <w:kern w:val="2"/>
                <w:sz w:val="24"/>
                <w:szCs w:val="28"/>
                <w:highlight w:val="none"/>
                <w:lang w:val="en-US" w:eastAsia="zh-CN" w:bidi="ar-SA"/>
                <w14:textFill>
                  <w14:solidFill>
                    <w14:schemeClr w14:val="tx1"/>
                  </w14:solidFill>
                </w14:textFill>
              </w:rPr>
              <w:t>.</w:t>
            </w:r>
            <w:r>
              <w:rPr>
                <w:rFonts w:hint="eastAsia" w:cs="Times New Roman"/>
                <w:bCs/>
                <w:color w:val="000000" w:themeColor="text1"/>
                <w:kern w:val="2"/>
                <w:sz w:val="24"/>
                <w:szCs w:val="28"/>
                <w:highlight w:val="none"/>
                <w:lang w:val="en-US" w:eastAsia="zh-CN" w:bidi="ar-SA"/>
                <w14:textFill>
                  <w14:solidFill>
                    <w14:schemeClr w14:val="tx1"/>
                  </w14:solidFill>
                </w14:textFill>
              </w:rPr>
              <w:t>6</w:t>
            </w:r>
            <w:r>
              <w:rPr>
                <w:rFonts w:hint="eastAsia" w:ascii="Times New Roman" w:hAnsi="Times New Roman" w:cs="Times New Roman"/>
                <w:bCs/>
                <w:color w:val="000000" w:themeColor="text1"/>
                <w:kern w:val="2"/>
                <w:sz w:val="24"/>
                <w:szCs w:val="28"/>
                <w:highlight w:val="none"/>
                <w:lang w:val="en-US" w:eastAsia="zh-CN" w:bidi="ar-SA"/>
                <w14:textFill>
                  <w14:solidFill>
                    <w14:schemeClr w14:val="tx1"/>
                  </w14:solidFill>
                </w14:textFill>
              </w:rPr>
              <w:t>0</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b w:val="0"/>
                <w:bCs/>
                <w:color w:val="000000" w:themeColor="text1"/>
                <w:kern w:val="2"/>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/a</w:t>
            </w:r>
            <w:r>
              <w:rPr>
                <w:rFonts w:hint="eastAsia" w:cs="Times New Roman"/>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cs="Times New Roman"/>
                <w:b w:val="0"/>
                <w:bCs/>
                <w:color w:val="000000" w:themeColor="text1"/>
                <w:kern w:val="2"/>
                <w:sz w:val="24"/>
                <w:szCs w:val="22"/>
                <w:highlight w:val="none"/>
                <w:lang w:val="en-US" w:eastAsia="zh-CN" w:bidi="ar-SA"/>
                <w14:textFill>
                  <w14:solidFill>
                    <w14:schemeClr w14:val="tx1"/>
                  </w14:solidFill>
                </w14:textFill>
              </w:rPr>
              <w:t>设备清洗</w:t>
            </w:r>
            <w:r>
              <w:rPr>
                <w:rFonts w:hint="eastAsia" w:cs="Times New Roman"/>
                <w:b w:val="0"/>
                <w:bCs/>
                <w:color w:val="000000" w:themeColor="text1"/>
                <w:kern w:val="2"/>
                <w:sz w:val="24"/>
                <w:szCs w:val="24"/>
                <w:highlight w:val="none"/>
                <w:lang w:val="en-US" w:eastAsia="zh-CN" w:bidi="ar-SA"/>
                <w14:textFill>
                  <w14:solidFill>
                    <w14:schemeClr w14:val="tx1"/>
                  </w14:solidFill>
                </w14:textFill>
              </w:rPr>
              <w:t>软化水</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用水量为</w:t>
            </w:r>
            <w:r>
              <w:rPr>
                <w:rFonts w:hint="default" w:ascii="Times New Roman" w:hAnsi="Times New Roman" w:cs="Times New Roman"/>
                <w:bCs/>
                <w:color w:val="000000" w:themeColor="text1"/>
                <w:kern w:val="2"/>
                <w:sz w:val="24"/>
                <w:szCs w:val="28"/>
                <w:highlight w:val="none"/>
                <w:lang w:val="en-US" w:eastAsia="zh-CN" w:bidi="ar-SA"/>
                <w14:textFill>
                  <w14:solidFill>
                    <w14:schemeClr w14:val="tx1"/>
                  </w14:solidFill>
                </w14:textFill>
              </w:rPr>
              <w:t>375</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b w:val="0"/>
                <w:bCs/>
                <w:color w:val="000000" w:themeColor="text1"/>
                <w:kern w:val="2"/>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/a</w:t>
            </w:r>
            <w:r>
              <w:rPr>
                <w:rFonts w:hint="eastAsia" w:cs="Times New Roman"/>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化学检验废液</w:t>
            </w:r>
            <w:r>
              <w:rPr>
                <w:rFonts w:hint="eastAsia" w:cs="Times New Roman"/>
                <w:b w:val="0"/>
                <w:bCs/>
                <w:color w:val="000000" w:themeColor="text1"/>
                <w:kern w:val="2"/>
                <w:sz w:val="24"/>
                <w:szCs w:val="24"/>
                <w:highlight w:val="none"/>
                <w:lang w:val="en-US" w:eastAsia="zh-CN" w:bidi="ar-SA"/>
                <w14:textFill>
                  <w14:solidFill>
                    <w14:schemeClr w14:val="tx1"/>
                  </w14:solidFill>
                </w14:textFill>
              </w:rPr>
              <w:t>属于危险废物，定期交由有资质单位处置，则排入厂内污水处理站废水总量为18134.64</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b w:val="0"/>
                <w:bCs/>
                <w:color w:val="000000" w:themeColor="text1"/>
                <w:kern w:val="2"/>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/a</w:t>
            </w:r>
            <w:r>
              <w:rPr>
                <w:rFonts w:hint="eastAsia" w:cs="Times New Roman"/>
                <w:b w:val="0"/>
                <w:bCs/>
                <w:color w:val="000000" w:themeColor="text1"/>
                <w:kern w:val="2"/>
                <w:sz w:val="24"/>
                <w:szCs w:val="24"/>
                <w:highlight w:val="none"/>
                <w:lang w:val="en-US" w:eastAsia="zh-CN" w:bidi="ar-SA"/>
                <w14:textFill>
                  <w14:solidFill>
                    <w14:schemeClr w14:val="tx1"/>
                  </w14:solidFill>
                </w14:textFill>
              </w:rPr>
              <w:t>（72.539</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/d</w:t>
            </w:r>
            <w:r>
              <w:rPr>
                <w:rFonts w:hint="eastAsia" w:cs="Times New Roman"/>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新宋体" w:cs="Times New Roman"/>
                <w:color w:val="000000" w:themeColor="text1"/>
                <w:sz w:val="24"/>
                <w:szCs w:val="24"/>
                <w:highlight w:val="none"/>
                <w:lang w:bidi="ar-SA"/>
                <w14:textFill>
                  <w14:solidFill>
                    <w14:schemeClr w14:val="tx1"/>
                  </w14:solidFill>
                </w14:textFill>
              </w:rPr>
              <w:t>产生的废水</w:t>
            </w:r>
            <w:r>
              <w:rPr>
                <w:rFonts w:hint="eastAsia" w:eastAsia="新宋体" w:cs="Times New Roman"/>
                <w:color w:val="000000" w:themeColor="text1"/>
                <w:sz w:val="24"/>
                <w:szCs w:val="24"/>
                <w:highlight w:val="none"/>
                <w:lang w:val="en-US" w:eastAsia="zh-CN" w:bidi="ar-SA"/>
                <w14:textFill>
                  <w14:solidFill>
                    <w14:schemeClr w14:val="tx1"/>
                  </w14:solidFill>
                </w14:textFill>
              </w:rPr>
              <w:t>排入</w:t>
            </w:r>
            <w:r>
              <w:rPr>
                <w:rFonts w:hint="default" w:ascii="Times New Roman" w:hAnsi="Times New Roman" w:eastAsia="新宋体" w:cs="Times New Roman"/>
                <w:color w:val="000000" w:themeColor="text1"/>
                <w:sz w:val="24"/>
                <w:szCs w:val="24"/>
                <w:highlight w:val="none"/>
                <w:lang w:bidi="ar-SA"/>
                <w14:textFill>
                  <w14:solidFill>
                    <w14:schemeClr w14:val="tx1"/>
                  </w14:solidFill>
                </w14:textFill>
              </w:rPr>
              <w:t>厂内污水处理站进行处理，处理达标后，排入厂区污水管网后排入高新区市政管网最终排入石桥子污水处理厂。</w:t>
            </w:r>
          </w:p>
          <w:p w14:paraId="5F8CC5EB">
            <w:pPr>
              <w:keepNext w:val="0"/>
              <w:keepLines w:val="0"/>
              <w:numPr>
                <w:ilvl w:val="0"/>
                <w:numId w:val="5"/>
              </w:numPr>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项目给排水平衡情况一览表</w:t>
            </w:r>
          </w:p>
          <w:tbl>
            <w:tblPr>
              <w:tblStyle w:val="35"/>
              <w:tblW w:w="4998"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27"/>
              <w:gridCol w:w="1160"/>
              <w:gridCol w:w="1160"/>
              <w:gridCol w:w="1477"/>
              <w:gridCol w:w="2862"/>
            </w:tblGrid>
            <w:tr w14:paraId="5ECE4DA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2" w:type="pct"/>
                  <w:tcBorders>
                    <w:tl2br w:val="nil"/>
                    <w:tr2bl w:val="nil"/>
                  </w:tcBorders>
                  <w:noWrap w:val="0"/>
                  <w:vAlign w:val="center"/>
                </w:tcPr>
                <w:p w14:paraId="6602EFA2">
                  <w:pPr>
                    <w:keepNext w:val="0"/>
                    <w:keepLines w:val="0"/>
                    <w:suppressLineNumbers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lang w:eastAsia="zh-CN" w:bidi="ar-SA"/>
                      <w14:textFill>
                        <w14:solidFill>
                          <w14:schemeClr w14:val="tx1"/>
                        </w14:solidFill>
                      </w14:textFill>
                    </w:rPr>
                  </w:pPr>
                  <w:r>
                    <w:rPr>
                      <w:rFonts w:hint="default" w:ascii="Times New Roman" w:hAnsi="Times New Roman" w:cs="Times New Roman"/>
                      <w:b/>
                      <w:bCs/>
                      <w:color w:val="000000" w:themeColor="text1"/>
                      <w:sz w:val="21"/>
                      <w:szCs w:val="21"/>
                      <w:highlight w:val="none"/>
                      <w:lang w:eastAsia="zh-CN" w:bidi="ar-SA"/>
                      <w14:textFill>
                        <w14:solidFill>
                          <w14:schemeClr w14:val="tx1"/>
                        </w14:solidFill>
                      </w14:textFill>
                    </w:rPr>
                    <w:t>用水项目</w:t>
                  </w:r>
                </w:p>
              </w:tc>
              <w:tc>
                <w:tcPr>
                  <w:tcW w:w="708" w:type="pct"/>
                  <w:tcBorders>
                    <w:tl2br w:val="nil"/>
                    <w:tr2bl w:val="nil"/>
                  </w:tcBorders>
                  <w:noWrap w:val="0"/>
                  <w:vAlign w:val="center"/>
                </w:tcPr>
                <w:p w14:paraId="2DFB9D56">
                  <w:pPr>
                    <w:keepNext w:val="0"/>
                    <w:keepLines w:val="0"/>
                    <w:suppressLineNumbers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lang w:eastAsia="zh-CN" w:bidi="ar-SA"/>
                      <w14:textFill>
                        <w14:solidFill>
                          <w14:schemeClr w14:val="tx1"/>
                        </w14:solidFill>
                      </w14:textFill>
                    </w:rPr>
                  </w:pPr>
                  <w:r>
                    <w:rPr>
                      <w:rFonts w:hint="eastAsia" w:cs="Times New Roman"/>
                      <w:b/>
                      <w:bCs/>
                      <w:color w:val="000000" w:themeColor="text1"/>
                      <w:sz w:val="21"/>
                      <w:szCs w:val="21"/>
                      <w:highlight w:val="none"/>
                      <w:lang w:val="en-US" w:eastAsia="zh-CN" w:bidi="ar-SA"/>
                      <w14:textFill>
                        <w14:solidFill>
                          <w14:schemeClr w14:val="tx1"/>
                        </w14:solidFill>
                      </w14:textFill>
                    </w:rPr>
                    <w:t>新鲜</w:t>
                  </w:r>
                  <w:r>
                    <w:rPr>
                      <w:rFonts w:hint="default" w:ascii="Times New Roman" w:hAnsi="Times New Roman" w:cs="Times New Roman"/>
                      <w:b/>
                      <w:bCs/>
                      <w:color w:val="000000" w:themeColor="text1"/>
                      <w:sz w:val="21"/>
                      <w:szCs w:val="21"/>
                      <w:highlight w:val="none"/>
                      <w:lang w:eastAsia="zh-CN" w:bidi="ar-SA"/>
                      <w14:textFill>
                        <w14:solidFill>
                          <w14:schemeClr w14:val="tx1"/>
                        </w14:solidFill>
                      </w14:textFill>
                    </w:rPr>
                    <w:t>水量（</w:t>
                  </w:r>
                  <w:r>
                    <w:rPr>
                      <w:rFonts w:hint="default" w:ascii="Times New Roman" w:hAnsi="Times New Roman" w:cs="Times New Roman"/>
                      <w:b/>
                      <w:bCs/>
                      <w:color w:val="000000" w:themeColor="text1"/>
                      <w:sz w:val="21"/>
                      <w:szCs w:val="21"/>
                      <w:highlight w:val="none"/>
                      <w:lang w:val="en-US" w:eastAsia="zh-CN" w:bidi="ar-SA"/>
                      <w14:textFill>
                        <w14:solidFill>
                          <w14:schemeClr w14:val="tx1"/>
                        </w14:solidFill>
                      </w14:textFill>
                    </w:rPr>
                    <w:t>m</w:t>
                  </w:r>
                  <w:r>
                    <w:rPr>
                      <w:rFonts w:hint="default" w:ascii="Times New Roman" w:hAnsi="Times New Roman" w:cs="Times New Roman"/>
                      <w:b/>
                      <w:bCs/>
                      <w:color w:val="000000" w:themeColor="text1"/>
                      <w:sz w:val="21"/>
                      <w:szCs w:val="21"/>
                      <w:highlight w:val="none"/>
                      <w:vertAlign w:val="superscript"/>
                      <w:lang w:val="en-US" w:eastAsia="zh-CN" w:bidi="ar-SA"/>
                      <w14:textFill>
                        <w14:solidFill>
                          <w14:schemeClr w14:val="tx1"/>
                        </w14:solidFill>
                      </w14:textFill>
                    </w:rPr>
                    <w:t>3</w:t>
                  </w:r>
                  <w:r>
                    <w:rPr>
                      <w:rFonts w:hint="default" w:ascii="Times New Roman" w:hAnsi="Times New Roman" w:cs="Times New Roman"/>
                      <w:b/>
                      <w:bCs/>
                      <w:color w:val="000000" w:themeColor="text1"/>
                      <w:sz w:val="21"/>
                      <w:szCs w:val="21"/>
                      <w:highlight w:val="none"/>
                      <w:lang w:eastAsia="zh-CN" w:bidi="ar-SA"/>
                      <w14:textFill>
                        <w14:solidFill>
                          <w14:schemeClr w14:val="tx1"/>
                        </w14:solidFill>
                      </w14:textFill>
                    </w:rPr>
                    <w:t>/a）</w:t>
                  </w:r>
                </w:p>
              </w:tc>
              <w:tc>
                <w:tcPr>
                  <w:tcW w:w="708" w:type="pct"/>
                  <w:tcBorders>
                    <w:tl2br w:val="nil"/>
                    <w:tr2bl w:val="nil"/>
                  </w:tcBorders>
                  <w:noWrap w:val="0"/>
                  <w:vAlign w:val="center"/>
                </w:tcPr>
                <w:p w14:paraId="5372B43E">
                  <w:pPr>
                    <w:keepNext w:val="0"/>
                    <w:keepLines w:val="0"/>
                    <w:suppressLineNumbers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lang w:val="en-US" w:eastAsia="zh-CN" w:bidi="ar-SA"/>
                      <w14:textFill>
                        <w14:solidFill>
                          <w14:schemeClr w14:val="tx1"/>
                        </w14:solidFill>
                      </w14:textFill>
                    </w:rPr>
                  </w:pPr>
                  <w:r>
                    <w:rPr>
                      <w:rFonts w:hint="eastAsia" w:cs="Times New Roman"/>
                      <w:b/>
                      <w:bCs/>
                      <w:color w:val="000000" w:themeColor="text1"/>
                      <w:sz w:val="21"/>
                      <w:szCs w:val="21"/>
                      <w:highlight w:val="none"/>
                      <w:lang w:val="en-US" w:eastAsia="zh-CN" w:bidi="ar-SA"/>
                      <w14:textFill>
                        <w14:solidFill>
                          <w14:schemeClr w14:val="tx1"/>
                        </w14:solidFill>
                      </w14:textFill>
                    </w:rPr>
                    <w:t>软化</w:t>
                  </w:r>
                  <w:r>
                    <w:rPr>
                      <w:rFonts w:hint="default" w:ascii="Times New Roman" w:hAnsi="Times New Roman" w:cs="Times New Roman"/>
                      <w:b/>
                      <w:bCs/>
                      <w:color w:val="000000" w:themeColor="text1"/>
                      <w:sz w:val="21"/>
                      <w:szCs w:val="21"/>
                      <w:highlight w:val="none"/>
                      <w:lang w:val="en-US" w:eastAsia="zh-CN" w:bidi="ar-SA"/>
                      <w14:textFill>
                        <w14:solidFill>
                          <w14:schemeClr w14:val="tx1"/>
                        </w14:solidFill>
                      </w14:textFill>
                    </w:rPr>
                    <w:t>用水量</w:t>
                  </w:r>
                  <w:r>
                    <w:rPr>
                      <w:rFonts w:hint="default" w:ascii="Times New Roman" w:hAnsi="Times New Roman" w:cs="Times New Roman"/>
                      <w:b/>
                      <w:bCs/>
                      <w:color w:val="000000" w:themeColor="text1"/>
                      <w:sz w:val="21"/>
                      <w:szCs w:val="21"/>
                      <w:highlight w:val="none"/>
                      <w:lang w:eastAsia="zh-CN" w:bidi="ar-SA"/>
                      <w14:textFill>
                        <w14:solidFill>
                          <w14:schemeClr w14:val="tx1"/>
                        </w14:solidFill>
                      </w14:textFill>
                    </w:rPr>
                    <w:t>（</w:t>
                  </w:r>
                  <w:r>
                    <w:rPr>
                      <w:rFonts w:hint="default" w:ascii="Times New Roman" w:hAnsi="Times New Roman" w:cs="Times New Roman"/>
                      <w:b/>
                      <w:bCs/>
                      <w:color w:val="000000" w:themeColor="text1"/>
                      <w:sz w:val="21"/>
                      <w:szCs w:val="21"/>
                      <w:highlight w:val="none"/>
                      <w:lang w:val="en-US" w:eastAsia="zh-CN" w:bidi="ar-SA"/>
                      <w14:textFill>
                        <w14:solidFill>
                          <w14:schemeClr w14:val="tx1"/>
                        </w14:solidFill>
                      </w14:textFill>
                    </w:rPr>
                    <w:t>m</w:t>
                  </w:r>
                  <w:r>
                    <w:rPr>
                      <w:rFonts w:hint="default" w:ascii="Times New Roman" w:hAnsi="Times New Roman" w:cs="Times New Roman"/>
                      <w:b/>
                      <w:bCs/>
                      <w:color w:val="000000" w:themeColor="text1"/>
                      <w:sz w:val="21"/>
                      <w:szCs w:val="21"/>
                      <w:highlight w:val="none"/>
                      <w:vertAlign w:val="superscript"/>
                      <w:lang w:val="en-US" w:eastAsia="zh-CN" w:bidi="ar-SA"/>
                      <w14:textFill>
                        <w14:solidFill>
                          <w14:schemeClr w14:val="tx1"/>
                        </w14:solidFill>
                      </w14:textFill>
                    </w:rPr>
                    <w:t>3</w:t>
                  </w:r>
                  <w:r>
                    <w:rPr>
                      <w:rFonts w:hint="default" w:ascii="Times New Roman" w:hAnsi="Times New Roman" w:cs="Times New Roman"/>
                      <w:b/>
                      <w:bCs/>
                      <w:color w:val="000000" w:themeColor="text1"/>
                      <w:sz w:val="21"/>
                      <w:szCs w:val="21"/>
                      <w:highlight w:val="none"/>
                      <w:lang w:eastAsia="zh-CN" w:bidi="ar-SA"/>
                      <w14:textFill>
                        <w14:solidFill>
                          <w14:schemeClr w14:val="tx1"/>
                        </w14:solidFill>
                      </w14:textFill>
                    </w:rPr>
                    <w:t>/a）</w:t>
                  </w:r>
                </w:p>
              </w:tc>
              <w:tc>
                <w:tcPr>
                  <w:tcW w:w="902" w:type="pct"/>
                  <w:tcBorders>
                    <w:tl2br w:val="nil"/>
                    <w:tr2bl w:val="nil"/>
                  </w:tcBorders>
                  <w:noWrap w:val="0"/>
                  <w:vAlign w:val="center"/>
                </w:tcPr>
                <w:p w14:paraId="0D00605E">
                  <w:pPr>
                    <w:keepNext w:val="0"/>
                    <w:keepLines w:val="0"/>
                    <w:suppressLineNumbers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lang w:eastAsia="zh-CN" w:bidi="ar-SA"/>
                      <w14:textFill>
                        <w14:solidFill>
                          <w14:schemeClr w14:val="tx1"/>
                        </w14:solidFill>
                      </w14:textFill>
                    </w:rPr>
                  </w:pPr>
                  <w:r>
                    <w:rPr>
                      <w:rFonts w:hint="default" w:ascii="Times New Roman" w:hAnsi="Times New Roman" w:cs="Times New Roman"/>
                      <w:b/>
                      <w:bCs/>
                      <w:color w:val="000000" w:themeColor="text1"/>
                      <w:sz w:val="21"/>
                      <w:szCs w:val="21"/>
                      <w:highlight w:val="none"/>
                      <w:lang w:eastAsia="zh-CN" w:bidi="ar-SA"/>
                      <w14:textFill>
                        <w14:solidFill>
                          <w14:schemeClr w14:val="tx1"/>
                        </w14:solidFill>
                      </w14:textFill>
                    </w:rPr>
                    <w:t>污水产生量（</w:t>
                  </w:r>
                  <w:r>
                    <w:rPr>
                      <w:rFonts w:hint="default" w:ascii="Times New Roman" w:hAnsi="Times New Roman" w:cs="Times New Roman"/>
                      <w:b/>
                      <w:bCs/>
                      <w:color w:val="000000" w:themeColor="text1"/>
                      <w:sz w:val="21"/>
                      <w:szCs w:val="21"/>
                      <w:highlight w:val="none"/>
                      <w:lang w:val="en-US" w:eastAsia="zh-CN" w:bidi="ar-SA"/>
                      <w14:textFill>
                        <w14:solidFill>
                          <w14:schemeClr w14:val="tx1"/>
                        </w14:solidFill>
                      </w14:textFill>
                    </w:rPr>
                    <w:t>m</w:t>
                  </w:r>
                  <w:r>
                    <w:rPr>
                      <w:rFonts w:hint="default" w:ascii="Times New Roman" w:hAnsi="Times New Roman" w:cs="Times New Roman"/>
                      <w:b/>
                      <w:bCs/>
                      <w:color w:val="000000" w:themeColor="text1"/>
                      <w:sz w:val="21"/>
                      <w:szCs w:val="21"/>
                      <w:highlight w:val="none"/>
                      <w:vertAlign w:val="superscript"/>
                      <w:lang w:val="en-US" w:eastAsia="zh-CN" w:bidi="ar-SA"/>
                      <w14:textFill>
                        <w14:solidFill>
                          <w14:schemeClr w14:val="tx1"/>
                        </w14:solidFill>
                      </w14:textFill>
                    </w:rPr>
                    <w:t>3</w:t>
                  </w:r>
                  <w:r>
                    <w:rPr>
                      <w:rFonts w:hint="default" w:ascii="Times New Roman" w:hAnsi="Times New Roman" w:cs="Times New Roman"/>
                      <w:b/>
                      <w:bCs/>
                      <w:color w:val="000000" w:themeColor="text1"/>
                      <w:sz w:val="21"/>
                      <w:szCs w:val="21"/>
                      <w:highlight w:val="none"/>
                      <w:lang w:eastAsia="zh-CN" w:bidi="ar-SA"/>
                      <w14:textFill>
                        <w14:solidFill>
                          <w14:schemeClr w14:val="tx1"/>
                        </w14:solidFill>
                      </w14:textFill>
                    </w:rPr>
                    <w:t>/a）</w:t>
                  </w:r>
                </w:p>
              </w:tc>
              <w:tc>
                <w:tcPr>
                  <w:tcW w:w="1748" w:type="pct"/>
                  <w:tcBorders>
                    <w:tl2br w:val="nil"/>
                    <w:tr2bl w:val="nil"/>
                  </w:tcBorders>
                  <w:noWrap w:val="0"/>
                  <w:vAlign w:val="center"/>
                </w:tcPr>
                <w:p w14:paraId="368B6B1A">
                  <w:pPr>
                    <w:keepNext w:val="0"/>
                    <w:keepLines w:val="0"/>
                    <w:suppressLineNumbers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lang w:eastAsia="zh-CN" w:bidi="ar-SA"/>
                      <w14:textFill>
                        <w14:solidFill>
                          <w14:schemeClr w14:val="tx1"/>
                        </w14:solidFill>
                      </w14:textFill>
                    </w:rPr>
                  </w:pPr>
                  <w:r>
                    <w:rPr>
                      <w:rFonts w:hint="default" w:ascii="Times New Roman" w:hAnsi="Times New Roman" w:cs="Times New Roman"/>
                      <w:b/>
                      <w:bCs/>
                      <w:color w:val="000000" w:themeColor="text1"/>
                      <w:sz w:val="21"/>
                      <w:szCs w:val="21"/>
                      <w:highlight w:val="none"/>
                      <w:lang w:eastAsia="zh-CN" w:bidi="ar-SA"/>
                      <w14:textFill>
                        <w14:solidFill>
                          <w14:schemeClr w14:val="tx1"/>
                        </w14:solidFill>
                      </w14:textFill>
                    </w:rPr>
                    <w:t>备注</w:t>
                  </w:r>
                </w:p>
              </w:tc>
            </w:tr>
            <w:tr w14:paraId="62A3DA3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2" w:type="pct"/>
                  <w:tcBorders>
                    <w:tl2br w:val="nil"/>
                    <w:tr2bl w:val="nil"/>
                  </w:tcBorders>
                  <w:noWrap w:val="0"/>
                  <w:vAlign w:val="center"/>
                </w:tcPr>
                <w:p w14:paraId="700D6F52">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000000" w:themeColor="text1"/>
                      <w:sz w:val="21"/>
                      <w:szCs w:val="21"/>
                      <w:highlight w:val="none"/>
                      <w:lang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eastAsia="zh-CN" w:bidi="ar-SA"/>
                      <w14:textFill>
                        <w14:solidFill>
                          <w14:schemeClr w14:val="tx1"/>
                        </w14:solidFill>
                      </w14:textFill>
                    </w:rPr>
                    <w:t>药材炮制用水</w:t>
                  </w:r>
                </w:p>
              </w:tc>
              <w:tc>
                <w:tcPr>
                  <w:tcW w:w="708" w:type="pct"/>
                  <w:tcBorders>
                    <w:tl2br w:val="nil"/>
                    <w:tr2bl w:val="nil"/>
                  </w:tcBorders>
                  <w:noWrap w:val="0"/>
                  <w:vAlign w:val="center"/>
                </w:tcPr>
                <w:p w14:paraId="1B021DD5">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w:t>
                  </w:r>
                </w:p>
              </w:tc>
              <w:tc>
                <w:tcPr>
                  <w:tcW w:w="708" w:type="pct"/>
                  <w:tcBorders>
                    <w:tl2br w:val="nil"/>
                    <w:tr2bl w:val="nil"/>
                  </w:tcBorders>
                  <w:noWrap w:val="0"/>
                  <w:vAlign w:val="center"/>
                </w:tcPr>
                <w:p w14:paraId="160D58CE">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371.07</w:t>
                  </w:r>
                </w:p>
              </w:tc>
              <w:tc>
                <w:tcPr>
                  <w:tcW w:w="902" w:type="pct"/>
                  <w:tcBorders>
                    <w:tl2br w:val="nil"/>
                    <w:tr2bl w:val="nil"/>
                  </w:tcBorders>
                  <w:noWrap w:val="0"/>
                  <w:vAlign w:val="center"/>
                </w:tcPr>
                <w:p w14:paraId="49174F7F">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000000" w:themeColor="text1"/>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bidi="ar-SA"/>
                      <w14:textFill>
                        <w14:solidFill>
                          <w14:schemeClr w14:val="tx1"/>
                        </w14:solidFill>
                      </w14:textFill>
                    </w:rPr>
                    <w:t>309.225</w:t>
                  </w:r>
                </w:p>
              </w:tc>
              <w:tc>
                <w:tcPr>
                  <w:tcW w:w="1748" w:type="pct"/>
                  <w:tcBorders>
                    <w:tl2br w:val="nil"/>
                    <w:tr2bl w:val="nil"/>
                  </w:tcBorders>
                  <w:noWrap w:val="0"/>
                  <w:vAlign w:val="center"/>
                </w:tcPr>
                <w:p w14:paraId="6EC953C8">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000000" w:themeColor="text1"/>
                      <w:sz w:val="21"/>
                      <w:szCs w:val="21"/>
                      <w:highlight w:val="none"/>
                      <w:lang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eastAsia="zh-CN" w:bidi="ar-SA"/>
                      <w14:textFill>
                        <w14:solidFill>
                          <w14:schemeClr w14:val="tx1"/>
                        </w14:solidFill>
                      </w14:textFill>
                    </w:rPr>
                    <w:t>废水</w:t>
                  </w:r>
                  <w:r>
                    <w:rPr>
                      <w:rFonts w:hint="eastAsia" w:cs="Times New Roman"/>
                      <w:color w:val="000000" w:themeColor="text1"/>
                      <w:sz w:val="21"/>
                      <w:szCs w:val="21"/>
                      <w:highlight w:val="none"/>
                      <w:lang w:val="en-US" w:eastAsia="zh-CN" w:bidi="ar-SA"/>
                      <w14:textFill>
                        <w14:solidFill>
                          <w14:schemeClr w14:val="tx1"/>
                        </w14:solidFill>
                      </w14:textFill>
                    </w:rPr>
                    <w:t>排入</w:t>
                  </w:r>
                  <w:r>
                    <w:rPr>
                      <w:rFonts w:hint="default" w:ascii="Times New Roman" w:hAnsi="Times New Roman" w:cs="Times New Roman"/>
                      <w:color w:val="000000" w:themeColor="text1"/>
                      <w:sz w:val="21"/>
                      <w:szCs w:val="21"/>
                      <w:highlight w:val="none"/>
                      <w:lang w:eastAsia="zh-CN" w:bidi="ar-SA"/>
                      <w14:textFill>
                        <w14:solidFill>
                          <w14:schemeClr w14:val="tx1"/>
                        </w14:solidFill>
                      </w14:textFill>
                    </w:rPr>
                    <w:t>厂内污水处理站进行处理</w:t>
                  </w:r>
                </w:p>
              </w:tc>
            </w:tr>
            <w:tr w14:paraId="2FB7DD7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2" w:type="pct"/>
                  <w:tcBorders>
                    <w:tl2br w:val="nil"/>
                    <w:tr2bl w:val="nil"/>
                  </w:tcBorders>
                  <w:noWrap w:val="0"/>
                  <w:vAlign w:val="center"/>
                </w:tcPr>
                <w:p w14:paraId="5553268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配料用水</w:t>
                  </w:r>
                </w:p>
              </w:tc>
              <w:tc>
                <w:tcPr>
                  <w:tcW w:w="708" w:type="pct"/>
                  <w:tcBorders>
                    <w:tl2br w:val="nil"/>
                    <w:tr2bl w:val="nil"/>
                  </w:tcBorders>
                  <w:noWrap w:val="0"/>
                  <w:vAlign w:val="center"/>
                </w:tcPr>
                <w:p w14:paraId="6B03B20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w:t>
                  </w:r>
                </w:p>
              </w:tc>
              <w:tc>
                <w:tcPr>
                  <w:tcW w:w="708" w:type="pct"/>
                  <w:tcBorders>
                    <w:tl2br w:val="nil"/>
                    <w:tr2bl w:val="nil"/>
                  </w:tcBorders>
                  <w:noWrap w:val="0"/>
                  <w:vAlign w:val="center"/>
                </w:tcPr>
                <w:p w14:paraId="707C4438">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1.05</w:t>
                  </w:r>
                </w:p>
              </w:tc>
              <w:tc>
                <w:tcPr>
                  <w:tcW w:w="902" w:type="pct"/>
                  <w:tcBorders>
                    <w:tl2br w:val="nil"/>
                    <w:tr2bl w:val="nil"/>
                  </w:tcBorders>
                  <w:noWrap w:val="0"/>
                  <w:vAlign w:val="center"/>
                </w:tcPr>
                <w:p w14:paraId="4B1F8FC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w:t>
                  </w:r>
                </w:p>
              </w:tc>
              <w:tc>
                <w:tcPr>
                  <w:tcW w:w="1748" w:type="pct"/>
                  <w:tcBorders>
                    <w:tl2br w:val="nil"/>
                    <w:tr2bl w:val="nil"/>
                  </w:tcBorders>
                  <w:noWrap w:val="0"/>
                  <w:vAlign w:val="center"/>
                </w:tcPr>
                <w:p w14:paraId="0521B5E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全部进入产品，无外排。</w:t>
                  </w:r>
                </w:p>
              </w:tc>
            </w:tr>
            <w:tr w14:paraId="35CB0F6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2" w:type="pct"/>
                  <w:tcBorders>
                    <w:tl2br w:val="nil"/>
                    <w:tr2bl w:val="nil"/>
                  </w:tcBorders>
                  <w:noWrap w:val="0"/>
                  <w:vAlign w:val="center"/>
                </w:tcPr>
                <w:p w14:paraId="576DE09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提取用水</w:t>
                  </w:r>
                </w:p>
              </w:tc>
              <w:tc>
                <w:tcPr>
                  <w:tcW w:w="708" w:type="pct"/>
                  <w:tcBorders>
                    <w:tl2br w:val="nil"/>
                    <w:tr2bl w:val="nil"/>
                  </w:tcBorders>
                  <w:noWrap w:val="0"/>
                  <w:vAlign w:val="center"/>
                </w:tcPr>
                <w:p w14:paraId="635F8E72">
                  <w:pPr>
                    <w:keepNext w:val="0"/>
                    <w:keepLines w:val="0"/>
                    <w:suppressLineNumbers w:val="0"/>
                    <w:spacing w:before="0" w:beforeAutospacing="0" w:after="0" w:afterAutospacing="0"/>
                    <w:ind w:left="0" w:leftChars="0" w:right="0" w:rightChars="0"/>
                    <w:jc w:val="center"/>
                    <w:rPr>
                      <w:rFonts w:hint="default"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w:t>
                  </w:r>
                </w:p>
              </w:tc>
              <w:tc>
                <w:tcPr>
                  <w:tcW w:w="708" w:type="pct"/>
                  <w:tcBorders>
                    <w:tl2br w:val="nil"/>
                    <w:tr2bl w:val="nil"/>
                  </w:tcBorders>
                  <w:noWrap w:val="0"/>
                  <w:vAlign w:val="center"/>
                </w:tcPr>
                <w:p w14:paraId="40806989">
                  <w:pPr>
                    <w:keepNext w:val="0"/>
                    <w:keepLines w:val="0"/>
                    <w:suppressLineNumbers w:val="0"/>
                    <w:spacing w:before="0" w:beforeAutospacing="0" w:after="0" w:afterAutospacing="0"/>
                    <w:ind w:left="0" w:leftChars="0" w:right="0" w:rightChars="0"/>
                    <w:jc w:val="center"/>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13525.20</w:t>
                  </w:r>
                </w:p>
              </w:tc>
              <w:tc>
                <w:tcPr>
                  <w:tcW w:w="902" w:type="pct"/>
                  <w:tcBorders>
                    <w:tl2br w:val="nil"/>
                    <w:tr2bl w:val="nil"/>
                  </w:tcBorders>
                  <w:noWrap w:val="0"/>
                  <w:vAlign w:val="center"/>
                </w:tcPr>
                <w:p w14:paraId="5A37A544">
                  <w:pPr>
                    <w:keepNext w:val="0"/>
                    <w:keepLines w:val="0"/>
                    <w:suppressLineNumbers w:val="0"/>
                    <w:spacing w:before="0" w:beforeAutospacing="0" w:after="0" w:afterAutospacing="0"/>
                    <w:ind w:left="0" w:leftChars="0" w:right="0" w:rightChars="0"/>
                    <w:jc w:val="center"/>
                    <w:rPr>
                      <w:rFonts w:hint="default"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11271.0</w:t>
                  </w:r>
                </w:p>
              </w:tc>
              <w:tc>
                <w:tcPr>
                  <w:tcW w:w="1748" w:type="pct"/>
                  <w:vMerge w:val="restart"/>
                  <w:tcBorders>
                    <w:tl2br w:val="nil"/>
                    <w:tr2bl w:val="nil"/>
                  </w:tcBorders>
                  <w:noWrap w:val="0"/>
                  <w:vAlign w:val="center"/>
                </w:tcPr>
                <w:p w14:paraId="53AA5F5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eastAsia="zh-CN" w:bidi="ar-SA"/>
                      <w14:textFill>
                        <w14:solidFill>
                          <w14:schemeClr w14:val="tx1"/>
                        </w14:solidFill>
                      </w14:textFill>
                    </w:rPr>
                    <w:t>废水</w:t>
                  </w:r>
                  <w:r>
                    <w:rPr>
                      <w:rFonts w:hint="eastAsia" w:cs="Times New Roman"/>
                      <w:color w:val="000000" w:themeColor="text1"/>
                      <w:sz w:val="21"/>
                      <w:szCs w:val="21"/>
                      <w:highlight w:val="none"/>
                      <w:lang w:val="en-US" w:eastAsia="zh-CN" w:bidi="ar-SA"/>
                      <w14:textFill>
                        <w14:solidFill>
                          <w14:schemeClr w14:val="tx1"/>
                        </w14:solidFill>
                      </w14:textFill>
                    </w:rPr>
                    <w:t>排入</w:t>
                  </w:r>
                  <w:r>
                    <w:rPr>
                      <w:rFonts w:hint="default" w:ascii="Times New Roman" w:hAnsi="Times New Roman" w:cs="Times New Roman"/>
                      <w:color w:val="000000" w:themeColor="text1"/>
                      <w:sz w:val="21"/>
                      <w:szCs w:val="21"/>
                      <w:highlight w:val="none"/>
                      <w:lang w:eastAsia="zh-CN" w:bidi="ar-SA"/>
                      <w14:textFill>
                        <w14:solidFill>
                          <w14:schemeClr w14:val="tx1"/>
                        </w14:solidFill>
                      </w14:textFill>
                    </w:rPr>
                    <w:t>厂内污水处理站进行处理</w:t>
                  </w:r>
                </w:p>
              </w:tc>
            </w:tr>
            <w:tr w14:paraId="31A56D4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2" w:type="pct"/>
                  <w:tcBorders>
                    <w:tl2br w:val="nil"/>
                    <w:tr2bl w:val="nil"/>
                  </w:tcBorders>
                  <w:noWrap w:val="0"/>
                  <w:vAlign w:val="center"/>
                </w:tcPr>
                <w:p w14:paraId="32E725A2">
                  <w:pPr>
                    <w:keepNext w:val="0"/>
                    <w:keepLines w:val="0"/>
                    <w:suppressLineNumbers w:val="0"/>
                    <w:spacing w:before="0" w:beforeAutospacing="0" w:after="0" w:afterAutospacing="0"/>
                    <w:ind w:left="0" w:leftChars="0" w:right="0" w:rightChars="0"/>
                    <w:jc w:val="center"/>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固体制剂用水</w:t>
                  </w:r>
                </w:p>
              </w:tc>
              <w:tc>
                <w:tcPr>
                  <w:tcW w:w="708" w:type="pct"/>
                  <w:tcBorders>
                    <w:tl2br w:val="nil"/>
                    <w:tr2bl w:val="nil"/>
                  </w:tcBorders>
                  <w:noWrap w:val="0"/>
                  <w:vAlign w:val="center"/>
                </w:tcPr>
                <w:p w14:paraId="4F315906">
                  <w:pPr>
                    <w:keepNext w:val="0"/>
                    <w:keepLines w:val="0"/>
                    <w:suppressLineNumbers w:val="0"/>
                    <w:spacing w:before="0" w:beforeAutospacing="0" w:after="0" w:afterAutospacing="0"/>
                    <w:ind w:left="0" w:leftChars="0" w:right="0" w:rightChars="0"/>
                    <w:jc w:val="center"/>
                    <w:rPr>
                      <w:rFonts w:hint="default"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w:t>
                  </w:r>
                </w:p>
              </w:tc>
              <w:tc>
                <w:tcPr>
                  <w:tcW w:w="708" w:type="pct"/>
                  <w:tcBorders>
                    <w:tl2br w:val="nil"/>
                    <w:tr2bl w:val="nil"/>
                  </w:tcBorders>
                  <w:noWrap w:val="0"/>
                  <w:vAlign w:val="center"/>
                </w:tcPr>
                <w:p w14:paraId="036859D1">
                  <w:pPr>
                    <w:keepNext w:val="0"/>
                    <w:keepLines w:val="0"/>
                    <w:suppressLineNumbers w:val="0"/>
                    <w:spacing w:before="0" w:beforeAutospacing="0" w:after="0" w:afterAutospacing="0"/>
                    <w:ind w:left="0" w:leftChars="0" w:right="0" w:rightChars="0"/>
                    <w:jc w:val="center"/>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2444.94</w:t>
                  </w:r>
                </w:p>
              </w:tc>
              <w:tc>
                <w:tcPr>
                  <w:tcW w:w="902" w:type="pct"/>
                  <w:tcBorders>
                    <w:tl2br w:val="nil"/>
                    <w:tr2bl w:val="nil"/>
                  </w:tcBorders>
                  <w:noWrap w:val="0"/>
                  <w:vAlign w:val="center"/>
                </w:tcPr>
                <w:p w14:paraId="2EC55607">
                  <w:pPr>
                    <w:keepNext w:val="0"/>
                    <w:keepLines w:val="0"/>
                    <w:suppressLineNumbers w:val="0"/>
                    <w:spacing w:before="0" w:beforeAutospacing="0" w:after="0" w:afterAutospacing="0"/>
                    <w:ind w:left="0" w:leftChars="0" w:right="0" w:rightChars="0"/>
                    <w:jc w:val="center"/>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2037.45</w:t>
                  </w:r>
                </w:p>
              </w:tc>
              <w:tc>
                <w:tcPr>
                  <w:tcW w:w="1748" w:type="pct"/>
                  <w:vMerge w:val="continue"/>
                  <w:tcBorders>
                    <w:tl2br w:val="nil"/>
                    <w:tr2bl w:val="nil"/>
                  </w:tcBorders>
                  <w:noWrap w:val="0"/>
                  <w:vAlign w:val="center"/>
                </w:tcPr>
                <w:p w14:paraId="169A7270">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000000" w:themeColor="text1"/>
                      <w:sz w:val="21"/>
                      <w:szCs w:val="21"/>
                      <w:highlight w:val="none"/>
                      <w:lang w:eastAsia="zh-CN" w:bidi="ar-SA"/>
                      <w14:textFill>
                        <w14:solidFill>
                          <w14:schemeClr w14:val="tx1"/>
                        </w14:solidFill>
                      </w14:textFill>
                    </w:rPr>
                  </w:pPr>
                </w:p>
              </w:tc>
            </w:tr>
            <w:tr w14:paraId="5C5A788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2" w:type="pct"/>
                  <w:tcBorders>
                    <w:tl2br w:val="nil"/>
                    <w:tr2bl w:val="nil"/>
                  </w:tcBorders>
                  <w:noWrap w:val="0"/>
                  <w:vAlign w:val="center"/>
                </w:tcPr>
                <w:p w14:paraId="09FF7B3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化学检验用水</w:t>
                  </w:r>
                </w:p>
              </w:tc>
              <w:tc>
                <w:tcPr>
                  <w:tcW w:w="708" w:type="pct"/>
                  <w:tcBorders>
                    <w:tl2br w:val="nil"/>
                    <w:tr2bl w:val="nil"/>
                  </w:tcBorders>
                  <w:noWrap w:val="0"/>
                  <w:vAlign w:val="center"/>
                </w:tcPr>
                <w:p w14:paraId="7F5D664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w:t>
                  </w:r>
                </w:p>
              </w:tc>
              <w:tc>
                <w:tcPr>
                  <w:tcW w:w="708" w:type="pct"/>
                  <w:tcBorders>
                    <w:tl2br w:val="nil"/>
                    <w:tr2bl w:val="nil"/>
                  </w:tcBorders>
                  <w:noWrap w:val="0"/>
                  <w:vAlign w:val="center"/>
                </w:tcPr>
                <w:p w14:paraId="58E4F14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0.60</w:t>
                  </w:r>
                </w:p>
              </w:tc>
              <w:tc>
                <w:tcPr>
                  <w:tcW w:w="902" w:type="pct"/>
                  <w:tcBorders>
                    <w:tl2br w:val="nil"/>
                    <w:tr2bl w:val="nil"/>
                  </w:tcBorders>
                  <w:noWrap w:val="0"/>
                  <w:vAlign w:val="center"/>
                </w:tcPr>
                <w:p w14:paraId="3DB4BC9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1.0</w:t>
                  </w:r>
                </w:p>
              </w:tc>
              <w:tc>
                <w:tcPr>
                  <w:tcW w:w="1748" w:type="pct"/>
                  <w:tcBorders>
                    <w:tl2br w:val="nil"/>
                    <w:tr2bl w:val="nil"/>
                  </w:tcBorders>
                  <w:noWrap w:val="0"/>
                  <w:vAlign w:val="center"/>
                </w:tcPr>
                <w:p w14:paraId="54981EE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化学检验废液属于危险废物，定期交由有资质单位处置。</w:t>
                  </w:r>
                </w:p>
              </w:tc>
            </w:tr>
            <w:tr w14:paraId="724E815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2" w:type="pct"/>
                  <w:tcBorders>
                    <w:tl2br w:val="nil"/>
                    <w:tr2bl w:val="nil"/>
                  </w:tcBorders>
                  <w:noWrap w:val="0"/>
                  <w:vAlign w:val="center"/>
                </w:tcPr>
                <w:p w14:paraId="6463E4B8">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eastAsia="zh-CN" w:bidi="ar-SA"/>
                      <w14:textFill>
                        <w14:solidFill>
                          <w14:schemeClr w14:val="tx1"/>
                        </w14:solidFill>
                      </w14:textFill>
                    </w:rPr>
                    <w:t>设备清洗用水</w:t>
                  </w:r>
                </w:p>
              </w:tc>
              <w:tc>
                <w:tcPr>
                  <w:tcW w:w="708" w:type="pct"/>
                  <w:tcBorders>
                    <w:tl2br w:val="nil"/>
                    <w:tr2bl w:val="nil"/>
                  </w:tcBorders>
                  <w:noWrap w:val="0"/>
                  <w:vAlign w:val="center"/>
                </w:tcPr>
                <w:p w14:paraId="47970DB1">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bidi="ar-SA"/>
                      <w14:textFill>
                        <w14:solidFill>
                          <w14:schemeClr w14:val="tx1"/>
                        </w14:solidFill>
                      </w14:textFill>
                    </w:rPr>
                    <w:t>/</w:t>
                  </w:r>
                </w:p>
              </w:tc>
              <w:tc>
                <w:tcPr>
                  <w:tcW w:w="708" w:type="pct"/>
                  <w:tcBorders>
                    <w:tl2br w:val="nil"/>
                    <w:tr2bl w:val="nil"/>
                  </w:tcBorders>
                  <w:noWrap w:val="0"/>
                  <w:vAlign w:val="center"/>
                </w:tcPr>
                <w:p w14:paraId="460E1C31">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bidi="ar-SA"/>
                      <w14:textFill>
                        <w14:solidFill>
                          <w14:schemeClr w14:val="tx1"/>
                        </w14:solidFill>
                      </w14:textFill>
                    </w:rPr>
                    <w:t>375</w:t>
                  </w:r>
                </w:p>
              </w:tc>
              <w:tc>
                <w:tcPr>
                  <w:tcW w:w="902" w:type="pct"/>
                  <w:tcBorders>
                    <w:tl2br w:val="nil"/>
                    <w:tr2bl w:val="nil"/>
                  </w:tcBorders>
                  <w:noWrap w:val="0"/>
                  <w:vAlign w:val="center"/>
                </w:tcPr>
                <w:p w14:paraId="2C8966C8">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bidi="ar-SA"/>
                      <w14:textFill>
                        <w14:solidFill>
                          <w14:schemeClr w14:val="tx1"/>
                        </w14:solidFill>
                      </w14:textFill>
                    </w:rPr>
                    <w:t>337.50</w:t>
                  </w:r>
                </w:p>
              </w:tc>
              <w:tc>
                <w:tcPr>
                  <w:tcW w:w="1748" w:type="pct"/>
                  <w:vMerge w:val="restart"/>
                  <w:tcBorders>
                    <w:tl2br w:val="nil"/>
                    <w:tr2bl w:val="nil"/>
                  </w:tcBorders>
                  <w:noWrap w:val="0"/>
                  <w:vAlign w:val="center"/>
                </w:tcPr>
                <w:p w14:paraId="1E0605D6">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eastAsia="zh-CN" w:bidi="ar-SA"/>
                      <w14:textFill>
                        <w14:solidFill>
                          <w14:schemeClr w14:val="tx1"/>
                        </w14:solidFill>
                      </w14:textFill>
                    </w:rPr>
                    <w:t>废水</w:t>
                  </w:r>
                  <w:r>
                    <w:rPr>
                      <w:rFonts w:hint="eastAsia" w:cs="Times New Roman"/>
                      <w:color w:val="000000" w:themeColor="text1"/>
                      <w:sz w:val="21"/>
                      <w:szCs w:val="21"/>
                      <w:highlight w:val="none"/>
                      <w:lang w:val="en-US" w:eastAsia="zh-CN" w:bidi="ar-SA"/>
                      <w14:textFill>
                        <w14:solidFill>
                          <w14:schemeClr w14:val="tx1"/>
                        </w14:solidFill>
                      </w14:textFill>
                    </w:rPr>
                    <w:t>排入</w:t>
                  </w:r>
                  <w:r>
                    <w:rPr>
                      <w:rFonts w:hint="default" w:ascii="Times New Roman" w:hAnsi="Times New Roman" w:cs="Times New Roman"/>
                      <w:color w:val="000000" w:themeColor="text1"/>
                      <w:sz w:val="21"/>
                      <w:szCs w:val="21"/>
                      <w:highlight w:val="none"/>
                      <w:lang w:eastAsia="zh-CN" w:bidi="ar-SA"/>
                      <w14:textFill>
                        <w14:solidFill>
                          <w14:schemeClr w14:val="tx1"/>
                        </w14:solidFill>
                      </w14:textFill>
                    </w:rPr>
                    <w:t>厂内污水处理站进行处理</w:t>
                  </w:r>
                </w:p>
              </w:tc>
            </w:tr>
            <w:tr w14:paraId="27AEA29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2" w:type="pct"/>
                  <w:tcBorders>
                    <w:tl2br w:val="nil"/>
                    <w:tr2bl w:val="nil"/>
                  </w:tcBorders>
                  <w:noWrap w:val="0"/>
                  <w:vAlign w:val="center"/>
                </w:tcPr>
                <w:p w14:paraId="65293064">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eastAsia="zh-CN" w:bidi="ar-SA"/>
                      <w14:textFill>
                        <w14:solidFill>
                          <w14:schemeClr w14:val="tx1"/>
                        </w14:solidFill>
                      </w14:textFill>
                    </w:rPr>
                  </w:pPr>
                  <w:r>
                    <w:rPr>
                      <w:rFonts w:hint="eastAsia" w:cs="Times New Roman"/>
                      <w:color w:val="000000" w:themeColor="text1"/>
                      <w:sz w:val="21"/>
                      <w:szCs w:val="21"/>
                      <w:highlight w:val="none"/>
                      <w:lang w:eastAsia="zh-CN" w:bidi="ar-SA"/>
                      <w14:textFill>
                        <w14:solidFill>
                          <w14:schemeClr w14:val="tx1"/>
                        </w14:solidFill>
                      </w14:textFill>
                    </w:rPr>
                    <w:t>软化水</w:t>
                  </w:r>
                  <w:r>
                    <w:rPr>
                      <w:rFonts w:hint="default" w:ascii="Times New Roman" w:hAnsi="Times New Roman" w:cs="Times New Roman"/>
                      <w:color w:val="000000" w:themeColor="text1"/>
                      <w:sz w:val="21"/>
                      <w:szCs w:val="21"/>
                      <w:highlight w:val="none"/>
                      <w:lang w:eastAsia="zh-CN" w:bidi="ar-SA"/>
                      <w14:textFill>
                        <w14:solidFill>
                          <w14:schemeClr w14:val="tx1"/>
                        </w14:solidFill>
                      </w14:textFill>
                    </w:rPr>
                    <w:t>制备用水</w:t>
                  </w:r>
                </w:p>
              </w:tc>
              <w:tc>
                <w:tcPr>
                  <w:tcW w:w="708" w:type="pct"/>
                  <w:tcBorders>
                    <w:tl2br w:val="nil"/>
                    <w:tr2bl w:val="nil"/>
                  </w:tcBorders>
                  <w:noWrap w:val="0"/>
                  <w:vAlign w:val="center"/>
                </w:tcPr>
                <w:p w14:paraId="7CB02F3F">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bidi="ar-SA"/>
                      <w14:textFill>
                        <w14:solidFill>
                          <w14:schemeClr w14:val="tx1"/>
                        </w14:solidFill>
                      </w14:textFill>
                    </w:rPr>
                    <w:t>20897.325</w:t>
                  </w:r>
                </w:p>
              </w:tc>
              <w:tc>
                <w:tcPr>
                  <w:tcW w:w="708" w:type="pct"/>
                  <w:tcBorders>
                    <w:tl2br w:val="nil"/>
                    <w:tr2bl w:val="nil"/>
                  </w:tcBorders>
                  <w:noWrap w:val="0"/>
                  <w:vAlign w:val="center"/>
                </w:tcPr>
                <w:p w14:paraId="52BAD8F2">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bidi="ar-SA"/>
                      <w14:textFill>
                        <w14:solidFill>
                          <w14:schemeClr w14:val="tx1"/>
                        </w14:solidFill>
                      </w14:textFill>
                    </w:rPr>
                    <w:t>/</w:t>
                  </w:r>
                </w:p>
              </w:tc>
              <w:tc>
                <w:tcPr>
                  <w:tcW w:w="902" w:type="pct"/>
                  <w:tcBorders>
                    <w:tl2br w:val="nil"/>
                    <w:tr2bl w:val="nil"/>
                  </w:tcBorders>
                  <w:noWrap w:val="0"/>
                  <w:vAlign w:val="center"/>
                </w:tcPr>
                <w:p w14:paraId="36D3A404">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bidi="ar-SA"/>
                      <w14:textFill>
                        <w14:solidFill>
                          <w14:schemeClr w14:val="tx1"/>
                        </w14:solidFill>
                      </w14:textFill>
                    </w:rPr>
                    <w:t>4179.465</w:t>
                  </w:r>
                </w:p>
              </w:tc>
              <w:tc>
                <w:tcPr>
                  <w:tcW w:w="1748" w:type="pct"/>
                  <w:vMerge w:val="continue"/>
                  <w:tcBorders>
                    <w:tl2br w:val="nil"/>
                    <w:tr2bl w:val="nil"/>
                  </w:tcBorders>
                  <w:noWrap w:val="0"/>
                  <w:vAlign w:val="center"/>
                </w:tcPr>
                <w:p w14:paraId="7EEE12E4">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eastAsia="zh-CN" w:bidi="ar-SA"/>
                      <w14:textFill>
                        <w14:solidFill>
                          <w14:schemeClr w14:val="tx1"/>
                        </w14:solidFill>
                      </w14:textFill>
                    </w:rPr>
                  </w:pPr>
                </w:p>
              </w:tc>
            </w:tr>
            <w:tr w14:paraId="104A423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2" w:type="pct"/>
                  <w:tcBorders>
                    <w:tl2br w:val="nil"/>
                    <w:tr2bl w:val="nil"/>
                  </w:tcBorders>
                  <w:noWrap w:val="0"/>
                  <w:vAlign w:val="center"/>
                </w:tcPr>
                <w:p w14:paraId="6643B9B7">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eastAsia="zh-CN" w:bidi="ar-SA"/>
                      <w14:textFill>
                        <w14:solidFill>
                          <w14:schemeClr w14:val="tx1"/>
                        </w14:solidFill>
                      </w14:textFill>
                    </w:rPr>
                  </w:pPr>
                  <w:r>
                    <w:rPr>
                      <w:rFonts w:hint="eastAsia" w:cs="Times New Roman"/>
                      <w:color w:val="000000" w:themeColor="text1"/>
                      <w:sz w:val="21"/>
                      <w:szCs w:val="21"/>
                      <w:highlight w:val="none"/>
                      <w:lang w:val="en-US" w:eastAsia="zh-CN" w:bidi="ar-SA"/>
                      <w14:textFill>
                        <w14:solidFill>
                          <w14:schemeClr w14:val="tx1"/>
                        </w14:solidFill>
                      </w14:textFill>
                    </w:rPr>
                    <w:t>总计</w:t>
                  </w:r>
                </w:p>
              </w:tc>
              <w:tc>
                <w:tcPr>
                  <w:tcW w:w="708" w:type="pct"/>
                  <w:tcBorders>
                    <w:tl2br w:val="nil"/>
                    <w:tr2bl w:val="nil"/>
                  </w:tcBorders>
                  <w:noWrap w:val="0"/>
                  <w:vAlign w:val="center"/>
                </w:tcPr>
                <w:p w14:paraId="496F5156">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bidi="ar-SA"/>
                      <w14:textFill>
                        <w14:solidFill>
                          <w14:schemeClr w14:val="tx1"/>
                        </w14:solidFill>
                      </w14:textFill>
                    </w:rPr>
                    <w:t>20897.325</w:t>
                  </w:r>
                </w:p>
              </w:tc>
              <w:tc>
                <w:tcPr>
                  <w:tcW w:w="708" w:type="pct"/>
                  <w:tcBorders>
                    <w:tl2br w:val="nil"/>
                    <w:tr2bl w:val="nil"/>
                  </w:tcBorders>
                  <w:noWrap w:val="0"/>
                  <w:vAlign w:val="center"/>
                </w:tcPr>
                <w:p w14:paraId="45AB37FB">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bidi="ar-SA"/>
                      <w14:textFill>
                        <w14:solidFill>
                          <w14:schemeClr w14:val="tx1"/>
                        </w14:solidFill>
                      </w14:textFill>
                    </w:rPr>
                    <w:t>16717.86</w:t>
                  </w:r>
                </w:p>
              </w:tc>
              <w:tc>
                <w:tcPr>
                  <w:tcW w:w="902" w:type="pct"/>
                  <w:tcBorders>
                    <w:tl2br w:val="nil"/>
                    <w:tr2bl w:val="nil"/>
                  </w:tcBorders>
                  <w:noWrap w:val="0"/>
                  <w:vAlign w:val="center"/>
                </w:tcPr>
                <w:p w14:paraId="045B00F6">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bidi="ar-SA"/>
                      <w14:textFill>
                        <w14:solidFill>
                          <w14:schemeClr w14:val="tx1"/>
                        </w14:solidFill>
                      </w14:textFill>
                    </w:rPr>
                  </w:pPr>
                  <w:r>
                    <w:rPr>
                      <w:rFonts w:hint="eastAsia" w:cs="Times New Roman"/>
                      <w:b w:val="0"/>
                      <w:bCs/>
                      <w:color w:val="000000" w:themeColor="text1"/>
                      <w:kern w:val="2"/>
                      <w:sz w:val="21"/>
                      <w:szCs w:val="21"/>
                      <w:highlight w:val="none"/>
                      <w:lang w:val="en-US" w:eastAsia="zh-CN" w:bidi="ar-SA"/>
                      <w14:textFill>
                        <w14:solidFill>
                          <w14:schemeClr w14:val="tx1"/>
                        </w14:solidFill>
                      </w14:textFill>
                    </w:rPr>
                    <w:t>18135.64</w:t>
                  </w:r>
                </w:p>
              </w:tc>
              <w:tc>
                <w:tcPr>
                  <w:tcW w:w="1748" w:type="pct"/>
                  <w:tcBorders>
                    <w:tl2br w:val="nil"/>
                    <w:tr2bl w:val="nil"/>
                  </w:tcBorders>
                  <w:noWrap w:val="0"/>
                  <w:vAlign w:val="center"/>
                </w:tcPr>
                <w:p w14:paraId="56E9CD12">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eastAsia="zh-CN" w:bidi="ar-SA"/>
                      <w14:textFill>
                        <w14:solidFill>
                          <w14:schemeClr w14:val="tx1"/>
                        </w14:solidFill>
                      </w14:textFill>
                    </w:rPr>
                    <w:t>—</w:t>
                  </w:r>
                </w:p>
              </w:tc>
            </w:tr>
            <w:tr w14:paraId="0CEAC20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2" w:type="pct"/>
                  <w:tcBorders>
                    <w:tl2br w:val="nil"/>
                    <w:tr2bl w:val="nil"/>
                  </w:tcBorders>
                  <w:noWrap w:val="0"/>
                  <w:vAlign w:val="center"/>
                </w:tcPr>
                <w:p w14:paraId="5ABB6F5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bidi="ar-SA"/>
                      <w14:textFill>
                        <w14:solidFill>
                          <w14:schemeClr w14:val="tx1"/>
                        </w14:solidFill>
                      </w14:textFill>
                    </w:rPr>
                    <w:t>排入污水处理站废水总计</w:t>
                  </w:r>
                </w:p>
              </w:tc>
              <w:tc>
                <w:tcPr>
                  <w:tcW w:w="708" w:type="pct"/>
                  <w:tcBorders>
                    <w:tl2br w:val="nil"/>
                    <w:tr2bl w:val="nil"/>
                  </w:tcBorders>
                  <w:noWrap w:val="0"/>
                  <w:vAlign w:val="center"/>
                </w:tcPr>
                <w:p w14:paraId="514E4272">
                  <w:pPr>
                    <w:keepNext w:val="0"/>
                    <w:keepLines w:val="0"/>
                    <w:suppressLineNumbers w:val="0"/>
                    <w:spacing w:before="0" w:beforeAutospacing="0" w:after="0" w:afterAutospacing="0"/>
                    <w:ind w:left="0" w:right="0"/>
                    <w:jc w:val="center"/>
                    <w:rPr>
                      <w:rFonts w:hint="default" w:cs="Times New Roman"/>
                      <w:color w:val="000000" w:themeColor="text1"/>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bidi="ar-SA"/>
                      <w14:textFill>
                        <w14:solidFill>
                          <w14:schemeClr w14:val="tx1"/>
                        </w14:solidFill>
                      </w14:textFill>
                    </w:rPr>
                    <w:t>/</w:t>
                  </w:r>
                </w:p>
              </w:tc>
              <w:tc>
                <w:tcPr>
                  <w:tcW w:w="708" w:type="pct"/>
                  <w:tcBorders>
                    <w:tl2br w:val="nil"/>
                    <w:tr2bl w:val="nil"/>
                  </w:tcBorders>
                  <w:noWrap w:val="0"/>
                  <w:vAlign w:val="center"/>
                </w:tcPr>
                <w:p w14:paraId="1A92263E">
                  <w:pPr>
                    <w:keepNext w:val="0"/>
                    <w:keepLines w:val="0"/>
                    <w:suppressLineNumbers w:val="0"/>
                    <w:spacing w:before="0" w:beforeAutospacing="0" w:after="0" w:afterAutospacing="0"/>
                    <w:ind w:left="0" w:right="0"/>
                    <w:jc w:val="center"/>
                    <w:rPr>
                      <w:rFonts w:hint="default" w:cs="Times New Roman"/>
                      <w:color w:val="000000" w:themeColor="text1"/>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bidi="ar-SA"/>
                      <w14:textFill>
                        <w14:solidFill>
                          <w14:schemeClr w14:val="tx1"/>
                        </w14:solidFill>
                      </w14:textFill>
                    </w:rPr>
                    <w:t>/</w:t>
                  </w:r>
                </w:p>
              </w:tc>
              <w:tc>
                <w:tcPr>
                  <w:tcW w:w="902" w:type="pct"/>
                  <w:tcBorders>
                    <w:tl2br w:val="nil"/>
                    <w:tr2bl w:val="nil"/>
                  </w:tcBorders>
                  <w:noWrap w:val="0"/>
                  <w:vAlign w:val="center"/>
                </w:tcPr>
                <w:p w14:paraId="16775C94">
                  <w:pPr>
                    <w:keepNext w:val="0"/>
                    <w:keepLines w:val="0"/>
                    <w:suppressLineNumbers w:val="0"/>
                    <w:spacing w:before="0" w:beforeAutospacing="0" w:after="0" w:afterAutospacing="0"/>
                    <w:ind w:left="0" w:right="0"/>
                    <w:jc w:val="center"/>
                    <w:rPr>
                      <w:rFonts w:hint="default" w:cs="Times New Roman"/>
                      <w:color w:val="000000" w:themeColor="text1"/>
                      <w:sz w:val="21"/>
                      <w:szCs w:val="21"/>
                      <w:highlight w:val="none"/>
                      <w:lang w:val="en-US" w:eastAsia="zh-CN" w:bidi="ar-SA"/>
                      <w14:textFill>
                        <w14:solidFill>
                          <w14:schemeClr w14:val="tx1"/>
                        </w14:solidFill>
                      </w14:textFill>
                    </w:rPr>
                  </w:pPr>
                  <w:r>
                    <w:rPr>
                      <w:rFonts w:hint="default" w:cs="Times New Roman"/>
                      <w:color w:val="000000" w:themeColor="text1"/>
                      <w:sz w:val="21"/>
                      <w:szCs w:val="21"/>
                      <w:highlight w:val="none"/>
                      <w:lang w:val="en-US" w:eastAsia="zh-CN" w:bidi="ar-SA"/>
                      <w14:textFill>
                        <w14:solidFill>
                          <w14:schemeClr w14:val="tx1"/>
                        </w14:solidFill>
                      </w14:textFill>
                    </w:rPr>
                    <w:t>18134.64</w:t>
                  </w:r>
                </w:p>
              </w:tc>
              <w:tc>
                <w:tcPr>
                  <w:tcW w:w="1748" w:type="pct"/>
                  <w:tcBorders>
                    <w:tl2br w:val="nil"/>
                    <w:tr2bl w:val="nil"/>
                  </w:tcBorders>
                  <w:noWrap w:val="0"/>
                  <w:vAlign w:val="center"/>
                </w:tcPr>
                <w:p w14:paraId="7BF1006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eastAsia="zh-CN" w:bidi="ar-SA"/>
                      <w14:textFill>
                        <w14:solidFill>
                          <w14:schemeClr w14:val="tx1"/>
                        </w14:solidFill>
                      </w14:textFill>
                    </w:rPr>
                    <w:t>废水</w:t>
                  </w:r>
                  <w:r>
                    <w:rPr>
                      <w:rFonts w:hint="eastAsia" w:cs="Times New Roman"/>
                      <w:color w:val="000000" w:themeColor="text1"/>
                      <w:sz w:val="21"/>
                      <w:szCs w:val="21"/>
                      <w:highlight w:val="none"/>
                      <w:lang w:val="en-US" w:eastAsia="zh-CN" w:bidi="ar-SA"/>
                      <w14:textFill>
                        <w14:solidFill>
                          <w14:schemeClr w14:val="tx1"/>
                        </w14:solidFill>
                      </w14:textFill>
                    </w:rPr>
                    <w:t>经</w:t>
                  </w:r>
                  <w:r>
                    <w:rPr>
                      <w:rFonts w:hint="default" w:ascii="Times New Roman" w:hAnsi="Times New Roman" w:cs="Times New Roman"/>
                      <w:color w:val="000000" w:themeColor="text1"/>
                      <w:sz w:val="21"/>
                      <w:szCs w:val="21"/>
                      <w:highlight w:val="none"/>
                      <w:lang w:eastAsia="zh-CN" w:bidi="ar-SA"/>
                      <w14:textFill>
                        <w14:solidFill>
                          <w14:schemeClr w14:val="tx1"/>
                        </w14:solidFill>
                      </w14:textFill>
                    </w:rPr>
                    <w:t>厂内污水处理站处理达标后，排入厂区污水管网后排入高新区市政管网最终排入石桥子污水处理厂。</w:t>
                  </w:r>
                </w:p>
              </w:tc>
            </w:tr>
          </w:tbl>
          <w:p w14:paraId="7AC4100C">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0" w:firstLineChars="200"/>
              <w:jc w:val="left"/>
              <w:textAlignment w:val="auto"/>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pPr>
          </w:p>
          <w:p w14:paraId="54F28D97">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0" w:firstLineChars="200"/>
              <w:jc w:val="left"/>
              <w:textAlignment w:val="auto"/>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本项目水平衡图如下。</w:t>
            </w:r>
          </w:p>
          <w:p w14:paraId="7701C1BA">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0" w:firstLineChars="200"/>
              <w:jc w:val="left"/>
              <w:textAlignment w:val="auto"/>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pPr>
          </w:p>
          <w:p w14:paraId="3AF57978">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0" w:firstLineChars="200"/>
              <w:jc w:val="left"/>
              <w:textAlignment w:val="auto"/>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pPr>
          </w:p>
          <w:p w14:paraId="0352662C">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0" w:firstLineChars="200"/>
              <w:jc w:val="left"/>
              <w:textAlignment w:val="auto"/>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pPr>
          </w:p>
          <w:p w14:paraId="5FE5B7B4">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0" w:firstLineChars="200"/>
              <w:jc w:val="left"/>
              <w:textAlignment w:val="auto"/>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pPr>
          </w:p>
          <w:p w14:paraId="3B5180F5">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0" w:firstLineChars="200"/>
              <w:jc w:val="left"/>
              <w:textAlignment w:val="auto"/>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pPr>
          </w:p>
          <w:p w14:paraId="2E1D0DA0">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0" w:firstLineChars="200"/>
              <w:jc w:val="left"/>
              <w:textAlignment w:val="auto"/>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pPr>
          </w:p>
          <w:p w14:paraId="2FF9FA5A">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0" w:firstLineChars="200"/>
              <w:jc w:val="left"/>
              <w:textAlignment w:val="auto"/>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pPr>
          </w:p>
          <w:p w14:paraId="77E84EE3">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0" w:firstLineChars="200"/>
              <w:jc w:val="left"/>
              <w:textAlignment w:val="auto"/>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pPr>
          </w:p>
          <w:p w14:paraId="064AD9DB">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0" w:firstLineChars="200"/>
              <w:jc w:val="left"/>
              <w:textAlignment w:val="auto"/>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pPr>
          </w:p>
          <w:p w14:paraId="539B81B9">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0" w:firstLineChars="200"/>
              <w:jc w:val="left"/>
              <w:textAlignment w:val="auto"/>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pPr>
          </w:p>
          <w:p w14:paraId="48FD3EA2">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0" w:firstLineChars="200"/>
              <w:jc w:val="left"/>
              <w:textAlignment w:val="auto"/>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pPr>
          </w:p>
          <w:p w14:paraId="28CE9A53">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0" w:firstLineChars="200"/>
              <w:jc w:val="left"/>
              <w:textAlignment w:val="auto"/>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pPr>
          </w:p>
          <w:p w14:paraId="3A5FD070">
            <w:pPr>
              <w:keepNext w:val="0"/>
              <w:keepLines w:val="0"/>
              <w:suppressLineNumbers w:val="0"/>
              <w:spacing w:before="0" w:beforeAutospacing="0" w:after="0" w:afterAutospacing="0" w:line="360" w:lineRule="auto"/>
              <w:ind w:left="0" w:right="0"/>
              <w:jc w:val="both"/>
              <w:rPr>
                <w:rFonts w:hint="default" w:ascii="Times New Roman" w:hAnsi="Times New Roman" w:eastAsia="黑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0"/>
                <w:highlight w:val="none"/>
                <w:lang w:val="en-US" w:eastAsia="zh-CN" w:bidi="ar-SA"/>
                <w14:textFill>
                  <w14:solidFill>
                    <w14:schemeClr w14:val="tx1"/>
                  </w14:solidFill>
                </w14:textFill>
              </w:rPr>
              <mc:AlternateContent>
                <mc:Choice Requires="wpc">
                  <w:drawing>
                    <wp:anchor distT="0" distB="0" distL="114300" distR="114300" simplePos="0" relativeHeight="251661312" behindDoc="0" locked="0" layoutInCell="1" allowOverlap="1">
                      <wp:simplePos x="0" y="0"/>
                      <wp:positionH relativeFrom="column">
                        <wp:posOffset>-39370</wp:posOffset>
                      </wp:positionH>
                      <wp:positionV relativeFrom="paragraph">
                        <wp:posOffset>-3796665</wp:posOffset>
                      </wp:positionV>
                      <wp:extent cx="5264150" cy="4533900"/>
                      <wp:effectExtent l="0" t="0" r="0" b="0"/>
                      <wp:wrapTopAndBottom/>
                      <wp:docPr id="599" name="画布 599"/>
                      <wp:cNvGraphicFramePr/>
                      <a:graphic xmlns:a="http://schemas.openxmlformats.org/drawingml/2006/main">
                        <a:graphicData uri="http://schemas.microsoft.com/office/word/2010/wordprocessingCanvas">
                          <wpc:wpc>
                            <wpc:bg>
                              <a:noFill/>
                            </wpc:bg>
                            <wpc:whole>
                              <a:ln>
                                <a:noFill/>
                              </a:ln>
                            </wpc:whole>
                            <wps:wsp>
                              <wps:cNvPr id="2" name="文本框 543"/>
                              <wps:cNvSpPr txBox="1"/>
                              <wps:spPr>
                                <a:xfrm>
                                  <a:off x="412115" y="242570"/>
                                  <a:ext cx="471805" cy="242570"/>
                                </a:xfrm>
                                <a:prstGeom prst="rect">
                                  <a:avLst/>
                                </a:prstGeom>
                                <a:noFill/>
                                <a:ln>
                                  <a:noFill/>
                                </a:ln>
                                <a:effectLst/>
                              </wps:spPr>
                              <wps:txbx>
                                <w:txbxContent>
                                  <w:p w14:paraId="75764CF4">
                                    <w:pPr>
                                      <w:rPr>
                                        <w:rFonts w:hint="eastAsia" w:ascii="Times New Roman" w:hAnsi="Times New Roman" w:eastAsia="宋体" w:cs="Times New Roman"/>
                                        <w:sz w:val="21"/>
                                        <w:szCs w:val="21"/>
                                        <w:lang w:eastAsia="zh-CN" w:bidi="ar-SA"/>
                                      </w:rPr>
                                    </w:pPr>
                                    <w:r>
                                      <w:rPr>
                                        <w:rFonts w:hint="eastAsia" w:ascii="Times New Roman" w:hAnsi="Times New Roman" w:cs="Times New Roman"/>
                                        <w:sz w:val="21"/>
                                        <w:szCs w:val="21"/>
                                        <w:lang w:eastAsia="zh-CN" w:bidi="ar-SA"/>
                                      </w:rPr>
                                      <w:t>新鲜水</w:t>
                                    </w:r>
                                  </w:p>
                                </w:txbxContent>
                              </wps:txbx>
                              <wps:bodyPr vert="horz" wrap="square" lIns="0" tIns="0" rIns="0" bIns="0" anchor="t" anchorCtr="0" upright="1"/>
                            </wps:wsp>
                            <wps:wsp>
                              <wps:cNvPr id="4" name="文本框 544"/>
                              <wps:cNvSpPr txBox="1"/>
                              <wps:spPr>
                                <a:xfrm>
                                  <a:off x="309245" y="494030"/>
                                  <a:ext cx="662305" cy="217170"/>
                                </a:xfrm>
                                <a:prstGeom prst="rect">
                                  <a:avLst/>
                                </a:prstGeom>
                                <a:noFill/>
                                <a:ln>
                                  <a:noFill/>
                                </a:ln>
                              </wps:spPr>
                              <wps:txbx>
                                <w:txbxContent>
                                  <w:p w14:paraId="22492463">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20897.325</w:t>
                                    </w:r>
                                  </w:p>
                                </w:txbxContent>
                              </wps:txbx>
                              <wps:bodyPr lIns="0" tIns="0" rIns="0" bIns="0" upright="1"/>
                            </wps:wsp>
                            <wps:wsp>
                              <wps:cNvPr id="27" name="文本框 548"/>
                              <wps:cNvSpPr txBox="1"/>
                              <wps:spPr>
                                <a:xfrm>
                                  <a:off x="3850640" y="2449830"/>
                                  <a:ext cx="1311910" cy="241300"/>
                                </a:xfrm>
                                <a:prstGeom prst="rect">
                                  <a:avLst/>
                                </a:prstGeom>
                                <a:noFill/>
                                <a:ln>
                                  <a:noFill/>
                                </a:ln>
                                <a:effectLst/>
                              </wps:spPr>
                              <wps:txbx>
                                <w:txbxContent>
                                  <w:p w14:paraId="72CFBB1A">
                                    <w:pPr>
                                      <w:jc w:val="center"/>
                                      <w:rPr>
                                        <w:rFonts w:hint="default"/>
                                        <w:sz w:val="21"/>
                                        <w:szCs w:val="21"/>
                                        <w:lang w:val="en-US" w:eastAsia="zh-CN"/>
                                      </w:rPr>
                                    </w:pPr>
                                    <w:r>
                                      <w:rPr>
                                        <w:rFonts w:hint="eastAsia" w:eastAsia="Calibri" w:cs="Times New Roman"/>
                                        <w:color w:val="000000"/>
                                        <w:kern w:val="2"/>
                                        <w:sz w:val="21"/>
                                        <w:szCs w:val="21"/>
                                        <w:lang w:val="en-US" w:eastAsia="zh-CN" w:bidi="ar-SA"/>
                                      </w:rPr>
                                      <w:t>石桥子污水处理厂</w:t>
                                    </w:r>
                                  </w:p>
                                </w:txbxContent>
                              </wps:txbx>
                              <wps:bodyPr vert="horz" wrap="square" lIns="0" tIns="0" rIns="0" bIns="0" anchor="t" anchorCtr="0" upright="1"/>
                            </wps:wsp>
                            <wps:wsp>
                              <wps:cNvPr id="137" name="文本框 557"/>
                              <wps:cNvSpPr txBox="1"/>
                              <wps:spPr>
                                <a:xfrm>
                                  <a:off x="3810000" y="1811020"/>
                                  <a:ext cx="1417955" cy="222250"/>
                                </a:xfrm>
                                <a:prstGeom prst="rect">
                                  <a:avLst/>
                                </a:prstGeom>
                                <a:noFill/>
                                <a:ln>
                                  <a:noFill/>
                                </a:ln>
                                <a:effectLst/>
                              </wps:spPr>
                              <wps:txbx>
                                <w:txbxContent>
                                  <w:p w14:paraId="595CA7E9">
                                    <w:pPr>
                                      <w:jc w:val="center"/>
                                      <w:rPr>
                                        <w:rFonts w:hint="default" w:ascii="Times New Roman" w:hAnsi="Times New Roman" w:eastAsia="宋体" w:cs="Times New Roman"/>
                                        <w:sz w:val="28"/>
                                        <w:szCs w:val="24"/>
                                        <w:lang w:val="en-US" w:eastAsia="zh-CN" w:bidi="ar-SA"/>
                                      </w:rPr>
                                    </w:pPr>
                                    <w:r>
                                      <w:rPr>
                                        <w:rFonts w:hint="eastAsia" w:ascii="Times New Roman" w:hAnsi="宋体" w:cs="Times New Roman"/>
                                        <w:color w:val="auto"/>
                                        <w:sz w:val="21"/>
                                        <w:szCs w:val="21"/>
                                        <w:lang w:val="en-US" w:eastAsia="zh-CN" w:bidi="ar-SA"/>
                                      </w:rPr>
                                      <w:t>厂内污水处理站</w:t>
                                    </w:r>
                                  </w:p>
                                </w:txbxContent>
                              </wps:txbx>
                              <wps:bodyPr vert="horz" wrap="square" lIns="0" tIns="0" rIns="0" bIns="0" anchor="t" anchorCtr="0" upright="1"/>
                            </wps:wsp>
                            <wps:wsp>
                              <wps:cNvPr id="138" name="文本框 562"/>
                              <wps:cNvSpPr txBox="1"/>
                              <wps:spPr>
                                <a:xfrm>
                                  <a:off x="2328545" y="295910"/>
                                  <a:ext cx="624840" cy="212725"/>
                                </a:xfrm>
                                <a:prstGeom prst="rect">
                                  <a:avLst/>
                                </a:prstGeom>
                                <a:noFill/>
                                <a:ln>
                                  <a:noFill/>
                                </a:ln>
                              </wps:spPr>
                              <wps:txbx>
                                <w:txbxContent>
                                  <w:p w14:paraId="091BA2A0">
                                    <w:pPr>
                                      <w:jc w:val="both"/>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4179.465</w:t>
                                    </w:r>
                                  </w:p>
                                </w:txbxContent>
                              </wps:txbx>
                              <wps:bodyPr lIns="0" tIns="0" rIns="0" bIns="0" upright="1"/>
                            </wps:wsp>
                            <wps:wsp>
                              <wps:cNvPr id="147" name="文本框 585"/>
                              <wps:cNvSpPr txBox="1"/>
                              <wps:spPr>
                                <a:xfrm>
                                  <a:off x="3703955" y="1256030"/>
                                  <a:ext cx="641985" cy="201295"/>
                                </a:xfrm>
                                <a:prstGeom prst="rect">
                                  <a:avLst/>
                                </a:prstGeom>
                                <a:noFill/>
                                <a:ln>
                                  <a:noFill/>
                                </a:ln>
                              </wps:spPr>
                              <wps:txbx>
                                <w:txbxContent>
                                  <w:p w14:paraId="601CD277">
                                    <w:pP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18134.64</w:t>
                                    </w:r>
                                  </w:p>
                                </w:txbxContent>
                              </wps:txbx>
                              <wps:bodyPr lIns="0" tIns="0" rIns="0" bIns="0" upright="1"/>
                            </wps:wsp>
                            <wps:wsp>
                              <wps:cNvPr id="148" name="文本框 586"/>
                              <wps:cNvSpPr txBox="1"/>
                              <wps:spPr>
                                <a:xfrm>
                                  <a:off x="589280" y="808355"/>
                                  <a:ext cx="577850" cy="187325"/>
                                </a:xfrm>
                                <a:prstGeom prst="rect">
                                  <a:avLst/>
                                </a:prstGeom>
                                <a:noFill/>
                                <a:ln>
                                  <a:noFill/>
                                </a:ln>
                              </wps:spPr>
                              <wps:txbx>
                                <w:txbxContent>
                                  <w:p w14:paraId="378DCE4B">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16717.86</w:t>
                                    </w:r>
                                  </w:p>
                                </w:txbxContent>
                              </wps:txbx>
                              <wps:bodyPr lIns="0" tIns="0" rIns="0" bIns="0" upright="1"/>
                            </wps:wsp>
                            <wps:wsp>
                              <wps:cNvPr id="149" name="直接连接符 568"/>
                              <wps:cNvCnPr/>
                              <wps:spPr>
                                <a:xfrm flipV="1">
                                  <a:off x="389255" y="467995"/>
                                  <a:ext cx="596900" cy="7620"/>
                                </a:xfrm>
                                <a:prstGeom prst="line">
                                  <a:avLst/>
                                </a:prstGeom>
                                <a:ln w="9525" cap="flat" cmpd="sng">
                                  <a:solidFill>
                                    <a:srgbClr val="000000"/>
                                  </a:solidFill>
                                  <a:prstDash val="solid"/>
                                  <a:round/>
                                  <a:headEnd type="none" w="med" len="med"/>
                                  <a:tailEnd type="triangle" w="med" len="med"/>
                                </a:ln>
                              </wps:spPr>
                              <wps:bodyPr upright="1"/>
                            </wps:wsp>
                            <wps:wsp>
                              <wps:cNvPr id="150" name="文本框 573"/>
                              <wps:cNvSpPr txBox="1"/>
                              <wps:spPr>
                                <a:xfrm>
                                  <a:off x="989330" y="340995"/>
                                  <a:ext cx="1135380" cy="258445"/>
                                </a:xfrm>
                                <a:prstGeom prst="rect">
                                  <a:avLst/>
                                </a:prstGeom>
                                <a:noFill/>
                                <a:ln w="9525" cap="flat" cmpd="sng">
                                  <a:solidFill>
                                    <a:srgbClr val="000000"/>
                                  </a:solidFill>
                                  <a:prstDash val="solid"/>
                                  <a:miter/>
                                  <a:headEnd type="none" w="med" len="med"/>
                                  <a:tailEnd type="none" w="med" len="med"/>
                                </a:ln>
                              </wps:spPr>
                              <wps:txbx>
                                <w:txbxContent>
                                  <w:p w14:paraId="11FFEC47">
                                    <w:pPr>
                                      <w:spacing w:line="240" w:lineRule="auto"/>
                                      <w:jc w:val="center"/>
                                      <w:rPr>
                                        <w:rFonts w:hint="eastAsia" w:ascii="Times New Roman" w:hAnsi="Times New Roman" w:eastAsia="宋体" w:cs="Times New Roman"/>
                                        <w:b w:val="0"/>
                                        <w:bCs/>
                                        <w:color w:val="000000"/>
                                        <w:kern w:val="2"/>
                                        <w:sz w:val="21"/>
                                        <w:szCs w:val="21"/>
                                        <w:highlight w:val="none"/>
                                        <w:lang w:val="en-US" w:eastAsia="zh-CN" w:bidi="ar-SA"/>
                                      </w:rPr>
                                    </w:pPr>
                                    <w:r>
                                      <w:rPr>
                                        <w:rFonts w:hint="eastAsia" w:cs="Times New Roman"/>
                                        <w:b w:val="0"/>
                                        <w:bCs/>
                                        <w:color w:val="000000"/>
                                        <w:kern w:val="2"/>
                                        <w:sz w:val="21"/>
                                        <w:szCs w:val="21"/>
                                        <w:highlight w:val="none"/>
                                        <w:lang w:val="en-US" w:eastAsia="zh-CN" w:bidi="ar-SA"/>
                                      </w:rPr>
                                      <w:t>软化水制备</w:t>
                                    </w:r>
                                    <w:r>
                                      <w:rPr>
                                        <w:rFonts w:hint="eastAsia" w:ascii="Times New Roman" w:hAnsi="Times New Roman" w:eastAsia="宋体" w:cs="Times New Roman"/>
                                        <w:b w:val="0"/>
                                        <w:bCs/>
                                        <w:color w:val="000000"/>
                                        <w:kern w:val="2"/>
                                        <w:sz w:val="21"/>
                                        <w:szCs w:val="21"/>
                                        <w:highlight w:val="none"/>
                                        <w:lang w:val="en-US" w:eastAsia="zh-CN" w:bidi="ar-SA"/>
                                      </w:rPr>
                                      <w:t>用水</w:t>
                                    </w:r>
                                  </w:p>
                                </w:txbxContent>
                              </wps:txbx>
                              <wps:bodyPr lIns="0" tIns="3600" rIns="0" bIns="3600" upright="1"/>
                            </wps:wsp>
                            <wps:wsp>
                              <wps:cNvPr id="151" name="直接连接符 575"/>
                              <wps:cNvCnPr/>
                              <wps:spPr>
                                <a:xfrm flipV="1">
                                  <a:off x="2134870" y="464820"/>
                                  <a:ext cx="1445895" cy="15240"/>
                                </a:xfrm>
                                <a:prstGeom prst="line">
                                  <a:avLst/>
                                </a:prstGeom>
                                <a:ln w="9525" cap="flat" cmpd="sng">
                                  <a:solidFill>
                                    <a:srgbClr val="000000"/>
                                  </a:solidFill>
                                  <a:prstDash val="solid"/>
                                  <a:round/>
                                  <a:headEnd type="none" w="med" len="med"/>
                                  <a:tailEnd type="triangle" w="med" len="med"/>
                                </a:ln>
                              </wps:spPr>
                              <wps:bodyPr upright="1"/>
                            </wps:wsp>
                            <wps:wsp>
                              <wps:cNvPr id="153" name="直接箭头连接符 576"/>
                              <wps:cNvCnPr>
                                <a:stCxn id="575" idx="1"/>
                              </wps:cNvCnPr>
                              <wps:spPr>
                                <a:xfrm>
                                  <a:off x="3580765" y="464820"/>
                                  <a:ext cx="30480" cy="2733675"/>
                                </a:xfrm>
                                <a:prstGeom prst="straightConnector1">
                                  <a:avLst/>
                                </a:prstGeom>
                                <a:ln w="9525" cap="flat" cmpd="sng">
                                  <a:solidFill>
                                    <a:srgbClr val="000000"/>
                                  </a:solidFill>
                                  <a:prstDash val="solid"/>
                                  <a:round/>
                                  <a:headEnd type="none" w="med" len="med"/>
                                  <a:tailEnd type="none" w="med" len="med"/>
                                </a:ln>
                              </wps:spPr>
                              <wps:bodyPr/>
                            </wps:wsp>
                            <wps:wsp>
                              <wps:cNvPr id="155" name="肘形连接符 581"/>
                              <wps:cNvCnPr/>
                              <wps:spPr>
                                <a:xfrm>
                                  <a:off x="3586480" y="1459865"/>
                                  <a:ext cx="935355" cy="381000"/>
                                </a:xfrm>
                                <a:prstGeom prst="bentConnector3">
                                  <a:avLst>
                                    <a:gd name="adj1" fmla="val 100000"/>
                                  </a:avLst>
                                </a:prstGeom>
                                <a:ln w="9525" cap="flat" cmpd="sng">
                                  <a:solidFill>
                                    <a:srgbClr val="000000"/>
                                  </a:solidFill>
                                  <a:prstDash val="solid"/>
                                  <a:miter/>
                                  <a:headEnd type="none" w="med" len="med"/>
                                  <a:tailEnd type="triangle" w="med" len="med"/>
                                </a:ln>
                              </wps:spPr>
                              <wps:bodyPr/>
                            </wps:wsp>
                            <wps:wsp>
                              <wps:cNvPr id="158" name="直接连接符 582"/>
                              <wps:cNvCnPr/>
                              <wps:spPr>
                                <a:xfrm>
                                  <a:off x="4497705" y="2006600"/>
                                  <a:ext cx="12700" cy="443230"/>
                                </a:xfrm>
                                <a:prstGeom prst="line">
                                  <a:avLst/>
                                </a:prstGeom>
                                <a:ln w="9525" cap="flat" cmpd="sng">
                                  <a:solidFill>
                                    <a:srgbClr val="000000"/>
                                  </a:solidFill>
                                  <a:prstDash val="solid"/>
                                  <a:round/>
                                  <a:headEnd type="none" w="med" len="med"/>
                                  <a:tailEnd type="triangle" w="med" len="med"/>
                                </a:ln>
                              </wps:spPr>
                              <wps:bodyPr upright="1"/>
                            </wps:wsp>
                            <wpg:wgp>
                              <wpg:cNvPr id="165" name="组合 811"/>
                              <wpg:cNvGrpSpPr/>
                              <wpg:grpSpPr>
                                <a:xfrm>
                                  <a:off x="1183005" y="3522980"/>
                                  <a:ext cx="2559685" cy="300990"/>
                                  <a:chOff x="1848" y="5578"/>
                                  <a:chExt cx="4031" cy="474"/>
                                </a:xfrm>
                              </wpg:grpSpPr>
                              <wps:wsp>
                                <wps:cNvPr id="166" name="文本框 551"/>
                                <wps:cNvSpPr txBox="1"/>
                                <wps:spPr>
                                  <a:xfrm>
                                    <a:off x="4425" y="5652"/>
                                    <a:ext cx="1454" cy="380"/>
                                  </a:xfrm>
                                  <a:prstGeom prst="rect">
                                    <a:avLst/>
                                  </a:prstGeom>
                                  <a:noFill/>
                                  <a:ln>
                                    <a:noFill/>
                                  </a:ln>
                                  <a:effectLst/>
                                </wps:spPr>
                                <wps:txbx>
                                  <w:txbxContent>
                                    <w:p w14:paraId="5CE25301">
                                      <w:pPr>
                                        <w:jc w:val="center"/>
                                        <w:rPr>
                                          <w:rFonts w:hint="default" w:ascii="Times New Roman" w:hAnsi="Times New Roman" w:cs="Times New Roman"/>
                                          <w:sz w:val="21"/>
                                          <w:szCs w:val="21"/>
                                          <w:lang w:val="en-US" w:eastAsia="zh-CN" w:bidi="ar-SA"/>
                                        </w:rPr>
                                      </w:pPr>
                                      <w:r>
                                        <w:rPr>
                                          <w:rFonts w:hint="eastAsia" w:ascii="Times New Roman" w:hAnsi="Times New Roman" w:cs="Times New Roman"/>
                                          <w:sz w:val="21"/>
                                          <w:szCs w:val="21"/>
                                          <w:lang w:val="en-US" w:eastAsia="zh-CN" w:bidi="ar-SA"/>
                                        </w:rPr>
                                        <w:t>进入产品</w:t>
                                      </w:r>
                                    </w:p>
                                  </w:txbxContent>
                                </wps:txbx>
                                <wps:bodyPr vert="horz" wrap="square" lIns="0" tIns="0" rIns="0" bIns="0" anchor="t" anchorCtr="0" upright="1"/>
                              </wps:wsp>
                              <wps:wsp>
                                <wps:cNvPr id="167" name="文本框 555"/>
                                <wps:cNvSpPr txBox="1"/>
                                <wps:spPr>
                                  <a:xfrm>
                                    <a:off x="2022" y="5578"/>
                                    <a:ext cx="510" cy="241"/>
                                  </a:xfrm>
                                  <a:prstGeom prst="rect">
                                    <a:avLst/>
                                  </a:prstGeom>
                                  <a:noFill/>
                                  <a:ln>
                                    <a:noFill/>
                                  </a:ln>
                                </wps:spPr>
                                <wps:txbx>
                                  <w:txbxContent>
                                    <w:p w14:paraId="5DFEF9B0">
                                      <w:pPr>
                                        <w:jc w:val="center"/>
                                        <w:rPr>
                                          <w:rFonts w:hint="default" w:ascii="Times New Roman" w:hAnsi="Times New Roman" w:eastAsia="宋体" w:cs="Times New Roman"/>
                                          <w:sz w:val="21"/>
                                          <w:szCs w:val="21"/>
                                          <w:lang w:val="en-US" w:eastAsia="zh-CN" w:bidi="ar-SA"/>
                                        </w:rPr>
                                      </w:pPr>
                                      <w:r>
                                        <w:rPr>
                                          <w:rFonts w:hint="eastAsia" w:ascii="Times New Roman" w:hAnsi="Times New Roman" w:eastAsia="宋体" w:cs="Times New Roman"/>
                                          <w:sz w:val="21"/>
                                          <w:szCs w:val="21"/>
                                          <w:lang w:val="en-US" w:eastAsia="zh-CN" w:bidi="ar-SA"/>
                                        </w:rPr>
                                        <w:t>1.05</w:t>
                                      </w:r>
                                    </w:p>
                                  </w:txbxContent>
                                </wps:txbx>
                                <wps:bodyPr lIns="0" tIns="0" rIns="0" bIns="0" upright="1"/>
                              </wps:wsp>
                              <wps:wsp>
                                <wps:cNvPr id="168" name="直接连接符 596"/>
                                <wps:cNvCnPr/>
                                <wps:spPr>
                                  <a:xfrm rot="16200000" flipH="1">
                                    <a:off x="4443" y="5608"/>
                                    <a:ext cx="10" cy="499"/>
                                  </a:xfrm>
                                  <a:prstGeom prst="line">
                                    <a:avLst/>
                                  </a:prstGeom>
                                  <a:ln w="9525" cap="flat" cmpd="sng">
                                    <a:solidFill>
                                      <a:srgbClr val="000000"/>
                                    </a:solidFill>
                                    <a:prstDash val="solid"/>
                                    <a:round/>
                                    <a:headEnd type="none" w="med" len="med"/>
                                    <a:tailEnd type="triangle" w="med" len="med"/>
                                  </a:ln>
                                </wps:spPr>
                                <wps:bodyPr upright="1"/>
                              </wps:wsp>
                              <wps:wsp>
                                <wps:cNvPr id="169" name="直接连接符 589"/>
                                <wps:cNvCnPr/>
                                <wps:spPr>
                                  <a:xfrm>
                                    <a:off x="1848" y="5861"/>
                                    <a:ext cx="920" cy="0"/>
                                  </a:xfrm>
                                  <a:prstGeom prst="line">
                                    <a:avLst/>
                                  </a:prstGeom>
                                  <a:ln w="9525" cap="flat" cmpd="sng">
                                    <a:solidFill>
                                      <a:srgbClr val="000000"/>
                                    </a:solidFill>
                                    <a:prstDash val="solid"/>
                                    <a:round/>
                                    <a:headEnd type="none" w="med" len="med"/>
                                    <a:tailEnd type="triangle" w="med" len="med"/>
                                  </a:ln>
                                </wps:spPr>
                                <wps:bodyPr upright="1"/>
                              </wps:wsp>
                              <wps:wsp>
                                <wps:cNvPr id="170" name="文本框 590"/>
                                <wps:cNvSpPr txBox="1"/>
                                <wps:spPr>
                                  <a:xfrm>
                                    <a:off x="2768" y="5660"/>
                                    <a:ext cx="1427" cy="392"/>
                                  </a:xfrm>
                                  <a:prstGeom prst="rect">
                                    <a:avLst/>
                                  </a:prstGeom>
                                  <a:noFill/>
                                  <a:ln w="9525" cap="flat" cmpd="sng">
                                    <a:solidFill>
                                      <a:srgbClr val="000000"/>
                                    </a:solidFill>
                                    <a:prstDash val="solid"/>
                                    <a:miter/>
                                    <a:headEnd type="none" w="med" len="med"/>
                                    <a:tailEnd type="none" w="med" len="med"/>
                                  </a:ln>
                                </wps:spPr>
                                <wps:txbx>
                                  <w:txbxContent>
                                    <w:p w14:paraId="3F6829C5">
                                      <w:pPr>
                                        <w:jc w:val="center"/>
                                        <w:rPr>
                                          <w:rFonts w:hint="eastAsia"/>
                                          <w:lang w:eastAsia="zh-CN"/>
                                        </w:rPr>
                                      </w:pPr>
                                      <w:r>
                                        <w:rPr>
                                          <w:rFonts w:hint="eastAsia" w:ascii="Times New Roman" w:hAnsi="Times New Roman" w:cs="Times New Roman"/>
                                          <w:sz w:val="21"/>
                                          <w:szCs w:val="21"/>
                                          <w:lang w:val="en-US" w:eastAsia="zh-CN" w:bidi="ar-SA"/>
                                        </w:rPr>
                                        <w:t>配料</w:t>
                                      </w:r>
                                      <w:r>
                                        <w:rPr>
                                          <w:rFonts w:hint="eastAsia" w:ascii="Times New Roman" w:hAnsi="Times New Roman" w:cs="Times New Roman"/>
                                          <w:sz w:val="21"/>
                                          <w:szCs w:val="21"/>
                                          <w:lang w:eastAsia="zh-CN" w:bidi="ar-SA"/>
                                        </w:rPr>
                                        <w:t>用水</w:t>
                                      </w:r>
                                    </w:p>
                                  </w:txbxContent>
                                </wps:txbx>
                                <wps:bodyPr lIns="0" tIns="3600" rIns="0" bIns="3600" upright="1"/>
                              </wps:wsp>
                            </wpg:wgp>
                            <wps:wsp>
                              <wps:cNvPr id="172" name="直接箭头连接符 593"/>
                              <wps:cNvCnPr/>
                              <wps:spPr>
                                <a:xfrm flipH="1">
                                  <a:off x="1161415" y="1210945"/>
                                  <a:ext cx="2540" cy="3019425"/>
                                </a:xfrm>
                                <a:prstGeom prst="straightConnector1">
                                  <a:avLst/>
                                </a:prstGeom>
                                <a:ln w="9525" cap="flat" cmpd="sng">
                                  <a:solidFill>
                                    <a:srgbClr val="000000"/>
                                  </a:solidFill>
                                  <a:prstDash val="solid"/>
                                  <a:round/>
                                  <a:headEnd type="none" w="med" len="med"/>
                                  <a:tailEnd type="none" w="med" len="med"/>
                                </a:ln>
                              </wps:spPr>
                              <wps:bodyPr/>
                            </wps:wsp>
                            <wpg:wgp>
                              <wpg:cNvPr id="174" name="组合 810"/>
                              <wpg:cNvGrpSpPr/>
                              <wpg:grpSpPr>
                                <a:xfrm>
                                  <a:off x="1170940" y="1349375"/>
                                  <a:ext cx="2432050" cy="641350"/>
                                  <a:chOff x="1874" y="4750"/>
                                  <a:chExt cx="3830" cy="1010"/>
                                </a:xfrm>
                              </wpg:grpSpPr>
                              <wps:wsp>
                                <wps:cNvPr id="175" name="文本框 560"/>
                                <wps:cNvSpPr txBox="1"/>
                                <wps:spPr>
                                  <a:xfrm>
                                    <a:off x="2008" y="5263"/>
                                    <a:ext cx="675" cy="316"/>
                                  </a:xfrm>
                                  <a:prstGeom prst="rect">
                                    <a:avLst/>
                                  </a:prstGeom>
                                  <a:noFill/>
                                  <a:ln>
                                    <a:noFill/>
                                  </a:ln>
                                </wps:spPr>
                                <wps:txbx>
                                  <w:txbxContent>
                                    <w:p w14:paraId="170829B4">
                                      <w:pPr>
                                        <w:jc w:val="center"/>
                                        <w:rPr>
                                          <w:rFonts w:hint="default" w:ascii="Times New Roman" w:hAnsi="Times New Roman" w:eastAsia="宋体" w:cs="Times New Roman"/>
                                          <w:sz w:val="21"/>
                                          <w:szCs w:val="21"/>
                                          <w:lang w:val="en-US" w:eastAsia="zh-CN" w:bidi="ar-SA"/>
                                        </w:rPr>
                                      </w:pPr>
                                      <w:r>
                                        <w:rPr>
                                          <w:rFonts w:hint="eastAsia" w:ascii="Times New Roman" w:hAnsi="Times New Roman" w:eastAsia="宋体" w:cs="Times New Roman"/>
                                          <w:sz w:val="21"/>
                                          <w:szCs w:val="21"/>
                                          <w:lang w:val="en-US" w:eastAsia="zh-CN" w:bidi="ar-SA"/>
                                        </w:rPr>
                                        <w:t>375</w:t>
                                      </w:r>
                                    </w:p>
                                  </w:txbxContent>
                                </wps:txbx>
                                <wps:bodyPr lIns="0" tIns="0" rIns="0" bIns="0" upright="1"/>
                              </wps:wsp>
                              <wps:wsp>
                                <wps:cNvPr id="176" name="文本框 561"/>
                                <wps:cNvSpPr txBox="1"/>
                                <wps:spPr>
                                  <a:xfrm>
                                    <a:off x="3863" y="4750"/>
                                    <a:ext cx="594" cy="260"/>
                                  </a:xfrm>
                                  <a:prstGeom prst="rect">
                                    <a:avLst/>
                                  </a:prstGeom>
                                  <a:noFill/>
                                  <a:ln>
                                    <a:noFill/>
                                  </a:ln>
                                </wps:spPr>
                                <wps:txbx>
                                  <w:txbxContent>
                                    <w:p w14:paraId="063A8776">
                                      <w:pPr>
                                        <w:jc w:val="center"/>
                                        <w:rPr>
                                          <w:rFonts w:hint="default" w:ascii="Times New Roman" w:hAnsi="Times New Roman" w:eastAsia="宋体" w:cs="Times New Roman"/>
                                          <w:sz w:val="21"/>
                                          <w:szCs w:val="21"/>
                                          <w:lang w:val="en-US" w:eastAsia="zh-CN" w:bidi="ar-SA"/>
                                        </w:rPr>
                                      </w:pPr>
                                      <w:r>
                                        <w:rPr>
                                          <w:rFonts w:hint="eastAsia" w:ascii="Times New Roman" w:hAnsi="Times New Roman" w:eastAsia="宋体" w:cs="Times New Roman"/>
                                          <w:sz w:val="21"/>
                                          <w:szCs w:val="21"/>
                                          <w:lang w:val="en-US" w:eastAsia="zh-CN" w:bidi="ar-SA"/>
                                        </w:rPr>
                                        <w:t>37.5</w:t>
                                      </w:r>
                                    </w:p>
                                  </w:txbxContent>
                                </wps:txbx>
                                <wps:bodyPr lIns="0" tIns="0" rIns="0" bIns="0" upright="1"/>
                              </wps:wsp>
                              <wps:wsp>
                                <wps:cNvPr id="177" name="文本框 565"/>
                                <wps:cNvSpPr txBox="1"/>
                                <wps:spPr>
                                  <a:xfrm>
                                    <a:off x="4902" y="5265"/>
                                    <a:ext cx="651" cy="301"/>
                                  </a:xfrm>
                                  <a:prstGeom prst="rect">
                                    <a:avLst/>
                                  </a:prstGeom>
                                  <a:noFill/>
                                  <a:ln>
                                    <a:noFill/>
                                  </a:ln>
                                </wps:spPr>
                                <wps:txbx>
                                  <w:txbxContent>
                                    <w:p w14:paraId="5D08F266">
                                      <w:pPr>
                                        <w:rPr>
                                          <w:rFonts w:hint="default" w:ascii="Times New Roman" w:hAnsi="Times New Roman" w:eastAsia="宋体" w:cs="Times New Roman"/>
                                          <w:sz w:val="21"/>
                                          <w:szCs w:val="21"/>
                                          <w:lang w:val="en-US" w:eastAsia="zh-CN" w:bidi="ar-SA"/>
                                        </w:rPr>
                                      </w:pPr>
                                      <w:r>
                                        <w:rPr>
                                          <w:rFonts w:hint="eastAsia" w:ascii="Times New Roman" w:hAnsi="Times New Roman" w:eastAsia="宋体" w:cs="Times New Roman"/>
                                          <w:sz w:val="21"/>
                                          <w:szCs w:val="21"/>
                                          <w:lang w:val="en-US" w:eastAsia="zh-CN" w:bidi="ar-SA"/>
                                        </w:rPr>
                                        <w:t>337.5</w:t>
                                      </w:r>
                                    </w:p>
                                  </w:txbxContent>
                                </wps:txbx>
                                <wps:bodyPr lIns="0" tIns="0" rIns="0" bIns="0" upright="1"/>
                              </wps:wsp>
                              <wps:wsp>
                                <wps:cNvPr id="178" name="曲线连接符 567"/>
                                <wps:cNvCnPr/>
                                <wps:spPr>
                                  <a:xfrm rot="16200000">
                                    <a:off x="3656" y="4883"/>
                                    <a:ext cx="384" cy="628"/>
                                  </a:xfrm>
                                  <a:prstGeom prst="curvedConnector3">
                                    <a:avLst>
                                      <a:gd name="adj1" fmla="val 50000"/>
                                    </a:avLst>
                                  </a:prstGeom>
                                  <a:ln w="9525" cap="flat" cmpd="sng">
                                    <a:solidFill>
                                      <a:srgbClr val="000000"/>
                                    </a:solidFill>
                                    <a:prstDash val="dash"/>
                                    <a:headEnd type="none" w="med" len="med"/>
                                    <a:tailEnd type="arrow" w="med" len="med"/>
                                  </a:ln>
                                  <a:effectLst/>
                                </wps:spPr>
                                <wps:bodyPr/>
                              </wps:wsp>
                              <wps:wsp>
                                <wps:cNvPr id="179" name="直接连接符 579"/>
                                <wps:cNvCnPr/>
                                <wps:spPr>
                                  <a:xfrm>
                                    <a:off x="4784" y="5582"/>
                                    <a:ext cx="920" cy="0"/>
                                  </a:xfrm>
                                  <a:prstGeom prst="line">
                                    <a:avLst/>
                                  </a:prstGeom>
                                  <a:ln w="9525" cap="flat" cmpd="sng">
                                    <a:solidFill>
                                      <a:srgbClr val="000000"/>
                                    </a:solidFill>
                                    <a:prstDash val="solid"/>
                                    <a:round/>
                                    <a:headEnd type="none" w="med" len="med"/>
                                    <a:tailEnd type="triangle" w="med" len="med"/>
                                  </a:ln>
                                </wps:spPr>
                                <wps:bodyPr upright="1"/>
                              </wps:wsp>
                              <wps:wsp>
                                <wps:cNvPr id="180" name="直接连接符 592"/>
                                <wps:cNvCnPr/>
                                <wps:spPr>
                                  <a:xfrm>
                                    <a:off x="1874" y="5576"/>
                                    <a:ext cx="979" cy="1"/>
                                  </a:xfrm>
                                  <a:prstGeom prst="line">
                                    <a:avLst/>
                                  </a:prstGeom>
                                  <a:ln w="9525" cap="flat" cmpd="sng">
                                    <a:solidFill>
                                      <a:srgbClr val="000000"/>
                                    </a:solidFill>
                                    <a:prstDash val="solid"/>
                                    <a:round/>
                                    <a:headEnd type="none" w="med" len="med"/>
                                    <a:tailEnd type="triangle" w="med" len="med"/>
                                  </a:ln>
                                </wps:spPr>
                                <wps:bodyPr upright="1"/>
                              </wps:wsp>
                              <wps:wsp>
                                <wps:cNvPr id="181" name="文本框 595"/>
                                <wps:cNvSpPr txBox="1"/>
                                <wps:spPr>
                                  <a:xfrm>
                                    <a:off x="2853" y="5380"/>
                                    <a:ext cx="1940" cy="380"/>
                                  </a:xfrm>
                                  <a:prstGeom prst="rect">
                                    <a:avLst/>
                                  </a:prstGeom>
                                  <a:noFill/>
                                  <a:ln w="9525" cap="flat" cmpd="sng">
                                    <a:solidFill>
                                      <a:srgbClr val="000000"/>
                                    </a:solidFill>
                                    <a:prstDash val="solid"/>
                                    <a:miter/>
                                    <a:headEnd type="none" w="med" len="med"/>
                                    <a:tailEnd type="none" w="med" len="med"/>
                                  </a:ln>
                                </wps:spPr>
                                <wps:txbx>
                                  <w:txbxContent>
                                    <w:p w14:paraId="3613A6D5">
                                      <w:pPr>
                                        <w:jc w:val="center"/>
                                        <w:rPr>
                                          <w:rFonts w:hint="eastAsia" w:ascii="Times New Roman" w:hAnsi="Times New Roman" w:cs="Times New Roman"/>
                                          <w:color w:val="auto"/>
                                          <w:sz w:val="21"/>
                                          <w:szCs w:val="21"/>
                                          <w:lang w:eastAsia="zh-CN" w:bidi="ar-SA"/>
                                        </w:rPr>
                                      </w:pPr>
                                      <w:r>
                                        <w:rPr>
                                          <w:rFonts w:hint="eastAsia" w:ascii="Times New Roman" w:hAnsi="Times New Roman" w:cs="Times New Roman"/>
                                          <w:color w:val="auto"/>
                                          <w:sz w:val="21"/>
                                          <w:szCs w:val="21"/>
                                          <w:lang w:eastAsia="zh-CN" w:bidi="ar-SA"/>
                                        </w:rPr>
                                        <w:t>设备清洗用水</w:t>
                                      </w:r>
                                    </w:p>
                                  </w:txbxContent>
                                </wps:txbx>
                                <wps:bodyPr lIns="0" tIns="3600" rIns="0" bIns="3600" upright="1"/>
                              </wps:wsp>
                            </wpg:wgp>
                            <wps:wsp>
                              <wps:cNvPr id="182" name="直接连接符 597"/>
                              <wps:cNvCnPr/>
                              <wps:spPr>
                                <a:xfrm rot="240000">
                                  <a:off x="1140460" y="607695"/>
                                  <a:ext cx="52705" cy="617220"/>
                                </a:xfrm>
                                <a:prstGeom prst="line">
                                  <a:avLst/>
                                </a:prstGeom>
                                <a:ln w="9525" cap="flat" cmpd="sng">
                                  <a:solidFill>
                                    <a:srgbClr val="000000"/>
                                  </a:solidFill>
                                  <a:prstDash val="solid"/>
                                  <a:round/>
                                  <a:headEnd type="none" w="med" len="med"/>
                                  <a:tailEnd type="triangle" w="med" len="med"/>
                                </a:ln>
                              </wps:spPr>
                              <wps:bodyPr upright="1"/>
                            </wps:wsp>
                            <wps:wsp>
                              <wps:cNvPr id="131" name="文本框 554"/>
                              <wps:cNvSpPr txBox="1"/>
                              <wps:spPr>
                                <a:xfrm>
                                  <a:off x="3145790" y="4027170"/>
                                  <a:ext cx="304165" cy="200660"/>
                                </a:xfrm>
                                <a:prstGeom prst="rect">
                                  <a:avLst/>
                                </a:prstGeom>
                                <a:noFill/>
                                <a:ln>
                                  <a:noFill/>
                                </a:ln>
                              </wps:spPr>
                              <wps:txbx>
                                <w:txbxContent>
                                  <w:p w14:paraId="7035C0DB">
                                    <w:pP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1.0</w:t>
                                    </w:r>
                                  </w:p>
                                </w:txbxContent>
                              </wps:txbx>
                              <wps:bodyPr lIns="0" tIns="0" rIns="0" bIns="0" upright="1"/>
                            </wps:wsp>
                            <wps:wsp>
                              <wps:cNvPr id="140" name="文本框 563"/>
                              <wps:cNvSpPr txBox="1"/>
                              <wps:spPr>
                                <a:xfrm>
                                  <a:off x="1334770" y="4032250"/>
                                  <a:ext cx="271145" cy="153035"/>
                                </a:xfrm>
                                <a:prstGeom prst="rect">
                                  <a:avLst/>
                                </a:prstGeom>
                                <a:noFill/>
                                <a:ln>
                                  <a:noFill/>
                                </a:ln>
                              </wps:spPr>
                              <wps:txbx>
                                <w:txbxContent>
                                  <w:p w14:paraId="5192E035">
                                    <w:pP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0.6</w:t>
                                    </w:r>
                                  </w:p>
                                </w:txbxContent>
                              </wps:txbx>
                              <wps:bodyPr lIns="0" tIns="0" rIns="0" bIns="0" upright="1"/>
                            </wps:wsp>
                            <wps:wsp>
                              <wps:cNvPr id="154" name="直接连接符 580"/>
                              <wps:cNvCnPr/>
                              <wps:spPr>
                                <a:xfrm>
                                  <a:off x="3002280" y="4232910"/>
                                  <a:ext cx="584200" cy="0"/>
                                </a:xfrm>
                                <a:prstGeom prst="line">
                                  <a:avLst/>
                                </a:prstGeom>
                                <a:ln w="9525" cap="flat" cmpd="sng">
                                  <a:solidFill>
                                    <a:srgbClr val="000000"/>
                                  </a:solidFill>
                                  <a:prstDash val="solid"/>
                                  <a:round/>
                                  <a:headEnd type="none" w="med" len="med"/>
                                  <a:tailEnd type="triangle" w="med" len="med"/>
                                </a:ln>
                              </wps:spPr>
                              <wps:bodyPr upright="1"/>
                            </wps:wsp>
                            <wps:wsp>
                              <wps:cNvPr id="171" name="文本框 591"/>
                              <wps:cNvSpPr txBox="1"/>
                              <wps:spPr>
                                <a:xfrm>
                                  <a:off x="1770380" y="4098925"/>
                                  <a:ext cx="1231900" cy="241300"/>
                                </a:xfrm>
                                <a:prstGeom prst="rect">
                                  <a:avLst/>
                                </a:prstGeom>
                                <a:noFill/>
                                <a:ln w="9525" cap="flat" cmpd="sng">
                                  <a:solidFill>
                                    <a:srgbClr val="000000"/>
                                  </a:solidFill>
                                  <a:prstDash val="solid"/>
                                  <a:miter/>
                                  <a:headEnd type="none" w="med" len="med"/>
                                  <a:tailEnd type="none" w="med" len="med"/>
                                </a:ln>
                              </wps:spPr>
                              <wps:txbx>
                                <w:txbxContent>
                                  <w:p w14:paraId="4508B0FC">
                                    <w:pPr>
                                      <w:jc w:val="center"/>
                                      <w:rPr>
                                        <w:rFonts w:hint="eastAsia" w:ascii="Times New Roman" w:hAnsi="Times New Roman" w:cs="Times New Roman"/>
                                        <w:color w:val="auto"/>
                                        <w:sz w:val="21"/>
                                        <w:szCs w:val="21"/>
                                        <w:lang w:eastAsia="zh-CN" w:bidi="ar-SA"/>
                                      </w:rPr>
                                    </w:pPr>
                                    <w:r>
                                      <w:rPr>
                                        <w:rFonts w:hint="eastAsia" w:ascii="Times New Roman" w:hAnsi="Times New Roman" w:cs="Times New Roman"/>
                                        <w:color w:val="auto"/>
                                        <w:sz w:val="21"/>
                                        <w:szCs w:val="21"/>
                                        <w:lang w:eastAsia="zh-CN" w:bidi="ar-SA"/>
                                      </w:rPr>
                                      <w:t>化学检验用水</w:t>
                                    </w:r>
                                  </w:p>
                                </w:txbxContent>
                              </wps:txbx>
                              <wps:bodyPr lIns="0" tIns="3600" rIns="0" bIns="3600" upright="1"/>
                            </wps:wsp>
                            <wps:wsp>
                              <wps:cNvPr id="173" name="直接连接符 594"/>
                              <wps:cNvCnPr/>
                              <wps:spPr>
                                <a:xfrm>
                                  <a:off x="1166495" y="4234180"/>
                                  <a:ext cx="608330" cy="635"/>
                                </a:xfrm>
                                <a:prstGeom prst="line">
                                  <a:avLst/>
                                </a:prstGeom>
                                <a:ln w="9525" cap="flat" cmpd="sng">
                                  <a:solidFill>
                                    <a:srgbClr val="000000"/>
                                  </a:solidFill>
                                  <a:prstDash val="solid"/>
                                  <a:round/>
                                  <a:headEnd type="none" w="med" len="med"/>
                                  <a:tailEnd type="triangle" w="med" len="med"/>
                                </a:ln>
                              </wps:spPr>
                              <wps:bodyPr upright="1"/>
                            </wps:wsp>
                            <wps:wsp>
                              <wps:cNvPr id="183" name="文本框 600"/>
                              <wps:cNvSpPr txBox="1"/>
                              <wps:spPr>
                                <a:xfrm>
                                  <a:off x="3570605" y="4018280"/>
                                  <a:ext cx="1511300" cy="431800"/>
                                </a:xfrm>
                                <a:prstGeom prst="rect">
                                  <a:avLst/>
                                </a:prstGeom>
                                <a:noFill/>
                                <a:ln>
                                  <a:noFill/>
                                </a:ln>
                                <a:effectLst/>
                              </wps:spPr>
                              <wps:txbx>
                                <w:txbxContent>
                                  <w:p w14:paraId="4FD7C852">
                                    <w:pPr>
                                      <w:jc w:val="center"/>
                                      <w:rPr>
                                        <w:rFonts w:hint="default" w:ascii="Times New Roman" w:hAnsi="Times New Roman" w:eastAsia="宋体" w:cs="Times New Roman"/>
                                        <w:sz w:val="28"/>
                                        <w:szCs w:val="24"/>
                                        <w:lang w:val="en-US" w:eastAsia="zh-CN" w:bidi="ar-SA"/>
                                      </w:rPr>
                                    </w:pPr>
                                    <w:r>
                                      <w:rPr>
                                        <w:rFonts w:hint="eastAsia" w:ascii="Times New Roman" w:hAnsi="宋体" w:cs="Times New Roman"/>
                                        <w:color w:val="auto"/>
                                        <w:sz w:val="21"/>
                                        <w:szCs w:val="21"/>
                                        <w:lang w:val="en-US" w:eastAsia="zh-CN" w:bidi="ar-SA"/>
                                      </w:rPr>
                                      <w:t>暂存于危废贮存</w:t>
                                    </w:r>
                                    <w:r>
                                      <w:rPr>
                                        <w:rFonts w:hint="eastAsia" w:hAnsi="宋体" w:cs="Times New Roman"/>
                                        <w:color w:val="auto"/>
                                        <w:sz w:val="21"/>
                                        <w:szCs w:val="21"/>
                                        <w:lang w:val="en-US" w:eastAsia="zh-CN" w:bidi="ar-SA"/>
                                      </w:rPr>
                                      <w:t>库</w:t>
                                    </w:r>
                                    <w:r>
                                      <w:rPr>
                                        <w:rFonts w:hint="eastAsia" w:ascii="Times New Roman" w:hAnsi="宋体" w:cs="Times New Roman"/>
                                        <w:color w:val="auto"/>
                                        <w:sz w:val="21"/>
                                        <w:szCs w:val="21"/>
                                        <w:lang w:val="en-US" w:eastAsia="zh-CN" w:bidi="ar-SA"/>
                                      </w:rPr>
                                      <w:t>，定期交有资质单位处置</w:t>
                                    </w:r>
                                  </w:p>
                                </w:txbxContent>
                              </wps:txbx>
                              <wps:bodyPr vert="horz" wrap="square" lIns="0" tIns="0" rIns="0" bIns="0" anchor="t" anchorCtr="0" upright="1"/>
                            </wps:wsp>
                            <wpg:wgp>
                              <wpg:cNvPr id="275" name="组合 275"/>
                              <wpg:cNvGrpSpPr/>
                              <wpg:grpSpPr>
                                <a:xfrm>
                                  <a:off x="1173480" y="653415"/>
                                  <a:ext cx="2421255" cy="689610"/>
                                  <a:chOff x="1848" y="1524"/>
                                  <a:chExt cx="3813" cy="1086"/>
                                </a:xfrm>
                              </wpg:grpSpPr>
                              <wps:wsp>
                                <wps:cNvPr id="37" name="文本框 552"/>
                                <wps:cNvSpPr txBox="1"/>
                                <wps:spPr>
                                  <a:xfrm>
                                    <a:off x="4707" y="2125"/>
                                    <a:ext cx="855" cy="285"/>
                                  </a:xfrm>
                                  <a:prstGeom prst="rect">
                                    <a:avLst/>
                                  </a:prstGeom>
                                  <a:noFill/>
                                  <a:ln>
                                    <a:noFill/>
                                  </a:ln>
                                </wps:spPr>
                                <wps:txbx>
                                  <w:txbxContent>
                                    <w:p w14:paraId="7B99C1F6">
                                      <w:pPr>
                                        <w:jc w:val="center"/>
                                        <w:rPr>
                                          <w:rFonts w:hint="default" w:ascii="Times New Roman" w:hAnsi="Times New Roman" w:eastAsia="宋体" w:cs="Times New Roman"/>
                                          <w:sz w:val="21"/>
                                          <w:szCs w:val="21"/>
                                          <w:lang w:val="en-US" w:eastAsia="zh-CN" w:bidi="ar-SA"/>
                                        </w:rPr>
                                      </w:pPr>
                                      <w:r>
                                        <w:rPr>
                                          <w:rFonts w:hint="eastAsia" w:ascii="Times New Roman" w:hAnsi="Times New Roman" w:eastAsia="宋体" w:cs="Times New Roman"/>
                                          <w:sz w:val="21"/>
                                          <w:szCs w:val="21"/>
                                          <w:lang w:val="en-US" w:eastAsia="zh-CN" w:bidi="ar-SA"/>
                                        </w:rPr>
                                        <w:t>309.225</w:t>
                                      </w:r>
                                    </w:p>
                                  </w:txbxContent>
                                </wps:txbx>
                                <wps:bodyPr lIns="0" tIns="0" rIns="0" bIns="0" upright="1"/>
                              </wps:wsp>
                              <wps:wsp>
                                <wps:cNvPr id="127" name="曲线连接符 553"/>
                                <wps:cNvCnPr/>
                                <wps:spPr>
                                  <a:xfrm rot="16200000">
                                    <a:off x="3430" y="1789"/>
                                    <a:ext cx="414" cy="445"/>
                                  </a:xfrm>
                                  <a:prstGeom prst="curvedConnector3">
                                    <a:avLst>
                                      <a:gd name="adj1" fmla="val 50121"/>
                                    </a:avLst>
                                  </a:prstGeom>
                                  <a:ln w="9525" cap="flat" cmpd="sng">
                                    <a:solidFill>
                                      <a:srgbClr val="000000"/>
                                    </a:solidFill>
                                    <a:prstDash val="dash"/>
                                    <a:headEnd type="none" w="med" len="med"/>
                                    <a:tailEnd type="arrow" w="med" len="med"/>
                                  </a:ln>
                                  <a:effectLst/>
                                </wps:spPr>
                                <wps:bodyPr/>
                              </wps:wsp>
                              <wps:wsp>
                                <wps:cNvPr id="133" name="文本框 556"/>
                                <wps:cNvSpPr txBox="1"/>
                                <wps:spPr>
                                  <a:xfrm>
                                    <a:off x="1956" y="2097"/>
                                    <a:ext cx="611" cy="295"/>
                                  </a:xfrm>
                                  <a:prstGeom prst="rect">
                                    <a:avLst/>
                                  </a:prstGeom>
                                  <a:noFill/>
                                  <a:ln>
                                    <a:noFill/>
                                  </a:ln>
                                </wps:spPr>
                                <wps:txbx>
                                  <w:txbxContent>
                                    <w:p w14:paraId="549E6A20">
                                      <w:pPr>
                                        <w:rPr>
                                          <w:rFonts w:hint="default" w:ascii="Times New Roman" w:hAnsi="Times New Roman" w:eastAsia="宋体" w:cs="Times New Roman"/>
                                          <w:sz w:val="21"/>
                                          <w:szCs w:val="21"/>
                                          <w:lang w:val="en-US" w:eastAsia="zh-CN" w:bidi="ar-SA"/>
                                        </w:rPr>
                                      </w:pPr>
                                      <w:r>
                                        <w:rPr>
                                          <w:rFonts w:hint="eastAsia" w:ascii="Times New Roman" w:hAnsi="Times New Roman" w:eastAsia="宋体" w:cs="Times New Roman"/>
                                          <w:sz w:val="21"/>
                                          <w:szCs w:val="21"/>
                                          <w:lang w:val="en-US" w:eastAsia="zh-CN" w:bidi="ar-SA"/>
                                        </w:rPr>
                                        <w:t>371.07</w:t>
                                      </w:r>
                                    </w:p>
                                  </w:txbxContent>
                                </wps:txbx>
                                <wps:bodyPr lIns="0" tIns="0" rIns="0" bIns="0" upright="1"/>
                              </wps:wsp>
                              <wps:wsp>
                                <wps:cNvPr id="142" name="文本框 566"/>
                                <wps:cNvSpPr txBox="1"/>
                                <wps:spPr>
                                  <a:xfrm>
                                    <a:off x="3581" y="1524"/>
                                    <a:ext cx="712" cy="327"/>
                                  </a:xfrm>
                                  <a:prstGeom prst="rect">
                                    <a:avLst/>
                                  </a:prstGeom>
                                  <a:noFill/>
                                  <a:ln>
                                    <a:noFill/>
                                  </a:ln>
                                  <a:effectLst/>
                                </wps:spPr>
                                <wps:txbx>
                                  <w:txbxContent>
                                    <w:p w14:paraId="4E334932">
                                      <w:pPr>
                                        <w:rPr>
                                          <w:rFonts w:hint="default" w:ascii="Times New Roman" w:hAnsi="Times New Roman" w:eastAsia="宋体" w:cs="Times New Roman"/>
                                          <w:sz w:val="21"/>
                                          <w:szCs w:val="21"/>
                                          <w:lang w:val="en-US" w:eastAsia="zh-CN" w:bidi="ar-SA"/>
                                        </w:rPr>
                                      </w:pPr>
                                      <w:r>
                                        <w:rPr>
                                          <w:rFonts w:hint="eastAsia" w:ascii="Times New Roman" w:hAnsi="Times New Roman" w:eastAsia="宋体" w:cs="Times New Roman"/>
                                          <w:sz w:val="21"/>
                                          <w:szCs w:val="21"/>
                                          <w:lang w:val="en-US" w:eastAsia="zh-CN" w:bidi="ar-SA"/>
                                        </w:rPr>
                                        <w:t>61.845</w:t>
                                      </w:r>
                                    </w:p>
                                  </w:txbxContent>
                                </wps:txbx>
                                <wps:bodyPr vert="horz" wrap="square" lIns="0" tIns="0" rIns="0" bIns="0" anchor="t" anchorCtr="0" upright="1">
                                  <a:noAutofit/>
                                </wps:bodyPr>
                              </wps:wsp>
                              <wps:wsp>
                                <wps:cNvPr id="159" name="直接连接符 587"/>
                                <wps:cNvCnPr/>
                                <wps:spPr>
                                  <a:xfrm>
                                    <a:off x="1848" y="2417"/>
                                    <a:ext cx="920" cy="0"/>
                                  </a:xfrm>
                                  <a:prstGeom prst="line">
                                    <a:avLst/>
                                  </a:prstGeom>
                                  <a:ln w="9525" cap="flat" cmpd="sng">
                                    <a:solidFill>
                                      <a:srgbClr val="000000"/>
                                    </a:solidFill>
                                    <a:prstDash val="solid"/>
                                    <a:round/>
                                    <a:headEnd type="none" w="med" len="med"/>
                                    <a:tailEnd type="triangle" w="med" len="med"/>
                                  </a:ln>
                                </wps:spPr>
                                <wps:bodyPr upright="1"/>
                              </wps:wsp>
                              <wps:wsp>
                                <wps:cNvPr id="160" name="文本框 588"/>
                                <wps:cNvSpPr txBox="1"/>
                                <wps:spPr>
                                  <a:xfrm>
                                    <a:off x="2753" y="2218"/>
                                    <a:ext cx="1915" cy="392"/>
                                  </a:xfrm>
                                  <a:prstGeom prst="rect">
                                    <a:avLst/>
                                  </a:prstGeom>
                                  <a:noFill/>
                                  <a:ln w="9525" cap="flat" cmpd="sng">
                                    <a:solidFill>
                                      <a:srgbClr val="000000"/>
                                    </a:solidFill>
                                    <a:prstDash val="solid"/>
                                    <a:miter/>
                                    <a:headEnd type="none" w="med" len="med"/>
                                    <a:tailEnd type="none" w="med" len="med"/>
                                  </a:ln>
                                </wps:spPr>
                                <wps:txbx>
                                  <w:txbxContent>
                                    <w:p w14:paraId="01F226FD">
                                      <w:pPr>
                                        <w:jc w:val="center"/>
                                        <w:rPr>
                                          <w:rFonts w:hint="eastAsia" w:ascii="Times New Roman" w:hAnsi="Times New Roman" w:cs="Times New Roman"/>
                                          <w:sz w:val="21"/>
                                          <w:szCs w:val="21"/>
                                          <w:lang w:eastAsia="zh-CN" w:bidi="ar-SA"/>
                                        </w:rPr>
                                      </w:pPr>
                                      <w:r>
                                        <w:rPr>
                                          <w:rFonts w:hint="eastAsia" w:ascii="Times New Roman" w:hAnsi="Times New Roman" w:cs="Times New Roman"/>
                                          <w:sz w:val="21"/>
                                          <w:szCs w:val="21"/>
                                          <w:lang w:val="en-US" w:eastAsia="zh-CN" w:bidi="ar-SA"/>
                                        </w:rPr>
                                        <w:t>药材</w:t>
                                      </w:r>
                                      <w:r>
                                        <w:rPr>
                                          <w:rFonts w:hint="eastAsia" w:cs="Times New Roman"/>
                                          <w:sz w:val="21"/>
                                          <w:szCs w:val="21"/>
                                          <w:lang w:val="en-US" w:eastAsia="zh-CN" w:bidi="ar-SA"/>
                                        </w:rPr>
                                        <w:t>炮制</w:t>
                                      </w:r>
                                      <w:r>
                                        <w:rPr>
                                          <w:rFonts w:hint="eastAsia" w:ascii="Times New Roman" w:hAnsi="Times New Roman" w:cs="Times New Roman"/>
                                          <w:sz w:val="21"/>
                                          <w:szCs w:val="21"/>
                                          <w:lang w:eastAsia="zh-CN" w:bidi="ar-SA"/>
                                        </w:rPr>
                                        <w:t>用水</w:t>
                                      </w:r>
                                    </w:p>
                                  </w:txbxContent>
                                </wps:txbx>
                                <wps:bodyPr lIns="0" tIns="3600" rIns="0" bIns="3600" upright="1"/>
                              </wps:wsp>
                              <wps:wsp>
                                <wps:cNvPr id="184" name="直接连接符 602"/>
                                <wps:cNvCnPr/>
                                <wps:spPr>
                                  <a:xfrm flipV="1">
                                    <a:off x="4693" y="2416"/>
                                    <a:ext cx="968" cy="12"/>
                                  </a:xfrm>
                                  <a:prstGeom prst="line">
                                    <a:avLst/>
                                  </a:prstGeom>
                                  <a:ln w="9525" cap="flat" cmpd="sng">
                                    <a:solidFill>
                                      <a:srgbClr val="000000"/>
                                    </a:solidFill>
                                    <a:prstDash val="solid"/>
                                    <a:round/>
                                    <a:headEnd type="none" w="med" len="med"/>
                                    <a:tailEnd type="triangle" w="med" len="med"/>
                                  </a:ln>
                                </wps:spPr>
                                <wps:bodyPr upright="1"/>
                              </wps:wsp>
                            </wpg:wgp>
                            <wps:wsp>
                              <wps:cNvPr id="295" name="文本框 561"/>
                              <wps:cNvSpPr txBox="1"/>
                              <wps:spPr>
                                <a:xfrm>
                                  <a:off x="2386330" y="2656205"/>
                                  <a:ext cx="461645" cy="155575"/>
                                </a:xfrm>
                                <a:prstGeom prst="rect">
                                  <a:avLst/>
                                </a:prstGeom>
                                <a:noFill/>
                                <a:ln>
                                  <a:noFill/>
                                </a:ln>
                              </wps:spPr>
                              <wps:txbx>
                                <w:txbxContent>
                                  <w:p w14:paraId="3E3F2F1C">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937.45</w:t>
                                    </w:r>
                                  </w:p>
                                  <w:p w14:paraId="39FAB01A">
                                    <w:pPr>
                                      <w:rPr>
                                        <w:rFonts w:hint="default"/>
                                        <w:lang w:val="en-US" w:eastAsia="zh-CN"/>
                                      </w:rPr>
                                    </w:pPr>
                                  </w:p>
                                </w:txbxContent>
                              </wps:txbx>
                              <wps:bodyPr lIns="0" tIns="0" rIns="0" bIns="0" upright="1"/>
                            </wps:wsp>
                            <wpg:wgp>
                              <wpg:cNvPr id="284" name="组合 284"/>
                              <wpg:cNvGrpSpPr/>
                              <wpg:grpSpPr>
                                <a:xfrm>
                                  <a:off x="1160780" y="2827655"/>
                                  <a:ext cx="3769360" cy="831850"/>
                                  <a:chOff x="1813" y="4138"/>
                                  <a:chExt cx="5936" cy="1310"/>
                                </a:xfrm>
                              </wpg:grpSpPr>
                              <wps:wsp>
                                <wps:cNvPr id="36" name="文本框 560"/>
                                <wps:cNvSpPr txBox="1"/>
                                <wps:spPr>
                                  <a:xfrm>
                                    <a:off x="1842" y="4396"/>
                                    <a:ext cx="915" cy="302"/>
                                  </a:xfrm>
                                  <a:prstGeom prst="rect">
                                    <a:avLst/>
                                  </a:prstGeom>
                                  <a:noFill/>
                                  <a:ln>
                                    <a:noFill/>
                                  </a:ln>
                                </wps:spPr>
                                <wps:txbx>
                                  <w:txbxContent>
                                    <w:p w14:paraId="6EE01C86">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13525.2</w:t>
                                      </w:r>
                                    </w:p>
                                  </w:txbxContent>
                                </wps:txbx>
                                <wps:bodyPr lIns="0" tIns="0" rIns="0" bIns="0" upright="1"/>
                              </wps:wsp>
                              <wps:wsp>
                                <wps:cNvPr id="296" name="文本框 565"/>
                                <wps:cNvSpPr txBox="1"/>
                                <wps:spPr>
                                  <a:xfrm>
                                    <a:off x="4841" y="4398"/>
                                    <a:ext cx="651" cy="301"/>
                                  </a:xfrm>
                                  <a:prstGeom prst="rect">
                                    <a:avLst/>
                                  </a:prstGeom>
                                  <a:noFill/>
                                  <a:ln>
                                    <a:noFill/>
                                  </a:ln>
                                </wps:spPr>
                                <wps:txbx>
                                  <w:txbxContent>
                                    <w:p w14:paraId="421A81D1">
                                      <w:pP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11271</w:t>
                                      </w:r>
                                    </w:p>
                                  </w:txbxContent>
                                </wps:txbx>
                                <wps:bodyPr lIns="0" tIns="0" rIns="0" bIns="0" upright="1"/>
                              </wps:wsp>
                              <wps:wsp>
                                <wps:cNvPr id="297" name="曲线连接符 567"/>
                                <wps:cNvCnPr/>
                                <wps:spPr>
                                  <a:xfrm rot="16200000">
                                    <a:off x="3595" y="4016"/>
                                    <a:ext cx="384" cy="628"/>
                                  </a:xfrm>
                                  <a:prstGeom prst="curvedConnector3">
                                    <a:avLst>
                                      <a:gd name="adj1" fmla="val 50000"/>
                                    </a:avLst>
                                  </a:prstGeom>
                                  <a:ln w="9525" cap="flat" cmpd="sng">
                                    <a:solidFill>
                                      <a:srgbClr val="000000"/>
                                    </a:solidFill>
                                    <a:prstDash val="dash"/>
                                    <a:headEnd type="none" w="med" len="med"/>
                                    <a:tailEnd type="arrow" w="med" len="med"/>
                                  </a:ln>
                                  <a:effectLst/>
                                </wps:spPr>
                                <wps:bodyPr/>
                              </wps:wsp>
                              <wps:wsp>
                                <wps:cNvPr id="298" name="直接连接符 579"/>
                                <wps:cNvCnPr/>
                                <wps:spPr>
                                  <a:xfrm>
                                    <a:off x="4723" y="4715"/>
                                    <a:ext cx="961" cy="12"/>
                                  </a:xfrm>
                                  <a:prstGeom prst="line">
                                    <a:avLst/>
                                  </a:prstGeom>
                                  <a:ln w="9525" cap="flat" cmpd="sng">
                                    <a:solidFill>
                                      <a:srgbClr val="000000"/>
                                    </a:solidFill>
                                    <a:prstDash val="solid"/>
                                    <a:round/>
                                    <a:headEnd type="none" w="med" len="med"/>
                                    <a:tailEnd type="triangle" w="med" len="med"/>
                                  </a:ln>
                                </wps:spPr>
                                <wps:bodyPr upright="1"/>
                              </wps:wsp>
                              <wps:wsp>
                                <wps:cNvPr id="299" name="直接连接符 592"/>
                                <wps:cNvCnPr/>
                                <wps:spPr>
                                  <a:xfrm>
                                    <a:off x="1813" y="4709"/>
                                    <a:ext cx="979" cy="1"/>
                                  </a:xfrm>
                                  <a:prstGeom prst="line">
                                    <a:avLst/>
                                  </a:prstGeom>
                                  <a:ln w="9525" cap="flat" cmpd="sng">
                                    <a:solidFill>
                                      <a:srgbClr val="000000"/>
                                    </a:solidFill>
                                    <a:prstDash val="solid"/>
                                    <a:round/>
                                    <a:headEnd type="none" w="med" len="med"/>
                                    <a:tailEnd type="triangle" w="med" len="med"/>
                                  </a:ln>
                                </wps:spPr>
                                <wps:bodyPr upright="1"/>
                              </wps:wsp>
                              <wps:wsp>
                                <wps:cNvPr id="300" name="文本框 595"/>
                                <wps:cNvSpPr txBox="1"/>
                                <wps:spPr>
                                  <a:xfrm>
                                    <a:off x="2792" y="4513"/>
                                    <a:ext cx="1940" cy="380"/>
                                  </a:xfrm>
                                  <a:prstGeom prst="rect">
                                    <a:avLst/>
                                  </a:prstGeom>
                                  <a:noFill/>
                                  <a:ln w="9525" cap="flat" cmpd="sng">
                                    <a:solidFill>
                                      <a:srgbClr val="000000"/>
                                    </a:solidFill>
                                    <a:prstDash val="solid"/>
                                    <a:miter/>
                                    <a:headEnd type="none" w="med" len="med"/>
                                    <a:tailEnd type="none" w="med" len="med"/>
                                  </a:ln>
                                </wps:spPr>
                                <wps:txbx>
                                  <w:txbxContent>
                                    <w:p w14:paraId="1D42F51B">
                                      <w:pPr>
                                        <w:jc w:val="center"/>
                                        <w:rPr>
                                          <w:rFonts w:hint="eastAsia" w:ascii="Times New Roman" w:hAnsi="Times New Roman" w:cs="Times New Roman"/>
                                          <w:color w:val="auto"/>
                                          <w:sz w:val="21"/>
                                          <w:szCs w:val="21"/>
                                          <w:lang w:eastAsia="zh-CN" w:bidi="ar-SA"/>
                                        </w:rPr>
                                      </w:pPr>
                                      <w:r>
                                        <w:rPr>
                                          <w:rFonts w:hint="eastAsia" w:cs="Times New Roman"/>
                                          <w:color w:val="auto"/>
                                          <w:sz w:val="21"/>
                                          <w:szCs w:val="21"/>
                                          <w:lang w:val="en-US" w:eastAsia="zh-CN" w:bidi="ar-SA"/>
                                        </w:rPr>
                                        <w:t>提取</w:t>
                                      </w:r>
                                      <w:r>
                                        <w:rPr>
                                          <w:rFonts w:hint="eastAsia" w:ascii="Times New Roman" w:hAnsi="Times New Roman" w:cs="Times New Roman"/>
                                          <w:color w:val="auto"/>
                                          <w:sz w:val="21"/>
                                          <w:szCs w:val="21"/>
                                          <w:lang w:eastAsia="zh-CN" w:bidi="ar-SA"/>
                                        </w:rPr>
                                        <w:t>用水</w:t>
                                      </w:r>
                                    </w:p>
                                  </w:txbxContent>
                                </wps:txbx>
                                <wps:bodyPr lIns="0" tIns="3600" rIns="0" bIns="3600" upright="1"/>
                              </wps:wsp>
                              <wps:wsp>
                                <wps:cNvPr id="195" name="肘形连接符 195"/>
                                <wps:cNvCnPr>
                                  <a:stCxn id="300" idx="2"/>
                                </wps:cNvCnPr>
                                <wps:spPr>
                                  <a:xfrm rot="5400000" flipV="1">
                                    <a:off x="4680" y="3975"/>
                                    <a:ext cx="361" cy="2196"/>
                                  </a:xfrm>
                                  <a:prstGeom prst="bentConnector2">
                                    <a:avLst/>
                                  </a:prstGeom>
                                  <a:ln w="9525" cap="flat" cmpd="sng">
                                    <a:solidFill>
                                      <a:srgbClr val="000000"/>
                                    </a:solidFill>
                                    <a:prstDash val="dash"/>
                                    <a:headEnd type="none" w="med" len="med"/>
                                    <a:tailEnd type="triangle" w="med" len="med"/>
                                  </a:ln>
                                </wps:spPr>
                                <wps:bodyPr/>
                              </wps:wsp>
                              <wps:wsp>
                                <wps:cNvPr id="203" name="文本框 548"/>
                                <wps:cNvSpPr txBox="1"/>
                                <wps:spPr>
                                  <a:xfrm>
                                    <a:off x="5683" y="5068"/>
                                    <a:ext cx="2066" cy="380"/>
                                  </a:xfrm>
                                  <a:prstGeom prst="rect">
                                    <a:avLst/>
                                  </a:prstGeom>
                                  <a:noFill/>
                                  <a:ln>
                                    <a:noFill/>
                                  </a:ln>
                                  <a:effectLst/>
                                </wps:spPr>
                                <wps:txbx>
                                  <w:txbxContent>
                                    <w:p w14:paraId="293E2864">
                                      <w:pPr>
                                        <w:jc w:val="center"/>
                                        <w:rPr>
                                          <w:rFonts w:hint="default"/>
                                          <w:sz w:val="21"/>
                                          <w:szCs w:val="21"/>
                                          <w:lang w:val="en-US" w:eastAsia="zh-CN"/>
                                        </w:rPr>
                                      </w:pPr>
                                      <w:r>
                                        <w:rPr>
                                          <w:rFonts w:hint="eastAsia"/>
                                          <w:sz w:val="21"/>
                                          <w:szCs w:val="21"/>
                                          <w:lang w:val="en-US" w:eastAsia="zh-CN"/>
                                        </w:rPr>
                                        <w:t>中药渣带走水量</w:t>
                                      </w:r>
                                    </w:p>
                                  </w:txbxContent>
                                </wps:txbx>
                                <wps:bodyPr vert="horz" wrap="square" lIns="0" tIns="0" rIns="0" bIns="0" anchor="t" anchorCtr="0" upright="1"/>
                              </wps:wsp>
                              <wps:wsp>
                                <wps:cNvPr id="215" name="文本框 561"/>
                                <wps:cNvSpPr txBox="1"/>
                                <wps:spPr>
                                  <a:xfrm>
                                    <a:off x="4813" y="4963"/>
                                    <a:ext cx="727" cy="245"/>
                                  </a:xfrm>
                                  <a:prstGeom prst="rect">
                                    <a:avLst/>
                                  </a:prstGeom>
                                  <a:noFill/>
                                  <a:ln>
                                    <a:noFill/>
                                  </a:ln>
                                </wps:spPr>
                                <wps:txbx>
                                  <w:txbxContent>
                                    <w:p w14:paraId="1546D11C">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1316.75</w:t>
                                      </w:r>
                                    </w:p>
                                  </w:txbxContent>
                                </wps:txbx>
                                <wps:bodyPr lIns="0" tIns="0" rIns="0" bIns="0" upright="1"/>
                              </wps:wsp>
                            </wpg:wgp>
                            <wpg:wgp>
                              <wpg:cNvPr id="276" name="组合 810"/>
                              <wpg:cNvGrpSpPr/>
                              <wpg:grpSpPr>
                                <a:xfrm>
                                  <a:off x="1170305" y="1989455"/>
                                  <a:ext cx="2432050" cy="641350"/>
                                  <a:chOff x="1874" y="4750"/>
                                  <a:chExt cx="3830" cy="1010"/>
                                </a:xfrm>
                              </wpg:grpSpPr>
                              <wps:wsp>
                                <wps:cNvPr id="277" name="文本框 560"/>
                                <wps:cNvSpPr txBox="1"/>
                                <wps:spPr>
                                  <a:xfrm>
                                    <a:off x="1933" y="5263"/>
                                    <a:ext cx="750" cy="330"/>
                                  </a:xfrm>
                                  <a:prstGeom prst="rect">
                                    <a:avLst/>
                                  </a:prstGeom>
                                  <a:noFill/>
                                  <a:ln>
                                    <a:noFill/>
                                  </a:ln>
                                </wps:spPr>
                                <wps:txbx>
                                  <w:txbxContent>
                                    <w:p w14:paraId="721CBC7C">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2444.94</w:t>
                                      </w:r>
                                    </w:p>
                                  </w:txbxContent>
                                </wps:txbx>
                                <wps:bodyPr lIns="0" tIns="0" rIns="0" bIns="0" upright="1"/>
                              </wps:wsp>
                              <wps:wsp>
                                <wps:cNvPr id="278" name="文本框 561"/>
                                <wps:cNvSpPr txBox="1"/>
                                <wps:spPr>
                                  <a:xfrm>
                                    <a:off x="3863" y="4750"/>
                                    <a:ext cx="653" cy="260"/>
                                  </a:xfrm>
                                  <a:prstGeom prst="rect">
                                    <a:avLst/>
                                  </a:prstGeom>
                                  <a:noFill/>
                                  <a:ln>
                                    <a:noFill/>
                                  </a:ln>
                                </wps:spPr>
                                <wps:txbx>
                                  <w:txbxContent>
                                    <w:p w14:paraId="51B93204">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407.49</w:t>
                                      </w:r>
                                    </w:p>
                                  </w:txbxContent>
                                </wps:txbx>
                                <wps:bodyPr lIns="0" tIns="0" rIns="0" bIns="0" upright="1"/>
                              </wps:wsp>
                              <wps:wsp>
                                <wps:cNvPr id="279" name="文本框 565"/>
                                <wps:cNvSpPr txBox="1"/>
                                <wps:spPr>
                                  <a:xfrm>
                                    <a:off x="4843" y="5265"/>
                                    <a:ext cx="785" cy="301"/>
                                  </a:xfrm>
                                  <a:prstGeom prst="rect">
                                    <a:avLst/>
                                  </a:prstGeom>
                                  <a:noFill/>
                                  <a:ln>
                                    <a:noFill/>
                                  </a:ln>
                                </wps:spPr>
                                <wps:txbx>
                                  <w:txbxContent>
                                    <w:p w14:paraId="0A438391">
                                      <w:pP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2037.45</w:t>
                                      </w:r>
                                    </w:p>
                                  </w:txbxContent>
                                </wps:txbx>
                                <wps:bodyPr lIns="0" tIns="0" rIns="0" bIns="0" upright="1"/>
                              </wps:wsp>
                              <wps:wsp>
                                <wps:cNvPr id="280" name="曲线连接符 567"/>
                                <wps:cNvCnPr/>
                                <wps:spPr>
                                  <a:xfrm rot="16200000">
                                    <a:off x="3656" y="4883"/>
                                    <a:ext cx="384" cy="628"/>
                                  </a:xfrm>
                                  <a:prstGeom prst="curvedConnector3">
                                    <a:avLst>
                                      <a:gd name="adj1" fmla="val 50000"/>
                                    </a:avLst>
                                  </a:prstGeom>
                                  <a:ln w="9525" cap="flat" cmpd="sng">
                                    <a:solidFill>
                                      <a:srgbClr val="000000"/>
                                    </a:solidFill>
                                    <a:prstDash val="dash"/>
                                    <a:headEnd type="none" w="med" len="med"/>
                                    <a:tailEnd type="arrow" w="med" len="med"/>
                                  </a:ln>
                                  <a:effectLst/>
                                </wps:spPr>
                                <wps:bodyPr/>
                              </wps:wsp>
                              <wps:wsp>
                                <wps:cNvPr id="281" name="直接连接符 579"/>
                                <wps:cNvCnPr/>
                                <wps:spPr>
                                  <a:xfrm>
                                    <a:off x="4784" y="5582"/>
                                    <a:ext cx="920" cy="0"/>
                                  </a:xfrm>
                                  <a:prstGeom prst="line">
                                    <a:avLst/>
                                  </a:prstGeom>
                                  <a:ln w="9525" cap="flat" cmpd="sng">
                                    <a:solidFill>
                                      <a:srgbClr val="000000"/>
                                    </a:solidFill>
                                    <a:prstDash val="solid"/>
                                    <a:round/>
                                    <a:headEnd type="none" w="med" len="med"/>
                                    <a:tailEnd type="triangle" w="med" len="med"/>
                                  </a:ln>
                                </wps:spPr>
                                <wps:bodyPr upright="1"/>
                              </wps:wsp>
                              <wps:wsp>
                                <wps:cNvPr id="282" name="直接连接符 592"/>
                                <wps:cNvCnPr/>
                                <wps:spPr>
                                  <a:xfrm>
                                    <a:off x="1874" y="5576"/>
                                    <a:ext cx="979" cy="1"/>
                                  </a:xfrm>
                                  <a:prstGeom prst="line">
                                    <a:avLst/>
                                  </a:prstGeom>
                                  <a:ln w="9525" cap="flat" cmpd="sng">
                                    <a:solidFill>
                                      <a:srgbClr val="000000"/>
                                    </a:solidFill>
                                    <a:prstDash val="solid"/>
                                    <a:round/>
                                    <a:headEnd type="none" w="med" len="med"/>
                                    <a:tailEnd type="triangle" w="med" len="med"/>
                                  </a:ln>
                                </wps:spPr>
                                <wps:bodyPr upright="1"/>
                              </wps:wsp>
                              <wps:wsp>
                                <wps:cNvPr id="283" name="文本框 595"/>
                                <wps:cNvSpPr txBox="1"/>
                                <wps:spPr>
                                  <a:xfrm>
                                    <a:off x="2853" y="5380"/>
                                    <a:ext cx="1940" cy="380"/>
                                  </a:xfrm>
                                  <a:prstGeom prst="rect">
                                    <a:avLst/>
                                  </a:prstGeom>
                                  <a:noFill/>
                                  <a:ln w="9525" cap="flat" cmpd="sng">
                                    <a:solidFill>
                                      <a:srgbClr val="000000"/>
                                    </a:solidFill>
                                    <a:prstDash val="solid"/>
                                    <a:miter/>
                                    <a:headEnd type="none" w="med" len="med"/>
                                    <a:tailEnd type="none" w="med" len="med"/>
                                  </a:ln>
                                </wps:spPr>
                                <wps:txbx>
                                  <w:txbxContent>
                                    <w:p w14:paraId="168EE38F">
                                      <w:pPr>
                                        <w:jc w:val="center"/>
                                        <w:rPr>
                                          <w:rFonts w:hint="eastAsia" w:ascii="Times New Roman" w:hAnsi="Times New Roman" w:cs="Times New Roman"/>
                                          <w:color w:val="auto"/>
                                          <w:sz w:val="21"/>
                                          <w:szCs w:val="21"/>
                                          <w:lang w:eastAsia="zh-CN" w:bidi="ar-SA"/>
                                        </w:rPr>
                                      </w:pPr>
                                      <w:r>
                                        <w:rPr>
                                          <w:rFonts w:hint="eastAsia" w:cs="Times New Roman"/>
                                          <w:color w:val="auto"/>
                                          <w:sz w:val="21"/>
                                          <w:szCs w:val="21"/>
                                          <w:lang w:val="en-US" w:eastAsia="zh-CN" w:bidi="ar-SA"/>
                                        </w:rPr>
                                        <w:t>固体制剂</w:t>
                                      </w:r>
                                      <w:r>
                                        <w:rPr>
                                          <w:rFonts w:hint="eastAsia" w:ascii="Times New Roman" w:hAnsi="Times New Roman" w:cs="Times New Roman"/>
                                          <w:color w:val="auto"/>
                                          <w:sz w:val="21"/>
                                          <w:szCs w:val="21"/>
                                          <w:lang w:eastAsia="zh-CN" w:bidi="ar-SA"/>
                                        </w:rPr>
                                        <w:t>用水</w:t>
                                      </w:r>
                                    </w:p>
                                  </w:txbxContent>
                                </wps:txbx>
                                <wps:bodyPr lIns="0" tIns="3600" rIns="0" bIns="3600" upright="1"/>
                              </wps:wsp>
                            </wpg:wgp>
                            <wpg:wgp>
                              <wpg:cNvPr id="306" name="组合 306"/>
                              <wpg:cNvGrpSpPr/>
                              <wpg:grpSpPr>
                                <a:xfrm>
                                  <a:off x="2608580" y="3751580"/>
                                  <a:ext cx="923290" cy="355600"/>
                                  <a:chOff x="4108" y="5908"/>
                                  <a:chExt cx="1454" cy="560"/>
                                </a:xfrm>
                              </wpg:grpSpPr>
                              <wps:wsp>
                                <wps:cNvPr id="285" name="直接连接符 580"/>
                                <wps:cNvCnPr/>
                                <wps:spPr>
                                  <a:xfrm>
                                    <a:off x="4438" y="6178"/>
                                    <a:ext cx="4" cy="291"/>
                                  </a:xfrm>
                                  <a:prstGeom prst="line">
                                    <a:avLst/>
                                  </a:prstGeom>
                                  <a:ln w="9525" cap="flat" cmpd="sng">
                                    <a:solidFill>
                                      <a:srgbClr val="000000"/>
                                    </a:solidFill>
                                    <a:prstDash val="solid"/>
                                    <a:round/>
                                    <a:headEnd type="none" w="med" len="med"/>
                                    <a:tailEnd type="triangle" w="med" len="med"/>
                                  </a:ln>
                                </wps:spPr>
                                <wps:bodyPr upright="1"/>
                              </wps:wsp>
                              <wps:wsp>
                                <wps:cNvPr id="286" name="文本框 551"/>
                                <wps:cNvSpPr txBox="1"/>
                                <wps:spPr>
                                  <a:xfrm>
                                    <a:off x="4108" y="5908"/>
                                    <a:ext cx="1454" cy="380"/>
                                  </a:xfrm>
                                  <a:prstGeom prst="rect">
                                    <a:avLst/>
                                  </a:prstGeom>
                                  <a:noFill/>
                                  <a:ln>
                                    <a:noFill/>
                                  </a:ln>
                                  <a:effectLst/>
                                </wps:spPr>
                                <wps:txbx>
                                  <w:txbxContent>
                                    <w:p w14:paraId="3FC09A61">
                                      <w:pPr>
                                        <w:jc w:val="center"/>
                                        <w:rPr>
                                          <w:rFonts w:hint="default"/>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化学</w:t>
                                      </w:r>
                                      <w:r>
                                        <w:rPr>
                                          <w:rFonts w:hint="eastAsia" w:cs="Times New Roman"/>
                                          <w:color w:val="000000" w:themeColor="text1"/>
                                          <w:sz w:val="21"/>
                                          <w:szCs w:val="21"/>
                                          <w:lang w:val="en-US" w:eastAsia="zh-CN"/>
                                          <w14:textFill>
                                            <w14:solidFill>
                                              <w14:schemeClr w14:val="tx1"/>
                                            </w14:solidFill>
                                          </w14:textFill>
                                        </w:rPr>
                                        <w:t>废试剂</w:t>
                                      </w:r>
                                    </w:p>
                                  </w:txbxContent>
                                </wps:txbx>
                                <wps:bodyPr vert="horz" wrap="square" lIns="0" tIns="0" rIns="0" bIns="0" anchor="t" anchorCtr="0" upright="1"/>
                              </wps:wsp>
                            </wpg:wgp>
                          </wpc:wpc>
                        </a:graphicData>
                      </a:graphic>
                    </wp:anchor>
                  </w:drawing>
                </mc:Choice>
                <mc:Fallback>
                  <w:pict>
                    <v:group id="_x0000_s1026" o:spid="_x0000_s1026" o:spt="203" style="position:absolute;left:0pt;margin-left:-3.1pt;margin-top:-298.95pt;height:357pt;width:414.5pt;mso-wrap-distance-bottom:0pt;mso-wrap-distance-top:0pt;z-index:251661312;mso-width-relative:page;mso-height-relative:page;" coordsize="5264150,4533900" editas="canvas" o:gfxdata="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">
                      <o:lock v:ext="edit" aspectratio="f"/>
                      <v:shape id="_x0000_s1026" o:spid="_x0000_s1026" style="position:absolute;left:0;top:0;height:4533900;width:5264150;" filled="f" stroked="f" coordsize="21600,21600" o:gfxdata="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">
                        <v:fill on="f" focussize="0,0"/>
                        <v:stroke on="f"/>
                        <v:imagedata o:title=""/>
                        <o:lock v:ext="edit" aspectratio="f"/>
                      </v:shape>
                      <v:shape id="文本框 543" o:spid="_x0000_s1026" o:spt="202" type="#_x0000_t202" style="position:absolute;left:412115;top:242570;height:242570;width:471805;" filled="f" stroked="f" coordsize="21600,21600" o:gfxdata="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lR1jCtkAAAAL&#10;AQAADwAAAAAAAAABACAAAAAiAAAAZHJzL2Rvd25yZXYueG1sUEsBAhQAFAAAAAgAh07iQKskMc3i&#10;AQAAvgMAAA4AAAAAAAAAAQAgAAAAKAEAAGRycy9lMm9Eb2MueG1sUEsFBgAAAAAGAAYAWQEAAHwF&#10;AAAAAA==&#10;">
                        <v:fill on="f" focussize="0,0"/>
                        <v:stroke on="f"/>
                        <v:imagedata o:title=""/>
                        <o:lock v:ext="edit" aspectratio="f"/>
                        <v:textbox inset="0mm,0mm,0mm,0mm">
                          <w:txbxContent>
                            <w:p w14:paraId="75764CF4">
                              <w:pPr>
                                <w:rPr>
                                  <w:rFonts w:hint="eastAsia" w:ascii="Times New Roman" w:hAnsi="Times New Roman" w:eastAsia="宋体" w:cs="Times New Roman"/>
                                  <w:sz w:val="21"/>
                                  <w:szCs w:val="21"/>
                                  <w:lang w:eastAsia="zh-CN" w:bidi="ar-SA"/>
                                </w:rPr>
                              </w:pPr>
                              <w:r>
                                <w:rPr>
                                  <w:rFonts w:hint="eastAsia" w:ascii="Times New Roman" w:hAnsi="Times New Roman" w:cs="Times New Roman"/>
                                  <w:sz w:val="21"/>
                                  <w:szCs w:val="21"/>
                                  <w:lang w:eastAsia="zh-CN" w:bidi="ar-SA"/>
                                </w:rPr>
                                <w:t>新鲜水</w:t>
                              </w:r>
                            </w:p>
                          </w:txbxContent>
                        </v:textbox>
                      </v:shape>
                      <v:shape id="文本框 544" o:spid="_x0000_s1026" o:spt="202" type="#_x0000_t202" style="position:absolute;left:309245;top:494030;height:217170;width:662305;" filled="f" stroked="f" coordsize="21600,21600" o:gfxdata="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VHWMK2QAAAAsBAAAPAAAAAAAAAAEAIAAAACIAAABkcnMvZG93&#10;bnJldi54bWxQSwECFAAUAAAACACHTuJAFcESOsYBAAB9AwAADgAAAAAAAAABACAAAAAoAQAAZHJz&#10;L2Uyb0RvYy54bWxQSwUGAAAAAAYABgBZAQAAYAUAAAAA&#10;">
                        <v:fill on="f" focussize="0,0"/>
                        <v:stroke on="f"/>
                        <v:imagedata o:title=""/>
                        <o:lock v:ext="edit" aspectratio="f"/>
                        <v:textbox inset="0mm,0mm,0mm,0mm">
                          <w:txbxContent>
                            <w:p w14:paraId="22492463">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20897.325</w:t>
                              </w:r>
                            </w:p>
                          </w:txbxContent>
                        </v:textbox>
                      </v:shape>
                      <v:shape id="文本框 548" o:spid="_x0000_s1026" o:spt="202" type="#_x0000_t202" style="position:absolute;left:3850640;top:2449830;height:241300;width:1311910;" filled="f" stroked="f" coordsize="21600,21600" o:gfxdata="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V&#10;HWMK2QAAAAsBAAAPAAAAAAAAAAEAIAAAACIAAABkcnMvZG93bnJldi54bWxQSwECFAAUAAAACACH&#10;TuJACQu1TuoBAADCAwAADgAAAAAAAAABACAAAAAoAQAAZHJzL2Uyb0RvYy54bWxQSwUGAAAAAAYA&#10;BgBZAQAAhAUAAAAA&#10;">
                        <v:fill on="f" focussize="0,0"/>
                        <v:stroke on="f"/>
                        <v:imagedata o:title=""/>
                        <o:lock v:ext="edit" aspectratio="f"/>
                        <v:textbox inset="0mm,0mm,0mm,0mm">
                          <w:txbxContent>
                            <w:p w14:paraId="72CFBB1A">
                              <w:pPr>
                                <w:jc w:val="center"/>
                                <w:rPr>
                                  <w:rFonts w:hint="default"/>
                                  <w:sz w:val="21"/>
                                  <w:szCs w:val="21"/>
                                  <w:lang w:val="en-US" w:eastAsia="zh-CN"/>
                                </w:rPr>
                              </w:pPr>
                              <w:r>
                                <w:rPr>
                                  <w:rFonts w:hint="eastAsia" w:eastAsia="Calibri" w:cs="Times New Roman"/>
                                  <w:color w:val="000000"/>
                                  <w:kern w:val="2"/>
                                  <w:sz w:val="21"/>
                                  <w:szCs w:val="21"/>
                                  <w:lang w:val="en-US" w:eastAsia="zh-CN" w:bidi="ar-SA"/>
                                </w:rPr>
                                <w:t>石桥子污水处理厂</w:t>
                              </w:r>
                            </w:p>
                          </w:txbxContent>
                        </v:textbox>
                      </v:shape>
                      <v:shape id="文本框 557" o:spid="_x0000_s1026" o:spt="202" type="#_x0000_t202" style="position:absolute;left:3810000;top:1811020;height:222250;width:1417955;" filled="f" stroked="f" coordsize="21600,21600" o:gfxdata="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V&#10;HWMK2QAAAAsBAAAPAAAAAAAAAAEAIAAAACIAAABkcnMvZG93bnJldi54bWxQSwECFAAUAAAACACH&#10;TuJAZmBM0+oBAADDAwAADgAAAAAAAAABACAAAAAoAQAAZHJzL2Uyb0RvYy54bWxQSwUGAAAAAAYA&#10;BgBZAQAAhAUAAAAA&#10;">
                        <v:fill on="f" focussize="0,0"/>
                        <v:stroke on="f"/>
                        <v:imagedata o:title=""/>
                        <o:lock v:ext="edit" aspectratio="f"/>
                        <v:textbox inset="0mm,0mm,0mm,0mm">
                          <w:txbxContent>
                            <w:p w14:paraId="595CA7E9">
                              <w:pPr>
                                <w:jc w:val="center"/>
                                <w:rPr>
                                  <w:rFonts w:hint="default" w:ascii="Times New Roman" w:hAnsi="Times New Roman" w:eastAsia="宋体" w:cs="Times New Roman"/>
                                  <w:sz w:val="28"/>
                                  <w:szCs w:val="24"/>
                                  <w:lang w:val="en-US" w:eastAsia="zh-CN" w:bidi="ar-SA"/>
                                </w:rPr>
                              </w:pPr>
                              <w:r>
                                <w:rPr>
                                  <w:rFonts w:hint="eastAsia" w:ascii="Times New Roman" w:hAnsi="宋体" w:cs="Times New Roman"/>
                                  <w:color w:val="auto"/>
                                  <w:sz w:val="21"/>
                                  <w:szCs w:val="21"/>
                                  <w:lang w:val="en-US" w:eastAsia="zh-CN" w:bidi="ar-SA"/>
                                </w:rPr>
                                <w:t>厂内污水处理站</w:t>
                              </w:r>
                            </w:p>
                          </w:txbxContent>
                        </v:textbox>
                      </v:shape>
                      <v:shape id="文本框 562" o:spid="_x0000_s1026" o:spt="202" type="#_x0000_t202" style="position:absolute;left:2328545;top:295910;height:212725;width:624840;" filled="f" stroked="f" coordsize="21600,21600" o:gfxdata="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VHWMK2QAAAAsBAAAPAAAAAAAAAAEAIAAAACIAAABkcnMvZG93&#10;bnJldi54bWxQSwECFAAUAAAACACHTuJArp8KicYBAACAAwAADgAAAAAAAAABACAAAAAoAQAAZHJz&#10;L2Uyb0RvYy54bWxQSwUGAAAAAAYABgBZAQAAYAUAAAAA&#10;">
                        <v:fill on="f" focussize="0,0"/>
                        <v:stroke on="f"/>
                        <v:imagedata o:title=""/>
                        <o:lock v:ext="edit" aspectratio="f"/>
                        <v:textbox inset="0mm,0mm,0mm,0mm">
                          <w:txbxContent>
                            <w:p w14:paraId="091BA2A0">
                              <w:pPr>
                                <w:jc w:val="both"/>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4179.465</w:t>
                              </w:r>
                            </w:p>
                          </w:txbxContent>
                        </v:textbox>
                      </v:shape>
                      <v:shape id="文本框 585" o:spid="_x0000_s1026" o:spt="202" type="#_x0000_t202" style="position:absolute;left:3703955;top:1256030;height:201295;width:641985;" filled="f" stroked="f" coordsize="21600,21600" o:gfxdata="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JUdYwrZAAAACwEAAA8AAAAAAAAAAQAgAAAAIgAAAGRycy9k&#10;b3ducmV2LnhtbFBLAQIUABQAAAAIAIdO4kCQYJqIyAEAAIEDAAAOAAAAAAAAAAEAIAAAACgBAABk&#10;cnMvZTJvRG9jLnhtbFBLBQYAAAAABgAGAFkBAABiBQAAAAA=&#10;">
                        <v:fill on="f" focussize="0,0"/>
                        <v:stroke on="f"/>
                        <v:imagedata o:title=""/>
                        <o:lock v:ext="edit" aspectratio="f"/>
                        <v:textbox inset="0mm,0mm,0mm,0mm">
                          <w:txbxContent>
                            <w:p w14:paraId="601CD277">
                              <w:pP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18134.64</w:t>
                              </w:r>
                            </w:p>
                          </w:txbxContent>
                        </v:textbox>
                      </v:shape>
                      <v:shape id="文本框 586" o:spid="_x0000_s1026" o:spt="202" type="#_x0000_t202" style="position:absolute;left:589280;top:808355;height:187325;width:577850;" filled="f" stroked="f" coordsize="21600,21600" o:gfxdata="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lR1jCtkAAAALAQAADwAAAAAAAAABACAAAAAiAAAAZHJzL2Rv&#10;d25yZXYueG1sUEsBAhQAFAAAAAgAh07iQFR/4IbHAQAAfwMAAA4AAAAAAAAAAQAgAAAAKAEAAGRy&#10;cy9lMm9Eb2MueG1sUEsFBgAAAAAGAAYAWQEAAGEFAAAAAA==&#10;">
                        <v:fill on="f" focussize="0,0"/>
                        <v:stroke on="f"/>
                        <v:imagedata o:title=""/>
                        <o:lock v:ext="edit" aspectratio="f"/>
                        <v:textbox inset="0mm,0mm,0mm,0mm">
                          <w:txbxContent>
                            <w:p w14:paraId="378DCE4B">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16717.86</w:t>
                              </w:r>
                            </w:p>
                          </w:txbxContent>
                        </v:textbox>
                      </v:shape>
                      <v:line id="直接连接符 568" o:spid="_x0000_s1026" o:spt="20" style="position:absolute;left:389255;top:467995;flip:y;height:7620;width:596900;" filled="f" stroked="t" coordsize="21600,21600" o:gfxdata="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CV3/HXb&#10;AAAACwEAAA8AAAAAAAAAAQAgAAAAIgAAAGRycy9kb3ducmV2LnhtbFBLAQIUABQAAAAIAIdO4kBl&#10;4aYGHQIAAAwEAAAOAAAAAAAAAAEAIAAAACoBAABkcnMvZTJvRG9jLnhtbFBLBQYAAAAABgAGAFkB&#10;AAC5BQAAAAA=&#10;">
                        <v:fill on="f" focussize="0,0"/>
                        <v:stroke color="#000000" joinstyle="round" endarrow="block"/>
                        <v:imagedata o:title=""/>
                        <o:lock v:ext="edit" aspectratio="f"/>
                      </v:line>
                      <v:shape id="文本框 573" o:spid="_x0000_s1026" o:spt="202" type="#_x0000_t202" style="position:absolute;left:989330;top:340995;height:258445;width:1135380;" filled="f" stroked="t" coordsize="21600,21600" o:gfxdata="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uaInwtsAAAALAQAADwAAAAAAAAABACAAAAAiAAAAZHJzL2Rvd25yZXYueG1sUEsBAhQAFAAA&#10;AAgAh07iQEKxhRolAgAARQQAAA4AAAAAAAAAAQAgAAAAKgEAAGRycy9lMm9Eb2MueG1sUEsFBgAA&#10;AAAGAAYAWQEAAMEFAAAAAA==&#10;">
                        <v:fill on="f" focussize="0,0"/>
                        <v:stroke color="#000000" joinstyle="miter"/>
                        <v:imagedata o:title=""/>
                        <o:lock v:ext="edit" aspectratio="f"/>
                        <v:textbox inset="0mm,0.1mm,0mm,0.1mm">
                          <w:txbxContent>
                            <w:p w14:paraId="11FFEC47">
                              <w:pPr>
                                <w:spacing w:line="240" w:lineRule="auto"/>
                                <w:jc w:val="center"/>
                                <w:rPr>
                                  <w:rFonts w:hint="eastAsia" w:ascii="Times New Roman" w:hAnsi="Times New Roman" w:eastAsia="宋体" w:cs="Times New Roman"/>
                                  <w:b w:val="0"/>
                                  <w:bCs/>
                                  <w:color w:val="000000"/>
                                  <w:kern w:val="2"/>
                                  <w:sz w:val="21"/>
                                  <w:szCs w:val="21"/>
                                  <w:highlight w:val="none"/>
                                  <w:lang w:val="en-US" w:eastAsia="zh-CN" w:bidi="ar-SA"/>
                                </w:rPr>
                              </w:pPr>
                              <w:r>
                                <w:rPr>
                                  <w:rFonts w:hint="eastAsia" w:cs="Times New Roman"/>
                                  <w:b w:val="0"/>
                                  <w:bCs/>
                                  <w:color w:val="000000"/>
                                  <w:kern w:val="2"/>
                                  <w:sz w:val="21"/>
                                  <w:szCs w:val="21"/>
                                  <w:highlight w:val="none"/>
                                  <w:lang w:val="en-US" w:eastAsia="zh-CN" w:bidi="ar-SA"/>
                                </w:rPr>
                                <w:t>软化水制备</w:t>
                              </w:r>
                              <w:r>
                                <w:rPr>
                                  <w:rFonts w:hint="eastAsia" w:ascii="Times New Roman" w:hAnsi="Times New Roman" w:eastAsia="宋体" w:cs="Times New Roman"/>
                                  <w:b w:val="0"/>
                                  <w:bCs/>
                                  <w:color w:val="000000"/>
                                  <w:kern w:val="2"/>
                                  <w:sz w:val="21"/>
                                  <w:szCs w:val="21"/>
                                  <w:highlight w:val="none"/>
                                  <w:lang w:val="en-US" w:eastAsia="zh-CN" w:bidi="ar-SA"/>
                                </w:rPr>
                                <w:t>用水</w:t>
                              </w:r>
                            </w:p>
                          </w:txbxContent>
                        </v:textbox>
                      </v:shape>
                      <v:line id="直接连接符 575" o:spid="_x0000_s1026" o:spt="20" style="position:absolute;left:2134870;top:464820;flip:y;height:15240;width:1445895;" filled="f" stroked="t" coordsize="21600,21600" o:gfxdata="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JXf8ddsA&#10;AAALAQAADwAAAAAAAAABACAAAAAiAAAAZHJzL2Rvd25yZXYueG1sUEsBAhQAFAAAAAgAh07iQOjP&#10;HSocAgAADwQAAA4AAAAAAAAAAQAgAAAAKgEAAGRycy9lMm9Eb2MueG1sUEsFBgAAAAAGAAYAWQEA&#10;ALgFAAAAAA==&#10;">
                        <v:fill on="f" focussize="0,0"/>
                        <v:stroke color="#000000" joinstyle="round" endarrow="block"/>
                        <v:imagedata o:title=""/>
                        <o:lock v:ext="edit" aspectratio="f"/>
                      </v:line>
                      <v:shape id="直接箭头连接符 576" o:spid="_x0000_s1026" o:spt="32" type="#_x0000_t32" style="position:absolute;left:3580765;top:464820;height:2733675;width:30480;" filled="f" stroked="t" coordsize="21600,21600" o:gfxdata="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Psn6jfZAAAACwEAAA8AAAAAAAAAAQAgAAAAIgAAAGRycy9kb3ducmV2LnhtbFBLAQIUABQAAAAI&#10;AIdO4kDWnNyNJQIAADEEAAAOAAAAAAAAAAEAIAAAACgBAABkcnMvZTJvRG9jLnhtbFBLBQYAAAAA&#10;BgAGAFkBAAC/BQAAAAA=&#10;">
                        <v:fill on="f" focussize="0,0"/>
                        <v:stroke color="#000000" joinstyle="round"/>
                        <v:imagedata o:title=""/>
                        <o:lock v:ext="edit" aspectratio="f"/>
                      </v:shape>
                      <v:shape id="肘形连接符 581" o:spid="_x0000_s1026" o:spt="34" type="#_x0000_t34" style="position:absolute;left:3586480;top:1459865;height:381000;width:935355;" filled="f" stroked="t" coordsize="21600,21600" o:gfxdata="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ttDeBtsAAAALAQAADwAAAAAAAAABACAAAAAiAAAAZHJzL2Rvd25yZXYueG1sUEsBAhQA&#10;FAAAAAgAh07iQJYgsHAoAgAAMgQAAA4AAAAAAAAAAQAgAAAAKgEAAGRycy9lMm9Eb2MueG1sUEsF&#10;BgAAAAAGAAYAWQEAAMQFAAAAAA==&#10;" adj="21600">
                        <v:fill on="f" focussize="0,0"/>
                        <v:stroke color="#000000" joinstyle="miter" endarrow="block"/>
                        <v:imagedata o:title=""/>
                        <o:lock v:ext="edit" aspectratio="f"/>
                      </v:shape>
                      <v:line id="直接连接符 582" o:spid="_x0000_s1026" o:spt="20" style="position:absolute;left:4497705;top:2006600;height:443230;width:12700;" filled="f" stroked="t" coordsize="21600,21600" o:gfxdata="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PVmHF2wAAAAsBAAAP&#10;AAAAAAAAAAEAIAAAACIAAABkcnMvZG93bnJldi54bWxQSwECFAAUAAAACACHTuJA5iiCvxUCAAAF&#10;BAAADgAAAAAAAAABACAAAAAqAQAAZHJzL2Uyb0RvYy54bWxQSwUGAAAAAAYABgBZAQAAsQUAAAAA&#10;">
                        <v:fill on="f" focussize="0,0"/>
                        <v:stroke color="#000000" joinstyle="round" endarrow="block"/>
                        <v:imagedata o:title=""/>
                        <o:lock v:ext="edit" aspectratio="f"/>
                      </v:line>
                      <v:group id="组合 811" o:spid="_x0000_s1026" o:spt="203" style="position:absolute;left:1183005;top:3522980;height:300990;width:2559685;" coordorigin="1848,5578" coordsize="4031,474" o:gfxdata="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">
                        <o:lock v:ext="edit" aspectratio="f"/>
                        <v:shape id="文本框 551" o:spid="_x0000_s1026" o:spt="202" type="#_x0000_t202" style="position:absolute;left:4425;top:5652;height:380;width:1454;" filled="f" stroked="f" coordsize="21600,21600" o:gfxdata="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vqOLb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5CE25301">
                                <w:pPr>
                                  <w:jc w:val="center"/>
                                  <w:rPr>
                                    <w:rFonts w:hint="default" w:ascii="Times New Roman" w:hAnsi="Times New Roman" w:cs="Times New Roman"/>
                                    <w:sz w:val="21"/>
                                    <w:szCs w:val="21"/>
                                    <w:lang w:val="en-US" w:eastAsia="zh-CN" w:bidi="ar-SA"/>
                                  </w:rPr>
                                </w:pPr>
                                <w:r>
                                  <w:rPr>
                                    <w:rFonts w:hint="eastAsia" w:ascii="Times New Roman" w:hAnsi="Times New Roman" w:cs="Times New Roman"/>
                                    <w:sz w:val="21"/>
                                    <w:szCs w:val="21"/>
                                    <w:lang w:val="en-US" w:eastAsia="zh-CN" w:bidi="ar-SA"/>
                                  </w:rPr>
                                  <w:t>进入产品</w:t>
                                </w:r>
                              </w:p>
                            </w:txbxContent>
                          </v:textbox>
                        </v:shape>
                        <v:shape id="文本框 555" o:spid="_x0000_s1026" o:spt="202" type="#_x0000_t202" style="position:absolute;left:2022;top:5578;height:241;width:510;" filled="f" stroked="f" coordsize="21600,21600" o:gfxdata="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W2K7a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5DFEF9B0">
                                <w:pPr>
                                  <w:jc w:val="center"/>
                                  <w:rPr>
                                    <w:rFonts w:hint="default" w:ascii="Times New Roman" w:hAnsi="Times New Roman" w:eastAsia="宋体" w:cs="Times New Roman"/>
                                    <w:sz w:val="21"/>
                                    <w:szCs w:val="21"/>
                                    <w:lang w:val="en-US" w:eastAsia="zh-CN" w:bidi="ar-SA"/>
                                  </w:rPr>
                                </w:pPr>
                                <w:r>
                                  <w:rPr>
                                    <w:rFonts w:hint="eastAsia" w:ascii="Times New Roman" w:hAnsi="Times New Roman" w:eastAsia="宋体" w:cs="Times New Roman"/>
                                    <w:sz w:val="21"/>
                                    <w:szCs w:val="21"/>
                                    <w:lang w:val="en-US" w:eastAsia="zh-CN" w:bidi="ar-SA"/>
                                  </w:rPr>
                                  <w:t>1.05</w:t>
                                </w:r>
                              </w:p>
                            </w:txbxContent>
                          </v:textbox>
                        </v:shape>
                        <v:line id="直接连接符 596" o:spid="_x0000_s1026" o:spt="20" style="position:absolute;left:4443;top:5608;flip:x;height:499;width:10;rotation:5898240f;" filled="f" stroked="t" coordsize="21600,21600" o:gfxdata="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vhGvW/&#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接连接符 589" o:spid="_x0000_s1026" o:spt="20" style="position:absolute;left:1848;top:5861;height:0;width:920;" filled="f" stroked="t" coordsize="21600,21600" o:gfxdata="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WLKL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shape id="文本框 590" o:spid="_x0000_s1026" o:spt="202" type="#_x0000_t202" style="position:absolute;left:2768;top:5660;height:392;width:1427;" filled="f" stroked="t" coordsize="21600,21600" o:gfxdata="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9fB26/&#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inset="0mm,0.1mm,0mm,0.1mm">
                            <w:txbxContent>
                              <w:p w14:paraId="3F6829C5">
                                <w:pPr>
                                  <w:jc w:val="center"/>
                                  <w:rPr>
                                    <w:rFonts w:hint="eastAsia"/>
                                    <w:lang w:eastAsia="zh-CN"/>
                                  </w:rPr>
                                </w:pPr>
                                <w:r>
                                  <w:rPr>
                                    <w:rFonts w:hint="eastAsia" w:ascii="Times New Roman" w:hAnsi="Times New Roman" w:cs="Times New Roman"/>
                                    <w:sz w:val="21"/>
                                    <w:szCs w:val="21"/>
                                    <w:lang w:val="en-US" w:eastAsia="zh-CN" w:bidi="ar-SA"/>
                                  </w:rPr>
                                  <w:t>配料</w:t>
                                </w:r>
                                <w:r>
                                  <w:rPr>
                                    <w:rFonts w:hint="eastAsia" w:ascii="Times New Roman" w:hAnsi="Times New Roman" w:cs="Times New Roman"/>
                                    <w:sz w:val="21"/>
                                    <w:szCs w:val="21"/>
                                    <w:lang w:eastAsia="zh-CN" w:bidi="ar-SA"/>
                                  </w:rPr>
                                  <w:t>用水</w:t>
                                </w:r>
                              </w:p>
                            </w:txbxContent>
                          </v:textbox>
                        </v:shape>
                      </v:group>
                      <v:shape id="直接箭头连接符 593" o:spid="_x0000_s1026" o:spt="32" type="#_x0000_t32" style="position:absolute;left:1161415;top:1210945;flip:x;height:3019425;width:2540;" filled="f" stroked="t" coordsize="21600,21600" o:gfxdata="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O/dTQvZAAAA&#10;CwEAAA8AAAAAAAAAAQAgAAAAIgAAAGRycy9kb3ducmV2LnhtbFBLAQIUABQAAAAIAIdO4kCZLKuW&#10;HAIAABMEAAAOAAAAAAAAAAEAIAAAACgBAABkcnMvZTJvRG9jLnhtbFBLBQYAAAAABgAGAFkBAAC2&#10;BQAAAAA=&#10;">
                        <v:fill on="f" focussize="0,0"/>
                        <v:stroke color="#000000" joinstyle="round"/>
                        <v:imagedata o:title=""/>
                        <o:lock v:ext="edit" aspectratio="f"/>
                      </v:shape>
                      <v:group id="组合 810" o:spid="_x0000_s1026" o:spt="203" style="position:absolute;left:1170940;top:1349375;height:641350;width:2432050;" coordorigin="1874,4750" coordsize="3830,1010" o:gfxdata="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">
                        <o:lock v:ext="edit" aspectratio="f"/>
                        <v:shape id="文本框 560" o:spid="_x0000_s1026" o:spt="202" type="#_x0000_t202" style="position:absolute;left:2008;top:5263;height:316;width:675;" filled="f" stroked="f" coordsize="21600,21600" o:gfxdata="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xhoe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170829B4">
                                <w:pPr>
                                  <w:jc w:val="center"/>
                                  <w:rPr>
                                    <w:rFonts w:hint="default" w:ascii="Times New Roman" w:hAnsi="Times New Roman" w:eastAsia="宋体" w:cs="Times New Roman"/>
                                    <w:sz w:val="21"/>
                                    <w:szCs w:val="21"/>
                                    <w:lang w:val="en-US" w:eastAsia="zh-CN" w:bidi="ar-SA"/>
                                  </w:rPr>
                                </w:pPr>
                                <w:r>
                                  <w:rPr>
                                    <w:rFonts w:hint="eastAsia" w:ascii="Times New Roman" w:hAnsi="Times New Roman" w:eastAsia="宋体" w:cs="Times New Roman"/>
                                    <w:sz w:val="21"/>
                                    <w:szCs w:val="21"/>
                                    <w:lang w:val="en-US" w:eastAsia="zh-CN" w:bidi="ar-SA"/>
                                  </w:rPr>
                                  <w:t>375</w:t>
                                </w:r>
                              </w:p>
                            </w:txbxContent>
                          </v:textbox>
                        </v:shape>
                        <v:shape id="文本框 561" o:spid="_x0000_s1026" o:spt="202" type="#_x0000_t202" style="position:absolute;left:3863;top:4750;height:260;width:594;" filled="f" stroked="f" coordsize="21600,21600" o:gfxdata="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8jGPC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063A8776">
                                <w:pPr>
                                  <w:jc w:val="center"/>
                                  <w:rPr>
                                    <w:rFonts w:hint="default" w:ascii="Times New Roman" w:hAnsi="Times New Roman" w:eastAsia="宋体" w:cs="Times New Roman"/>
                                    <w:sz w:val="21"/>
                                    <w:szCs w:val="21"/>
                                    <w:lang w:val="en-US" w:eastAsia="zh-CN" w:bidi="ar-SA"/>
                                  </w:rPr>
                                </w:pPr>
                                <w:r>
                                  <w:rPr>
                                    <w:rFonts w:hint="eastAsia" w:ascii="Times New Roman" w:hAnsi="Times New Roman" w:eastAsia="宋体" w:cs="Times New Roman"/>
                                    <w:sz w:val="21"/>
                                    <w:szCs w:val="21"/>
                                    <w:lang w:val="en-US" w:eastAsia="zh-CN" w:bidi="ar-SA"/>
                                  </w:rPr>
                                  <w:t>37.5</w:t>
                                </w:r>
                              </w:p>
                            </w:txbxContent>
                          </v:textbox>
                        </v:shape>
                        <v:shape id="文本框 565" o:spid="_x0000_s1026" o:spt="202" type="#_x0000_t202" style="position:absolute;left:4902;top:5265;height:301;width:651;" filled="f" stroked="f" coordsize="21600,21600" o:gfxdata="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b71rvQAA&#10;ANw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5D08F266">
                                <w:pPr>
                                  <w:rPr>
                                    <w:rFonts w:hint="default" w:ascii="Times New Roman" w:hAnsi="Times New Roman" w:eastAsia="宋体" w:cs="Times New Roman"/>
                                    <w:sz w:val="21"/>
                                    <w:szCs w:val="21"/>
                                    <w:lang w:val="en-US" w:eastAsia="zh-CN" w:bidi="ar-SA"/>
                                  </w:rPr>
                                </w:pPr>
                                <w:r>
                                  <w:rPr>
                                    <w:rFonts w:hint="eastAsia" w:ascii="Times New Roman" w:hAnsi="Times New Roman" w:eastAsia="宋体" w:cs="Times New Roman"/>
                                    <w:sz w:val="21"/>
                                    <w:szCs w:val="21"/>
                                    <w:lang w:val="en-US" w:eastAsia="zh-CN" w:bidi="ar-SA"/>
                                  </w:rPr>
                                  <w:t>337.5</w:t>
                                </w:r>
                              </w:p>
                            </w:txbxContent>
                          </v:textbox>
                        </v:shape>
                        <v:shape id="曲线连接符 567" o:spid="_x0000_s1026" o:spt="38" type="#_x0000_t38" style="position:absolute;left:3656;top:4883;height:628;width:384;rotation:-5898240f;" filled="f" stroked="t" coordsize="21600,21600" o:gfxdata="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CTh8V&#10;wAAAANwAAAAPAAAAAAAAAAEAIAAAACIAAABkcnMvZG93bnJldi54bWxQSwECFAAUAAAACACHTuJA&#10;My8FnjsAAAA5AAAAEAAAAAAAAAABACAAAAAPAQAAZHJzL3NoYXBleG1sLnhtbFBLBQYAAAAABgAG&#10;AFsBAAC5AwAAAAA=&#10;" adj="10800">
                          <v:fill on="f" focussize="0,0"/>
                          <v:stroke color="#000000" joinstyle="round" dashstyle="dash" endarrow="open"/>
                          <v:imagedata o:title=""/>
                          <o:lock v:ext="edit" aspectratio="f"/>
                        </v:shape>
                        <v:line id="直接连接符 579" o:spid="_x0000_s1026" o:spt="20" style="position:absolute;left:4784;top:5582;height:0;width:920;" filled="f" stroked="t" coordsize="21600,21600" o:gfxdata="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gSRW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直接连接符 592" o:spid="_x0000_s1026" o:spt="20" style="position:absolute;left:1874;top:5576;height:1;width:979;" filled="f" stroked="t" coordsize="21600,21600" o:gfxdata="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Lbv3s&#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shape id="文本框 595" o:spid="_x0000_s1026" o:spt="202" type="#_x0000_t202" style="position:absolute;left:2853;top:5380;height:380;width:1940;" filled="f" stroked="t" coordsize="21600,21600" o:gfxdata="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xtLS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inset="0mm,0.1mm,0mm,0.1mm">
                            <w:txbxContent>
                              <w:p w14:paraId="3613A6D5">
                                <w:pPr>
                                  <w:jc w:val="center"/>
                                  <w:rPr>
                                    <w:rFonts w:hint="eastAsia" w:ascii="Times New Roman" w:hAnsi="Times New Roman" w:cs="Times New Roman"/>
                                    <w:color w:val="auto"/>
                                    <w:sz w:val="21"/>
                                    <w:szCs w:val="21"/>
                                    <w:lang w:eastAsia="zh-CN" w:bidi="ar-SA"/>
                                  </w:rPr>
                                </w:pPr>
                                <w:r>
                                  <w:rPr>
                                    <w:rFonts w:hint="eastAsia" w:ascii="Times New Roman" w:hAnsi="Times New Roman" w:cs="Times New Roman"/>
                                    <w:color w:val="auto"/>
                                    <w:sz w:val="21"/>
                                    <w:szCs w:val="21"/>
                                    <w:lang w:eastAsia="zh-CN" w:bidi="ar-SA"/>
                                  </w:rPr>
                                  <w:t>设备清洗用水</w:t>
                                </w:r>
                              </w:p>
                            </w:txbxContent>
                          </v:textbox>
                        </v:shape>
                      </v:group>
                      <v:line id="直接连接符 597" o:spid="_x0000_s1026" o:spt="20" style="position:absolute;left:1140460;top:607695;height:617220;width:52705;rotation:262144f;" filled="f" stroked="t" coordsize="21600,21600" o:gfxdata="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XHemg2gAA&#10;AAsBAAAPAAAAAAAAAAEAIAAAACIAAABkcnMvZG93bnJldi54bWxQSwECFAAUAAAACACHTuJA2qy9&#10;JxwCAAARBAAADgAAAAAAAAABACAAAAApAQAAZHJzL2Uyb0RvYy54bWxQSwUGAAAAAAYABgBZAQAA&#10;twUAAAAA&#10;">
                        <v:fill on="f" focussize="0,0"/>
                        <v:stroke color="#000000" joinstyle="round" endarrow="block"/>
                        <v:imagedata o:title=""/>
                        <o:lock v:ext="edit" aspectratio="f"/>
                      </v:line>
                      <v:shape id="文本框 554" o:spid="_x0000_s1026" o:spt="202" type="#_x0000_t202" style="position:absolute;left:3145790;top:4027170;height:200660;width:304165;" filled="f" stroked="f" coordsize="21600,21600" o:gfxdata="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lR1jCtkAAAALAQAADwAAAAAAAAABACAAAAAiAAAAZHJzL2Rv&#10;d25yZXYueG1sUEsBAhQAFAAAAAgAh07iQBb2+H/HAQAAgQMAAA4AAAAAAAAAAQAgAAAAKAEAAGRy&#10;cy9lMm9Eb2MueG1sUEsFBgAAAAAGAAYAWQEAAGEFAAAAAA==&#10;">
                        <v:fill on="f" focussize="0,0"/>
                        <v:stroke on="f"/>
                        <v:imagedata o:title=""/>
                        <o:lock v:ext="edit" aspectratio="f"/>
                        <v:textbox inset="0mm,0mm,0mm,0mm">
                          <w:txbxContent>
                            <w:p w14:paraId="7035C0DB">
                              <w:pP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1.0</w:t>
                              </w:r>
                            </w:p>
                          </w:txbxContent>
                        </v:textbox>
                      </v:shape>
                      <v:shape id="文本框 563" o:spid="_x0000_s1026" o:spt="202" type="#_x0000_t202" style="position:absolute;left:1334770;top:4032250;height:153035;width:271145;" filled="f" stroked="f" coordsize="21600,21600" o:gfxdata="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VHWMK2QAAAAsBAAAPAAAAAAAAAAEAIAAAACIAAABkcnMvZG93&#10;bnJldi54bWxQSwECFAAUAAAACACHTuJAY6hdJMYBAACBAwAADgAAAAAAAAABACAAAAAoAQAAZHJz&#10;L2Uyb0RvYy54bWxQSwUGAAAAAAYABgBZAQAAYAUAAAAA&#10;">
                        <v:fill on="f" focussize="0,0"/>
                        <v:stroke on="f"/>
                        <v:imagedata o:title=""/>
                        <o:lock v:ext="edit" aspectratio="f"/>
                        <v:textbox inset="0mm,0mm,0mm,0mm">
                          <w:txbxContent>
                            <w:p w14:paraId="5192E035">
                              <w:pP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0.6</w:t>
                              </w:r>
                            </w:p>
                          </w:txbxContent>
                        </v:textbox>
                      </v:shape>
                      <v:line id="直接连接符 580" o:spid="_x0000_s1026" o:spt="20" style="position:absolute;left:3002280;top:4232910;height:0;width:584200;" filled="f" stroked="t" coordsize="21600,21600" o:gfxdata="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D1ZhxdsAAAALAQAADwAAAAAA&#10;AAABACAAAAAiAAAAZHJzL2Rvd25yZXYueG1sUEsBAhQAFAAAAAgAh07iQFX861gQAgAAAQQAAA4A&#10;AAAAAAAAAQAgAAAAKgEAAGRycy9lMm9Eb2MueG1sUEsFBgAAAAAGAAYAWQEAAKwFAAAAAA==&#10;">
                        <v:fill on="f" focussize="0,0"/>
                        <v:stroke color="#000000" joinstyle="round" endarrow="block"/>
                        <v:imagedata o:title=""/>
                        <o:lock v:ext="edit" aspectratio="f"/>
                      </v:line>
                      <v:shape id="文本框 591" o:spid="_x0000_s1026" o:spt="202" type="#_x0000_t202" style="position:absolute;left:1770380;top:4098925;height:241300;width:1231900;" filled="f" stroked="t" coordsize="21600,21600" o:gfxdata="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miJ8LbAAAACwEAAA8AAAAAAAAAAQAgAAAAIgAAAGRycy9kb3ducmV2LnhtbFBLAQIUABQAAAAI&#10;AIdO4kC1JeNeIwIAAEcEAAAOAAAAAAAAAAEAIAAAACoBAABkcnMvZTJvRG9jLnhtbFBLBQYAAAAA&#10;BgAGAFkBAAC/BQAAAAA=&#10;">
                        <v:fill on="f" focussize="0,0"/>
                        <v:stroke color="#000000" joinstyle="miter"/>
                        <v:imagedata o:title=""/>
                        <o:lock v:ext="edit" aspectratio="f"/>
                        <v:textbox inset="0mm,0.1mm,0mm,0.1mm">
                          <w:txbxContent>
                            <w:p w14:paraId="4508B0FC">
                              <w:pPr>
                                <w:jc w:val="center"/>
                                <w:rPr>
                                  <w:rFonts w:hint="eastAsia" w:ascii="Times New Roman" w:hAnsi="Times New Roman" w:cs="Times New Roman"/>
                                  <w:color w:val="auto"/>
                                  <w:sz w:val="21"/>
                                  <w:szCs w:val="21"/>
                                  <w:lang w:eastAsia="zh-CN" w:bidi="ar-SA"/>
                                </w:rPr>
                              </w:pPr>
                              <w:r>
                                <w:rPr>
                                  <w:rFonts w:hint="eastAsia" w:ascii="Times New Roman" w:hAnsi="Times New Roman" w:cs="Times New Roman"/>
                                  <w:color w:val="auto"/>
                                  <w:sz w:val="21"/>
                                  <w:szCs w:val="21"/>
                                  <w:lang w:eastAsia="zh-CN" w:bidi="ar-SA"/>
                                </w:rPr>
                                <w:t>化学检验用水</w:t>
                              </w:r>
                            </w:p>
                          </w:txbxContent>
                        </v:textbox>
                      </v:shape>
                      <v:line id="直接连接符 594" o:spid="_x0000_s1026" o:spt="20" style="position:absolute;left:1166495;top:4234180;height:635;width:608330;" filled="f" stroked="t" coordsize="21600,21600" o:gfxdata="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D1ZhxdsAAAALAQAADwAAAAAA&#10;AAABACAAAAAiAAAAZHJzL2Rvd25yZXYueG1sUEsBAhQAFAAAAAgAh07iQDsoSpoQAgAAAwQAAA4A&#10;AAAAAAAAAQAgAAAAKgEAAGRycy9lMm9Eb2MueG1sUEsFBgAAAAAGAAYAWQEAAKwFAAAAAA==&#10;">
                        <v:fill on="f" focussize="0,0"/>
                        <v:stroke color="#000000" joinstyle="round" endarrow="block"/>
                        <v:imagedata o:title=""/>
                        <o:lock v:ext="edit" aspectratio="f"/>
                      </v:line>
                      <v:shape id="文本框 600" o:spid="_x0000_s1026" o:spt="202" type="#_x0000_t202" style="position:absolute;left:3570605;top:4018280;height:431800;width:1511300;" filled="f" stroked="f" coordsize="21600,21600" o:gfxdata="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JUd&#10;YwrZAAAACwEAAA8AAAAAAAAAAQAgAAAAIgAAAGRycy9kb3ducmV2LnhtbFBLAQIUABQAAAAIAIdO&#10;4kA2mXRs6QEAAMMDAAAOAAAAAAAAAAEAIAAAACgBAABkcnMvZTJvRG9jLnhtbFBLBQYAAAAABgAG&#10;AFkBAACDBQAAAAA=&#10;">
                        <v:fill on="f" focussize="0,0"/>
                        <v:stroke on="f"/>
                        <v:imagedata o:title=""/>
                        <o:lock v:ext="edit" aspectratio="f"/>
                        <v:textbox inset="0mm,0mm,0mm,0mm">
                          <w:txbxContent>
                            <w:p w14:paraId="4FD7C852">
                              <w:pPr>
                                <w:jc w:val="center"/>
                                <w:rPr>
                                  <w:rFonts w:hint="default" w:ascii="Times New Roman" w:hAnsi="Times New Roman" w:eastAsia="宋体" w:cs="Times New Roman"/>
                                  <w:sz w:val="28"/>
                                  <w:szCs w:val="24"/>
                                  <w:lang w:val="en-US" w:eastAsia="zh-CN" w:bidi="ar-SA"/>
                                </w:rPr>
                              </w:pPr>
                              <w:r>
                                <w:rPr>
                                  <w:rFonts w:hint="eastAsia" w:ascii="Times New Roman" w:hAnsi="宋体" w:cs="Times New Roman"/>
                                  <w:color w:val="auto"/>
                                  <w:sz w:val="21"/>
                                  <w:szCs w:val="21"/>
                                  <w:lang w:val="en-US" w:eastAsia="zh-CN" w:bidi="ar-SA"/>
                                </w:rPr>
                                <w:t>暂存于危废贮存</w:t>
                              </w:r>
                              <w:r>
                                <w:rPr>
                                  <w:rFonts w:hint="eastAsia" w:hAnsi="宋体" w:cs="Times New Roman"/>
                                  <w:color w:val="auto"/>
                                  <w:sz w:val="21"/>
                                  <w:szCs w:val="21"/>
                                  <w:lang w:val="en-US" w:eastAsia="zh-CN" w:bidi="ar-SA"/>
                                </w:rPr>
                                <w:t>库</w:t>
                              </w:r>
                              <w:r>
                                <w:rPr>
                                  <w:rFonts w:hint="eastAsia" w:ascii="Times New Roman" w:hAnsi="宋体" w:cs="Times New Roman"/>
                                  <w:color w:val="auto"/>
                                  <w:sz w:val="21"/>
                                  <w:szCs w:val="21"/>
                                  <w:lang w:val="en-US" w:eastAsia="zh-CN" w:bidi="ar-SA"/>
                                </w:rPr>
                                <w:t>，定期交有资质单位处置</w:t>
                              </w:r>
                            </w:p>
                          </w:txbxContent>
                        </v:textbox>
                      </v:shape>
                      <v:group id="_x0000_s1026" o:spid="_x0000_s1026" o:spt="203" style="position:absolute;left:1173480;top:653415;height:689610;width:2421255;" coordorigin="1848,1524" coordsize="3813,1086" o:gfxdata="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">
                        <o:lock v:ext="edit" aspectratio="f"/>
                        <v:shape id="文本框 552" o:spid="_x0000_s1026" o:spt="202" type="#_x0000_t202" style="position:absolute;left:4707;top:2125;height:285;width:855;" filled="f" stroked="f" coordsize="21600,21600" o:gfxdata="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lY1r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B99C1F6">
                                <w:pPr>
                                  <w:jc w:val="center"/>
                                  <w:rPr>
                                    <w:rFonts w:hint="default" w:ascii="Times New Roman" w:hAnsi="Times New Roman" w:eastAsia="宋体" w:cs="Times New Roman"/>
                                    <w:sz w:val="21"/>
                                    <w:szCs w:val="21"/>
                                    <w:lang w:val="en-US" w:eastAsia="zh-CN" w:bidi="ar-SA"/>
                                  </w:rPr>
                                </w:pPr>
                                <w:r>
                                  <w:rPr>
                                    <w:rFonts w:hint="eastAsia" w:ascii="Times New Roman" w:hAnsi="Times New Roman" w:eastAsia="宋体" w:cs="Times New Roman"/>
                                    <w:sz w:val="21"/>
                                    <w:szCs w:val="21"/>
                                    <w:lang w:val="en-US" w:eastAsia="zh-CN" w:bidi="ar-SA"/>
                                  </w:rPr>
                                  <w:t>309.225</w:t>
                                </w:r>
                              </w:p>
                            </w:txbxContent>
                          </v:textbox>
                        </v:shape>
                        <v:shape id="曲线连接符 553" o:spid="_x0000_s1026" o:spt="38" type="#_x0000_t38" style="position:absolute;left:3430;top:1789;height:445;width:414;rotation:-5898240f;" filled="f" stroked="t" coordsize="21600,21600" o:gfxdata="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ytHG+8AAAA&#10;3AAAAA8AAAAAAAAAAQAgAAAAIgAAAGRycy9kb3ducmV2LnhtbFBLAQIUABQAAAAIAIdO4kAzLwWe&#10;OwAAADkAAAAQAAAAAAAAAAEAIAAAAAsBAABkcnMvc2hhcGV4bWwueG1sUEsFBgAAAAAGAAYAWwEA&#10;ALUDAAAAAA==&#10;" adj="10826">
                          <v:fill on="f" focussize="0,0"/>
                          <v:stroke color="#000000" joinstyle="round" dashstyle="dash" endarrow="open"/>
                          <v:imagedata o:title=""/>
                          <o:lock v:ext="edit" aspectratio="f"/>
                        </v:shape>
                        <v:shape id="文本框 556" o:spid="_x0000_s1026" o:spt="202" type="#_x0000_t202" style="position:absolute;left:1956;top:2097;height:295;width:611;" filled="f" stroked="f" coordsize="21600,21600" o:gfxdata="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PgKovQAA&#10;ANw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549E6A20">
                                <w:pPr>
                                  <w:rPr>
                                    <w:rFonts w:hint="default" w:ascii="Times New Roman" w:hAnsi="Times New Roman" w:eastAsia="宋体" w:cs="Times New Roman"/>
                                    <w:sz w:val="21"/>
                                    <w:szCs w:val="21"/>
                                    <w:lang w:val="en-US" w:eastAsia="zh-CN" w:bidi="ar-SA"/>
                                  </w:rPr>
                                </w:pPr>
                                <w:r>
                                  <w:rPr>
                                    <w:rFonts w:hint="eastAsia" w:ascii="Times New Roman" w:hAnsi="Times New Roman" w:eastAsia="宋体" w:cs="Times New Roman"/>
                                    <w:sz w:val="21"/>
                                    <w:szCs w:val="21"/>
                                    <w:lang w:val="en-US" w:eastAsia="zh-CN" w:bidi="ar-SA"/>
                                  </w:rPr>
                                  <w:t>371.07</w:t>
                                </w:r>
                              </w:p>
                            </w:txbxContent>
                          </v:textbox>
                        </v:shape>
                        <v:shape id="文本框 566" o:spid="_x0000_s1026" o:spt="202" type="#_x0000_t202" style="position:absolute;left:3581;top:1524;height:327;width:712;" filled="f" stroked="f" coordsize="21600,21600" o:gfxdata="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dNROvQAA&#10;ANw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4E334932">
                                <w:pPr>
                                  <w:rPr>
                                    <w:rFonts w:hint="default" w:ascii="Times New Roman" w:hAnsi="Times New Roman" w:eastAsia="宋体" w:cs="Times New Roman"/>
                                    <w:sz w:val="21"/>
                                    <w:szCs w:val="21"/>
                                    <w:lang w:val="en-US" w:eastAsia="zh-CN" w:bidi="ar-SA"/>
                                  </w:rPr>
                                </w:pPr>
                                <w:r>
                                  <w:rPr>
                                    <w:rFonts w:hint="eastAsia" w:ascii="Times New Roman" w:hAnsi="Times New Roman" w:eastAsia="宋体" w:cs="Times New Roman"/>
                                    <w:sz w:val="21"/>
                                    <w:szCs w:val="21"/>
                                    <w:lang w:val="en-US" w:eastAsia="zh-CN" w:bidi="ar-SA"/>
                                  </w:rPr>
                                  <w:t>61.845</w:t>
                                </w:r>
                              </w:p>
                            </w:txbxContent>
                          </v:textbox>
                        </v:shape>
                        <v:line id="直接连接符 587" o:spid="_x0000_s1026" o:spt="20" style="position:absolute;left:1848;top:2417;height:0;width:920;" filled="f" stroked="t" coordsize="21600,21600" o:gfxdata="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NHg2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shape id="文本框 588" o:spid="_x0000_s1026" o:spt="202" type="#_x0000_t202" style="position:absolute;left:2753;top:2218;height:392;width:1915;" filled="f" stroked="t" coordsize="21600,21600" o:gfxdata="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qGkbO/&#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inset="0mm,0.1mm,0mm,0.1mm">
                            <w:txbxContent>
                              <w:p w14:paraId="01F226FD">
                                <w:pPr>
                                  <w:jc w:val="center"/>
                                  <w:rPr>
                                    <w:rFonts w:hint="eastAsia" w:ascii="Times New Roman" w:hAnsi="Times New Roman" w:cs="Times New Roman"/>
                                    <w:sz w:val="21"/>
                                    <w:szCs w:val="21"/>
                                    <w:lang w:eastAsia="zh-CN" w:bidi="ar-SA"/>
                                  </w:rPr>
                                </w:pPr>
                                <w:r>
                                  <w:rPr>
                                    <w:rFonts w:hint="eastAsia" w:ascii="Times New Roman" w:hAnsi="Times New Roman" w:cs="Times New Roman"/>
                                    <w:sz w:val="21"/>
                                    <w:szCs w:val="21"/>
                                    <w:lang w:val="en-US" w:eastAsia="zh-CN" w:bidi="ar-SA"/>
                                  </w:rPr>
                                  <w:t>药材</w:t>
                                </w:r>
                                <w:r>
                                  <w:rPr>
                                    <w:rFonts w:hint="eastAsia" w:cs="Times New Roman"/>
                                    <w:sz w:val="21"/>
                                    <w:szCs w:val="21"/>
                                    <w:lang w:val="en-US" w:eastAsia="zh-CN" w:bidi="ar-SA"/>
                                  </w:rPr>
                                  <w:t>炮制</w:t>
                                </w:r>
                                <w:r>
                                  <w:rPr>
                                    <w:rFonts w:hint="eastAsia" w:ascii="Times New Roman" w:hAnsi="Times New Roman" w:cs="Times New Roman"/>
                                    <w:sz w:val="21"/>
                                    <w:szCs w:val="21"/>
                                    <w:lang w:eastAsia="zh-CN" w:bidi="ar-SA"/>
                                  </w:rPr>
                                  <w:t>用水</w:t>
                                </w:r>
                              </w:p>
                            </w:txbxContent>
                          </v:textbox>
                        </v:shape>
                        <v:line id="直接连接符 602" o:spid="_x0000_s1026" o:spt="20" style="position:absolute;left:4693;top:2416;flip:y;height:12;width:968;" filled="f" stroked="t" coordsize="21600,21600" o:gfxdata="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N6/df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group>
                      <v:shape id="文本框 561" o:spid="_x0000_s1026" o:spt="202" type="#_x0000_t202" style="position:absolute;left:2386330;top:2656205;height:155575;width:461645;" filled="f" stroked="f" coordsize="21600,21600" o:gfxdata="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VHWMK2QAAAAsBAAAPAAAAAAAAAAEAIAAAACIAAABkcnMv&#10;ZG93bnJldi54bWxQSwECFAAUAAAACACHTuJAdh5jP8kBAACBAwAADgAAAAAAAAABACAAAAAoAQAA&#10;ZHJzL2Uyb0RvYy54bWxQSwUGAAAAAAYABgBZAQAAYwUAAAAA&#10;">
                        <v:fill on="f" focussize="0,0"/>
                        <v:stroke on="f"/>
                        <v:imagedata o:title=""/>
                        <o:lock v:ext="edit" aspectratio="f"/>
                        <v:textbox inset="0mm,0mm,0mm,0mm">
                          <w:txbxContent>
                            <w:p w14:paraId="3E3F2F1C">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937.45</w:t>
                              </w:r>
                            </w:p>
                            <w:p w14:paraId="39FAB01A">
                              <w:pPr>
                                <w:rPr>
                                  <w:rFonts w:hint="default"/>
                                  <w:lang w:val="en-US" w:eastAsia="zh-CN"/>
                                </w:rPr>
                              </w:pPr>
                            </w:p>
                          </w:txbxContent>
                        </v:textbox>
                      </v:shape>
                      <v:group id="_x0000_s1026" o:spid="_x0000_s1026" o:spt="203" style="position:absolute;left:1160780;top:2827655;height:831850;width:3769360;" coordorigin="1813,4138" coordsize="5936,1310" o:gfxdata="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">
                        <o:lock v:ext="edit" aspectratio="f"/>
                        <v:shape id="文本框 560" o:spid="_x0000_s1026" o:spt="202" type="#_x0000_t202" style="position:absolute;left:1842;top:4396;height:302;width:915;" filled="f" stroked="f" coordsize="21600,21600" o:gfxdata="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GpA3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6EE01C86">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13525.2</w:t>
                                </w:r>
                              </w:p>
                            </w:txbxContent>
                          </v:textbox>
                        </v:shape>
                        <v:shape id="文本框 565" o:spid="_x0000_s1026" o:spt="202" type="#_x0000_t202" style="position:absolute;left:4841;top:4398;height:301;width:651;" filled="f" stroked="f" coordsize="21600,21600" o:gfxdata="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Aqfdr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21A81D1">
                                <w:pP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11271</w:t>
                                </w:r>
                              </w:p>
                            </w:txbxContent>
                          </v:textbox>
                        </v:shape>
                        <v:shape id="曲线连接符 567" o:spid="_x0000_s1026" o:spt="38" type="#_x0000_t38" style="position:absolute;left:3595;top:4016;height:628;width:384;rotation:-5898240f;" filled="f" stroked="t" coordsize="21600,21600" o:gfxdata="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PgM4b4A&#10;AADcAAAADwAAAAAAAAABACAAAAAiAAAAZHJzL2Rvd25yZXYueG1sUEsBAhQAFAAAAAgAh07iQDMv&#10;BZ47AAAAOQAAABAAAAAAAAAAAQAgAAAADQEAAGRycy9zaGFwZXhtbC54bWxQSwUGAAAAAAYABgBb&#10;AQAAtwMAAAAA&#10;" adj="10800">
                          <v:fill on="f" focussize="0,0"/>
                          <v:stroke color="#000000" joinstyle="round" dashstyle="dash" endarrow="open"/>
                          <v:imagedata o:title=""/>
                          <o:lock v:ext="edit" aspectratio="f"/>
                        </v:shape>
                        <v:line id="直接连接符 579" o:spid="_x0000_s1026" o:spt="20" style="position:absolute;left:4723;top:4715;height:12;width:961;" filled="f" stroked="t" coordsize="21600,21600" o:gfxdata="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vkBku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直接连接符 592" o:spid="_x0000_s1026" o:spt="20" style="position:absolute;left:1813;top:4709;height:1;width:979;" filled="f" stroked="t" coordsize="21600,21600" o:gfxdata="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Soo9C/&#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文本框 595" o:spid="_x0000_s1026" o:spt="202" type="#_x0000_t202" style="position:absolute;left:2792;top:4513;height:380;width:1940;" filled="f" stroked="t" coordsize="21600,21600" o:gfxdata="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qdGvK8AAAA&#10;3AAAAA8AAAAAAAAAAQAgAAAAIgAAAGRycy9kb3ducmV2LnhtbFBLAQIUABQAAAAIAIdO4kAzLwWe&#10;OwAAADkAAAAQAAAAAAAAAAEAIAAAAAsBAABkcnMvc2hhcGV4bWwueG1sUEsFBgAAAAAGAAYAWwEA&#10;ALUDAAAAAA==&#10;">
                          <v:fill on="f" focussize="0,0"/>
                          <v:stroke color="#000000" joinstyle="miter"/>
                          <v:imagedata o:title=""/>
                          <o:lock v:ext="edit" aspectratio="f"/>
                          <v:textbox inset="0mm,0.1mm,0mm,0.1mm">
                            <w:txbxContent>
                              <w:p w14:paraId="1D42F51B">
                                <w:pPr>
                                  <w:jc w:val="center"/>
                                  <w:rPr>
                                    <w:rFonts w:hint="eastAsia" w:ascii="Times New Roman" w:hAnsi="Times New Roman" w:cs="Times New Roman"/>
                                    <w:color w:val="auto"/>
                                    <w:sz w:val="21"/>
                                    <w:szCs w:val="21"/>
                                    <w:lang w:eastAsia="zh-CN" w:bidi="ar-SA"/>
                                  </w:rPr>
                                </w:pPr>
                                <w:r>
                                  <w:rPr>
                                    <w:rFonts w:hint="eastAsia" w:cs="Times New Roman"/>
                                    <w:color w:val="auto"/>
                                    <w:sz w:val="21"/>
                                    <w:szCs w:val="21"/>
                                    <w:lang w:val="en-US" w:eastAsia="zh-CN" w:bidi="ar-SA"/>
                                  </w:rPr>
                                  <w:t>提取</w:t>
                                </w:r>
                                <w:r>
                                  <w:rPr>
                                    <w:rFonts w:hint="eastAsia" w:ascii="Times New Roman" w:hAnsi="Times New Roman" w:cs="Times New Roman"/>
                                    <w:color w:val="auto"/>
                                    <w:sz w:val="21"/>
                                    <w:szCs w:val="21"/>
                                    <w:lang w:eastAsia="zh-CN" w:bidi="ar-SA"/>
                                  </w:rPr>
                                  <w:t>用水</w:t>
                                </w:r>
                              </w:p>
                            </w:txbxContent>
                          </v:textbox>
                        </v:shape>
                        <v:shape id="_x0000_s1026" o:spid="_x0000_s1026" o:spt="33" type="#_x0000_t33" style="position:absolute;left:4680;top:3975;flip:y;height:2196;width:361;rotation:-5898240f;" filled="f" stroked="t" coordsize="21600,21600" o:gfxdata="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XgiqLsAAADc&#10;AAAADwAAAAAAAAABACAAAAAiAAAAZHJzL2Rvd25yZXYueG1sUEsBAhQAFAAAAAgAh07iQDMvBZ47&#10;AAAAOQAAABAAAAAAAAAAAQAgAAAACgEAAGRycy9zaGFwZXhtbC54bWxQSwUGAAAAAAYABgBbAQAA&#10;tAMAAAAA&#10;">
                          <v:fill on="f" focussize="0,0"/>
                          <v:stroke color="#000000" joinstyle="round" dashstyle="dash" endarrow="block"/>
                          <v:imagedata o:title=""/>
                          <o:lock v:ext="edit" aspectratio="f"/>
                        </v:shape>
                        <v:shape id="文本框 548" o:spid="_x0000_s1026" o:spt="202" type="#_x0000_t202" style="position:absolute;left:5683;top:5068;height:380;width:2066;" filled="f" stroked="f" coordsize="21600,21600" o:gfxdata="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Hepab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293E2864">
                                <w:pPr>
                                  <w:jc w:val="center"/>
                                  <w:rPr>
                                    <w:rFonts w:hint="default"/>
                                    <w:sz w:val="21"/>
                                    <w:szCs w:val="21"/>
                                    <w:lang w:val="en-US" w:eastAsia="zh-CN"/>
                                  </w:rPr>
                                </w:pPr>
                                <w:r>
                                  <w:rPr>
                                    <w:rFonts w:hint="eastAsia"/>
                                    <w:sz w:val="21"/>
                                    <w:szCs w:val="21"/>
                                    <w:lang w:val="en-US" w:eastAsia="zh-CN"/>
                                  </w:rPr>
                                  <w:t>中药渣带走水量</w:t>
                                </w:r>
                              </w:p>
                            </w:txbxContent>
                          </v:textbox>
                        </v:shape>
                        <v:shape id="文本框 561" o:spid="_x0000_s1026" o:spt="202" type="#_x0000_t202" style="position:absolute;left:4813;top:4963;height:245;width:727;" filled="f" stroked="f" coordsize="21600,21600" o:gfxdata="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QsCW7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1546D11C">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1316.75</w:t>
                                </w:r>
                              </w:p>
                            </w:txbxContent>
                          </v:textbox>
                        </v:shape>
                      </v:group>
                      <v:group id="组合 810" o:spid="_x0000_s1026" o:spt="203" style="position:absolute;left:1170305;top:1989455;height:641350;width:2432050;" coordorigin="1874,4750" coordsize="3830,1010" o:gfxdata="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">
                        <o:lock v:ext="edit" aspectratio="f"/>
                        <v:shape id="文本框 560" o:spid="_x0000_s1026" o:spt="202" type="#_x0000_t202" style="position:absolute;left:1933;top:5263;height:330;width:750;" filled="f" stroked="f" coordsize="21600,21600" o:gfxdata="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0rcF7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21CBC7C">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2444.94</w:t>
                                </w:r>
                              </w:p>
                            </w:txbxContent>
                          </v:textbox>
                        </v:shape>
                        <v:shape id="文本框 561" o:spid="_x0000_s1026" o:spt="202" type="#_x0000_t202" style="position:absolute;left:3863;top:4750;height:260;width:653;" filled="f" stroked="f" coordsize="21600,21600" o:gfxdata="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rVSGW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51B93204">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407.49</w:t>
                                </w:r>
                              </w:p>
                            </w:txbxContent>
                          </v:textbox>
                        </v:shape>
                        <v:shape id="文本框 565" o:spid="_x0000_s1026" o:spt="202" type="#_x0000_t202" style="position:absolute;left:4843;top:5265;height:301;width:785;" filled="f" stroked="f" coordsize="21600,21600" o:gfxdata="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Znt/r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0A438391">
                                <w:pP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2037.45</w:t>
                                </w:r>
                              </w:p>
                            </w:txbxContent>
                          </v:textbox>
                        </v:shape>
                        <v:shape id="曲线连接符 567" o:spid="_x0000_s1026" o:spt="38" type="#_x0000_t38" style="position:absolute;left:3656;top:4883;height:628;width:384;rotation:-5898240f;" filled="f" stroked="t" coordsize="21600,21600" o:gfxdata="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sgCSLsAAADc&#10;AAAADwAAAAAAAAABACAAAAAiAAAAZHJzL2Rvd25yZXYueG1sUEsBAhQAFAAAAAgAh07iQDMvBZ47&#10;AAAAOQAAABAAAAAAAAAAAQAgAAAACgEAAGRycy9zaGFwZXhtbC54bWxQSwUGAAAAAAYABgBbAQAA&#10;tAMAAAAA&#10;" adj="10800">
                          <v:fill on="f" focussize="0,0"/>
                          <v:stroke color="#000000" joinstyle="round" dashstyle="dash" endarrow="open"/>
                          <v:imagedata o:title=""/>
                          <o:lock v:ext="edit" aspectratio="f"/>
                        </v:shape>
                        <v:line id="直接连接符 579" o:spid="_x0000_s1026" o:spt="20" style="position:absolute;left:4784;top:5582;height:0;width:920;" filled="f" stroked="t" coordsize="21600,21600" o:gfxdata="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wc5C74A&#10;AADc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直接连接符 592" o:spid="_x0000_s1026" o:spt="20" style="position:absolute;left:1874;top:5576;height:1;width:979;" filled="f" stroked="t" coordsize="21600,21600" o:gfxdata="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P1ad8&#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shape id="文本框 595" o:spid="_x0000_s1026" o:spt="202" type="#_x0000_t202" style="position:absolute;left:2853;top:5380;height:380;width:1940;" filled="f" stroked="t" coordsize="21600,21600" o:gfxdata="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F9iEK/&#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inset="0mm,0.1mm,0mm,0.1mm">
                            <w:txbxContent>
                              <w:p w14:paraId="168EE38F">
                                <w:pPr>
                                  <w:jc w:val="center"/>
                                  <w:rPr>
                                    <w:rFonts w:hint="eastAsia" w:ascii="Times New Roman" w:hAnsi="Times New Roman" w:cs="Times New Roman"/>
                                    <w:color w:val="auto"/>
                                    <w:sz w:val="21"/>
                                    <w:szCs w:val="21"/>
                                    <w:lang w:eastAsia="zh-CN" w:bidi="ar-SA"/>
                                  </w:rPr>
                                </w:pPr>
                                <w:r>
                                  <w:rPr>
                                    <w:rFonts w:hint="eastAsia" w:cs="Times New Roman"/>
                                    <w:color w:val="auto"/>
                                    <w:sz w:val="21"/>
                                    <w:szCs w:val="21"/>
                                    <w:lang w:val="en-US" w:eastAsia="zh-CN" w:bidi="ar-SA"/>
                                  </w:rPr>
                                  <w:t>固体制剂</w:t>
                                </w:r>
                                <w:r>
                                  <w:rPr>
                                    <w:rFonts w:hint="eastAsia" w:ascii="Times New Roman" w:hAnsi="Times New Roman" w:cs="Times New Roman"/>
                                    <w:color w:val="auto"/>
                                    <w:sz w:val="21"/>
                                    <w:szCs w:val="21"/>
                                    <w:lang w:eastAsia="zh-CN" w:bidi="ar-SA"/>
                                  </w:rPr>
                                  <w:t>用水</w:t>
                                </w:r>
                              </w:p>
                            </w:txbxContent>
                          </v:textbox>
                        </v:shape>
                      </v:group>
                      <v:group id="_x0000_s1026" o:spid="_x0000_s1026" o:spt="203" style="position:absolute;left:2608580;top:3751580;height:355600;width:923290;" coordorigin="4108,5908" coordsize="1454,560" o:gfxdata="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">
                        <o:lock v:ext="edit" aspectratio="f"/>
                        <v:line id="直接连接符 580" o:spid="_x0000_s1026" o:spt="20" style="position:absolute;left:4438;top:6178;height:291;width:4;" filled="f" stroked="t" coordsize="21600,21600" o:gfxdata="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A8Pwi/&#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文本框 551" o:spid="_x0000_s1026" o:spt="202" type="#_x0000_t202" style="position:absolute;left:4108;top:5908;height:380;width:1454;" filled="f" stroked="f" coordsize="21600,21600" o:gfxdata="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dMJq7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FC09A61">
                                <w:pPr>
                                  <w:jc w:val="center"/>
                                  <w:rPr>
                                    <w:rFonts w:hint="default"/>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化学</w:t>
                                </w:r>
                                <w:r>
                                  <w:rPr>
                                    <w:rFonts w:hint="eastAsia" w:cs="Times New Roman"/>
                                    <w:color w:val="000000" w:themeColor="text1"/>
                                    <w:sz w:val="21"/>
                                    <w:szCs w:val="21"/>
                                    <w:lang w:val="en-US" w:eastAsia="zh-CN"/>
                                    <w14:textFill>
                                      <w14:solidFill>
                                        <w14:schemeClr w14:val="tx1"/>
                                      </w14:solidFill>
                                    </w14:textFill>
                                  </w:rPr>
                                  <w:t>废试剂</w:t>
                                </w:r>
                              </w:p>
                            </w:txbxContent>
                          </v:textbox>
                        </v:shape>
                      </v:group>
                      <w10:wrap type="topAndBottom"/>
                    </v:group>
                  </w:pict>
                </mc:Fallback>
              </mc:AlternateContent>
            </w:r>
          </w:p>
          <w:p w14:paraId="2A2F1198">
            <w:pPr>
              <w:keepNext w:val="0"/>
              <w:keepLines w:val="0"/>
              <w:numPr>
                <w:ilvl w:val="0"/>
                <w:numId w:val="16"/>
              </w:numPr>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本项目水平衡图（m</w:t>
            </w:r>
            <w:r>
              <w:rPr>
                <w:rFonts w:hint="default" w:ascii="Times New Roman" w:hAnsi="Times New Roman" w:eastAsia="宋体" w:cs="Times New Roman"/>
                <w:b/>
                <w:bCs/>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/a）</w:t>
            </w:r>
          </w:p>
          <w:p w14:paraId="576E32F4">
            <w:pPr>
              <w:pStyle w:val="25"/>
              <w:keepNext w:val="0"/>
              <w:keepLines w:val="0"/>
              <w:suppressLineNumbers w:val="0"/>
              <w:spacing w:before="0" w:beforeAutospacing="0" w:afterAutospacing="0"/>
              <w:ind w:right="0"/>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pPr>
            <w:r>
              <w:rPr>
                <w:rFonts w:hint="eastAsia" w:cs="Times New Roman"/>
                <w:color w:val="000000" w:themeColor="text1"/>
                <w:kern w:val="0"/>
                <w:sz w:val="24"/>
                <w:szCs w:val="24"/>
                <w:highlight w:val="none"/>
                <w:lang w:val="en-US" w:eastAsia="zh-CN"/>
                <w14:textFill>
                  <w14:solidFill>
                    <w14:schemeClr w14:val="tx1"/>
                  </w14:solidFill>
                </w14:textFill>
              </w:rPr>
              <w:t>现有项目</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水平衡图如下。</w:t>
            </w:r>
          </w:p>
          <w:p w14:paraId="1D1D9A29">
            <w:pPr>
              <w:keepNext w:val="0"/>
              <w:keepLines w:val="0"/>
              <w:numPr>
                <w:ilvl w:val="0"/>
                <w:numId w:val="0"/>
              </w:numPr>
              <w:suppressLineNumbers w:val="0"/>
              <w:tabs>
                <w:tab w:val="left" w:pos="0"/>
              </w:tabs>
              <w:spacing w:before="0" w:beforeAutospacing="0" w:after="0" w:afterAutospacing="0"/>
              <w:ind w:left="0" w:leftChars="0" w:right="0"/>
              <w:jc w:val="both"/>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mc:AlternateContent>
                <mc:Choice Requires="wpc">
                  <w:drawing>
                    <wp:anchor distT="0" distB="0" distL="114300" distR="114300" simplePos="0" relativeHeight="251664384" behindDoc="0" locked="0" layoutInCell="1" allowOverlap="1">
                      <wp:simplePos x="0" y="0"/>
                      <wp:positionH relativeFrom="column">
                        <wp:posOffset>17145</wp:posOffset>
                      </wp:positionH>
                      <wp:positionV relativeFrom="paragraph">
                        <wp:posOffset>23495</wp:posOffset>
                      </wp:positionV>
                      <wp:extent cx="5184140" cy="2122170"/>
                      <wp:effectExtent l="0" t="0" r="0" b="0"/>
                      <wp:wrapTopAndBottom/>
                      <wp:docPr id="22" name="画布 22"/>
                      <wp:cNvGraphicFramePr/>
                      <a:graphic xmlns:a="http://schemas.openxmlformats.org/drawingml/2006/main">
                        <a:graphicData uri="http://schemas.microsoft.com/office/word/2010/wordprocessingCanvas">
                          <wpc:wpc>
                            <wpc:bg>
                              <a:noFill/>
                            </wpc:bg>
                            <wpc:whole>
                              <a:ln>
                                <a:noFill/>
                              </a:ln>
                            </wpc:whole>
                            <wps:wsp>
                              <wps:cNvPr id="230" name="文本框 543"/>
                              <wps:cNvSpPr txBox="1"/>
                              <wps:spPr>
                                <a:xfrm>
                                  <a:off x="50165" y="937895"/>
                                  <a:ext cx="471805" cy="242570"/>
                                </a:xfrm>
                                <a:prstGeom prst="rect">
                                  <a:avLst/>
                                </a:prstGeom>
                                <a:noFill/>
                                <a:ln>
                                  <a:noFill/>
                                </a:ln>
                                <a:effectLst/>
                              </wps:spPr>
                              <wps:txbx>
                                <w:txbxContent>
                                  <w:p w14:paraId="19D7FDC1">
                                    <w:pPr>
                                      <w:rPr>
                                        <w:rFonts w:hint="eastAsia" w:ascii="Times New Roman" w:hAnsi="Times New Roman" w:eastAsia="宋体" w:cs="Times New Roman"/>
                                        <w:sz w:val="21"/>
                                        <w:szCs w:val="21"/>
                                        <w:lang w:eastAsia="zh-CN" w:bidi="ar-SA"/>
                                      </w:rPr>
                                    </w:pPr>
                                    <w:r>
                                      <w:rPr>
                                        <w:rFonts w:hint="eastAsia" w:ascii="Times New Roman" w:hAnsi="Times New Roman" w:cs="Times New Roman"/>
                                        <w:sz w:val="21"/>
                                        <w:szCs w:val="21"/>
                                        <w:lang w:eastAsia="zh-CN" w:bidi="ar-SA"/>
                                      </w:rPr>
                                      <w:t>新鲜水</w:t>
                                    </w:r>
                                  </w:p>
                                </w:txbxContent>
                              </wps:txbx>
                              <wps:bodyPr vert="horz" wrap="square" lIns="0" tIns="0" rIns="0" bIns="0" anchor="t" anchorCtr="0" upright="1"/>
                            </wps:wsp>
                            <wps:wsp>
                              <wps:cNvPr id="240" name="文本框 544"/>
                              <wps:cNvSpPr txBox="1"/>
                              <wps:spPr>
                                <a:xfrm>
                                  <a:off x="7620" y="1198880"/>
                                  <a:ext cx="522605" cy="464185"/>
                                </a:xfrm>
                                <a:prstGeom prst="rect">
                                  <a:avLst/>
                                </a:prstGeom>
                                <a:noFill/>
                                <a:ln>
                                  <a:noFill/>
                                </a:ln>
                              </wps:spPr>
                              <wps:txbx>
                                <w:txbxContent>
                                  <w:p w14:paraId="18F6606C">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471000</w:t>
                                    </w:r>
                                  </w:p>
                                </w:txbxContent>
                              </wps:txbx>
                              <wps:bodyPr lIns="0" tIns="0" rIns="0" bIns="0" upright="1"/>
                            </wps:wsp>
                            <wps:wsp>
                              <wps:cNvPr id="248" name="直接连接符 568"/>
                              <wps:cNvCnPr/>
                              <wps:spPr>
                                <a:xfrm flipV="1">
                                  <a:off x="27305" y="1175385"/>
                                  <a:ext cx="516890" cy="5080"/>
                                </a:xfrm>
                                <a:prstGeom prst="line">
                                  <a:avLst/>
                                </a:prstGeom>
                                <a:ln w="9525" cap="flat" cmpd="sng">
                                  <a:solidFill>
                                    <a:srgbClr val="000000"/>
                                  </a:solidFill>
                                  <a:prstDash val="solid"/>
                                  <a:round/>
                                  <a:headEnd type="none" w="med" len="med"/>
                                  <a:tailEnd type="triangle" w="med" len="med"/>
                                </a:ln>
                              </wps:spPr>
                              <wps:bodyPr upright="1"/>
                            </wps:wsp>
                            <wps:wsp>
                              <wps:cNvPr id="249" name="直接箭头连接符 727"/>
                              <wps:cNvCnPr/>
                              <wps:spPr>
                                <a:xfrm>
                                  <a:off x="547370" y="708660"/>
                                  <a:ext cx="4445" cy="896620"/>
                                </a:xfrm>
                                <a:prstGeom prst="straightConnector1">
                                  <a:avLst/>
                                </a:prstGeom>
                                <a:ln w="9525" cap="flat" cmpd="sng">
                                  <a:solidFill>
                                    <a:srgbClr val="000000"/>
                                  </a:solidFill>
                                  <a:prstDash val="solid"/>
                                  <a:round/>
                                  <a:headEnd type="none" w="med" len="med"/>
                                  <a:tailEnd type="none" w="med" len="med"/>
                                </a:ln>
                              </wps:spPr>
                              <wps:bodyPr/>
                            </wps:wsp>
                            <wps:wsp>
                              <wps:cNvPr id="250" name="直接连接符 589"/>
                              <wps:cNvCnPr/>
                              <wps:spPr>
                                <a:xfrm flipV="1">
                                  <a:off x="544195" y="704850"/>
                                  <a:ext cx="454660" cy="5080"/>
                                </a:xfrm>
                                <a:prstGeom prst="line">
                                  <a:avLst/>
                                </a:prstGeom>
                                <a:ln w="9525" cap="flat" cmpd="sng">
                                  <a:solidFill>
                                    <a:srgbClr val="000000"/>
                                  </a:solidFill>
                                  <a:prstDash val="solid"/>
                                  <a:round/>
                                  <a:headEnd type="none" w="med" len="med"/>
                                  <a:tailEnd type="triangle" w="med" len="med"/>
                                </a:ln>
                              </wps:spPr>
                              <wps:bodyPr upright="1"/>
                            </wps:wsp>
                            <wps:wsp>
                              <wps:cNvPr id="251" name="文本框 573"/>
                              <wps:cNvSpPr txBox="1"/>
                              <wps:spPr>
                                <a:xfrm>
                                  <a:off x="998855" y="590550"/>
                                  <a:ext cx="945515" cy="248920"/>
                                </a:xfrm>
                                <a:prstGeom prst="rect">
                                  <a:avLst/>
                                </a:prstGeom>
                                <a:noFill/>
                                <a:ln w="9525" cap="flat" cmpd="sng">
                                  <a:solidFill>
                                    <a:srgbClr val="000000"/>
                                  </a:solidFill>
                                  <a:prstDash val="solid"/>
                                  <a:miter/>
                                  <a:headEnd type="none" w="med" len="med"/>
                                  <a:tailEnd type="none" w="med" len="med"/>
                                </a:ln>
                              </wps:spPr>
                              <wps:txbx>
                                <w:txbxContent>
                                  <w:p w14:paraId="50837AC1">
                                    <w:pPr>
                                      <w:spacing w:line="240" w:lineRule="auto"/>
                                      <w:jc w:val="center"/>
                                      <w:rPr>
                                        <w:rFonts w:hint="eastAsia" w:ascii="Times New Roman" w:hAnsi="Times New Roman" w:eastAsia="宋体" w:cs="Times New Roman"/>
                                        <w:b w:val="0"/>
                                        <w:bCs/>
                                        <w:color w:val="000000"/>
                                        <w:kern w:val="2"/>
                                        <w:sz w:val="21"/>
                                        <w:szCs w:val="21"/>
                                        <w:highlight w:val="none"/>
                                        <w:lang w:val="en-US" w:eastAsia="zh-CN" w:bidi="ar-SA"/>
                                      </w:rPr>
                                    </w:pPr>
                                    <w:r>
                                      <w:rPr>
                                        <w:rFonts w:hint="eastAsia" w:ascii="Times New Roman" w:hAnsi="Times New Roman" w:eastAsia="宋体" w:cs="Times New Roman"/>
                                        <w:b w:val="0"/>
                                        <w:bCs/>
                                        <w:color w:val="000000"/>
                                        <w:kern w:val="2"/>
                                        <w:sz w:val="21"/>
                                        <w:szCs w:val="21"/>
                                        <w:highlight w:val="none"/>
                                        <w:lang w:val="en-US" w:eastAsia="zh-CN" w:bidi="ar-SA"/>
                                      </w:rPr>
                                      <w:t>生活用水</w:t>
                                    </w:r>
                                  </w:p>
                                </w:txbxContent>
                              </wps:txbx>
                              <wps:bodyPr lIns="0" tIns="3600" rIns="0" bIns="3600" upright="1"/>
                            </wps:wsp>
                            <wps:wsp>
                              <wps:cNvPr id="252" name="文本框 586"/>
                              <wps:cNvSpPr txBox="1"/>
                              <wps:spPr>
                                <a:xfrm>
                                  <a:off x="503555" y="495300"/>
                                  <a:ext cx="520065" cy="197485"/>
                                </a:xfrm>
                                <a:prstGeom prst="rect">
                                  <a:avLst/>
                                </a:prstGeom>
                                <a:noFill/>
                                <a:ln>
                                  <a:noFill/>
                                </a:ln>
                              </wps:spPr>
                              <wps:txbx>
                                <w:txbxContent>
                                  <w:p w14:paraId="04528AFF">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54250</w:t>
                                    </w:r>
                                  </w:p>
                                </w:txbxContent>
                              </wps:txbx>
                              <wps:bodyPr lIns="0" tIns="0" rIns="0" bIns="0" upright="1"/>
                            </wps:wsp>
                            <wps:wsp>
                              <wps:cNvPr id="253" name="直接连接符 575"/>
                              <wps:cNvCnPr/>
                              <wps:spPr>
                                <a:xfrm flipV="1">
                                  <a:off x="1941830" y="718820"/>
                                  <a:ext cx="574040" cy="5080"/>
                                </a:xfrm>
                                <a:prstGeom prst="line">
                                  <a:avLst/>
                                </a:prstGeom>
                                <a:ln w="9525" cap="flat" cmpd="sng">
                                  <a:solidFill>
                                    <a:srgbClr val="000000"/>
                                  </a:solidFill>
                                  <a:prstDash val="solid"/>
                                  <a:round/>
                                  <a:headEnd type="none" w="med" len="med"/>
                                  <a:tailEnd type="triangle" w="med" len="med"/>
                                </a:ln>
                              </wps:spPr>
                              <wps:bodyPr upright="1"/>
                            </wps:wsp>
                            <wps:wsp>
                              <wps:cNvPr id="254" name="曲线连接符 553"/>
                              <wps:cNvCnPr/>
                              <wps:spPr>
                                <a:xfrm rot="16200000">
                                  <a:off x="1332230" y="314325"/>
                                  <a:ext cx="262890" cy="282575"/>
                                </a:xfrm>
                                <a:prstGeom prst="curvedConnector3">
                                  <a:avLst>
                                    <a:gd name="adj1" fmla="val 50121"/>
                                  </a:avLst>
                                </a:prstGeom>
                                <a:ln w="9525" cap="flat" cmpd="sng">
                                  <a:solidFill>
                                    <a:srgbClr val="000000"/>
                                  </a:solidFill>
                                  <a:prstDash val="dash"/>
                                  <a:headEnd type="none" w="med" len="med"/>
                                  <a:tailEnd type="arrow" w="med" len="med"/>
                                </a:ln>
                                <a:effectLst/>
                              </wps:spPr>
                              <wps:bodyPr/>
                            </wps:wsp>
                            <wps:wsp>
                              <wps:cNvPr id="255" name="文本框 566"/>
                              <wps:cNvSpPr txBox="1"/>
                              <wps:spPr>
                                <a:xfrm>
                                  <a:off x="1398905" y="161925"/>
                                  <a:ext cx="452120" cy="207645"/>
                                </a:xfrm>
                                <a:prstGeom prst="rect">
                                  <a:avLst/>
                                </a:prstGeom>
                                <a:noFill/>
                                <a:ln>
                                  <a:noFill/>
                                </a:ln>
                                <a:effectLst/>
                              </wps:spPr>
                              <wps:txbx>
                                <w:txbxContent>
                                  <w:p w14:paraId="4C6EC179">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10750</w:t>
                                    </w:r>
                                  </w:p>
                                </w:txbxContent>
                              </wps:txbx>
                              <wps:bodyPr vert="horz" wrap="square" lIns="0" tIns="0" rIns="0" bIns="0" anchor="t" anchorCtr="0" upright="1">
                                <a:noAutofit/>
                              </wps:bodyPr>
                            </wps:wsp>
                            <wps:wsp>
                              <wps:cNvPr id="256" name="文本框 573"/>
                              <wps:cNvSpPr txBox="1"/>
                              <wps:spPr>
                                <a:xfrm>
                                  <a:off x="2503805" y="600075"/>
                                  <a:ext cx="659765" cy="248920"/>
                                </a:xfrm>
                                <a:prstGeom prst="rect">
                                  <a:avLst/>
                                </a:prstGeom>
                                <a:noFill/>
                                <a:ln w="9525" cap="flat" cmpd="sng">
                                  <a:solidFill>
                                    <a:srgbClr val="000000"/>
                                  </a:solidFill>
                                  <a:prstDash val="solid"/>
                                  <a:miter/>
                                  <a:headEnd type="none" w="med" len="med"/>
                                  <a:tailEnd type="none" w="med" len="med"/>
                                </a:ln>
                              </wps:spPr>
                              <wps:txbx>
                                <w:txbxContent>
                                  <w:p w14:paraId="7DB371CA">
                                    <w:pPr>
                                      <w:spacing w:line="240" w:lineRule="auto"/>
                                      <w:jc w:val="center"/>
                                      <w:rPr>
                                        <w:rFonts w:hint="default" w:ascii="Times New Roman" w:hAnsi="Times New Roman" w:eastAsia="宋体" w:cs="Times New Roman"/>
                                        <w:b w:val="0"/>
                                        <w:bCs/>
                                        <w:color w:val="000000"/>
                                        <w:kern w:val="2"/>
                                        <w:sz w:val="21"/>
                                        <w:szCs w:val="21"/>
                                        <w:highlight w:val="none"/>
                                        <w:lang w:val="en-US" w:eastAsia="zh-CN" w:bidi="ar-SA"/>
                                      </w:rPr>
                                    </w:pPr>
                                    <w:r>
                                      <w:rPr>
                                        <w:rFonts w:hint="eastAsia" w:ascii="Times New Roman" w:hAnsi="Times New Roman" w:eastAsia="宋体" w:cs="Times New Roman"/>
                                        <w:b w:val="0"/>
                                        <w:bCs/>
                                        <w:color w:val="000000"/>
                                        <w:kern w:val="2"/>
                                        <w:sz w:val="21"/>
                                        <w:szCs w:val="21"/>
                                        <w:highlight w:val="none"/>
                                        <w:lang w:val="en-US" w:eastAsia="zh-CN" w:bidi="ar-SA"/>
                                      </w:rPr>
                                      <w:t>化粪池</w:t>
                                    </w:r>
                                  </w:p>
                                </w:txbxContent>
                              </wps:txbx>
                              <wps:bodyPr lIns="0" tIns="3600" rIns="0" bIns="3600" upright="1"/>
                            </wps:wsp>
                            <wps:wsp>
                              <wps:cNvPr id="257" name="直接连接符 575"/>
                              <wps:cNvCnPr/>
                              <wps:spPr>
                                <a:xfrm flipV="1">
                                  <a:off x="3173095" y="718820"/>
                                  <a:ext cx="638175" cy="9525"/>
                                </a:xfrm>
                                <a:prstGeom prst="line">
                                  <a:avLst/>
                                </a:prstGeom>
                                <a:ln w="9525" cap="flat" cmpd="sng">
                                  <a:solidFill>
                                    <a:srgbClr val="000000"/>
                                  </a:solidFill>
                                  <a:prstDash val="solid"/>
                                  <a:round/>
                                  <a:headEnd type="none" w="med" len="med"/>
                                  <a:tailEnd type="triangle" w="med" len="med"/>
                                </a:ln>
                              </wps:spPr>
                              <wps:bodyPr upright="1"/>
                            </wps:wsp>
                            <wps:wsp>
                              <wps:cNvPr id="258" name="文本框 562"/>
                              <wps:cNvSpPr txBox="1"/>
                              <wps:spPr>
                                <a:xfrm>
                                  <a:off x="3246755" y="514350"/>
                                  <a:ext cx="454025" cy="203200"/>
                                </a:xfrm>
                                <a:prstGeom prst="rect">
                                  <a:avLst/>
                                </a:prstGeom>
                                <a:noFill/>
                                <a:ln>
                                  <a:noFill/>
                                </a:ln>
                              </wps:spPr>
                              <wps:txbx>
                                <w:txbxContent>
                                  <w:p w14:paraId="6AC45373">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43500</w:t>
                                    </w:r>
                                  </w:p>
                                </w:txbxContent>
                              </wps:txbx>
                              <wps:bodyPr lIns="0" tIns="0" rIns="0" bIns="0" upright="1"/>
                            </wps:wsp>
                            <wps:wsp>
                              <wps:cNvPr id="261" name="文本框 557"/>
                              <wps:cNvSpPr txBox="1"/>
                              <wps:spPr>
                                <a:xfrm>
                                  <a:off x="4441825" y="848995"/>
                                  <a:ext cx="666115" cy="546100"/>
                                </a:xfrm>
                                <a:prstGeom prst="rect">
                                  <a:avLst/>
                                </a:prstGeom>
                                <a:noFill/>
                                <a:ln>
                                  <a:noFill/>
                                </a:ln>
                                <a:effectLst/>
                              </wps:spPr>
                              <wps:txbx>
                                <w:txbxContent>
                                  <w:p w14:paraId="7CE414EC">
                                    <w:pPr>
                                      <w:jc w:val="center"/>
                                      <w:rPr>
                                        <w:rFonts w:hint="default" w:ascii="Times New Roman" w:hAnsi="Times New Roman" w:eastAsia="宋体" w:cs="Times New Roman"/>
                                        <w:sz w:val="28"/>
                                        <w:szCs w:val="24"/>
                                        <w:lang w:val="en-US" w:eastAsia="zh-CN" w:bidi="ar-SA"/>
                                      </w:rPr>
                                    </w:pPr>
                                    <w:r>
                                      <w:rPr>
                                        <w:rFonts w:hint="eastAsia" w:ascii="Times New Roman" w:hAnsi="宋体" w:cs="Times New Roman"/>
                                        <w:color w:val="auto"/>
                                        <w:sz w:val="21"/>
                                        <w:szCs w:val="21"/>
                                        <w:lang w:val="en-US" w:eastAsia="zh-CN" w:bidi="ar-SA"/>
                                      </w:rPr>
                                      <w:t>厂内污水处理站</w:t>
                                    </w:r>
                                  </w:p>
                                </w:txbxContent>
                              </wps:txbx>
                              <wps:bodyPr vert="horz" wrap="square" lIns="0" tIns="0" rIns="0" bIns="0" anchor="t" anchorCtr="0" upright="1"/>
                            </wps:wsp>
                            <wps:wsp>
                              <wps:cNvPr id="262" name="文本框 548"/>
                              <wps:cNvSpPr txBox="1"/>
                              <wps:spPr>
                                <a:xfrm>
                                  <a:off x="3869690" y="1821180"/>
                                  <a:ext cx="1311910" cy="241300"/>
                                </a:xfrm>
                                <a:prstGeom prst="rect">
                                  <a:avLst/>
                                </a:prstGeom>
                                <a:noFill/>
                                <a:ln>
                                  <a:noFill/>
                                </a:ln>
                                <a:effectLst/>
                              </wps:spPr>
                              <wps:txbx>
                                <w:txbxContent>
                                  <w:p w14:paraId="667192E5">
                                    <w:pPr>
                                      <w:jc w:val="center"/>
                                      <w:rPr>
                                        <w:rFonts w:hint="default"/>
                                        <w:sz w:val="21"/>
                                        <w:szCs w:val="21"/>
                                        <w:lang w:val="en-US" w:eastAsia="zh-CN"/>
                                      </w:rPr>
                                    </w:pPr>
                                    <w:r>
                                      <w:rPr>
                                        <w:rFonts w:hint="eastAsia" w:eastAsia="Calibri" w:cs="Times New Roman"/>
                                        <w:color w:val="000000"/>
                                        <w:kern w:val="2"/>
                                        <w:sz w:val="21"/>
                                        <w:szCs w:val="21"/>
                                        <w:lang w:val="en-US" w:eastAsia="zh-CN" w:bidi="ar-SA"/>
                                      </w:rPr>
                                      <w:t>石桥子污水处理厂</w:t>
                                    </w:r>
                                  </w:p>
                                </w:txbxContent>
                              </wps:txbx>
                              <wps:bodyPr vert="horz" wrap="square" lIns="0" tIns="0" rIns="0" bIns="0" anchor="t" anchorCtr="0" upright="1"/>
                            </wps:wsp>
                            <wps:wsp>
                              <wps:cNvPr id="264" name="直接连接符 582"/>
                              <wps:cNvCnPr/>
                              <wps:spPr>
                                <a:xfrm>
                                  <a:off x="4754880" y="1225550"/>
                                  <a:ext cx="8890" cy="598170"/>
                                </a:xfrm>
                                <a:prstGeom prst="line">
                                  <a:avLst/>
                                </a:prstGeom>
                                <a:ln w="9525" cap="flat" cmpd="sng">
                                  <a:solidFill>
                                    <a:srgbClr val="000000"/>
                                  </a:solidFill>
                                  <a:prstDash val="solid"/>
                                  <a:round/>
                                  <a:headEnd type="none" w="med" len="med"/>
                                  <a:tailEnd type="triangle" w="med" len="med"/>
                                </a:ln>
                              </wps:spPr>
                              <wps:bodyPr upright="1"/>
                            </wps:wsp>
                            <wps:wsp>
                              <wps:cNvPr id="310" name="直接连接符 589"/>
                              <wps:cNvCnPr/>
                              <wps:spPr>
                                <a:xfrm flipV="1">
                                  <a:off x="542290" y="1608455"/>
                                  <a:ext cx="635000" cy="6350"/>
                                </a:xfrm>
                                <a:prstGeom prst="line">
                                  <a:avLst/>
                                </a:prstGeom>
                                <a:ln w="9525" cap="flat" cmpd="sng">
                                  <a:solidFill>
                                    <a:srgbClr val="000000"/>
                                  </a:solidFill>
                                  <a:prstDash val="solid"/>
                                  <a:round/>
                                  <a:headEnd type="none" w="med" len="med"/>
                                  <a:tailEnd type="triangle" w="med" len="med"/>
                                </a:ln>
                              </wps:spPr>
                              <wps:bodyPr upright="1"/>
                            </wps:wsp>
                            <wps:wsp>
                              <wps:cNvPr id="313" name="文本框 573"/>
                              <wps:cNvSpPr txBox="1"/>
                              <wps:spPr>
                                <a:xfrm>
                                  <a:off x="1180465" y="1456055"/>
                                  <a:ext cx="1249680" cy="248920"/>
                                </a:xfrm>
                                <a:prstGeom prst="rect">
                                  <a:avLst/>
                                </a:prstGeom>
                                <a:noFill/>
                                <a:ln w="9525" cap="flat" cmpd="sng">
                                  <a:solidFill>
                                    <a:srgbClr val="000000"/>
                                  </a:solidFill>
                                  <a:prstDash val="solid"/>
                                  <a:miter/>
                                  <a:headEnd type="none" w="med" len="med"/>
                                  <a:tailEnd type="none" w="med" len="med"/>
                                </a:ln>
                              </wps:spPr>
                              <wps:txbx>
                                <w:txbxContent>
                                  <w:p w14:paraId="1B205B76">
                                    <w:pPr>
                                      <w:spacing w:line="240" w:lineRule="auto"/>
                                      <w:jc w:val="center"/>
                                      <w:rPr>
                                        <w:rFonts w:hint="eastAsia" w:ascii="Times New Roman" w:hAnsi="Times New Roman" w:eastAsia="宋体" w:cs="Times New Roman"/>
                                        <w:b w:val="0"/>
                                        <w:bCs/>
                                        <w:color w:val="000000"/>
                                        <w:kern w:val="2"/>
                                        <w:sz w:val="21"/>
                                        <w:szCs w:val="21"/>
                                        <w:highlight w:val="none"/>
                                        <w:lang w:val="en-US" w:eastAsia="zh-CN" w:bidi="ar-SA"/>
                                      </w:rPr>
                                    </w:pPr>
                                    <w:r>
                                      <w:rPr>
                                        <w:rFonts w:hint="eastAsia" w:cs="Times New Roman"/>
                                        <w:b w:val="0"/>
                                        <w:bCs/>
                                        <w:color w:val="000000"/>
                                        <w:kern w:val="2"/>
                                        <w:sz w:val="21"/>
                                        <w:szCs w:val="21"/>
                                        <w:highlight w:val="none"/>
                                        <w:lang w:val="en-US" w:eastAsia="zh-CN" w:bidi="ar-SA"/>
                                      </w:rPr>
                                      <w:t>现有项目</w:t>
                                    </w:r>
                                    <w:r>
                                      <w:rPr>
                                        <w:rFonts w:hint="eastAsia" w:ascii="Times New Roman" w:hAnsi="Times New Roman" w:eastAsia="宋体" w:cs="Times New Roman"/>
                                        <w:b w:val="0"/>
                                        <w:bCs/>
                                        <w:color w:val="000000"/>
                                        <w:kern w:val="2"/>
                                        <w:sz w:val="21"/>
                                        <w:szCs w:val="21"/>
                                        <w:highlight w:val="none"/>
                                        <w:lang w:val="en-US" w:eastAsia="zh-CN" w:bidi="ar-SA"/>
                                      </w:rPr>
                                      <w:t>生产用水</w:t>
                                    </w:r>
                                  </w:p>
                                </w:txbxContent>
                              </wps:txbx>
                              <wps:bodyPr lIns="0" tIns="3600" rIns="0" bIns="3600" upright="1"/>
                            </wps:wsp>
                            <wps:wsp>
                              <wps:cNvPr id="314" name="文本框 562"/>
                              <wps:cNvSpPr txBox="1"/>
                              <wps:spPr>
                                <a:xfrm>
                                  <a:off x="3046730" y="1370330"/>
                                  <a:ext cx="454025" cy="203200"/>
                                </a:xfrm>
                                <a:prstGeom prst="rect">
                                  <a:avLst/>
                                </a:prstGeom>
                                <a:noFill/>
                                <a:ln>
                                  <a:noFill/>
                                </a:ln>
                              </wps:spPr>
                              <wps:txbx>
                                <w:txbxContent>
                                  <w:p w14:paraId="36BE085C">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114500</w:t>
                                    </w:r>
                                  </w:p>
                                </w:txbxContent>
                              </wps:txbx>
                              <wps:bodyPr lIns="0" tIns="0" rIns="0" bIns="0" upright="1"/>
                            </wps:wsp>
                            <wps:wsp>
                              <wps:cNvPr id="315" name="直接连接符 575"/>
                              <wps:cNvCnPr/>
                              <wps:spPr>
                                <a:xfrm flipV="1">
                                  <a:off x="2428240" y="1566545"/>
                                  <a:ext cx="1383030" cy="10160"/>
                                </a:xfrm>
                                <a:prstGeom prst="line">
                                  <a:avLst/>
                                </a:prstGeom>
                                <a:ln w="9525" cap="flat" cmpd="sng">
                                  <a:solidFill>
                                    <a:srgbClr val="000000"/>
                                  </a:solidFill>
                                  <a:prstDash val="solid"/>
                                  <a:round/>
                                  <a:headEnd type="none" w="med" len="med"/>
                                  <a:tailEnd type="triangle" w="med" len="med"/>
                                </a:ln>
                              </wps:spPr>
                              <wps:bodyPr upright="1"/>
                            </wps:wsp>
                            <wps:wsp>
                              <wps:cNvPr id="316" name="文本框 562"/>
                              <wps:cNvSpPr txBox="1"/>
                              <wps:spPr>
                                <a:xfrm>
                                  <a:off x="598805" y="1408430"/>
                                  <a:ext cx="454025" cy="203200"/>
                                </a:xfrm>
                                <a:prstGeom prst="rect">
                                  <a:avLst/>
                                </a:prstGeom>
                                <a:noFill/>
                                <a:ln>
                                  <a:noFill/>
                                </a:ln>
                              </wps:spPr>
                              <wps:txbx>
                                <w:txbxContent>
                                  <w:p w14:paraId="4447F517">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416750</w:t>
                                    </w:r>
                                  </w:p>
                                </w:txbxContent>
                              </wps:txbx>
                              <wps:bodyPr lIns="0" tIns="0" rIns="0" bIns="0" upright="1"/>
                            </wps:wsp>
                            <wps:wsp>
                              <wps:cNvPr id="317" name="曲线连接符 553"/>
                              <wps:cNvCnPr/>
                              <wps:spPr>
                                <a:xfrm rot="16200000">
                                  <a:off x="1589405" y="1189355"/>
                                  <a:ext cx="262890" cy="282575"/>
                                </a:xfrm>
                                <a:prstGeom prst="curvedConnector3">
                                  <a:avLst>
                                    <a:gd name="adj1" fmla="val 50121"/>
                                  </a:avLst>
                                </a:prstGeom>
                                <a:ln w="9525" cap="flat" cmpd="sng">
                                  <a:solidFill>
                                    <a:srgbClr val="000000"/>
                                  </a:solidFill>
                                  <a:prstDash val="dash"/>
                                  <a:headEnd type="none" w="med" len="med"/>
                                  <a:tailEnd type="arrow" w="med" len="med"/>
                                </a:ln>
                                <a:effectLst/>
                              </wps:spPr>
                              <wps:bodyPr/>
                            </wps:wsp>
                            <wps:wsp>
                              <wps:cNvPr id="318" name="文本框 566"/>
                              <wps:cNvSpPr txBox="1"/>
                              <wps:spPr>
                                <a:xfrm>
                                  <a:off x="1675130" y="1017905"/>
                                  <a:ext cx="518160" cy="198755"/>
                                </a:xfrm>
                                <a:prstGeom prst="rect">
                                  <a:avLst/>
                                </a:prstGeom>
                                <a:noFill/>
                                <a:ln>
                                  <a:noFill/>
                                </a:ln>
                                <a:effectLst/>
                              </wps:spPr>
                              <wps:txbx>
                                <w:txbxContent>
                                  <w:p w14:paraId="4BE3D93B">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302250</w:t>
                                    </w:r>
                                  </w:p>
                                </w:txbxContent>
                              </wps:txbx>
                              <wps:bodyPr vert="horz" wrap="square" lIns="0" tIns="0" rIns="0" bIns="0" anchor="t" anchorCtr="0" upright="1">
                                <a:noAutofit/>
                              </wps:bodyPr>
                            </wps:wsp>
                            <wps:wsp>
                              <wps:cNvPr id="338" name="文本框 585"/>
                              <wps:cNvSpPr txBox="1"/>
                              <wps:spPr>
                                <a:xfrm>
                                  <a:off x="3837305" y="875030"/>
                                  <a:ext cx="651510" cy="200025"/>
                                </a:xfrm>
                                <a:prstGeom prst="rect">
                                  <a:avLst/>
                                </a:prstGeom>
                                <a:noFill/>
                                <a:ln>
                                  <a:noFill/>
                                </a:ln>
                              </wps:spPr>
                              <wps:txbx>
                                <w:txbxContent>
                                  <w:p w14:paraId="39452860">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158000</w:t>
                                    </w:r>
                                  </w:p>
                                </w:txbxContent>
                              </wps:txbx>
                              <wps:bodyPr lIns="0" tIns="0" rIns="0" bIns="0" upright="1"/>
                            </wps:wsp>
                            <wps:wsp>
                              <wps:cNvPr id="394" name="直接箭头连接符 727"/>
                              <wps:cNvCnPr/>
                              <wps:spPr>
                                <a:xfrm>
                                  <a:off x="3799205" y="713105"/>
                                  <a:ext cx="12065" cy="862965"/>
                                </a:xfrm>
                                <a:prstGeom prst="straightConnector1">
                                  <a:avLst/>
                                </a:prstGeom>
                                <a:ln w="9525" cap="flat" cmpd="sng">
                                  <a:solidFill>
                                    <a:srgbClr val="000000"/>
                                  </a:solidFill>
                                  <a:prstDash val="solid"/>
                                  <a:round/>
                                  <a:headEnd type="none" w="med" len="med"/>
                                  <a:tailEnd type="none" w="med" len="med"/>
                                </a:ln>
                              </wps:spPr>
                              <wps:bodyPr/>
                            </wps:wsp>
                            <wps:wsp>
                              <wps:cNvPr id="395" name="直接连接符 575"/>
                              <wps:cNvCnPr/>
                              <wps:spPr>
                                <a:xfrm>
                                  <a:off x="3799205" y="1080135"/>
                                  <a:ext cx="716915" cy="10160"/>
                                </a:xfrm>
                                <a:prstGeom prst="line">
                                  <a:avLst/>
                                </a:prstGeom>
                                <a:ln w="9525" cap="flat" cmpd="sng">
                                  <a:solidFill>
                                    <a:srgbClr val="000000"/>
                                  </a:solidFill>
                                  <a:prstDash val="solid"/>
                                  <a:round/>
                                  <a:headEnd type="none" w="med" len="med"/>
                                  <a:tailEnd type="triangle" w="med" len="med"/>
                                </a:ln>
                              </wps:spPr>
                              <wps:bodyPr upright="1"/>
                            </wps:wsp>
                          </wpc:wpc>
                        </a:graphicData>
                      </a:graphic>
                    </wp:anchor>
                  </w:drawing>
                </mc:Choice>
                <mc:Fallback>
                  <w:pict>
                    <v:group id="_x0000_s1026" o:spid="_x0000_s1026" o:spt="203" style="position:absolute;left:0pt;margin-left:1.35pt;margin-top:1.85pt;height:167.1pt;width:408.2pt;mso-wrap-distance-bottom:0pt;mso-wrap-distance-top:0pt;z-index:251664384;mso-width-relative:page;mso-height-relative:page;" coordsize="5184140,2122170" editas="canvas" o:gfxdata="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">
                      <o:lock v:ext="edit" aspectratio="f"/>
                      <v:shape id="_x0000_s1026" o:spid="_x0000_s1026" style="position:absolute;left:0;top:0;height:2122170;width:5184140;" filled="f" stroked="f" coordsize="21600,21600" o:gfxdata="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">
                        <v:fill on="f" focussize="0,0"/>
                        <v:stroke on="f"/>
                        <v:imagedata o:title=""/>
                        <o:lock v:ext="edit" aspectratio="f"/>
                      </v:shape>
                      <v:shape id="文本框 543" o:spid="_x0000_s1026" o:spt="202" type="#_x0000_t202" style="position:absolute;left:50165;top:937895;height:242570;width:471805;" filled="f" stroked="f" coordsize="21600,21600" o:gfxdata="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FsF&#10;60vWAAAABwEAAA8AAAAAAAAAAQAgAAAAIgAAAGRycy9kb3ducmV2LnhtbFBLAQIUABQAAAAIAIdO&#10;4kCJvD+/7AEAAL8DAAAOAAAAAAAAAAEAIAAAACUBAABkcnMvZTJvRG9jLnhtbFBLBQYAAAAABgAG&#10;AFkBAACDBQAAAAA=&#10;">
                        <v:fill on="f" focussize="0,0"/>
                        <v:stroke on="f"/>
                        <v:imagedata o:title=""/>
                        <o:lock v:ext="edit" aspectratio="f"/>
                        <v:textbox inset="0mm,0mm,0mm,0mm">
                          <w:txbxContent>
                            <w:p w14:paraId="19D7FDC1">
                              <w:pPr>
                                <w:rPr>
                                  <w:rFonts w:hint="eastAsia" w:ascii="Times New Roman" w:hAnsi="Times New Roman" w:eastAsia="宋体" w:cs="Times New Roman"/>
                                  <w:sz w:val="21"/>
                                  <w:szCs w:val="21"/>
                                  <w:lang w:eastAsia="zh-CN" w:bidi="ar-SA"/>
                                </w:rPr>
                              </w:pPr>
                              <w:r>
                                <w:rPr>
                                  <w:rFonts w:hint="eastAsia" w:ascii="Times New Roman" w:hAnsi="Times New Roman" w:cs="Times New Roman"/>
                                  <w:sz w:val="21"/>
                                  <w:szCs w:val="21"/>
                                  <w:lang w:eastAsia="zh-CN" w:bidi="ar-SA"/>
                                </w:rPr>
                                <w:t>新鲜水</w:t>
                              </w:r>
                            </w:p>
                          </w:txbxContent>
                        </v:textbox>
                      </v:shape>
                      <v:shape id="文本框 544" o:spid="_x0000_s1026" o:spt="202" type="#_x0000_t202" style="position:absolute;left:7620;top:1198880;height:464185;width:522605;" filled="f" stroked="f" coordsize="21600,21600" o:gfxdata="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FsF60vWAAAABwEAAA8AAAAAAAAAAQAgAAAAIgAAAGRycy9kb3ducmV2&#10;LnhtbFBLAQIUABQAAAAIAIdO4kDsWbbfxQEAAH4DAAAOAAAAAAAAAAEAIAAAACUBAABkcnMvZTJv&#10;RG9jLnhtbFBLBQYAAAAABgAGAFkBAABcBQAAAAA=&#10;">
                        <v:fill on="f" focussize="0,0"/>
                        <v:stroke on="f"/>
                        <v:imagedata o:title=""/>
                        <o:lock v:ext="edit" aspectratio="f"/>
                        <v:textbox inset="0mm,0mm,0mm,0mm">
                          <w:txbxContent>
                            <w:p w14:paraId="18F6606C">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471000</w:t>
                              </w:r>
                            </w:p>
                          </w:txbxContent>
                        </v:textbox>
                      </v:shape>
                      <v:line id="直接连接符 568" o:spid="_x0000_s1026" o:spt="20" style="position:absolute;left:27305;top:1175385;flip:y;height:5080;width:516890;" filled="f" stroked="t" coordsize="21600,21600" o:gfxdata="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Ch61U1wAAAAcB&#10;AAAPAAAAAAAAAAEAIAAAACIAAABkcnMvZG93bnJldi54bWxQSwECFAAUAAAACACHTuJA8CuhThwC&#10;AAAMBAAADgAAAAAAAAABACAAAAAmAQAAZHJzL2Uyb0RvYy54bWxQSwUGAAAAAAYABgBZAQAAtAUA&#10;AAAA&#10;">
                        <v:fill on="f" focussize="0,0"/>
                        <v:stroke color="#000000" joinstyle="round" endarrow="block"/>
                        <v:imagedata o:title=""/>
                        <o:lock v:ext="edit" aspectratio="f"/>
                      </v:line>
                      <v:shape id="直接箭头连接符 727" o:spid="_x0000_s1026" o:spt="32" type="#_x0000_t32" style="position:absolute;left:547370;top:708660;height:896620;width:4445;" filled="f" stroked="t" coordsize="21600,21600" o:gfxdata="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BZsbvzVAAAABwEAAA8AAAAAAAAA&#10;AQAgAAAAIgAAAGRycy9kb3ducmV2LnhtbFBLAQIUABQAAAAIAIdO4kAyQtE5FAIAAAYEAAAOAAAA&#10;AAAAAAEAIAAAACQBAABkcnMvZTJvRG9jLnhtbFBLBQYAAAAABgAGAFkBAACqBQAAAAA=&#10;">
                        <v:fill on="f" focussize="0,0"/>
                        <v:stroke color="#000000" joinstyle="round"/>
                        <v:imagedata o:title=""/>
                        <o:lock v:ext="edit" aspectratio="f"/>
                      </v:shape>
                      <v:line id="直接连接符 589" o:spid="_x0000_s1026" o:spt="20" style="position:absolute;left:544195;top:704850;flip:y;height:5080;width:454660;" filled="f" stroked="t" coordsize="21600,21600" o:gfxdata="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AoetVNcAAAAHAQAA&#10;DwAAAAAAAAABACAAAAAiAAAAZHJzL2Rvd25yZXYueG1sUEsBAhQAFAAAAAgAh07iQFsj12QaAgAA&#10;DAQAAA4AAAAAAAAAAQAgAAAAJgEAAGRycy9lMm9Eb2MueG1sUEsFBgAAAAAGAAYAWQEAALIFAAAA&#10;AA==&#10;">
                        <v:fill on="f" focussize="0,0"/>
                        <v:stroke color="#000000" joinstyle="round" endarrow="block"/>
                        <v:imagedata o:title=""/>
                        <o:lock v:ext="edit" aspectratio="f"/>
                      </v:line>
                      <v:shape id="文本框 573" o:spid="_x0000_s1026" o:spt="202" type="#_x0000_t202" style="position:absolute;left:998855;top:590550;height:248920;width:945515;" filled="f" stroked="t" coordsize="21600,21600" o:gfxdata="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J40&#10;V8fXAAAABwEAAA8AAAAAAAAAAQAgAAAAIgAAAGRycy9kb3ducmV2LnhtbFBLAQIUABQAAAAIAIdO&#10;4kBU3G+QJAIAAEQEAAAOAAAAAAAAAAEAIAAAACYBAABkcnMvZTJvRG9jLnhtbFBLBQYAAAAABgAG&#10;AFkBAAC8BQAAAAA=&#10;">
                        <v:fill on="f" focussize="0,0"/>
                        <v:stroke color="#000000" joinstyle="miter"/>
                        <v:imagedata o:title=""/>
                        <o:lock v:ext="edit" aspectratio="f"/>
                        <v:textbox inset="0mm,0.1mm,0mm,0.1mm">
                          <w:txbxContent>
                            <w:p w14:paraId="50837AC1">
                              <w:pPr>
                                <w:spacing w:line="240" w:lineRule="auto"/>
                                <w:jc w:val="center"/>
                                <w:rPr>
                                  <w:rFonts w:hint="eastAsia" w:ascii="Times New Roman" w:hAnsi="Times New Roman" w:eastAsia="宋体" w:cs="Times New Roman"/>
                                  <w:b w:val="0"/>
                                  <w:bCs/>
                                  <w:color w:val="000000"/>
                                  <w:kern w:val="2"/>
                                  <w:sz w:val="21"/>
                                  <w:szCs w:val="21"/>
                                  <w:highlight w:val="none"/>
                                  <w:lang w:val="en-US" w:eastAsia="zh-CN" w:bidi="ar-SA"/>
                                </w:rPr>
                              </w:pPr>
                              <w:r>
                                <w:rPr>
                                  <w:rFonts w:hint="eastAsia" w:ascii="Times New Roman" w:hAnsi="Times New Roman" w:eastAsia="宋体" w:cs="Times New Roman"/>
                                  <w:b w:val="0"/>
                                  <w:bCs/>
                                  <w:color w:val="000000"/>
                                  <w:kern w:val="2"/>
                                  <w:sz w:val="21"/>
                                  <w:szCs w:val="21"/>
                                  <w:highlight w:val="none"/>
                                  <w:lang w:val="en-US" w:eastAsia="zh-CN" w:bidi="ar-SA"/>
                                </w:rPr>
                                <w:t>生活用水</w:t>
                              </w:r>
                            </w:p>
                          </w:txbxContent>
                        </v:textbox>
                      </v:shape>
                      <v:shape id="文本框 586" o:spid="_x0000_s1026" o:spt="202" type="#_x0000_t202" style="position:absolute;left:503555;top:495300;height:197485;width:520065;" filled="f" stroked="f" coordsize="21600,21600" o:gfxdata="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BbBetL1gAAAAcBAAAPAAAAAAAAAAEAIAAAACIAAABkcnMvZG93bnJl&#10;di54bWxQSwECFAAUAAAACACHTuJADCNKxMYBAAB/AwAADgAAAAAAAAABACAAAAAlAQAAZHJzL2Uy&#10;b0RvYy54bWxQSwUGAAAAAAYABgBZAQAAXQUAAAAA&#10;">
                        <v:fill on="f" focussize="0,0"/>
                        <v:stroke on="f"/>
                        <v:imagedata o:title=""/>
                        <o:lock v:ext="edit" aspectratio="f"/>
                        <v:textbox inset="0mm,0mm,0mm,0mm">
                          <w:txbxContent>
                            <w:p w14:paraId="04528AFF">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54250</w:t>
                              </w:r>
                            </w:p>
                          </w:txbxContent>
                        </v:textbox>
                      </v:shape>
                      <v:line id="直接连接符 575" o:spid="_x0000_s1026" o:spt="20" style="position:absolute;left:1941830;top:718820;flip:y;height:5080;width:574040;" filled="f" stroked="t" coordsize="21600,21600" o:gfxdata="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Ch61U1wAAAAcB&#10;AAAPAAAAAAAAAAEAIAAAACIAAABkcnMvZG93bnJldi54bWxQSwECFAAUAAAACACHTuJAHkBnwRwC&#10;AAANBAAADgAAAAAAAAABACAAAAAmAQAAZHJzL2Uyb0RvYy54bWxQSwUGAAAAAAYABgBZAQAAtAUA&#10;AAAA&#10;">
                        <v:fill on="f" focussize="0,0"/>
                        <v:stroke color="#000000" joinstyle="round" endarrow="block"/>
                        <v:imagedata o:title=""/>
                        <o:lock v:ext="edit" aspectratio="f"/>
                      </v:line>
                      <v:shape id="曲线连接符 553" o:spid="_x0000_s1026" o:spt="38" type="#_x0000_t38" style="position:absolute;left:1332230;top:314325;height:282575;width:262890;rotation:-5898240f;" filled="f" stroked="t" coordsize="21600,21600" o:gfxdata="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CTrbfbXAAAABwEAAA8AAAAAAAAAAQAgAAAAIgAAAGRycy9kb3du&#10;cmV2LnhtbFBLAQIUABQAAAAIAIdO4kCz7r/iOQIAAEEEAAAOAAAAAAAAAAEAIAAAACYBAABkcnMv&#10;ZTJvRG9jLnhtbFBLBQYAAAAABgAGAFkBAADRBQAAAAA=&#10;" adj="10826">
                        <v:fill on="f" focussize="0,0"/>
                        <v:stroke color="#000000" joinstyle="round" dashstyle="dash" endarrow="open"/>
                        <v:imagedata o:title=""/>
                        <o:lock v:ext="edit" aspectratio="f"/>
                      </v:shape>
                      <v:shape id="文本框 566" o:spid="_x0000_s1026" o:spt="202" type="#_x0000_t202" style="position:absolute;left:1398905;top:161925;height:207645;width:452120;" filled="f" stroked="f" coordsize="21600,21600" o:gfxdata="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FsF60vWAAAABwEAAA8AAAAAAAAAAQAgAAAAIgAAAGRycy9kb3ducmV2LnhtbFBL&#10;AQIUABQAAAAIAIdO4kALLmmt+AEAANsDAAAOAAAAAAAAAAEAIAAAACUBAABkcnMvZTJvRG9jLnht&#10;bFBLBQYAAAAABgAGAFkBAACPBQAAAAA=&#10;">
                        <v:fill on="f" focussize="0,0"/>
                        <v:stroke on="f"/>
                        <v:imagedata o:title=""/>
                        <o:lock v:ext="edit" aspectratio="f"/>
                        <v:textbox inset="0mm,0mm,0mm,0mm">
                          <w:txbxContent>
                            <w:p w14:paraId="4C6EC179">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10750</w:t>
                              </w:r>
                            </w:p>
                          </w:txbxContent>
                        </v:textbox>
                      </v:shape>
                      <v:shape id="文本框 573" o:spid="_x0000_s1026" o:spt="202" type="#_x0000_t202" style="position:absolute;left:2503805;top:600075;height:248920;width:659765;" filled="f" stroked="t" coordsize="21600,21600" o:gfxdata="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J40V8fXAAAABwEAAA8AAAAAAAAAAQAgAAAAIgAAAGRycy9kb3ducmV2LnhtbFBLAQIUABQAAAAI&#10;AIdO4kDrsPHRJwIAAEUEAAAOAAAAAAAAAAEAIAAAACYBAABkcnMvZTJvRG9jLnhtbFBLBQYAAAAA&#10;BgAGAFkBAAC/BQAAAAA=&#10;">
                        <v:fill on="f" focussize="0,0"/>
                        <v:stroke color="#000000" joinstyle="miter"/>
                        <v:imagedata o:title=""/>
                        <o:lock v:ext="edit" aspectratio="f"/>
                        <v:textbox inset="0mm,0.1mm,0mm,0.1mm">
                          <w:txbxContent>
                            <w:p w14:paraId="7DB371CA">
                              <w:pPr>
                                <w:spacing w:line="240" w:lineRule="auto"/>
                                <w:jc w:val="center"/>
                                <w:rPr>
                                  <w:rFonts w:hint="default" w:ascii="Times New Roman" w:hAnsi="Times New Roman" w:eastAsia="宋体" w:cs="Times New Roman"/>
                                  <w:b w:val="0"/>
                                  <w:bCs/>
                                  <w:color w:val="000000"/>
                                  <w:kern w:val="2"/>
                                  <w:sz w:val="21"/>
                                  <w:szCs w:val="21"/>
                                  <w:highlight w:val="none"/>
                                  <w:lang w:val="en-US" w:eastAsia="zh-CN" w:bidi="ar-SA"/>
                                </w:rPr>
                              </w:pPr>
                              <w:r>
                                <w:rPr>
                                  <w:rFonts w:hint="eastAsia" w:ascii="Times New Roman" w:hAnsi="Times New Roman" w:eastAsia="宋体" w:cs="Times New Roman"/>
                                  <w:b w:val="0"/>
                                  <w:bCs/>
                                  <w:color w:val="000000"/>
                                  <w:kern w:val="2"/>
                                  <w:sz w:val="21"/>
                                  <w:szCs w:val="21"/>
                                  <w:highlight w:val="none"/>
                                  <w:lang w:val="en-US" w:eastAsia="zh-CN" w:bidi="ar-SA"/>
                                </w:rPr>
                                <w:t>化粪池</w:t>
                              </w:r>
                            </w:p>
                          </w:txbxContent>
                        </v:textbox>
                      </v:shape>
                      <v:line id="直接连接符 575" o:spid="_x0000_s1026" o:spt="20" style="position:absolute;left:3173095;top:718820;flip:y;height:9525;width:638175;" filled="f" stroked="t" coordsize="21600,21600" o:gfxdata="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AoetVNcAAAAHAQAA&#10;DwAAAAAAAAABACAAAAAiAAAAZHJzL2Rvd25yZXYueG1sUEsBAhQAFAAAAAgAh07iQH/lkqAaAgAA&#10;DQQAAA4AAAAAAAAAAQAgAAAAJgEAAGRycy9lMm9Eb2MueG1sUEsFBgAAAAAGAAYAWQEAALIFAAAA&#10;AA==&#10;">
                        <v:fill on="f" focussize="0,0"/>
                        <v:stroke color="#000000" joinstyle="round" endarrow="block"/>
                        <v:imagedata o:title=""/>
                        <o:lock v:ext="edit" aspectratio="f"/>
                      </v:line>
                      <v:shape id="文本框 562" o:spid="_x0000_s1026" o:spt="202" type="#_x0000_t202" style="position:absolute;left:3246755;top:514350;height:203200;width:454025;" filled="f" stroked="f" coordsize="21600,21600" o:gfxdata="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BbBetL1gAAAAcBAAAPAAAAAAAAAAEAIAAAACIAAABkcnMvZG93bnJl&#10;di54bWxQSwECFAAUAAAACACHTuJAJRzfJMYBAACAAwAADgAAAAAAAAABACAAAAAlAQAAZHJzL2Uy&#10;b0RvYy54bWxQSwUGAAAAAAYABgBZAQAAXQUAAAAA&#10;">
                        <v:fill on="f" focussize="0,0"/>
                        <v:stroke on="f"/>
                        <v:imagedata o:title=""/>
                        <o:lock v:ext="edit" aspectratio="f"/>
                        <v:textbox inset="0mm,0mm,0mm,0mm">
                          <w:txbxContent>
                            <w:p w14:paraId="6AC45373">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43500</w:t>
                              </w:r>
                            </w:p>
                          </w:txbxContent>
                        </v:textbox>
                      </v:shape>
                      <v:shape id="文本框 557" o:spid="_x0000_s1026" o:spt="202" type="#_x0000_t202" style="position:absolute;left:4441825;top:848995;height:546100;width:666115;" filled="f" stroked="f" coordsize="21600,21600" o:gfxdata="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b&#10;BetL1gAAAAcBAAAPAAAAAAAAAAEAIAAAACIAAABkcnMvZG93bnJldi54bWxQSwECFAAUAAAACACH&#10;TuJASb/WmO0BAADBAwAADgAAAAAAAAABACAAAAAlAQAAZHJzL2Uyb0RvYy54bWxQSwUGAAAAAAYA&#10;BgBZAQAAhAUAAAAA&#10;">
                        <v:fill on="f" focussize="0,0"/>
                        <v:stroke on="f"/>
                        <v:imagedata o:title=""/>
                        <o:lock v:ext="edit" aspectratio="f"/>
                        <v:textbox inset="0mm,0mm,0mm,0mm">
                          <w:txbxContent>
                            <w:p w14:paraId="7CE414EC">
                              <w:pPr>
                                <w:jc w:val="center"/>
                                <w:rPr>
                                  <w:rFonts w:hint="default" w:ascii="Times New Roman" w:hAnsi="Times New Roman" w:eastAsia="宋体" w:cs="Times New Roman"/>
                                  <w:sz w:val="28"/>
                                  <w:szCs w:val="24"/>
                                  <w:lang w:val="en-US" w:eastAsia="zh-CN" w:bidi="ar-SA"/>
                                </w:rPr>
                              </w:pPr>
                              <w:r>
                                <w:rPr>
                                  <w:rFonts w:hint="eastAsia" w:ascii="Times New Roman" w:hAnsi="宋体" w:cs="Times New Roman"/>
                                  <w:color w:val="auto"/>
                                  <w:sz w:val="21"/>
                                  <w:szCs w:val="21"/>
                                  <w:lang w:val="en-US" w:eastAsia="zh-CN" w:bidi="ar-SA"/>
                                </w:rPr>
                                <w:t>厂内污水处理站</w:t>
                              </w:r>
                            </w:p>
                          </w:txbxContent>
                        </v:textbox>
                      </v:shape>
                      <v:shape id="文本框 548" o:spid="_x0000_s1026" o:spt="202" type="#_x0000_t202" style="position:absolute;left:3869690;top:1821180;height:241300;width:1311910;" filled="f" stroked="f" coordsize="21600,21600" o:gfxdata="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FsF&#10;60vWAAAABwEAAA8AAAAAAAAAAQAgAAAAIgAAAGRycy9kb3ducmV2LnhtbFBLAQIUABQAAAAIAIdO&#10;4kA5HVFX7AEAAMMDAAAOAAAAAAAAAAEAIAAAACUBAABkcnMvZTJvRG9jLnhtbFBLBQYAAAAABgAG&#10;AFkBAACDBQAAAAA=&#10;">
                        <v:fill on="f" focussize="0,0"/>
                        <v:stroke on="f"/>
                        <v:imagedata o:title=""/>
                        <o:lock v:ext="edit" aspectratio="f"/>
                        <v:textbox inset="0mm,0mm,0mm,0mm">
                          <w:txbxContent>
                            <w:p w14:paraId="667192E5">
                              <w:pPr>
                                <w:jc w:val="center"/>
                                <w:rPr>
                                  <w:rFonts w:hint="default"/>
                                  <w:sz w:val="21"/>
                                  <w:szCs w:val="21"/>
                                  <w:lang w:val="en-US" w:eastAsia="zh-CN"/>
                                </w:rPr>
                              </w:pPr>
                              <w:r>
                                <w:rPr>
                                  <w:rFonts w:hint="eastAsia" w:eastAsia="Calibri" w:cs="Times New Roman"/>
                                  <w:color w:val="000000"/>
                                  <w:kern w:val="2"/>
                                  <w:sz w:val="21"/>
                                  <w:szCs w:val="21"/>
                                  <w:lang w:val="en-US" w:eastAsia="zh-CN" w:bidi="ar-SA"/>
                                </w:rPr>
                                <w:t>石桥子污水处理厂</w:t>
                              </w:r>
                            </w:p>
                          </w:txbxContent>
                        </v:textbox>
                      </v:shape>
                      <v:line id="直接连接符 582" o:spid="_x0000_s1026" o:spt="20" style="position:absolute;left:4754880;top:1225550;height:598170;width:8890;" filled="f" stroked="t" coordsize="21600,21600" o:gfxdata="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Ltg5xTYAAAABwEAAA8AAAAA&#10;AAAAAQAgAAAAIgAAAGRycy9kb3ducmV2LnhtbFBLAQIUABQAAAAIAIdO4kADDlBXFAIAAAQEAAAO&#10;AAAAAAAAAAEAIAAAACcBAABkcnMvZTJvRG9jLnhtbFBLBQYAAAAABgAGAFkBAACtBQAAAAA=&#10;">
                        <v:fill on="f" focussize="0,0"/>
                        <v:stroke color="#000000" joinstyle="round" endarrow="block"/>
                        <v:imagedata o:title=""/>
                        <o:lock v:ext="edit" aspectratio="f"/>
                      </v:line>
                      <v:line id="直接连接符 589" o:spid="_x0000_s1026" o:spt="20" style="position:absolute;left:542290;top:1608455;flip:y;height:6350;width:635000;" filled="f" stroked="t" coordsize="21600,21600" o:gfxdata="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AoetVNcAAAAHAQAADwAA&#10;AAAAAAABACAAAAAiAAAAZHJzL2Rvd25yZXYueG1sUEsBAhQAFAAAAAgAh07iQGx/ZxgXAgAADQQA&#10;AA4AAAAAAAAAAQAgAAAAJgEAAGRycy9lMm9Eb2MueG1sUEsFBgAAAAAGAAYAWQEAAK8FAAAAAA==&#10;">
                        <v:fill on="f" focussize="0,0"/>
                        <v:stroke color="#000000" joinstyle="round" endarrow="block"/>
                        <v:imagedata o:title=""/>
                        <o:lock v:ext="edit" aspectratio="f"/>
                      </v:line>
                      <v:shape id="文本框 573" o:spid="_x0000_s1026" o:spt="202" type="#_x0000_t202" style="position:absolute;left:1180465;top:1456055;height:248920;width:1249680;" filled="f" stroked="t" coordsize="21600,21600" o:gfxdata="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eNFfH1wAAAAcBAAAPAAAAAAAAAAEAIAAAACIAAABkcnMvZG93bnJldi54bWxQSwECFAAUAAAA&#10;CACHTuJALcaX1ygCAABHBAAADgAAAAAAAAABACAAAAAmAQAAZHJzL2Uyb0RvYy54bWxQSwUGAAAA&#10;AAYABgBZAQAAwAUAAAAA&#10;">
                        <v:fill on="f" focussize="0,0"/>
                        <v:stroke color="#000000" joinstyle="miter"/>
                        <v:imagedata o:title=""/>
                        <o:lock v:ext="edit" aspectratio="f"/>
                        <v:textbox inset="0mm,0.1mm,0mm,0.1mm">
                          <w:txbxContent>
                            <w:p w14:paraId="1B205B76">
                              <w:pPr>
                                <w:spacing w:line="240" w:lineRule="auto"/>
                                <w:jc w:val="center"/>
                                <w:rPr>
                                  <w:rFonts w:hint="eastAsia" w:ascii="Times New Roman" w:hAnsi="Times New Roman" w:eastAsia="宋体" w:cs="Times New Roman"/>
                                  <w:b w:val="0"/>
                                  <w:bCs/>
                                  <w:color w:val="000000"/>
                                  <w:kern w:val="2"/>
                                  <w:sz w:val="21"/>
                                  <w:szCs w:val="21"/>
                                  <w:highlight w:val="none"/>
                                  <w:lang w:val="en-US" w:eastAsia="zh-CN" w:bidi="ar-SA"/>
                                </w:rPr>
                              </w:pPr>
                              <w:r>
                                <w:rPr>
                                  <w:rFonts w:hint="eastAsia" w:cs="Times New Roman"/>
                                  <w:b w:val="0"/>
                                  <w:bCs/>
                                  <w:color w:val="000000"/>
                                  <w:kern w:val="2"/>
                                  <w:sz w:val="21"/>
                                  <w:szCs w:val="21"/>
                                  <w:highlight w:val="none"/>
                                  <w:lang w:val="en-US" w:eastAsia="zh-CN" w:bidi="ar-SA"/>
                                </w:rPr>
                                <w:t>现有项目</w:t>
                              </w:r>
                              <w:r>
                                <w:rPr>
                                  <w:rFonts w:hint="eastAsia" w:ascii="Times New Roman" w:hAnsi="Times New Roman" w:eastAsia="宋体" w:cs="Times New Roman"/>
                                  <w:b w:val="0"/>
                                  <w:bCs/>
                                  <w:color w:val="000000"/>
                                  <w:kern w:val="2"/>
                                  <w:sz w:val="21"/>
                                  <w:szCs w:val="21"/>
                                  <w:highlight w:val="none"/>
                                  <w:lang w:val="en-US" w:eastAsia="zh-CN" w:bidi="ar-SA"/>
                                </w:rPr>
                                <w:t>生产用水</w:t>
                              </w:r>
                            </w:p>
                          </w:txbxContent>
                        </v:textbox>
                      </v:shape>
                      <v:shape id="文本框 562" o:spid="_x0000_s1026" o:spt="202" type="#_x0000_t202" style="position:absolute;left:3046730;top:1370330;height:203200;width:454025;" filled="f" stroked="f" coordsize="21600,21600" o:gfxdata="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bBetL1gAAAAcBAAAPAAAAAAAAAAEAIAAAACIAAABkcnMvZG93&#10;bnJldi54bWxQSwECFAAUAAAACACHTuJAPfwqi8kBAACBAwAADgAAAAAAAAABACAAAAAlAQAAZHJz&#10;L2Uyb0RvYy54bWxQSwUGAAAAAAYABgBZAQAAYAUAAAAA&#10;">
                        <v:fill on="f" focussize="0,0"/>
                        <v:stroke on="f"/>
                        <v:imagedata o:title=""/>
                        <o:lock v:ext="edit" aspectratio="f"/>
                        <v:textbox inset="0mm,0mm,0mm,0mm">
                          <w:txbxContent>
                            <w:p w14:paraId="36BE085C">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114500</w:t>
                              </w:r>
                            </w:p>
                          </w:txbxContent>
                        </v:textbox>
                      </v:shape>
                      <v:line id="直接连接符 575" o:spid="_x0000_s1026" o:spt="20" style="position:absolute;left:2428240;top:1566545;flip:y;height:10160;width:1383030;" filled="f" stroked="t" coordsize="21600,21600" o:gfxdata="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AKHrVTXAAAA&#10;BwEAAA8AAAAAAAAAAQAgAAAAIgAAAGRycy9kb3ducmV2LnhtbFBLAQIUABQAAAAIAIdO4kCDpfHR&#10;HgIAABAEAAAOAAAAAAAAAAEAIAAAACYBAABkcnMvZTJvRG9jLnhtbFBLBQYAAAAABgAGAFkBAAC2&#10;BQAAAAA=&#10;">
                        <v:fill on="f" focussize="0,0"/>
                        <v:stroke color="#000000" joinstyle="round" endarrow="block"/>
                        <v:imagedata o:title=""/>
                        <o:lock v:ext="edit" aspectratio="f"/>
                      </v:line>
                      <v:shape id="文本框 562" o:spid="_x0000_s1026" o:spt="202" type="#_x0000_t202" style="position:absolute;left:598805;top:1408430;height:203200;width:454025;" filled="f" stroked="f" coordsize="21600,21600" o:gfxdata="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BbBetL1gAAAAcBAAAPAAAAAAAAAAEAIAAAACIAAABkcnMvZG93bnJl&#10;di54bWxQSwECFAAUAAAACACHTuJA1CriUcYBAACAAwAADgAAAAAAAAABACAAAAAlAQAAZHJzL2Uy&#10;b0RvYy54bWxQSwUGAAAAAAYABgBZAQAAXQUAAAAA&#10;">
                        <v:fill on="f" focussize="0,0"/>
                        <v:stroke on="f"/>
                        <v:imagedata o:title=""/>
                        <o:lock v:ext="edit" aspectratio="f"/>
                        <v:textbox inset="0mm,0mm,0mm,0mm">
                          <w:txbxContent>
                            <w:p w14:paraId="4447F517">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416750</w:t>
                              </w:r>
                            </w:p>
                          </w:txbxContent>
                        </v:textbox>
                      </v:shape>
                      <v:shape id="曲线连接符 553" o:spid="_x0000_s1026" o:spt="38" type="#_x0000_t38" style="position:absolute;left:1589405;top:1189355;height:282575;width:262890;rotation:-5898240f;" filled="f" stroked="t" coordsize="21600,21600" o:gfxdata="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k62321wAAAAcBAAAPAAAAAAAAAAEAIAAAACIAAABkcnMvZG93&#10;bnJldi54bWxQSwECFAAUAAAACACHTuJAHOTJ9joCAABCBAAADgAAAAAAAAABACAAAAAmAQAAZHJz&#10;L2Uyb0RvYy54bWxQSwUGAAAAAAYABgBZAQAA0gUAAAAA&#10;" adj="10826">
                        <v:fill on="f" focussize="0,0"/>
                        <v:stroke color="#000000" joinstyle="round" dashstyle="dash" endarrow="open"/>
                        <v:imagedata o:title=""/>
                        <o:lock v:ext="edit" aspectratio="f"/>
                      </v:shape>
                      <v:shape id="文本框 566" o:spid="_x0000_s1026" o:spt="202" type="#_x0000_t202" style="position:absolute;left:1675130;top:1017905;height:198755;width:518160;" filled="f" stroked="f" coordsize="21600,21600" o:gfxdata="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FsF60vWAAAABwEAAA8AAAAAAAAAAQAgAAAAIgAAAGRycy9kb3ducmV2LnhtbFBL&#10;AQIUABQAAAAIAIdO4kD7LwmK+AEAANwDAAAOAAAAAAAAAAEAIAAAACUBAABkcnMvZTJvRG9jLnht&#10;bFBLBQYAAAAABgAGAFkBAACPBQAAAAA=&#10;">
                        <v:fill on="f" focussize="0,0"/>
                        <v:stroke on="f"/>
                        <v:imagedata o:title=""/>
                        <o:lock v:ext="edit" aspectratio="f"/>
                        <v:textbox inset="0mm,0mm,0mm,0mm">
                          <w:txbxContent>
                            <w:p w14:paraId="4BE3D93B">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302250</w:t>
                              </w:r>
                            </w:p>
                          </w:txbxContent>
                        </v:textbox>
                      </v:shape>
                      <v:shape id="文本框 585" o:spid="_x0000_s1026" o:spt="202" type="#_x0000_t202" style="position:absolute;left:3837305;top:875030;height:200025;width:651510;" filled="f" stroked="f" coordsize="21600,21600" o:gfxdata="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FsF60vWAAAABwEAAA8AAAAAAAAAAQAgAAAAIgAAAGRycy9kb3du&#10;cmV2LnhtbFBLAQIUABQAAAAIAIdO4kBiWP4IyAEAAIADAAAOAAAAAAAAAAEAIAAAACUBAABkcnMv&#10;ZTJvRG9jLnhtbFBLBQYAAAAABgAGAFkBAABfBQAAAAA=&#10;">
                        <v:fill on="f" focussize="0,0"/>
                        <v:stroke on="f"/>
                        <v:imagedata o:title=""/>
                        <o:lock v:ext="edit" aspectratio="f"/>
                        <v:textbox inset="0mm,0mm,0mm,0mm">
                          <w:txbxContent>
                            <w:p w14:paraId="39452860">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158000</w:t>
                              </w:r>
                            </w:p>
                          </w:txbxContent>
                        </v:textbox>
                      </v:shape>
                      <v:shape id="直接箭头连接符 727" o:spid="_x0000_s1026" o:spt="32" type="#_x0000_t32" style="position:absolute;left:3799205;top:713105;height:862965;width:12065;" filled="f" stroked="t" coordsize="21600,21600" o:gfxdata="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WbG781QAAAAcBAAAPAAAAAAAAAAEA&#10;IAAAACIAAABkcnMvZG93bnJldi54bWxQSwECFAAUAAAACACHTuJA6KZg4hICAAAIBAAADgAAAAAA&#10;AAABACAAAAAkAQAAZHJzL2Uyb0RvYy54bWxQSwUGAAAAAAYABgBZAQAAqAUAAAAA&#10;">
                        <v:fill on="f" focussize="0,0"/>
                        <v:stroke color="#000000" joinstyle="round"/>
                        <v:imagedata o:title=""/>
                        <o:lock v:ext="edit" aspectratio="f"/>
                      </v:shape>
                      <v:line id="直接连接符 575" o:spid="_x0000_s1026" o:spt="20" style="position:absolute;left:3799205;top:1080135;height:10160;width:716915;" filled="f" stroked="t" coordsize="21600,21600" o:gfxdata="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Ltg5xTYAAAABwEAAA8AAAAA&#10;AAAAAQAgAAAAIgAAAGRycy9kb3ducmV2LnhtbFBLAQIUABQAAAAIAIdO4kAMdd0aFAIAAAUEAAAO&#10;AAAAAAAAAAEAIAAAACcBAABkcnMvZTJvRG9jLnhtbFBLBQYAAAAABgAGAFkBAACtBQAAAAA=&#10;">
                        <v:fill on="f" focussize="0,0"/>
                        <v:stroke color="#000000" joinstyle="round" endarrow="block"/>
                        <v:imagedata o:title=""/>
                        <o:lock v:ext="edit" aspectratio="f"/>
                      </v:line>
                      <w10:wrap type="topAndBottom"/>
                    </v:group>
                  </w:pict>
                </mc:Fallback>
              </mc:AlternateContent>
            </w:r>
          </w:p>
          <w:p w14:paraId="1BB5E2C5">
            <w:pPr>
              <w:keepNext w:val="0"/>
              <w:keepLines w:val="0"/>
              <w:numPr>
                <w:ilvl w:val="0"/>
                <w:numId w:val="16"/>
              </w:numPr>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 xml:space="preserve">  现有</w:t>
            </w:r>
            <w:r>
              <w:rPr>
                <w:rFonts w:hint="default" w:cs="Times New Roman"/>
                <w:b/>
                <w:bCs/>
                <w:color w:val="000000" w:themeColor="text1"/>
                <w:sz w:val="24"/>
                <w:szCs w:val="24"/>
                <w:highlight w:val="none"/>
                <w:lang w:val="en-US" w:eastAsia="zh-CN"/>
                <w14:textFill>
                  <w14:solidFill>
                    <w14:schemeClr w14:val="tx1"/>
                  </w14:solidFill>
                </w14:textFill>
              </w:rPr>
              <w:t>项目水平衡图（m</w:t>
            </w:r>
            <w:r>
              <w:rPr>
                <w:rFonts w:hint="default" w:cs="Times New Roman"/>
                <w:b/>
                <w:bCs/>
                <w:color w:val="000000" w:themeColor="text1"/>
                <w:sz w:val="24"/>
                <w:szCs w:val="24"/>
                <w:highlight w:val="none"/>
                <w:vertAlign w:val="superscript"/>
                <w:lang w:val="en-US" w:eastAsia="zh-CN"/>
                <w14:textFill>
                  <w14:solidFill>
                    <w14:schemeClr w14:val="tx1"/>
                  </w14:solidFill>
                </w14:textFill>
              </w:rPr>
              <w:t>3</w:t>
            </w:r>
            <w:r>
              <w:rPr>
                <w:rFonts w:hint="default" w:cs="Times New Roman"/>
                <w:b/>
                <w:bCs/>
                <w:color w:val="000000" w:themeColor="text1"/>
                <w:sz w:val="24"/>
                <w:szCs w:val="24"/>
                <w:highlight w:val="none"/>
                <w:lang w:val="en-US" w:eastAsia="zh-CN"/>
                <w14:textFill>
                  <w14:solidFill>
                    <w14:schemeClr w14:val="tx1"/>
                  </w14:solidFill>
                </w14:textFill>
              </w:rPr>
              <w:t>/a）</w:t>
            </w:r>
          </w:p>
          <w:p w14:paraId="1DE3866A">
            <w:pPr>
              <w:keepNext w:val="0"/>
              <w:keepLines w:val="0"/>
              <w:suppressLineNumbers w:val="0"/>
              <w:spacing w:before="0" w:beforeAutospacing="0" w:after="0" w:afterAutospacing="0"/>
              <w:ind w:left="0" w:right="0"/>
              <w:rPr>
                <w:rFonts w:hint="default"/>
                <w:color w:val="000000" w:themeColor="text1"/>
                <w:highlight w:val="none"/>
                <w:lang w:val="en-US" w:eastAsia="zh-CN"/>
                <w14:textFill>
                  <w14:solidFill>
                    <w14:schemeClr w14:val="tx1"/>
                  </w14:solidFill>
                </w14:textFill>
              </w:rPr>
            </w:pPr>
          </w:p>
          <w:p w14:paraId="2DEDB20A">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0" w:firstLineChars="200"/>
              <w:jc w:val="left"/>
              <w:textAlignment w:val="auto"/>
              <w:rPr>
                <w:rFonts w:hint="default"/>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本项目</w:t>
            </w:r>
            <w:r>
              <w:rPr>
                <w:rFonts w:hint="eastAsia" w:cs="Times New Roman"/>
                <w:color w:val="000000" w:themeColor="text1"/>
                <w:kern w:val="0"/>
                <w:sz w:val="24"/>
                <w:szCs w:val="24"/>
                <w:highlight w:val="none"/>
                <w:lang w:val="en-US" w:eastAsia="zh-CN"/>
                <w14:textFill>
                  <w14:solidFill>
                    <w14:schemeClr w14:val="tx1"/>
                  </w14:solidFill>
                </w14:textFill>
              </w:rPr>
              <w:t>建成后全厂</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水平衡图如下。</w:t>
            </w:r>
          </w:p>
          <w:p w14:paraId="5E425FEA">
            <w:pPr>
              <w:keepNext w:val="0"/>
              <w:keepLines w:val="0"/>
              <w:suppressLineNumbers w:val="0"/>
              <w:bidi w:val="0"/>
              <w:spacing w:before="0" w:beforeAutospacing="0" w:after="0" w:afterAutospacing="0"/>
              <w:ind w:left="0" w:right="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mc:AlternateContent>
                <mc:Choice Requires="wpc">
                  <w:drawing>
                    <wp:anchor distT="0" distB="0" distL="114300" distR="114300" simplePos="0" relativeHeight="251663360" behindDoc="0" locked="0" layoutInCell="1" allowOverlap="1">
                      <wp:simplePos x="0" y="0"/>
                      <wp:positionH relativeFrom="column">
                        <wp:posOffset>17145</wp:posOffset>
                      </wp:positionH>
                      <wp:positionV relativeFrom="paragraph">
                        <wp:posOffset>23495</wp:posOffset>
                      </wp:positionV>
                      <wp:extent cx="5184140" cy="6598285"/>
                      <wp:effectExtent l="0" t="0" r="0" b="0"/>
                      <wp:wrapTopAndBottom/>
                      <wp:docPr id="686" name="画布 686"/>
                      <wp:cNvGraphicFramePr/>
                      <a:graphic xmlns:a="http://schemas.openxmlformats.org/drawingml/2006/main">
                        <a:graphicData uri="http://schemas.microsoft.com/office/word/2010/wordprocessingCanvas">
                          <wpc:wpc>
                            <wpc:bg>
                              <a:noFill/>
                            </wpc:bg>
                            <wpc:whole>
                              <a:ln>
                                <a:noFill/>
                              </a:ln>
                            </wpc:whole>
                            <wps:wsp>
                              <wps:cNvPr id="185" name="文本框 543"/>
                              <wps:cNvSpPr txBox="1"/>
                              <wps:spPr>
                                <a:xfrm>
                                  <a:off x="50165" y="937895"/>
                                  <a:ext cx="471805" cy="242570"/>
                                </a:xfrm>
                                <a:prstGeom prst="rect">
                                  <a:avLst/>
                                </a:prstGeom>
                                <a:noFill/>
                                <a:ln>
                                  <a:noFill/>
                                </a:ln>
                                <a:effectLst/>
                              </wps:spPr>
                              <wps:txbx>
                                <w:txbxContent>
                                  <w:p w14:paraId="7D4BFE73">
                                    <w:pPr>
                                      <w:rPr>
                                        <w:rFonts w:hint="eastAsia" w:ascii="Times New Roman" w:hAnsi="Times New Roman" w:eastAsia="宋体" w:cs="Times New Roman"/>
                                        <w:sz w:val="21"/>
                                        <w:szCs w:val="21"/>
                                        <w:lang w:eastAsia="zh-CN" w:bidi="ar-SA"/>
                                      </w:rPr>
                                    </w:pPr>
                                    <w:r>
                                      <w:rPr>
                                        <w:rFonts w:hint="eastAsia" w:ascii="Times New Roman" w:hAnsi="Times New Roman" w:cs="Times New Roman"/>
                                        <w:sz w:val="21"/>
                                        <w:szCs w:val="21"/>
                                        <w:lang w:eastAsia="zh-CN" w:bidi="ar-SA"/>
                                      </w:rPr>
                                      <w:t>新鲜水</w:t>
                                    </w:r>
                                  </w:p>
                                </w:txbxContent>
                              </wps:txbx>
                              <wps:bodyPr vert="horz" wrap="square" lIns="0" tIns="0" rIns="0" bIns="0" anchor="t" anchorCtr="0" upright="1"/>
                            </wps:wsp>
                            <wps:wsp>
                              <wps:cNvPr id="186" name="文本框 544"/>
                              <wps:cNvSpPr txBox="1"/>
                              <wps:spPr>
                                <a:xfrm>
                                  <a:off x="7620" y="1198880"/>
                                  <a:ext cx="522605" cy="464185"/>
                                </a:xfrm>
                                <a:prstGeom prst="rect">
                                  <a:avLst/>
                                </a:prstGeom>
                                <a:noFill/>
                                <a:ln>
                                  <a:noFill/>
                                </a:ln>
                              </wps:spPr>
                              <wps:txbx>
                                <w:txbxContent>
                                  <w:p w14:paraId="34A4C9CB">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488841.025</w:t>
                                    </w:r>
                                  </w:p>
                                </w:txbxContent>
                              </wps:txbx>
                              <wps:bodyPr lIns="0" tIns="0" rIns="0" bIns="0" upright="1"/>
                            </wps:wsp>
                            <wps:wsp>
                              <wps:cNvPr id="188" name="直接连接符 568"/>
                              <wps:cNvCnPr/>
                              <wps:spPr>
                                <a:xfrm flipV="1">
                                  <a:off x="27305" y="1175385"/>
                                  <a:ext cx="516890" cy="5080"/>
                                </a:xfrm>
                                <a:prstGeom prst="line">
                                  <a:avLst/>
                                </a:prstGeom>
                                <a:ln w="9525" cap="flat" cmpd="sng">
                                  <a:solidFill>
                                    <a:srgbClr val="000000"/>
                                  </a:solidFill>
                                  <a:prstDash val="solid"/>
                                  <a:round/>
                                  <a:headEnd type="none" w="med" len="med"/>
                                  <a:tailEnd type="triangle" w="med" len="med"/>
                                </a:ln>
                              </wps:spPr>
                              <wps:bodyPr upright="1"/>
                            </wps:wsp>
                            <wps:wsp>
                              <wps:cNvPr id="223" name="直接箭头连接符 727"/>
                              <wps:cNvCnPr/>
                              <wps:spPr>
                                <a:xfrm>
                                  <a:off x="537845" y="718185"/>
                                  <a:ext cx="8890" cy="1335405"/>
                                </a:xfrm>
                                <a:prstGeom prst="straightConnector1">
                                  <a:avLst/>
                                </a:prstGeom>
                                <a:ln w="9525" cap="flat" cmpd="sng">
                                  <a:solidFill>
                                    <a:srgbClr val="000000"/>
                                  </a:solidFill>
                                  <a:prstDash val="solid"/>
                                  <a:round/>
                                  <a:headEnd type="none" w="med" len="med"/>
                                  <a:tailEnd type="none" w="med" len="med"/>
                                </a:ln>
                              </wps:spPr>
                              <wps:bodyPr/>
                            </wps:wsp>
                            <wps:wsp>
                              <wps:cNvPr id="231" name="直接连接符 589"/>
                              <wps:cNvCnPr/>
                              <wps:spPr>
                                <a:xfrm flipV="1">
                                  <a:off x="544195" y="704850"/>
                                  <a:ext cx="454660" cy="5080"/>
                                </a:xfrm>
                                <a:prstGeom prst="line">
                                  <a:avLst/>
                                </a:prstGeom>
                                <a:ln w="9525" cap="flat" cmpd="sng">
                                  <a:solidFill>
                                    <a:srgbClr val="000000"/>
                                  </a:solidFill>
                                  <a:prstDash val="solid"/>
                                  <a:round/>
                                  <a:headEnd type="none" w="med" len="med"/>
                                  <a:tailEnd type="triangle" w="med" len="med"/>
                                </a:ln>
                              </wps:spPr>
                              <wps:bodyPr upright="1"/>
                            </wps:wsp>
                            <wps:wsp>
                              <wps:cNvPr id="232" name="文本框 573"/>
                              <wps:cNvSpPr txBox="1"/>
                              <wps:spPr>
                                <a:xfrm>
                                  <a:off x="998855" y="590550"/>
                                  <a:ext cx="945515" cy="248920"/>
                                </a:xfrm>
                                <a:prstGeom prst="rect">
                                  <a:avLst/>
                                </a:prstGeom>
                                <a:noFill/>
                                <a:ln w="9525" cap="flat" cmpd="sng">
                                  <a:solidFill>
                                    <a:srgbClr val="000000"/>
                                  </a:solidFill>
                                  <a:prstDash val="solid"/>
                                  <a:miter/>
                                  <a:headEnd type="none" w="med" len="med"/>
                                  <a:tailEnd type="none" w="med" len="med"/>
                                </a:ln>
                              </wps:spPr>
                              <wps:txbx>
                                <w:txbxContent>
                                  <w:p w14:paraId="78682881">
                                    <w:pPr>
                                      <w:spacing w:line="240" w:lineRule="auto"/>
                                      <w:jc w:val="center"/>
                                      <w:rPr>
                                        <w:rFonts w:hint="eastAsia" w:ascii="Times New Roman" w:hAnsi="Times New Roman" w:eastAsia="宋体" w:cs="Times New Roman"/>
                                        <w:b w:val="0"/>
                                        <w:bCs/>
                                        <w:color w:val="000000"/>
                                        <w:kern w:val="2"/>
                                        <w:sz w:val="21"/>
                                        <w:szCs w:val="21"/>
                                        <w:highlight w:val="none"/>
                                        <w:lang w:val="en-US" w:eastAsia="zh-CN" w:bidi="ar-SA"/>
                                      </w:rPr>
                                    </w:pPr>
                                    <w:r>
                                      <w:rPr>
                                        <w:rFonts w:hint="eastAsia" w:ascii="Times New Roman" w:hAnsi="Times New Roman" w:eastAsia="宋体" w:cs="Times New Roman"/>
                                        <w:b w:val="0"/>
                                        <w:bCs/>
                                        <w:color w:val="000000"/>
                                        <w:kern w:val="2"/>
                                        <w:sz w:val="21"/>
                                        <w:szCs w:val="21"/>
                                        <w:highlight w:val="none"/>
                                        <w:lang w:val="en-US" w:eastAsia="zh-CN" w:bidi="ar-SA"/>
                                      </w:rPr>
                                      <w:t>生活用水</w:t>
                                    </w:r>
                                  </w:p>
                                </w:txbxContent>
                              </wps:txbx>
                              <wps:bodyPr lIns="0" tIns="3600" rIns="0" bIns="3600" upright="1"/>
                            </wps:wsp>
                            <wps:wsp>
                              <wps:cNvPr id="233" name="文本框 586"/>
                              <wps:cNvSpPr txBox="1"/>
                              <wps:spPr>
                                <a:xfrm>
                                  <a:off x="503555" y="495300"/>
                                  <a:ext cx="520065" cy="197485"/>
                                </a:xfrm>
                                <a:prstGeom prst="rect">
                                  <a:avLst/>
                                </a:prstGeom>
                                <a:noFill/>
                                <a:ln>
                                  <a:noFill/>
                                </a:ln>
                              </wps:spPr>
                              <wps:txbx>
                                <w:txbxContent>
                                  <w:p w14:paraId="6C1352B2">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54250</w:t>
                                    </w:r>
                                  </w:p>
                                </w:txbxContent>
                              </wps:txbx>
                              <wps:bodyPr lIns="0" tIns="0" rIns="0" bIns="0" upright="1"/>
                            </wps:wsp>
                            <wps:wsp>
                              <wps:cNvPr id="234" name="直接连接符 575"/>
                              <wps:cNvCnPr/>
                              <wps:spPr>
                                <a:xfrm>
                                  <a:off x="1941830" y="723900"/>
                                  <a:ext cx="295910" cy="6350"/>
                                </a:xfrm>
                                <a:prstGeom prst="line">
                                  <a:avLst/>
                                </a:prstGeom>
                                <a:ln w="9525" cap="flat" cmpd="sng">
                                  <a:solidFill>
                                    <a:srgbClr val="000000"/>
                                  </a:solidFill>
                                  <a:prstDash val="solid"/>
                                  <a:round/>
                                  <a:headEnd type="none" w="med" len="med"/>
                                  <a:tailEnd type="triangle" w="med" len="med"/>
                                </a:ln>
                              </wps:spPr>
                              <wps:bodyPr upright="1"/>
                            </wps:wsp>
                            <wps:wsp>
                              <wps:cNvPr id="235" name="曲线连接符 553"/>
                              <wps:cNvCnPr/>
                              <wps:spPr>
                                <a:xfrm rot="16200000">
                                  <a:off x="1332230" y="314325"/>
                                  <a:ext cx="262890" cy="282575"/>
                                </a:xfrm>
                                <a:prstGeom prst="curvedConnector3">
                                  <a:avLst>
                                    <a:gd name="adj1" fmla="val 50121"/>
                                  </a:avLst>
                                </a:prstGeom>
                                <a:ln w="9525" cap="flat" cmpd="sng">
                                  <a:solidFill>
                                    <a:srgbClr val="000000"/>
                                  </a:solidFill>
                                  <a:prstDash val="dash"/>
                                  <a:headEnd type="none" w="med" len="med"/>
                                  <a:tailEnd type="arrow" w="med" len="med"/>
                                </a:ln>
                                <a:effectLst/>
                              </wps:spPr>
                              <wps:bodyPr/>
                            </wps:wsp>
                            <wps:wsp>
                              <wps:cNvPr id="236" name="文本框 566"/>
                              <wps:cNvSpPr txBox="1"/>
                              <wps:spPr>
                                <a:xfrm>
                                  <a:off x="1398905" y="161925"/>
                                  <a:ext cx="452120" cy="207645"/>
                                </a:xfrm>
                                <a:prstGeom prst="rect">
                                  <a:avLst/>
                                </a:prstGeom>
                                <a:noFill/>
                                <a:ln>
                                  <a:noFill/>
                                </a:ln>
                                <a:effectLst/>
                              </wps:spPr>
                              <wps:txbx>
                                <w:txbxContent>
                                  <w:p w14:paraId="1E823DD1">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10750</w:t>
                                    </w:r>
                                  </w:p>
                                </w:txbxContent>
                              </wps:txbx>
                              <wps:bodyPr vert="horz" wrap="square" lIns="0" tIns="0" rIns="0" bIns="0" anchor="t" anchorCtr="0" upright="1">
                                <a:noAutofit/>
                              </wps:bodyPr>
                            </wps:wsp>
                            <wps:wsp>
                              <wps:cNvPr id="237" name="文本框 573"/>
                              <wps:cNvSpPr txBox="1"/>
                              <wps:spPr>
                                <a:xfrm>
                                  <a:off x="2227580" y="590550"/>
                                  <a:ext cx="659765" cy="248920"/>
                                </a:xfrm>
                                <a:prstGeom prst="rect">
                                  <a:avLst/>
                                </a:prstGeom>
                                <a:noFill/>
                                <a:ln w="9525" cap="flat" cmpd="sng">
                                  <a:solidFill>
                                    <a:srgbClr val="000000"/>
                                  </a:solidFill>
                                  <a:prstDash val="solid"/>
                                  <a:miter/>
                                  <a:headEnd type="none" w="med" len="med"/>
                                  <a:tailEnd type="none" w="med" len="med"/>
                                </a:ln>
                              </wps:spPr>
                              <wps:txbx>
                                <w:txbxContent>
                                  <w:p w14:paraId="5F298A72">
                                    <w:pPr>
                                      <w:spacing w:line="240" w:lineRule="auto"/>
                                      <w:jc w:val="center"/>
                                      <w:rPr>
                                        <w:rFonts w:hint="default" w:ascii="Times New Roman" w:hAnsi="Times New Roman" w:eastAsia="宋体" w:cs="Times New Roman"/>
                                        <w:b w:val="0"/>
                                        <w:bCs/>
                                        <w:color w:val="000000"/>
                                        <w:kern w:val="2"/>
                                        <w:sz w:val="21"/>
                                        <w:szCs w:val="21"/>
                                        <w:highlight w:val="none"/>
                                        <w:lang w:val="en-US" w:eastAsia="zh-CN" w:bidi="ar-SA"/>
                                      </w:rPr>
                                    </w:pPr>
                                    <w:r>
                                      <w:rPr>
                                        <w:rFonts w:hint="eastAsia" w:ascii="Times New Roman" w:hAnsi="Times New Roman" w:eastAsia="宋体" w:cs="Times New Roman"/>
                                        <w:b w:val="0"/>
                                        <w:bCs/>
                                        <w:color w:val="000000"/>
                                        <w:kern w:val="2"/>
                                        <w:sz w:val="21"/>
                                        <w:szCs w:val="21"/>
                                        <w:highlight w:val="none"/>
                                        <w:lang w:val="en-US" w:eastAsia="zh-CN" w:bidi="ar-SA"/>
                                      </w:rPr>
                                      <w:t>化粪池</w:t>
                                    </w:r>
                                  </w:p>
                                </w:txbxContent>
                              </wps:txbx>
                              <wps:bodyPr lIns="0" tIns="3600" rIns="0" bIns="3600" upright="1"/>
                            </wps:wsp>
                            <wps:wsp>
                              <wps:cNvPr id="238" name="直接连接符 575"/>
                              <wps:cNvCnPr/>
                              <wps:spPr>
                                <a:xfrm flipV="1">
                                  <a:off x="2894330" y="721360"/>
                                  <a:ext cx="1457960" cy="2540"/>
                                </a:xfrm>
                                <a:prstGeom prst="line">
                                  <a:avLst/>
                                </a:prstGeom>
                                <a:ln w="9525" cap="flat" cmpd="sng">
                                  <a:solidFill>
                                    <a:srgbClr val="000000"/>
                                  </a:solidFill>
                                  <a:prstDash val="solid"/>
                                  <a:round/>
                                  <a:headEnd type="none" w="med" len="med"/>
                                  <a:tailEnd type="triangle" w="med" len="med"/>
                                </a:ln>
                              </wps:spPr>
                              <wps:bodyPr upright="1"/>
                            </wps:wsp>
                            <wps:wsp>
                              <wps:cNvPr id="239" name="文本框 562"/>
                              <wps:cNvSpPr txBox="1"/>
                              <wps:spPr>
                                <a:xfrm>
                                  <a:off x="3380105" y="504825"/>
                                  <a:ext cx="454025" cy="203200"/>
                                </a:xfrm>
                                <a:prstGeom prst="rect">
                                  <a:avLst/>
                                </a:prstGeom>
                                <a:noFill/>
                                <a:ln>
                                  <a:noFill/>
                                </a:ln>
                              </wps:spPr>
                              <wps:txbx>
                                <w:txbxContent>
                                  <w:p w14:paraId="0B023A94">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43500</w:t>
                                    </w:r>
                                  </w:p>
                                </w:txbxContent>
                              </wps:txbx>
                              <wps:bodyPr lIns="0" tIns="0" rIns="0" bIns="0" upright="1"/>
                            </wps:wsp>
                            <wps:wsp>
                              <wps:cNvPr id="210" name="肘形连接符 581"/>
                              <wps:cNvCnPr>
                                <a:endCxn id="211" idx="0"/>
                              </wps:cNvCnPr>
                              <wps:spPr>
                                <a:xfrm>
                                  <a:off x="3424555" y="2802890"/>
                                  <a:ext cx="942340" cy="779780"/>
                                </a:xfrm>
                                <a:prstGeom prst="bentConnector2">
                                  <a:avLst/>
                                </a:prstGeom>
                                <a:ln w="9525" cap="flat" cmpd="sng">
                                  <a:solidFill>
                                    <a:srgbClr val="000000"/>
                                  </a:solidFill>
                                  <a:prstDash val="solid"/>
                                  <a:miter/>
                                  <a:headEnd type="none" w="med" len="med"/>
                                  <a:tailEnd type="triangle" w="med" len="med"/>
                                </a:ln>
                              </wps:spPr>
                              <wps:bodyPr/>
                            </wps:wsp>
                            <wps:wsp>
                              <wps:cNvPr id="211" name="文本框 557"/>
                              <wps:cNvSpPr txBox="1"/>
                              <wps:spPr>
                                <a:xfrm>
                                  <a:off x="3657600" y="3582670"/>
                                  <a:ext cx="1417955" cy="222250"/>
                                </a:xfrm>
                                <a:prstGeom prst="rect">
                                  <a:avLst/>
                                </a:prstGeom>
                                <a:noFill/>
                                <a:ln>
                                  <a:noFill/>
                                </a:ln>
                                <a:effectLst/>
                              </wps:spPr>
                              <wps:txbx>
                                <w:txbxContent>
                                  <w:p w14:paraId="0BBF8EEC">
                                    <w:pPr>
                                      <w:jc w:val="center"/>
                                      <w:rPr>
                                        <w:rFonts w:hint="default" w:ascii="Times New Roman" w:hAnsi="Times New Roman" w:eastAsia="宋体" w:cs="Times New Roman"/>
                                        <w:sz w:val="28"/>
                                        <w:szCs w:val="24"/>
                                        <w:lang w:val="en-US" w:eastAsia="zh-CN" w:bidi="ar-SA"/>
                                      </w:rPr>
                                    </w:pPr>
                                    <w:r>
                                      <w:rPr>
                                        <w:rFonts w:hint="eastAsia" w:ascii="Times New Roman" w:hAnsi="宋体" w:cs="Times New Roman"/>
                                        <w:color w:val="auto"/>
                                        <w:sz w:val="21"/>
                                        <w:szCs w:val="21"/>
                                        <w:lang w:val="en-US" w:eastAsia="zh-CN" w:bidi="ar-SA"/>
                                      </w:rPr>
                                      <w:t>厂内污水处理站</w:t>
                                    </w:r>
                                  </w:p>
                                </w:txbxContent>
                              </wps:txbx>
                              <wps:bodyPr vert="horz" wrap="square" lIns="0" tIns="0" rIns="0" bIns="0" anchor="t" anchorCtr="0" upright="1"/>
                            </wps:wsp>
                            <wps:wsp>
                              <wps:cNvPr id="212" name="文本框 548"/>
                              <wps:cNvSpPr txBox="1"/>
                              <wps:spPr>
                                <a:xfrm>
                                  <a:off x="3698240" y="4211955"/>
                                  <a:ext cx="1311910" cy="241300"/>
                                </a:xfrm>
                                <a:prstGeom prst="rect">
                                  <a:avLst/>
                                </a:prstGeom>
                                <a:noFill/>
                                <a:ln>
                                  <a:noFill/>
                                </a:ln>
                                <a:effectLst/>
                              </wps:spPr>
                              <wps:txbx>
                                <w:txbxContent>
                                  <w:p w14:paraId="3F02D839">
                                    <w:pPr>
                                      <w:jc w:val="center"/>
                                      <w:rPr>
                                        <w:rFonts w:hint="default"/>
                                        <w:sz w:val="21"/>
                                        <w:szCs w:val="21"/>
                                        <w:lang w:val="en-US" w:eastAsia="zh-CN"/>
                                      </w:rPr>
                                    </w:pPr>
                                    <w:r>
                                      <w:rPr>
                                        <w:rFonts w:hint="eastAsia" w:eastAsia="Calibri" w:cs="Times New Roman"/>
                                        <w:color w:val="000000"/>
                                        <w:kern w:val="2"/>
                                        <w:sz w:val="21"/>
                                        <w:szCs w:val="21"/>
                                        <w:lang w:val="en-US" w:eastAsia="zh-CN" w:bidi="ar-SA"/>
                                      </w:rPr>
                                      <w:t>石桥子污水处理厂</w:t>
                                    </w:r>
                                  </w:p>
                                </w:txbxContent>
                              </wps:txbx>
                              <wps:bodyPr vert="horz" wrap="square" lIns="0" tIns="0" rIns="0" bIns="0" anchor="t" anchorCtr="0" upright="1"/>
                            </wps:wsp>
                            <wps:wsp>
                              <wps:cNvPr id="213" name="文本框 585"/>
                              <wps:cNvSpPr txBox="1"/>
                              <wps:spPr>
                                <a:xfrm>
                                  <a:off x="3561080" y="2599055"/>
                                  <a:ext cx="651510" cy="200025"/>
                                </a:xfrm>
                                <a:prstGeom prst="rect">
                                  <a:avLst/>
                                </a:prstGeom>
                                <a:noFill/>
                                <a:ln>
                                  <a:noFill/>
                                </a:ln>
                              </wps:spPr>
                              <wps:txbx>
                                <w:txbxContent>
                                  <w:p w14:paraId="05E1A2DA">
                                    <w:pP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15485.93</w:t>
                                    </w:r>
                                  </w:p>
                                </w:txbxContent>
                              </wps:txbx>
                              <wps:bodyPr lIns="0" tIns="0" rIns="0" bIns="0" upright="1"/>
                            </wps:wsp>
                            <wps:wsp>
                              <wps:cNvPr id="214" name="直接连接符 582"/>
                              <wps:cNvCnPr/>
                              <wps:spPr>
                                <a:xfrm>
                                  <a:off x="4354830" y="3816350"/>
                                  <a:ext cx="1905" cy="418465"/>
                                </a:xfrm>
                                <a:prstGeom prst="line">
                                  <a:avLst/>
                                </a:prstGeom>
                                <a:ln w="9525" cap="flat" cmpd="sng">
                                  <a:solidFill>
                                    <a:srgbClr val="000000"/>
                                  </a:solidFill>
                                  <a:prstDash val="solid"/>
                                  <a:round/>
                                  <a:headEnd type="none" w="med" len="med"/>
                                  <a:tailEnd type="triangle" w="med" len="med"/>
                                </a:ln>
                              </wps:spPr>
                              <wps:bodyPr upright="1"/>
                            </wps:wsp>
                            <wpg:wgp>
                              <wpg:cNvPr id="312" name="组合 312"/>
                              <wpg:cNvGrpSpPr/>
                              <wpg:grpSpPr>
                                <a:xfrm rot="0">
                                  <a:off x="1021080" y="5323205"/>
                                  <a:ext cx="2550160" cy="326390"/>
                                  <a:chOff x="1608" y="3823"/>
                                  <a:chExt cx="4016" cy="514"/>
                                </a:xfrm>
                              </wpg:grpSpPr>
                              <wps:wsp>
                                <wps:cNvPr id="189" name="文本框 551"/>
                                <wps:cNvSpPr txBox="1"/>
                                <wps:spPr>
                                  <a:xfrm>
                                    <a:off x="4170" y="3957"/>
                                    <a:ext cx="1454" cy="380"/>
                                  </a:xfrm>
                                  <a:prstGeom prst="rect">
                                    <a:avLst/>
                                  </a:prstGeom>
                                  <a:noFill/>
                                  <a:ln>
                                    <a:noFill/>
                                  </a:ln>
                                  <a:effectLst/>
                                </wps:spPr>
                                <wps:txbx>
                                  <w:txbxContent>
                                    <w:p w14:paraId="70615F43">
                                      <w:pPr>
                                        <w:jc w:val="center"/>
                                        <w:rPr>
                                          <w:rFonts w:hint="default" w:ascii="Times New Roman" w:hAnsi="Times New Roman" w:cs="Times New Roman"/>
                                          <w:sz w:val="21"/>
                                          <w:szCs w:val="21"/>
                                          <w:lang w:val="en-US" w:eastAsia="zh-CN" w:bidi="ar-SA"/>
                                        </w:rPr>
                                      </w:pPr>
                                      <w:r>
                                        <w:rPr>
                                          <w:rFonts w:hint="eastAsia" w:ascii="Times New Roman" w:hAnsi="Times New Roman" w:cs="Times New Roman"/>
                                          <w:sz w:val="21"/>
                                          <w:szCs w:val="21"/>
                                          <w:lang w:val="en-US" w:eastAsia="zh-CN" w:bidi="ar-SA"/>
                                        </w:rPr>
                                        <w:t>进入产品</w:t>
                                      </w:r>
                                    </w:p>
                                  </w:txbxContent>
                                </wps:txbx>
                                <wps:bodyPr vert="horz" wrap="square" lIns="0" tIns="0" rIns="0" bIns="0" anchor="t" anchorCtr="0" upright="1"/>
                              </wps:wsp>
                              <wps:wsp>
                                <wps:cNvPr id="190" name="文本框 555"/>
                                <wps:cNvSpPr txBox="1"/>
                                <wps:spPr>
                                  <a:xfrm>
                                    <a:off x="1767" y="3823"/>
                                    <a:ext cx="510" cy="241"/>
                                  </a:xfrm>
                                  <a:prstGeom prst="rect">
                                    <a:avLst/>
                                  </a:prstGeom>
                                  <a:noFill/>
                                  <a:ln>
                                    <a:noFill/>
                                  </a:ln>
                                </wps:spPr>
                                <wps:txbx>
                                  <w:txbxContent>
                                    <w:p w14:paraId="29B7F521">
                                      <w:pPr>
                                        <w:jc w:val="center"/>
                                        <w:rPr>
                                          <w:rFonts w:hint="default" w:ascii="Times New Roman" w:hAnsi="Times New Roman" w:eastAsia="宋体" w:cs="Times New Roman"/>
                                          <w:sz w:val="21"/>
                                          <w:szCs w:val="21"/>
                                          <w:lang w:val="en-US" w:eastAsia="zh-CN" w:bidi="ar-SA"/>
                                        </w:rPr>
                                      </w:pPr>
                                      <w:r>
                                        <w:rPr>
                                          <w:rFonts w:hint="eastAsia" w:ascii="Times New Roman" w:hAnsi="Times New Roman" w:eastAsia="宋体" w:cs="Times New Roman"/>
                                          <w:sz w:val="21"/>
                                          <w:szCs w:val="21"/>
                                          <w:lang w:val="en-US" w:eastAsia="zh-CN" w:bidi="ar-SA"/>
                                        </w:rPr>
                                        <w:t>1.05</w:t>
                                      </w:r>
                                    </w:p>
                                  </w:txbxContent>
                                </wps:txbx>
                                <wps:bodyPr lIns="0" tIns="0" rIns="0" bIns="0" upright="1"/>
                              </wps:wsp>
                              <wps:wsp>
                                <wps:cNvPr id="191" name="直接连接符 596"/>
                                <wps:cNvCnPr/>
                                <wps:spPr>
                                  <a:xfrm>
                                    <a:off x="3952" y="4128"/>
                                    <a:ext cx="510" cy="8"/>
                                  </a:xfrm>
                                  <a:prstGeom prst="line">
                                    <a:avLst/>
                                  </a:prstGeom>
                                  <a:ln w="9525" cap="flat" cmpd="sng">
                                    <a:solidFill>
                                      <a:srgbClr val="000000"/>
                                    </a:solidFill>
                                    <a:prstDash val="solid"/>
                                    <a:round/>
                                    <a:headEnd type="none" w="med" len="med"/>
                                    <a:tailEnd type="triangle" w="med" len="med"/>
                                  </a:ln>
                                </wps:spPr>
                                <wps:bodyPr upright="1"/>
                              </wps:wsp>
                              <wps:wsp>
                                <wps:cNvPr id="192" name="直接连接符 589"/>
                                <wps:cNvCnPr/>
                                <wps:spPr>
                                  <a:xfrm>
                                    <a:off x="1608" y="4106"/>
                                    <a:ext cx="920" cy="0"/>
                                  </a:xfrm>
                                  <a:prstGeom prst="line">
                                    <a:avLst/>
                                  </a:prstGeom>
                                  <a:ln w="9525" cap="flat" cmpd="sng">
                                    <a:solidFill>
                                      <a:srgbClr val="000000"/>
                                    </a:solidFill>
                                    <a:prstDash val="solid"/>
                                    <a:round/>
                                    <a:headEnd type="none" w="med" len="med"/>
                                    <a:tailEnd type="triangle" w="med" len="med"/>
                                  </a:ln>
                                </wps:spPr>
                                <wps:bodyPr upright="1"/>
                              </wps:wsp>
                              <wps:wsp>
                                <wps:cNvPr id="193" name="文本框 590"/>
                                <wps:cNvSpPr txBox="1"/>
                                <wps:spPr>
                                  <a:xfrm>
                                    <a:off x="2513" y="3905"/>
                                    <a:ext cx="1427" cy="392"/>
                                  </a:xfrm>
                                  <a:prstGeom prst="rect">
                                    <a:avLst/>
                                  </a:prstGeom>
                                  <a:noFill/>
                                  <a:ln w="9525" cap="flat" cmpd="sng">
                                    <a:solidFill>
                                      <a:srgbClr val="000000"/>
                                    </a:solidFill>
                                    <a:prstDash val="solid"/>
                                    <a:miter/>
                                    <a:headEnd type="none" w="med" len="med"/>
                                    <a:tailEnd type="none" w="med" len="med"/>
                                  </a:ln>
                                </wps:spPr>
                                <wps:txbx>
                                  <w:txbxContent>
                                    <w:p w14:paraId="00054577">
                                      <w:pPr>
                                        <w:jc w:val="center"/>
                                        <w:rPr>
                                          <w:rFonts w:hint="eastAsia"/>
                                          <w:lang w:eastAsia="zh-CN"/>
                                        </w:rPr>
                                      </w:pPr>
                                      <w:r>
                                        <w:rPr>
                                          <w:rFonts w:hint="eastAsia" w:ascii="Times New Roman" w:hAnsi="Times New Roman" w:cs="Times New Roman"/>
                                          <w:sz w:val="21"/>
                                          <w:szCs w:val="21"/>
                                          <w:lang w:val="en-US" w:eastAsia="zh-CN" w:bidi="ar-SA"/>
                                        </w:rPr>
                                        <w:t>配料</w:t>
                                      </w:r>
                                      <w:r>
                                        <w:rPr>
                                          <w:rFonts w:hint="eastAsia" w:ascii="Times New Roman" w:hAnsi="Times New Roman" w:cs="Times New Roman"/>
                                          <w:sz w:val="21"/>
                                          <w:szCs w:val="21"/>
                                          <w:lang w:eastAsia="zh-CN" w:bidi="ar-SA"/>
                                        </w:rPr>
                                        <w:t>用水</w:t>
                                      </w:r>
                                    </w:p>
                                  </w:txbxContent>
                                </wps:txbx>
                                <wps:bodyPr lIns="0" tIns="3600" rIns="0" bIns="3600" upright="1"/>
                              </wps:wsp>
                            </wpg:wgp>
                            <wps:wsp>
                              <wps:cNvPr id="194" name="直接箭头连接符 593"/>
                              <wps:cNvCnPr/>
                              <wps:spPr>
                                <a:xfrm>
                                  <a:off x="994410" y="2567940"/>
                                  <a:ext cx="24130" cy="3637915"/>
                                </a:xfrm>
                                <a:prstGeom prst="straightConnector1">
                                  <a:avLst/>
                                </a:prstGeom>
                                <a:ln w="9525" cap="flat" cmpd="sng">
                                  <a:solidFill>
                                    <a:srgbClr val="000000"/>
                                  </a:solidFill>
                                  <a:prstDash val="solid"/>
                                  <a:round/>
                                  <a:headEnd type="none" w="med" len="med"/>
                                  <a:tailEnd type="none" w="med" len="med"/>
                                </a:ln>
                              </wps:spPr>
                              <wps:bodyPr/>
                            </wps:wsp>
                            <wpg:wgp>
                              <wpg:cNvPr id="268" name="组合 268"/>
                              <wpg:cNvGrpSpPr/>
                              <wpg:grpSpPr>
                                <a:xfrm>
                                  <a:off x="1009015" y="2901950"/>
                                  <a:ext cx="2432050" cy="631825"/>
                                  <a:chOff x="1589" y="4090"/>
                                  <a:chExt cx="3830" cy="995"/>
                                </a:xfrm>
                              </wpg:grpSpPr>
                              <wps:wsp>
                                <wps:cNvPr id="196" name="文本框 560"/>
                                <wps:cNvSpPr txBox="1"/>
                                <wps:spPr>
                                  <a:xfrm>
                                    <a:off x="1693" y="4603"/>
                                    <a:ext cx="675" cy="316"/>
                                  </a:xfrm>
                                  <a:prstGeom prst="rect">
                                    <a:avLst/>
                                  </a:prstGeom>
                                  <a:noFill/>
                                  <a:ln>
                                    <a:noFill/>
                                  </a:ln>
                                </wps:spPr>
                                <wps:txbx>
                                  <w:txbxContent>
                                    <w:p w14:paraId="66363CE1">
                                      <w:pPr>
                                        <w:jc w:val="center"/>
                                        <w:rPr>
                                          <w:rFonts w:hint="default" w:ascii="Times New Roman" w:hAnsi="Times New Roman" w:eastAsia="宋体" w:cs="Times New Roman"/>
                                          <w:sz w:val="21"/>
                                          <w:szCs w:val="21"/>
                                          <w:lang w:val="en-US" w:eastAsia="zh-CN" w:bidi="ar-SA"/>
                                        </w:rPr>
                                      </w:pPr>
                                      <w:r>
                                        <w:rPr>
                                          <w:rFonts w:hint="eastAsia" w:ascii="Times New Roman" w:hAnsi="Times New Roman" w:eastAsia="宋体" w:cs="Times New Roman"/>
                                          <w:sz w:val="21"/>
                                          <w:szCs w:val="21"/>
                                          <w:lang w:val="en-US" w:eastAsia="zh-CN" w:bidi="ar-SA"/>
                                        </w:rPr>
                                        <w:t>375</w:t>
                                      </w:r>
                                    </w:p>
                                  </w:txbxContent>
                                </wps:txbx>
                                <wps:bodyPr lIns="0" tIns="0" rIns="0" bIns="0" upright="1"/>
                              </wps:wsp>
                              <wps:wsp>
                                <wps:cNvPr id="197" name="文本框 561"/>
                                <wps:cNvSpPr txBox="1"/>
                                <wps:spPr>
                                  <a:xfrm>
                                    <a:off x="3533" y="4090"/>
                                    <a:ext cx="594" cy="260"/>
                                  </a:xfrm>
                                  <a:prstGeom prst="rect">
                                    <a:avLst/>
                                  </a:prstGeom>
                                  <a:noFill/>
                                  <a:ln>
                                    <a:noFill/>
                                  </a:ln>
                                </wps:spPr>
                                <wps:txbx>
                                  <w:txbxContent>
                                    <w:p w14:paraId="794B0DAC">
                                      <w:pPr>
                                        <w:jc w:val="center"/>
                                        <w:rPr>
                                          <w:rFonts w:hint="default" w:ascii="Times New Roman" w:hAnsi="Times New Roman" w:eastAsia="宋体" w:cs="Times New Roman"/>
                                          <w:sz w:val="21"/>
                                          <w:szCs w:val="21"/>
                                          <w:lang w:val="en-US" w:eastAsia="zh-CN" w:bidi="ar-SA"/>
                                        </w:rPr>
                                      </w:pPr>
                                      <w:r>
                                        <w:rPr>
                                          <w:rFonts w:hint="eastAsia" w:ascii="Times New Roman" w:hAnsi="Times New Roman" w:eastAsia="宋体" w:cs="Times New Roman"/>
                                          <w:sz w:val="21"/>
                                          <w:szCs w:val="21"/>
                                          <w:lang w:val="en-US" w:eastAsia="zh-CN" w:bidi="ar-SA"/>
                                        </w:rPr>
                                        <w:t>37.5</w:t>
                                      </w:r>
                                    </w:p>
                                  </w:txbxContent>
                                </wps:txbx>
                                <wps:bodyPr lIns="0" tIns="0" rIns="0" bIns="0" upright="1"/>
                              </wps:wsp>
                              <wps:wsp>
                                <wps:cNvPr id="198" name="文本框 565"/>
                                <wps:cNvSpPr txBox="1"/>
                                <wps:spPr>
                                  <a:xfrm>
                                    <a:off x="4617" y="4620"/>
                                    <a:ext cx="651" cy="301"/>
                                  </a:xfrm>
                                  <a:prstGeom prst="rect">
                                    <a:avLst/>
                                  </a:prstGeom>
                                  <a:noFill/>
                                  <a:ln>
                                    <a:noFill/>
                                  </a:ln>
                                </wps:spPr>
                                <wps:txbx>
                                  <w:txbxContent>
                                    <w:p w14:paraId="62B0ACAE">
                                      <w:pPr>
                                        <w:rPr>
                                          <w:rFonts w:hint="default" w:ascii="Times New Roman" w:hAnsi="Times New Roman" w:eastAsia="宋体" w:cs="Times New Roman"/>
                                          <w:sz w:val="21"/>
                                          <w:szCs w:val="21"/>
                                          <w:lang w:val="en-US" w:eastAsia="zh-CN" w:bidi="ar-SA"/>
                                        </w:rPr>
                                      </w:pPr>
                                      <w:r>
                                        <w:rPr>
                                          <w:rFonts w:hint="eastAsia" w:ascii="Times New Roman" w:hAnsi="Times New Roman" w:eastAsia="宋体" w:cs="Times New Roman"/>
                                          <w:sz w:val="21"/>
                                          <w:szCs w:val="21"/>
                                          <w:lang w:val="en-US" w:eastAsia="zh-CN" w:bidi="ar-SA"/>
                                        </w:rPr>
                                        <w:t>337.5</w:t>
                                      </w:r>
                                    </w:p>
                                  </w:txbxContent>
                                </wps:txbx>
                                <wps:bodyPr lIns="0" tIns="0" rIns="0" bIns="0" upright="1"/>
                              </wps:wsp>
                              <wps:wsp>
                                <wps:cNvPr id="199" name="曲线连接符 567"/>
                                <wps:cNvCnPr/>
                                <wps:spPr>
                                  <a:xfrm rot="16200000">
                                    <a:off x="3371" y="4208"/>
                                    <a:ext cx="384" cy="628"/>
                                  </a:xfrm>
                                  <a:prstGeom prst="curvedConnector3">
                                    <a:avLst>
                                      <a:gd name="adj1" fmla="val 50000"/>
                                    </a:avLst>
                                  </a:prstGeom>
                                  <a:ln w="9525" cap="flat" cmpd="sng">
                                    <a:solidFill>
                                      <a:srgbClr val="000000"/>
                                    </a:solidFill>
                                    <a:prstDash val="dash"/>
                                    <a:headEnd type="none" w="med" len="med"/>
                                    <a:tailEnd type="arrow" w="med" len="med"/>
                                  </a:ln>
                                  <a:effectLst/>
                                </wps:spPr>
                                <wps:bodyPr/>
                              </wps:wsp>
                              <wps:wsp>
                                <wps:cNvPr id="200" name="直接连接符 579"/>
                                <wps:cNvCnPr/>
                                <wps:spPr>
                                  <a:xfrm>
                                    <a:off x="4499" y="4907"/>
                                    <a:ext cx="920" cy="0"/>
                                  </a:xfrm>
                                  <a:prstGeom prst="line">
                                    <a:avLst/>
                                  </a:prstGeom>
                                  <a:ln w="9525" cap="flat" cmpd="sng">
                                    <a:solidFill>
                                      <a:srgbClr val="000000"/>
                                    </a:solidFill>
                                    <a:prstDash val="solid"/>
                                    <a:round/>
                                    <a:headEnd type="none" w="med" len="med"/>
                                    <a:tailEnd type="triangle" w="med" len="med"/>
                                  </a:ln>
                                </wps:spPr>
                                <wps:bodyPr upright="1"/>
                              </wps:wsp>
                              <wps:wsp>
                                <wps:cNvPr id="201" name="直接连接符 592"/>
                                <wps:cNvCnPr/>
                                <wps:spPr>
                                  <a:xfrm>
                                    <a:off x="1589" y="4901"/>
                                    <a:ext cx="979" cy="1"/>
                                  </a:xfrm>
                                  <a:prstGeom prst="line">
                                    <a:avLst/>
                                  </a:prstGeom>
                                  <a:ln w="9525" cap="flat" cmpd="sng">
                                    <a:solidFill>
                                      <a:srgbClr val="000000"/>
                                    </a:solidFill>
                                    <a:prstDash val="solid"/>
                                    <a:round/>
                                    <a:headEnd type="none" w="med" len="med"/>
                                    <a:tailEnd type="triangle" w="med" len="med"/>
                                  </a:ln>
                                </wps:spPr>
                                <wps:bodyPr upright="1"/>
                              </wps:wsp>
                              <wps:wsp>
                                <wps:cNvPr id="202" name="文本框 595"/>
                                <wps:cNvSpPr txBox="1"/>
                                <wps:spPr>
                                  <a:xfrm>
                                    <a:off x="2568" y="4705"/>
                                    <a:ext cx="1911" cy="380"/>
                                  </a:xfrm>
                                  <a:prstGeom prst="rect">
                                    <a:avLst/>
                                  </a:prstGeom>
                                  <a:noFill/>
                                  <a:ln w="9525" cap="flat" cmpd="sng">
                                    <a:solidFill>
                                      <a:srgbClr val="000000"/>
                                    </a:solidFill>
                                    <a:prstDash val="solid"/>
                                    <a:miter/>
                                    <a:headEnd type="none" w="med" len="med"/>
                                    <a:tailEnd type="none" w="med" len="med"/>
                                  </a:ln>
                                </wps:spPr>
                                <wps:txbx>
                                  <w:txbxContent>
                                    <w:p w14:paraId="42D5394A">
                                      <w:pPr>
                                        <w:jc w:val="center"/>
                                        <w:rPr>
                                          <w:rFonts w:hint="eastAsia" w:ascii="Times New Roman" w:hAnsi="Times New Roman" w:cs="Times New Roman"/>
                                          <w:color w:val="auto"/>
                                          <w:sz w:val="21"/>
                                          <w:szCs w:val="21"/>
                                          <w:lang w:eastAsia="zh-CN" w:bidi="ar-SA"/>
                                        </w:rPr>
                                      </w:pPr>
                                      <w:r>
                                        <w:rPr>
                                          <w:rFonts w:hint="eastAsia" w:ascii="Times New Roman" w:hAnsi="Times New Roman" w:cs="Times New Roman"/>
                                          <w:color w:val="auto"/>
                                          <w:sz w:val="21"/>
                                          <w:szCs w:val="21"/>
                                          <w:lang w:eastAsia="zh-CN" w:bidi="ar-SA"/>
                                        </w:rPr>
                                        <w:t>设备清洗用水</w:t>
                                      </w:r>
                                    </w:p>
                                  </w:txbxContent>
                                </wps:txbx>
                                <wps:bodyPr lIns="0" tIns="3600" rIns="0" bIns="3600" upright="1"/>
                              </wps:wsp>
                            </wpg:wgp>
                            <wpg:wgp>
                              <wpg:cNvPr id="311" name="组合 311"/>
                              <wpg:cNvGrpSpPr/>
                              <wpg:grpSpPr>
                                <a:xfrm rot="0">
                                  <a:off x="1014095" y="5989955"/>
                                  <a:ext cx="3915410" cy="431800"/>
                                  <a:chOff x="1597" y="4393"/>
                                  <a:chExt cx="6166" cy="680"/>
                                </a:xfrm>
                              </wpg:grpSpPr>
                              <wps:wsp>
                                <wps:cNvPr id="187" name="文本框 554"/>
                                <wps:cNvSpPr txBox="1"/>
                                <wps:spPr>
                                  <a:xfrm>
                                    <a:off x="4699" y="4422"/>
                                    <a:ext cx="479" cy="316"/>
                                  </a:xfrm>
                                  <a:prstGeom prst="rect">
                                    <a:avLst/>
                                  </a:prstGeom>
                                  <a:noFill/>
                                  <a:ln>
                                    <a:noFill/>
                                  </a:ln>
                                </wps:spPr>
                                <wps:txbx>
                                  <w:txbxContent>
                                    <w:p w14:paraId="42DECF18">
                                      <w:pP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1.0</w:t>
                                      </w:r>
                                    </w:p>
                                  </w:txbxContent>
                                </wps:txbx>
                                <wps:bodyPr lIns="0" tIns="0" rIns="0" bIns="0" upright="1"/>
                              </wps:wsp>
                              <wps:wsp>
                                <wps:cNvPr id="204" name="文本框 563"/>
                                <wps:cNvSpPr txBox="1"/>
                                <wps:spPr>
                                  <a:xfrm>
                                    <a:off x="1862" y="4415"/>
                                    <a:ext cx="427" cy="241"/>
                                  </a:xfrm>
                                  <a:prstGeom prst="rect">
                                    <a:avLst/>
                                  </a:prstGeom>
                                  <a:noFill/>
                                  <a:ln>
                                    <a:noFill/>
                                  </a:ln>
                                </wps:spPr>
                                <wps:txbx>
                                  <w:txbxContent>
                                    <w:p w14:paraId="5BBF0851">
                                      <w:pP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0.6</w:t>
                                      </w:r>
                                    </w:p>
                                  </w:txbxContent>
                                </wps:txbx>
                                <wps:bodyPr lIns="0" tIns="0" rIns="0" bIns="0" upright="1"/>
                              </wps:wsp>
                              <wps:wsp>
                                <wps:cNvPr id="205" name="直接连接符 580"/>
                                <wps:cNvCnPr/>
                                <wps:spPr>
                                  <a:xfrm>
                                    <a:off x="4488" y="4731"/>
                                    <a:ext cx="920" cy="0"/>
                                  </a:xfrm>
                                  <a:prstGeom prst="line">
                                    <a:avLst/>
                                  </a:prstGeom>
                                  <a:ln w="9525" cap="flat" cmpd="sng">
                                    <a:solidFill>
                                      <a:srgbClr val="000000"/>
                                    </a:solidFill>
                                    <a:prstDash val="solid"/>
                                    <a:round/>
                                    <a:headEnd type="none" w="med" len="med"/>
                                    <a:tailEnd type="triangle" w="med" len="med"/>
                                  </a:ln>
                                </wps:spPr>
                                <wps:bodyPr upright="1"/>
                              </wps:wsp>
                              <wps:wsp>
                                <wps:cNvPr id="206" name="文本框 591"/>
                                <wps:cNvSpPr txBox="1"/>
                                <wps:spPr>
                                  <a:xfrm>
                                    <a:off x="2548" y="4520"/>
                                    <a:ext cx="1940" cy="380"/>
                                  </a:xfrm>
                                  <a:prstGeom prst="rect">
                                    <a:avLst/>
                                  </a:prstGeom>
                                  <a:noFill/>
                                  <a:ln w="9525" cap="flat" cmpd="sng">
                                    <a:solidFill>
                                      <a:srgbClr val="000000"/>
                                    </a:solidFill>
                                    <a:prstDash val="solid"/>
                                    <a:miter/>
                                    <a:headEnd type="none" w="med" len="med"/>
                                    <a:tailEnd type="none" w="med" len="med"/>
                                  </a:ln>
                                </wps:spPr>
                                <wps:txbx>
                                  <w:txbxContent>
                                    <w:p w14:paraId="0AE5A528">
                                      <w:pPr>
                                        <w:jc w:val="center"/>
                                        <w:rPr>
                                          <w:rFonts w:hint="eastAsia" w:ascii="Times New Roman" w:hAnsi="Times New Roman" w:cs="Times New Roman"/>
                                          <w:color w:val="auto"/>
                                          <w:sz w:val="21"/>
                                          <w:szCs w:val="21"/>
                                          <w:lang w:eastAsia="zh-CN" w:bidi="ar-SA"/>
                                        </w:rPr>
                                      </w:pPr>
                                      <w:r>
                                        <w:rPr>
                                          <w:rFonts w:hint="eastAsia" w:ascii="Times New Roman" w:hAnsi="Times New Roman" w:cs="Times New Roman"/>
                                          <w:color w:val="auto"/>
                                          <w:sz w:val="21"/>
                                          <w:szCs w:val="21"/>
                                          <w:lang w:eastAsia="zh-CN" w:bidi="ar-SA"/>
                                        </w:rPr>
                                        <w:t>质检用水</w:t>
                                      </w:r>
                                    </w:p>
                                  </w:txbxContent>
                                </wps:txbx>
                                <wps:bodyPr lIns="0" tIns="3600" rIns="0" bIns="3600" upright="1"/>
                              </wps:wsp>
                              <wps:wsp>
                                <wps:cNvPr id="207" name="直接连接符 594"/>
                                <wps:cNvCnPr/>
                                <wps:spPr>
                                  <a:xfrm>
                                    <a:off x="1597" y="4733"/>
                                    <a:ext cx="958" cy="1"/>
                                  </a:xfrm>
                                  <a:prstGeom prst="line">
                                    <a:avLst/>
                                  </a:prstGeom>
                                  <a:ln w="9525" cap="flat" cmpd="sng">
                                    <a:solidFill>
                                      <a:srgbClr val="000000"/>
                                    </a:solidFill>
                                    <a:prstDash val="solid"/>
                                    <a:round/>
                                    <a:headEnd type="none" w="med" len="med"/>
                                    <a:tailEnd type="triangle" w="med" len="med"/>
                                  </a:ln>
                                </wps:spPr>
                                <wps:bodyPr upright="1"/>
                              </wps:wsp>
                              <wps:wsp>
                                <wps:cNvPr id="208" name="文本框 600"/>
                                <wps:cNvSpPr txBox="1"/>
                                <wps:spPr>
                                  <a:xfrm>
                                    <a:off x="5383" y="4393"/>
                                    <a:ext cx="2380" cy="680"/>
                                  </a:xfrm>
                                  <a:prstGeom prst="rect">
                                    <a:avLst/>
                                  </a:prstGeom>
                                  <a:noFill/>
                                  <a:ln>
                                    <a:noFill/>
                                  </a:ln>
                                  <a:effectLst/>
                                </wps:spPr>
                                <wps:txbx>
                                  <w:txbxContent>
                                    <w:p w14:paraId="3D9D8276">
                                      <w:pPr>
                                        <w:jc w:val="center"/>
                                        <w:rPr>
                                          <w:rFonts w:hint="default" w:ascii="Times New Roman" w:hAnsi="Times New Roman" w:eastAsia="宋体" w:cs="Times New Roman"/>
                                          <w:sz w:val="28"/>
                                          <w:szCs w:val="24"/>
                                          <w:lang w:val="en-US" w:eastAsia="zh-CN" w:bidi="ar-SA"/>
                                        </w:rPr>
                                      </w:pPr>
                                      <w:r>
                                        <w:rPr>
                                          <w:rFonts w:hint="eastAsia" w:ascii="Times New Roman" w:hAnsi="宋体" w:cs="Times New Roman"/>
                                          <w:color w:val="auto"/>
                                          <w:sz w:val="21"/>
                                          <w:szCs w:val="21"/>
                                          <w:lang w:val="en-US" w:eastAsia="zh-CN" w:bidi="ar-SA"/>
                                        </w:rPr>
                                        <w:t>暂存于危废贮存</w:t>
                                      </w:r>
                                      <w:r>
                                        <w:rPr>
                                          <w:rFonts w:hint="eastAsia" w:hAnsi="宋体" w:cs="Times New Roman"/>
                                          <w:color w:val="auto"/>
                                          <w:sz w:val="21"/>
                                          <w:szCs w:val="21"/>
                                          <w:lang w:val="en-US" w:eastAsia="zh-CN" w:bidi="ar-SA"/>
                                        </w:rPr>
                                        <w:t>库</w:t>
                                      </w:r>
                                      <w:r>
                                        <w:rPr>
                                          <w:rFonts w:hint="eastAsia" w:ascii="Times New Roman" w:hAnsi="宋体" w:cs="Times New Roman"/>
                                          <w:color w:val="auto"/>
                                          <w:sz w:val="21"/>
                                          <w:szCs w:val="21"/>
                                          <w:lang w:val="en-US" w:eastAsia="zh-CN" w:bidi="ar-SA"/>
                                        </w:rPr>
                                        <w:t>，定期交有资质单位处置</w:t>
                                      </w:r>
                                    </w:p>
                                  </w:txbxContent>
                                </wps:txbx>
                                <wps:bodyPr vert="horz" wrap="square" lIns="0" tIns="0" rIns="0" bIns="0" anchor="t" anchorCtr="0" upright="1"/>
                              </wps:wsp>
                            </wpg:wgp>
                            <wpg:wgp>
                              <wpg:cNvPr id="269" name="组合 269"/>
                              <wpg:cNvGrpSpPr/>
                              <wpg:grpSpPr>
                                <a:xfrm>
                                  <a:off x="1002030" y="2196465"/>
                                  <a:ext cx="2421255" cy="699135"/>
                                  <a:chOff x="1578" y="2919"/>
                                  <a:chExt cx="3813" cy="1101"/>
                                </a:xfrm>
                              </wpg:grpSpPr>
                              <wps:wsp>
                                <wps:cNvPr id="216" name="文本框 556"/>
                                <wps:cNvSpPr txBox="1"/>
                                <wps:spPr>
                                  <a:xfrm>
                                    <a:off x="1701" y="3537"/>
                                    <a:ext cx="611" cy="295"/>
                                  </a:xfrm>
                                  <a:prstGeom prst="rect">
                                    <a:avLst/>
                                  </a:prstGeom>
                                  <a:noFill/>
                                  <a:ln>
                                    <a:noFill/>
                                  </a:ln>
                                </wps:spPr>
                                <wps:txbx>
                                  <w:txbxContent>
                                    <w:p w14:paraId="0FE0E2D6">
                                      <w:pPr>
                                        <w:rPr>
                                          <w:rFonts w:hint="default" w:ascii="Times New Roman" w:hAnsi="Times New Roman" w:eastAsia="宋体" w:cs="Times New Roman"/>
                                          <w:sz w:val="21"/>
                                          <w:szCs w:val="21"/>
                                          <w:lang w:val="en-US" w:eastAsia="zh-CN" w:bidi="ar-SA"/>
                                        </w:rPr>
                                      </w:pPr>
                                      <w:r>
                                        <w:rPr>
                                          <w:rFonts w:hint="eastAsia" w:ascii="Times New Roman" w:hAnsi="Times New Roman" w:eastAsia="宋体" w:cs="Times New Roman"/>
                                          <w:sz w:val="21"/>
                                          <w:szCs w:val="21"/>
                                          <w:lang w:val="en-US" w:eastAsia="zh-CN" w:bidi="ar-SA"/>
                                        </w:rPr>
                                        <w:t>371.07</w:t>
                                      </w:r>
                                    </w:p>
                                  </w:txbxContent>
                                </wps:txbx>
                                <wps:bodyPr lIns="0" tIns="0" rIns="0" bIns="0" upright="1"/>
                              </wps:wsp>
                              <wps:wsp>
                                <wps:cNvPr id="217" name="文本框 566"/>
                                <wps:cNvSpPr txBox="1"/>
                                <wps:spPr>
                                  <a:xfrm>
                                    <a:off x="3086" y="2919"/>
                                    <a:ext cx="712" cy="327"/>
                                  </a:xfrm>
                                  <a:prstGeom prst="rect">
                                    <a:avLst/>
                                  </a:prstGeom>
                                  <a:noFill/>
                                  <a:ln>
                                    <a:noFill/>
                                  </a:ln>
                                  <a:effectLst/>
                                </wps:spPr>
                                <wps:txbx>
                                  <w:txbxContent>
                                    <w:p w14:paraId="1D5B83B6">
                                      <w:pPr>
                                        <w:rPr>
                                          <w:rFonts w:hint="default" w:ascii="Times New Roman" w:hAnsi="Times New Roman" w:eastAsia="宋体" w:cs="Times New Roman"/>
                                          <w:sz w:val="21"/>
                                          <w:szCs w:val="21"/>
                                          <w:lang w:val="en-US" w:eastAsia="zh-CN" w:bidi="ar-SA"/>
                                        </w:rPr>
                                      </w:pPr>
                                      <w:r>
                                        <w:rPr>
                                          <w:rFonts w:hint="eastAsia" w:ascii="Times New Roman" w:hAnsi="Times New Roman" w:eastAsia="宋体" w:cs="Times New Roman"/>
                                          <w:sz w:val="21"/>
                                          <w:szCs w:val="21"/>
                                          <w:lang w:val="en-US" w:eastAsia="zh-CN" w:bidi="ar-SA"/>
                                        </w:rPr>
                                        <w:t>61.845</w:t>
                                      </w:r>
                                    </w:p>
                                  </w:txbxContent>
                                </wps:txbx>
                                <wps:bodyPr vert="horz" wrap="square" lIns="0" tIns="0" rIns="0" bIns="0" anchor="t" anchorCtr="0" upright="1">
                                  <a:noAutofit/>
                                </wps:bodyPr>
                              </wps:wsp>
                              <wps:wsp>
                                <wps:cNvPr id="218" name="文本框 552"/>
                                <wps:cNvSpPr txBox="1"/>
                                <wps:spPr>
                                  <a:xfrm>
                                    <a:off x="4437" y="3520"/>
                                    <a:ext cx="855" cy="285"/>
                                  </a:xfrm>
                                  <a:prstGeom prst="rect">
                                    <a:avLst/>
                                  </a:prstGeom>
                                  <a:noFill/>
                                  <a:ln>
                                    <a:noFill/>
                                  </a:ln>
                                </wps:spPr>
                                <wps:txbx>
                                  <w:txbxContent>
                                    <w:p w14:paraId="06931481">
                                      <w:pPr>
                                        <w:jc w:val="center"/>
                                        <w:rPr>
                                          <w:rFonts w:hint="default" w:ascii="Times New Roman" w:hAnsi="Times New Roman" w:eastAsia="宋体" w:cs="Times New Roman"/>
                                          <w:sz w:val="21"/>
                                          <w:szCs w:val="21"/>
                                          <w:lang w:val="en-US" w:eastAsia="zh-CN" w:bidi="ar-SA"/>
                                        </w:rPr>
                                      </w:pPr>
                                      <w:r>
                                        <w:rPr>
                                          <w:rFonts w:hint="eastAsia" w:ascii="Times New Roman" w:hAnsi="Times New Roman" w:eastAsia="宋体" w:cs="Times New Roman"/>
                                          <w:sz w:val="21"/>
                                          <w:szCs w:val="21"/>
                                          <w:lang w:val="en-US" w:eastAsia="zh-CN" w:bidi="ar-SA"/>
                                        </w:rPr>
                                        <w:t>309.225</w:t>
                                      </w:r>
                                    </w:p>
                                  </w:txbxContent>
                                </wps:txbx>
                                <wps:bodyPr lIns="0" tIns="0" rIns="0" bIns="0" upright="1"/>
                              </wps:wsp>
                              <wps:wsp>
                                <wps:cNvPr id="219" name="曲线连接符 553"/>
                                <wps:cNvCnPr/>
                                <wps:spPr>
                                  <a:xfrm rot="16200000">
                                    <a:off x="2935" y="3184"/>
                                    <a:ext cx="414" cy="445"/>
                                  </a:xfrm>
                                  <a:prstGeom prst="curvedConnector3">
                                    <a:avLst>
                                      <a:gd name="adj1" fmla="val 50121"/>
                                    </a:avLst>
                                  </a:prstGeom>
                                  <a:ln w="9525" cap="flat" cmpd="sng">
                                    <a:solidFill>
                                      <a:srgbClr val="000000"/>
                                    </a:solidFill>
                                    <a:prstDash val="dash"/>
                                    <a:headEnd type="none" w="med" len="med"/>
                                    <a:tailEnd type="arrow" w="med" len="med"/>
                                  </a:ln>
                                  <a:effectLst/>
                                </wps:spPr>
                                <wps:bodyPr/>
                              </wps:wsp>
                              <wps:wsp>
                                <wps:cNvPr id="220" name="直接连接符 587"/>
                                <wps:cNvCnPr/>
                                <wps:spPr>
                                  <a:xfrm>
                                    <a:off x="1578" y="3857"/>
                                    <a:ext cx="920" cy="0"/>
                                  </a:xfrm>
                                  <a:prstGeom prst="line">
                                    <a:avLst/>
                                  </a:prstGeom>
                                  <a:ln w="9525" cap="flat" cmpd="sng">
                                    <a:solidFill>
                                      <a:srgbClr val="000000"/>
                                    </a:solidFill>
                                    <a:prstDash val="solid"/>
                                    <a:round/>
                                    <a:headEnd type="none" w="med" len="med"/>
                                    <a:tailEnd type="triangle" w="med" len="med"/>
                                  </a:ln>
                                </wps:spPr>
                                <wps:bodyPr upright="1"/>
                              </wps:wsp>
                              <wps:wsp>
                                <wps:cNvPr id="221" name="文本框 588"/>
                                <wps:cNvSpPr txBox="1"/>
                                <wps:spPr>
                                  <a:xfrm>
                                    <a:off x="2483" y="3628"/>
                                    <a:ext cx="1929" cy="392"/>
                                  </a:xfrm>
                                  <a:prstGeom prst="rect">
                                    <a:avLst/>
                                  </a:prstGeom>
                                  <a:noFill/>
                                  <a:ln w="9525" cap="flat" cmpd="sng">
                                    <a:solidFill>
                                      <a:srgbClr val="000000"/>
                                    </a:solidFill>
                                    <a:prstDash val="solid"/>
                                    <a:miter/>
                                    <a:headEnd type="none" w="med" len="med"/>
                                    <a:tailEnd type="none" w="med" len="med"/>
                                  </a:ln>
                                </wps:spPr>
                                <wps:txbx>
                                  <w:txbxContent>
                                    <w:p w14:paraId="31D13B5D">
                                      <w:pPr>
                                        <w:jc w:val="center"/>
                                        <w:rPr>
                                          <w:rFonts w:hint="eastAsia" w:ascii="Times New Roman" w:hAnsi="Times New Roman" w:cs="Times New Roman"/>
                                          <w:sz w:val="21"/>
                                          <w:szCs w:val="21"/>
                                          <w:lang w:eastAsia="zh-CN" w:bidi="ar-SA"/>
                                        </w:rPr>
                                      </w:pPr>
                                      <w:r>
                                        <w:rPr>
                                          <w:rFonts w:hint="eastAsia" w:ascii="Times New Roman" w:hAnsi="Times New Roman" w:cs="Times New Roman"/>
                                          <w:sz w:val="21"/>
                                          <w:szCs w:val="21"/>
                                          <w:lang w:val="en-US" w:eastAsia="zh-CN" w:bidi="ar-SA"/>
                                        </w:rPr>
                                        <w:t>药材</w:t>
                                      </w:r>
                                      <w:r>
                                        <w:rPr>
                                          <w:rFonts w:hint="eastAsia" w:cs="Times New Roman"/>
                                          <w:sz w:val="21"/>
                                          <w:szCs w:val="21"/>
                                          <w:lang w:val="en-US" w:eastAsia="zh-CN" w:bidi="ar-SA"/>
                                        </w:rPr>
                                        <w:t>炮制</w:t>
                                      </w:r>
                                      <w:r>
                                        <w:rPr>
                                          <w:rFonts w:hint="eastAsia" w:ascii="Times New Roman" w:hAnsi="Times New Roman" w:cs="Times New Roman"/>
                                          <w:sz w:val="21"/>
                                          <w:szCs w:val="21"/>
                                          <w:lang w:eastAsia="zh-CN" w:bidi="ar-SA"/>
                                        </w:rPr>
                                        <w:t>用水</w:t>
                                      </w:r>
                                    </w:p>
                                  </w:txbxContent>
                                </wps:txbx>
                                <wps:bodyPr lIns="0" tIns="3600" rIns="0" bIns="3600" upright="1"/>
                              </wps:wsp>
                              <wps:wsp>
                                <wps:cNvPr id="222" name="直接连接符 602"/>
                                <wps:cNvCnPr/>
                                <wps:spPr>
                                  <a:xfrm flipV="1">
                                    <a:off x="4423" y="3811"/>
                                    <a:ext cx="968" cy="12"/>
                                  </a:xfrm>
                                  <a:prstGeom prst="line">
                                    <a:avLst/>
                                  </a:prstGeom>
                                  <a:ln w="9525" cap="flat" cmpd="sng">
                                    <a:solidFill>
                                      <a:srgbClr val="000000"/>
                                    </a:solidFill>
                                    <a:prstDash val="solid"/>
                                    <a:round/>
                                    <a:headEnd type="none" w="med" len="med"/>
                                    <a:tailEnd type="triangle" w="med" len="med"/>
                                  </a:ln>
                                </wps:spPr>
                                <wps:bodyPr upright="1"/>
                              </wps:wsp>
                            </wpg:wgp>
                            <wps:wsp>
                              <wps:cNvPr id="224" name="文本框 586"/>
                              <wps:cNvSpPr txBox="1"/>
                              <wps:spPr>
                                <a:xfrm>
                                  <a:off x="313055" y="2257425"/>
                                  <a:ext cx="662305" cy="233680"/>
                                </a:xfrm>
                                <a:prstGeom prst="rect">
                                  <a:avLst/>
                                </a:prstGeom>
                                <a:noFill/>
                                <a:ln>
                                  <a:noFill/>
                                </a:ln>
                              </wps:spPr>
                              <wps:txbx>
                                <w:txbxContent>
                                  <w:p w14:paraId="54FE91DF">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16717.86</w:t>
                                    </w:r>
                                  </w:p>
                                </w:txbxContent>
                              </wps:txbx>
                              <wps:bodyPr lIns="0" tIns="0" rIns="0" bIns="0" upright="1"/>
                            </wps:wsp>
                            <wpg:wgp>
                              <wpg:cNvPr id="270" name="组合 270"/>
                              <wpg:cNvGrpSpPr/>
                              <wpg:grpSpPr>
                                <a:xfrm>
                                  <a:off x="941705" y="1858010"/>
                                  <a:ext cx="2482215" cy="719455"/>
                                  <a:chOff x="1483" y="2236"/>
                                  <a:chExt cx="3909" cy="1133"/>
                                </a:xfrm>
                              </wpg:grpSpPr>
                              <wps:wsp>
                                <wps:cNvPr id="225" name="文本框 562"/>
                                <wps:cNvSpPr txBox="1"/>
                                <wps:spPr>
                                  <a:xfrm>
                                    <a:off x="3802" y="2236"/>
                                    <a:ext cx="940" cy="335"/>
                                  </a:xfrm>
                                  <a:prstGeom prst="rect">
                                    <a:avLst/>
                                  </a:prstGeom>
                                  <a:noFill/>
                                  <a:ln>
                                    <a:noFill/>
                                  </a:ln>
                                </wps:spPr>
                                <wps:txbx>
                                  <w:txbxContent>
                                    <w:p w14:paraId="1353CF97">
                                      <w:pPr>
                                        <w:jc w:val="both"/>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4179.465</w:t>
                                      </w:r>
                                    </w:p>
                                  </w:txbxContent>
                                </wps:txbx>
                                <wps:bodyPr lIns="0" tIns="0" rIns="0" bIns="0" upright="1"/>
                              </wps:wsp>
                              <wps:wsp>
                                <wps:cNvPr id="226" name="文本框 573"/>
                                <wps:cNvSpPr txBox="1"/>
                                <wps:spPr>
                                  <a:xfrm>
                                    <a:off x="1483" y="2337"/>
                                    <a:ext cx="1924" cy="407"/>
                                  </a:xfrm>
                                  <a:prstGeom prst="rect">
                                    <a:avLst/>
                                  </a:prstGeom>
                                  <a:noFill/>
                                  <a:ln w="9525" cap="flat" cmpd="sng">
                                    <a:solidFill>
                                      <a:srgbClr val="000000"/>
                                    </a:solidFill>
                                    <a:prstDash val="solid"/>
                                    <a:miter/>
                                    <a:headEnd type="none" w="med" len="med"/>
                                    <a:tailEnd type="none" w="med" len="med"/>
                                  </a:ln>
                                </wps:spPr>
                                <wps:txbx>
                                  <w:txbxContent>
                                    <w:p w14:paraId="2AFC220D">
                                      <w:pPr>
                                        <w:spacing w:line="240" w:lineRule="auto"/>
                                        <w:jc w:val="center"/>
                                        <w:rPr>
                                          <w:rFonts w:hint="eastAsia" w:ascii="Times New Roman" w:hAnsi="Times New Roman" w:eastAsia="宋体" w:cs="Times New Roman"/>
                                          <w:b w:val="0"/>
                                          <w:bCs/>
                                          <w:color w:val="000000"/>
                                          <w:kern w:val="2"/>
                                          <w:sz w:val="21"/>
                                          <w:szCs w:val="21"/>
                                          <w:highlight w:val="none"/>
                                          <w:lang w:val="en-US" w:eastAsia="zh-CN" w:bidi="ar-SA"/>
                                        </w:rPr>
                                      </w:pPr>
                                      <w:r>
                                        <w:rPr>
                                          <w:rFonts w:hint="eastAsia" w:cs="Times New Roman"/>
                                          <w:b w:val="0"/>
                                          <w:bCs/>
                                          <w:color w:val="000000"/>
                                          <w:kern w:val="2"/>
                                          <w:sz w:val="21"/>
                                          <w:szCs w:val="21"/>
                                          <w:highlight w:val="none"/>
                                          <w:lang w:val="en-US" w:eastAsia="zh-CN" w:bidi="ar-SA"/>
                                        </w:rPr>
                                        <w:t>软化水制备</w:t>
                                      </w:r>
                                      <w:r>
                                        <w:rPr>
                                          <w:rFonts w:hint="eastAsia" w:ascii="Times New Roman" w:hAnsi="Times New Roman" w:eastAsia="宋体" w:cs="Times New Roman"/>
                                          <w:b w:val="0"/>
                                          <w:bCs/>
                                          <w:color w:val="000000"/>
                                          <w:kern w:val="2"/>
                                          <w:sz w:val="21"/>
                                          <w:szCs w:val="21"/>
                                          <w:highlight w:val="none"/>
                                          <w:lang w:val="en-US" w:eastAsia="zh-CN" w:bidi="ar-SA"/>
                                        </w:rPr>
                                        <w:t>用水</w:t>
                                      </w:r>
                                    </w:p>
                                    <w:p w14:paraId="3B4FDA21">
                                      <w:pPr>
                                        <w:rPr>
                                          <w:rFonts w:hint="eastAsia"/>
                                          <w:lang w:val="en-US" w:eastAsia="zh-CN"/>
                                        </w:rPr>
                                      </w:pPr>
                                    </w:p>
                                  </w:txbxContent>
                                </wps:txbx>
                                <wps:bodyPr lIns="0" tIns="3600" rIns="0" bIns="3600" upright="1"/>
                              </wps:wsp>
                              <wps:wsp>
                                <wps:cNvPr id="227" name="直接连接符 575"/>
                                <wps:cNvCnPr/>
                                <wps:spPr>
                                  <a:xfrm>
                                    <a:off x="3406" y="2529"/>
                                    <a:ext cx="1986" cy="9"/>
                                  </a:xfrm>
                                  <a:prstGeom prst="line">
                                    <a:avLst/>
                                  </a:prstGeom>
                                  <a:ln w="9525" cap="flat" cmpd="sng">
                                    <a:solidFill>
                                      <a:srgbClr val="000000"/>
                                    </a:solidFill>
                                    <a:prstDash val="solid"/>
                                    <a:round/>
                                    <a:headEnd type="none" w="med" len="med"/>
                                    <a:tailEnd type="triangle" w="med" len="med"/>
                                  </a:ln>
                                </wps:spPr>
                                <wps:bodyPr upright="1"/>
                              </wps:wsp>
                              <wps:wsp>
                                <wps:cNvPr id="228" name="直接连接符 597"/>
                                <wps:cNvCnPr/>
                                <wps:spPr>
                                  <a:xfrm>
                                    <a:off x="1567" y="2739"/>
                                    <a:ext cx="0" cy="630"/>
                                  </a:xfrm>
                                  <a:prstGeom prst="line">
                                    <a:avLst/>
                                  </a:prstGeom>
                                  <a:ln w="9525" cap="flat" cmpd="sng">
                                    <a:solidFill>
                                      <a:srgbClr val="000000"/>
                                    </a:solidFill>
                                    <a:prstDash val="solid"/>
                                    <a:round/>
                                    <a:headEnd type="none" w="med" len="med"/>
                                    <a:tailEnd type="triangle" w="med" len="med"/>
                                  </a:ln>
                                </wps:spPr>
                                <wps:bodyPr upright="1"/>
                              </wps:wsp>
                            </wpg:wgp>
                            <wps:wsp>
                              <wps:cNvPr id="229" name="直接连接符 589"/>
                              <wps:cNvCnPr/>
                              <wps:spPr>
                                <a:xfrm flipV="1">
                                  <a:off x="551815" y="2046605"/>
                                  <a:ext cx="389890" cy="5080"/>
                                </a:xfrm>
                                <a:prstGeom prst="line">
                                  <a:avLst/>
                                </a:prstGeom>
                                <a:ln w="9525" cap="flat" cmpd="sng">
                                  <a:solidFill>
                                    <a:srgbClr val="000000"/>
                                  </a:solidFill>
                                  <a:prstDash val="solid"/>
                                  <a:round/>
                                  <a:headEnd type="none" w="med" len="med"/>
                                  <a:tailEnd type="triangle" w="med" len="med"/>
                                </a:ln>
                              </wps:spPr>
                              <wps:bodyPr upright="1"/>
                            </wps:wsp>
                            <wps:wsp>
                              <wps:cNvPr id="209" name="直接箭头连接符 576"/>
                              <wps:cNvCnPr/>
                              <wps:spPr>
                                <a:xfrm>
                                  <a:off x="3423285" y="2044065"/>
                                  <a:ext cx="14605" cy="2685415"/>
                                </a:xfrm>
                                <a:prstGeom prst="straightConnector1">
                                  <a:avLst/>
                                </a:prstGeom>
                                <a:ln w="9525" cap="flat" cmpd="sng">
                                  <a:solidFill>
                                    <a:srgbClr val="000000"/>
                                  </a:solidFill>
                                  <a:prstDash val="solid"/>
                                  <a:round/>
                                  <a:headEnd type="none" w="med" len="med"/>
                                  <a:tailEnd type="none" w="med" len="med"/>
                                </a:ln>
                              </wps:spPr>
                              <wps:bodyPr/>
                            </wps:wsp>
                            <wps:wsp>
                              <wps:cNvPr id="244" name="直接连接符 575"/>
                              <wps:cNvCnPr/>
                              <wps:spPr>
                                <a:xfrm flipV="1">
                                  <a:off x="2428240" y="1501140"/>
                                  <a:ext cx="1918970" cy="18415"/>
                                </a:xfrm>
                                <a:prstGeom prst="line">
                                  <a:avLst/>
                                </a:prstGeom>
                                <a:ln w="9525" cap="flat" cmpd="sng">
                                  <a:solidFill>
                                    <a:srgbClr val="000000"/>
                                  </a:solidFill>
                                  <a:prstDash val="solid"/>
                                  <a:round/>
                                  <a:headEnd type="none" w="med" len="med"/>
                                  <a:tailEnd type="triangle" w="med" len="med"/>
                                </a:ln>
                              </wps:spPr>
                              <wps:bodyPr upright="1"/>
                            </wps:wsp>
                            <wps:wsp>
                              <wps:cNvPr id="241" name="直接连接符 589"/>
                              <wps:cNvCnPr/>
                              <wps:spPr>
                                <a:xfrm flipV="1">
                                  <a:off x="542290" y="1522730"/>
                                  <a:ext cx="635000" cy="6350"/>
                                </a:xfrm>
                                <a:prstGeom prst="line">
                                  <a:avLst/>
                                </a:prstGeom>
                                <a:ln w="9525" cap="flat" cmpd="sng">
                                  <a:solidFill>
                                    <a:srgbClr val="000000"/>
                                  </a:solidFill>
                                  <a:prstDash val="solid"/>
                                  <a:round/>
                                  <a:headEnd type="none" w="med" len="med"/>
                                  <a:tailEnd type="triangle" w="med" len="med"/>
                                </a:ln>
                              </wps:spPr>
                              <wps:bodyPr upright="1"/>
                            </wps:wsp>
                            <wps:wsp>
                              <wps:cNvPr id="242" name="文本框 573"/>
                              <wps:cNvSpPr txBox="1"/>
                              <wps:spPr>
                                <a:xfrm>
                                  <a:off x="1170940" y="1408430"/>
                                  <a:ext cx="1249680" cy="248920"/>
                                </a:xfrm>
                                <a:prstGeom prst="rect">
                                  <a:avLst/>
                                </a:prstGeom>
                                <a:noFill/>
                                <a:ln w="9525" cap="flat" cmpd="sng">
                                  <a:solidFill>
                                    <a:srgbClr val="000000"/>
                                  </a:solidFill>
                                  <a:prstDash val="solid"/>
                                  <a:miter/>
                                  <a:headEnd type="none" w="med" len="med"/>
                                  <a:tailEnd type="none" w="med" len="med"/>
                                </a:ln>
                              </wps:spPr>
                              <wps:txbx>
                                <w:txbxContent>
                                  <w:p w14:paraId="25217B75">
                                    <w:pPr>
                                      <w:spacing w:line="240" w:lineRule="auto"/>
                                      <w:jc w:val="center"/>
                                      <w:rPr>
                                        <w:rFonts w:hint="eastAsia" w:ascii="Times New Roman" w:hAnsi="Times New Roman" w:eastAsia="宋体" w:cs="Times New Roman"/>
                                        <w:b w:val="0"/>
                                        <w:bCs/>
                                        <w:color w:val="000000"/>
                                        <w:kern w:val="2"/>
                                        <w:sz w:val="21"/>
                                        <w:szCs w:val="21"/>
                                        <w:highlight w:val="none"/>
                                        <w:lang w:val="en-US" w:eastAsia="zh-CN" w:bidi="ar-SA"/>
                                      </w:rPr>
                                    </w:pPr>
                                    <w:r>
                                      <w:rPr>
                                        <w:rFonts w:hint="eastAsia" w:cs="Times New Roman"/>
                                        <w:b w:val="0"/>
                                        <w:bCs/>
                                        <w:color w:val="000000"/>
                                        <w:kern w:val="2"/>
                                        <w:sz w:val="21"/>
                                        <w:szCs w:val="21"/>
                                        <w:highlight w:val="none"/>
                                        <w:lang w:val="en-US" w:eastAsia="zh-CN" w:bidi="ar-SA"/>
                                      </w:rPr>
                                      <w:t>现有项目</w:t>
                                    </w:r>
                                    <w:r>
                                      <w:rPr>
                                        <w:rFonts w:hint="eastAsia" w:ascii="Times New Roman" w:hAnsi="Times New Roman" w:eastAsia="宋体" w:cs="Times New Roman"/>
                                        <w:b w:val="0"/>
                                        <w:bCs/>
                                        <w:color w:val="000000"/>
                                        <w:kern w:val="2"/>
                                        <w:sz w:val="21"/>
                                        <w:szCs w:val="21"/>
                                        <w:highlight w:val="none"/>
                                        <w:lang w:val="en-US" w:eastAsia="zh-CN" w:bidi="ar-SA"/>
                                      </w:rPr>
                                      <w:t>生产用水</w:t>
                                    </w:r>
                                  </w:p>
                                </w:txbxContent>
                              </wps:txbx>
                              <wps:bodyPr lIns="0" tIns="3600" rIns="0" bIns="3600" upright="1"/>
                            </wps:wsp>
                            <wps:wsp>
                              <wps:cNvPr id="243" name="文本框 562"/>
                              <wps:cNvSpPr txBox="1"/>
                              <wps:spPr>
                                <a:xfrm>
                                  <a:off x="3399155" y="1313180"/>
                                  <a:ext cx="454025" cy="203200"/>
                                </a:xfrm>
                                <a:prstGeom prst="rect">
                                  <a:avLst/>
                                </a:prstGeom>
                                <a:noFill/>
                                <a:ln>
                                  <a:noFill/>
                                </a:ln>
                              </wps:spPr>
                              <wps:txbx>
                                <w:txbxContent>
                                  <w:p w14:paraId="6B5D3622">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114500</w:t>
                                    </w:r>
                                  </w:p>
                                </w:txbxContent>
                              </wps:txbx>
                              <wps:bodyPr lIns="0" tIns="0" rIns="0" bIns="0" upright="1"/>
                            </wps:wsp>
                            <wps:wsp>
                              <wps:cNvPr id="245" name="文本框 562"/>
                              <wps:cNvSpPr txBox="1"/>
                              <wps:spPr>
                                <a:xfrm>
                                  <a:off x="608330" y="1341755"/>
                                  <a:ext cx="454025" cy="203200"/>
                                </a:xfrm>
                                <a:prstGeom prst="rect">
                                  <a:avLst/>
                                </a:prstGeom>
                                <a:noFill/>
                                <a:ln>
                                  <a:noFill/>
                                </a:ln>
                              </wps:spPr>
                              <wps:txbx>
                                <w:txbxContent>
                                  <w:p w14:paraId="0FAE682E">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416750</w:t>
                                    </w:r>
                                  </w:p>
                                </w:txbxContent>
                              </wps:txbx>
                              <wps:bodyPr lIns="0" tIns="0" rIns="0" bIns="0" upright="1"/>
                            </wps:wsp>
                            <wps:wsp>
                              <wps:cNvPr id="246" name="曲线连接符 553"/>
                              <wps:cNvCnPr/>
                              <wps:spPr>
                                <a:xfrm rot="16200000">
                                  <a:off x="1598930" y="1141730"/>
                                  <a:ext cx="262890" cy="282575"/>
                                </a:xfrm>
                                <a:prstGeom prst="curvedConnector3">
                                  <a:avLst>
                                    <a:gd name="adj1" fmla="val 50121"/>
                                  </a:avLst>
                                </a:prstGeom>
                                <a:ln w="9525" cap="flat" cmpd="sng">
                                  <a:solidFill>
                                    <a:srgbClr val="000000"/>
                                  </a:solidFill>
                                  <a:prstDash val="dash"/>
                                  <a:headEnd type="none" w="med" len="med"/>
                                  <a:tailEnd type="arrow" w="med" len="med"/>
                                </a:ln>
                                <a:effectLst/>
                              </wps:spPr>
                              <wps:bodyPr/>
                            </wps:wsp>
                            <wps:wsp>
                              <wps:cNvPr id="247" name="文本框 566"/>
                              <wps:cNvSpPr txBox="1"/>
                              <wps:spPr>
                                <a:xfrm>
                                  <a:off x="1684655" y="970280"/>
                                  <a:ext cx="518160" cy="198755"/>
                                </a:xfrm>
                                <a:prstGeom prst="rect">
                                  <a:avLst/>
                                </a:prstGeom>
                                <a:noFill/>
                                <a:ln>
                                  <a:noFill/>
                                </a:ln>
                                <a:effectLst/>
                              </wps:spPr>
                              <wps:txbx>
                                <w:txbxContent>
                                  <w:p w14:paraId="40367499">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302250</w:t>
                                    </w:r>
                                  </w:p>
                                </w:txbxContent>
                              </wps:txbx>
                              <wps:bodyPr vert="horz" wrap="square" lIns="0" tIns="0" rIns="0" bIns="0" anchor="t" anchorCtr="0" upright="1">
                                <a:noAutofit/>
                              </wps:bodyPr>
                            </wps:wsp>
                            <wpg:wgp>
                              <wpg:cNvPr id="322" name="组合 322"/>
                              <wpg:cNvGrpSpPr/>
                              <wpg:grpSpPr>
                                <a:xfrm rot="0">
                                  <a:off x="1008380" y="4189730"/>
                                  <a:ext cx="2432050" cy="641350"/>
                                  <a:chOff x="1873" y="5053"/>
                                  <a:chExt cx="3830" cy="1010"/>
                                </a:xfrm>
                              </wpg:grpSpPr>
                              <wps:wsp>
                                <wps:cNvPr id="323" name="文本框 560"/>
                                <wps:cNvSpPr txBox="1"/>
                                <wps:spPr>
                                  <a:xfrm>
                                    <a:off x="1902" y="5566"/>
                                    <a:ext cx="915" cy="302"/>
                                  </a:xfrm>
                                  <a:prstGeom prst="rect">
                                    <a:avLst/>
                                  </a:prstGeom>
                                  <a:noFill/>
                                  <a:ln>
                                    <a:noFill/>
                                  </a:ln>
                                </wps:spPr>
                                <wps:txbx>
                                  <w:txbxContent>
                                    <w:p w14:paraId="2982C5EB">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13525.2</w:t>
                                      </w:r>
                                    </w:p>
                                  </w:txbxContent>
                                </wps:txbx>
                                <wps:bodyPr lIns="0" tIns="0" rIns="0" bIns="0" upright="1"/>
                              </wps:wsp>
                              <wps:wsp>
                                <wps:cNvPr id="324" name="文本框 561"/>
                                <wps:cNvSpPr txBox="1"/>
                                <wps:spPr>
                                  <a:xfrm>
                                    <a:off x="3788" y="5053"/>
                                    <a:ext cx="727" cy="245"/>
                                  </a:xfrm>
                                  <a:prstGeom prst="rect">
                                    <a:avLst/>
                                  </a:prstGeom>
                                  <a:noFill/>
                                  <a:ln>
                                    <a:noFill/>
                                  </a:ln>
                                </wps:spPr>
                                <wps:txbx>
                                  <w:txbxContent>
                                    <w:p w14:paraId="4D712B09">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937.45</w:t>
                                      </w:r>
                                    </w:p>
                                  </w:txbxContent>
                                </wps:txbx>
                                <wps:bodyPr lIns="0" tIns="0" rIns="0" bIns="0" upright="1"/>
                              </wps:wsp>
                              <wps:wsp>
                                <wps:cNvPr id="325" name="文本框 565"/>
                                <wps:cNvSpPr txBox="1"/>
                                <wps:spPr>
                                  <a:xfrm>
                                    <a:off x="4901" y="5568"/>
                                    <a:ext cx="651" cy="301"/>
                                  </a:xfrm>
                                  <a:prstGeom prst="rect">
                                    <a:avLst/>
                                  </a:prstGeom>
                                  <a:noFill/>
                                  <a:ln>
                                    <a:noFill/>
                                  </a:ln>
                                </wps:spPr>
                                <wps:txbx>
                                  <w:txbxContent>
                                    <w:p w14:paraId="20394628">
                                      <w:pP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11271</w:t>
                                      </w:r>
                                    </w:p>
                                  </w:txbxContent>
                                </wps:txbx>
                                <wps:bodyPr lIns="0" tIns="0" rIns="0" bIns="0" upright="1"/>
                              </wps:wsp>
                              <wps:wsp>
                                <wps:cNvPr id="326" name="曲线连接符 567"/>
                                <wps:cNvCnPr/>
                                <wps:spPr>
                                  <a:xfrm rot="16200000">
                                    <a:off x="3655" y="5186"/>
                                    <a:ext cx="384" cy="628"/>
                                  </a:xfrm>
                                  <a:prstGeom prst="curvedConnector3">
                                    <a:avLst>
                                      <a:gd name="adj1" fmla="val 50000"/>
                                    </a:avLst>
                                  </a:prstGeom>
                                  <a:ln w="9525" cap="flat" cmpd="sng">
                                    <a:solidFill>
                                      <a:srgbClr val="000000"/>
                                    </a:solidFill>
                                    <a:prstDash val="dash"/>
                                    <a:headEnd type="none" w="med" len="med"/>
                                    <a:tailEnd type="arrow" w="med" len="med"/>
                                  </a:ln>
                                  <a:effectLst/>
                                </wps:spPr>
                                <wps:bodyPr/>
                              </wps:wsp>
                              <wps:wsp>
                                <wps:cNvPr id="327" name="直接连接符 579"/>
                                <wps:cNvCnPr/>
                                <wps:spPr>
                                  <a:xfrm>
                                    <a:off x="4783" y="5885"/>
                                    <a:ext cx="920" cy="0"/>
                                  </a:xfrm>
                                  <a:prstGeom prst="line">
                                    <a:avLst/>
                                  </a:prstGeom>
                                  <a:ln w="9525" cap="flat" cmpd="sng">
                                    <a:solidFill>
                                      <a:srgbClr val="000000"/>
                                    </a:solidFill>
                                    <a:prstDash val="solid"/>
                                    <a:round/>
                                    <a:headEnd type="none" w="med" len="med"/>
                                    <a:tailEnd type="triangle" w="med" len="med"/>
                                  </a:ln>
                                </wps:spPr>
                                <wps:bodyPr upright="1"/>
                              </wps:wsp>
                              <wps:wsp>
                                <wps:cNvPr id="328" name="直接连接符 592"/>
                                <wps:cNvCnPr/>
                                <wps:spPr>
                                  <a:xfrm>
                                    <a:off x="1873" y="5879"/>
                                    <a:ext cx="979" cy="1"/>
                                  </a:xfrm>
                                  <a:prstGeom prst="line">
                                    <a:avLst/>
                                  </a:prstGeom>
                                  <a:ln w="9525" cap="flat" cmpd="sng">
                                    <a:solidFill>
                                      <a:srgbClr val="000000"/>
                                    </a:solidFill>
                                    <a:prstDash val="solid"/>
                                    <a:round/>
                                    <a:headEnd type="none" w="med" len="med"/>
                                    <a:tailEnd type="triangle" w="med" len="med"/>
                                  </a:ln>
                                </wps:spPr>
                                <wps:bodyPr upright="1"/>
                              </wps:wsp>
                              <wps:wsp>
                                <wps:cNvPr id="329" name="文本框 595"/>
                                <wps:cNvSpPr txBox="1"/>
                                <wps:spPr>
                                  <a:xfrm>
                                    <a:off x="2852" y="5683"/>
                                    <a:ext cx="1940" cy="380"/>
                                  </a:xfrm>
                                  <a:prstGeom prst="rect">
                                    <a:avLst/>
                                  </a:prstGeom>
                                  <a:noFill/>
                                  <a:ln w="9525" cap="flat" cmpd="sng">
                                    <a:solidFill>
                                      <a:srgbClr val="000000"/>
                                    </a:solidFill>
                                    <a:prstDash val="solid"/>
                                    <a:miter/>
                                    <a:headEnd type="none" w="med" len="med"/>
                                    <a:tailEnd type="none" w="med" len="med"/>
                                  </a:ln>
                                </wps:spPr>
                                <wps:txbx>
                                  <w:txbxContent>
                                    <w:p w14:paraId="38A5CBE1">
                                      <w:pPr>
                                        <w:jc w:val="center"/>
                                        <w:rPr>
                                          <w:rFonts w:hint="eastAsia" w:ascii="Times New Roman" w:hAnsi="Times New Roman" w:cs="Times New Roman"/>
                                          <w:color w:val="auto"/>
                                          <w:sz w:val="21"/>
                                          <w:szCs w:val="21"/>
                                          <w:lang w:eastAsia="zh-CN" w:bidi="ar-SA"/>
                                        </w:rPr>
                                      </w:pPr>
                                      <w:r>
                                        <w:rPr>
                                          <w:rFonts w:hint="eastAsia" w:cs="Times New Roman"/>
                                          <w:color w:val="auto"/>
                                          <w:sz w:val="21"/>
                                          <w:szCs w:val="21"/>
                                          <w:lang w:val="en-US" w:eastAsia="zh-CN" w:bidi="ar-SA"/>
                                        </w:rPr>
                                        <w:t>提取</w:t>
                                      </w:r>
                                      <w:r>
                                        <w:rPr>
                                          <w:rFonts w:hint="eastAsia" w:ascii="Times New Roman" w:hAnsi="Times New Roman" w:cs="Times New Roman"/>
                                          <w:color w:val="auto"/>
                                          <w:sz w:val="21"/>
                                          <w:szCs w:val="21"/>
                                          <w:lang w:eastAsia="zh-CN" w:bidi="ar-SA"/>
                                        </w:rPr>
                                        <w:t>用水</w:t>
                                      </w:r>
                                    </w:p>
                                  </w:txbxContent>
                                </wps:txbx>
                                <wps:bodyPr lIns="0" tIns="3600" rIns="0" bIns="3600" upright="1"/>
                              </wps:wsp>
                            </wpg:wgp>
                            <wps:wsp>
                              <wps:cNvPr id="331" name="直接连接符 582"/>
                              <wps:cNvCnPr/>
                              <wps:spPr>
                                <a:xfrm>
                                  <a:off x="4352290" y="721360"/>
                                  <a:ext cx="9525" cy="2085975"/>
                                </a:xfrm>
                                <a:prstGeom prst="line">
                                  <a:avLst/>
                                </a:prstGeom>
                                <a:ln w="9525" cap="flat" cmpd="sng">
                                  <a:solidFill>
                                    <a:srgbClr val="000000"/>
                                  </a:solidFill>
                                  <a:prstDash val="solid"/>
                                  <a:round/>
                                  <a:headEnd type="none" w="med" len="med"/>
                                  <a:tailEnd type="triangle" w="med" len="med"/>
                                </a:ln>
                              </wps:spPr>
                              <wps:bodyPr upright="1"/>
                            </wps:wsp>
                            <wps:wsp>
                              <wps:cNvPr id="332" name="文本框 585"/>
                              <wps:cNvSpPr txBox="1"/>
                              <wps:spPr>
                                <a:xfrm>
                                  <a:off x="4389755" y="3065780"/>
                                  <a:ext cx="651510" cy="200025"/>
                                </a:xfrm>
                                <a:prstGeom prst="rect">
                                  <a:avLst/>
                                </a:prstGeom>
                                <a:noFill/>
                                <a:ln>
                                  <a:noFill/>
                                </a:ln>
                              </wps:spPr>
                              <wps:txbx>
                                <w:txbxContent>
                                  <w:p w14:paraId="7A8254F6">
                                    <w:pP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173485.93</w:t>
                                    </w:r>
                                  </w:p>
                                </w:txbxContent>
                              </wps:txbx>
                              <wps:bodyPr lIns="0" tIns="0" rIns="0" bIns="0" upright="1"/>
                            </wps:wsp>
                            <wps:wsp>
                              <wps:cNvPr id="265" name="肘形连接符 265"/>
                              <wps:cNvCnPr/>
                              <wps:spPr>
                                <a:xfrm rot="5400000" flipV="1">
                                  <a:off x="2846705" y="4275455"/>
                                  <a:ext cx="229235" cy="1394460"/>
                                </a:xfrm>
                                <a:prstGeom prst="bentConnector2">
                                  <a:avLst/>
                                </a:prstGeom>
                                <a:ln w="9525" cap="flat" cmpd="sng">
                                  <a:solidFill>
                                    <a:srgbClr val="000000"/>
                                  </a:solidFill>
                                  <a:prstDash val="dash"/>
                                  <a:headEnd type="none" w="med" len="med"/>
                                  <a:tailEnd type="triangle" w="med" len="med"/>
                                </a:ln>
                              </wps:spPr>
                              <wps:bodyPr/>
                            </wps:wsp>
                            <wps:wsp>
                              <wps:cNvPr id="266" name="文本框 561"/>
                              <wps:cNvSpPr txBox="1"/>
                              <wps:spPr>
                                <a:xfrm>
                                  <a:off x="2875280" y="4913630"/>
                                  <a:ext cx="461645" cy="155575"/>
                                </a:xfrm>
                                <a:prstGeom prst="rect">
                                  <a:avLst/>
                                </a:prstGeom>
                                <a:noFill/>
                                <a:ln>
                                  <a:noFill/>
                                </a:ln>
                              </wps:spPr>
                              <wps:txbx>
                                <w:txbxContent>
                                  <w:p w14:paraId="54687A63">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1316.75</w:t>
                                    </w:r>
                                  </w:p>
                                </w:txbxContent>
                              </wps:txbx>
                              <wps:bodyPr lIns="0" tIns="0" rIns="0" bIns="0" upright="1"/>
                            </wps:wsp>
                            <wps:wsp>
                              <wps:cNvPr id="267" name="文本框 548"/>
                              <wps:cNvSpPr txBox="1"/>
                              <wps:spPr>
                                <a:xfrm>
                                  <a:off x="3513455" y="4961255"/>
                                  <a:ext cx="1311910" cy="241300"/>
                                </a:xfrm>
                                <a:prstGeom prst="rect">
                                  <a:avLst/>
                                </a:prstGeom>
                                <a:noFill/>
                                <a:ln>
                                  <a:noFill/>
                                </a:ln>
                                <a:effectLst/>
                              </wps:spPr>
                              <wps:txbx>
                                <w:txbxContent>
                                  <w:p w14:paraId="6061BF42">
                                    <w:pPr>
                                      <w:jc w:val="center"/>
                                      <w:rPr>
                                        <w:rFonts w:hint="default"/>
                                        <w:sz w:val="21"/>
                                        <w:szCs w:val="21"/>
                                        <w:lang w:val="en-US" w:eastAsia="zh-CN"/>
                                      </w:rPr>
                                    </w:pPr>
                                    <w:r>
                                      <w:rPr>
                                        <w:rFonts w:hint="eastAsia"/>
                                        <w:sz w:val="21"/>
                                        <w:szCs w:val="21"/>
                                        <w:lang w:val="en-US" w:eastAsia="zh-CN"/>
                                      </w:rPr>
                                      <w:t>中药渣带走水量</w:t>
                                    </w:r>
                                  </w:p>
                                </w:txbxContent>
                              </wps:txbx>
                              <wps:bodyPr vert="horz" wrap="square" lIns="0" tIns="0" rIns="0" bIns="0" anchor="t" anchorCtr="0" upright="1"/>
                            </wps:wsp>
                            <wps:wsp>
                              <wps:cNvPr id="271" name="文本框 544"/>
                              <wps:cNvSpPr txBox="1"/>
                              <wps:spPr>
                                <a:xfrm>
                                  <a:off x="532130" y="1741805"/>
                                  <a:ext cx="662305" cy="217170"/>
                                </a:xfrm>
                                <a:prstGeom prst="rect">
                                  <a:avLst/>
                                </a:prstGeom>
                                <a:noFill/>
                                <a:ln>
                                  <a:noFill/>
                                </a:ln>
                              </wps:spPr>
                              <wps:txbx>
                                <w:txbxContent>
                                  <w:p w14:paraId="7FD8BD78">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20897.325</w:t>
                                    </w:r>
                                  </w:p>
                                </w:txbxContent>
                              </wps:txbx>
                              <wps:bodyPr lIns="0" tIns="0" rIns="0" bIns="0" upright="1"/>
                            </wps:wsp>
                            <wpg:wgp>
                              <wpg:cNvPr id="287" name="组合 810"/>
                              <wpg:cNvGrpSpPr/>
                              <wpg:grpSpPr>
                                <a:xfrm>
                                  <a:off x="998855" y="3532505"/>
                                  <a:ext cx="2432050" cy="641350"/>
                                  <a:chOff x="1874" y="4750"/>
                                  <a:chExt cx="3830" cy="1010"/>
                                </a:xfrm>
                              </wpg:grpSpPr>
                              <wps:wsp>
                                <wps:cNvPr id="288" name="文本框 560"/>
                                <wps:cNvSpPr txBox="1"/>
                                <wps:spPr>
                                  <a:xfrm>
                                    <a:off x="1933" y="5263"/>
                                    <a:ext cx="750" cy="330"/>
                                  </a:xfrm>
                                  <a:prstGeom prst="rect">
                                    <a:avLst/>
                                  </a:prstGeom>
                                  <a:noFill/>
                                  <a:ln>
                                    <a:noFill/>
                                  </a:ln>
                                </wps:spPr>
                                <wps:txbx>
                                  <w:txbxContent>
                                    <w:p w14:paraId="78AF4FAB">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2444.94</w:t>
                                      </w:r>
                                    </w:p>
                                  </w:txbxContent>
                                </wps:txbx>
                                <wps:bodyPr lIns="0" tIns="0" rIns="0" bIns="0" upright="1"/>
                              </wps:wsp>
                              <wps:wsp>
                                <wps:cNvPr id="289" name="文本框 561"/>
                                <wps:cNvSpPr txBox="1"/>
                                <wps:spPr>
                                  <a:xfrm>
                                    <a:off x="3863" y="4750"/>
                                    <a:ext cx="653" cy="260"/>
                                  </a:xfrm>
                                  <a:prstGeom prst="rect">
                                    <a:avLst/>
                                  </a:prstGeom>
                                  <a:noFill/>
                                  <a:ln>
                                    <a:noFill/>
                                  </a:ln>
                                </wps:spPr>
                                <wps:txbx>
                                  <w:txbxContent>
                                    <w:p w14:paraId="29D96C91">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407.49</w:t>
                                      </w:r>
                                    </w:p>
                                  </w:txbxContent>
                                </wps:txbx>
                                <wps:bodyPr lIns="0" tIns="0" rIns="0" bIns="0" upright="1"/>
                              </wps:wsp>
                              <wps:wsp>
                                <wps:cNvPr id="301" name="文本框 565"/>
                                <wps:cNvSpPr txBox="1"/>
                                <wps:spPr>
                                  <a:xfrm>
                                    <a:off x="4843" y="5265"/>
                                    <a:ext cx="785" cy="301"/>
                                  </a:xfrm>
                                  <a:prstGeom prst="rect">
                                    <a:avLst/>
                                  </a:prstGeom>
                                  <a:noFill/>
                                  <a:ln>
                                    <a:noFill/>
                                  </a:ln>
                                </wps:spPr>
                                <wps:txbx>
                                  <w:txbxContent>
                                    <w:p w14:paraId="57D92117">
                                      <w:pP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2037.45</w:t>
                                      </w:r>
                                    </w:p>
                                  </w:txbxContent>
                                </wps:txbx>
                                <wps:bodyPr lIns="0" tIns="0" rIns="0" bIns="0" upright="1"/>
                              </wps:wsp>
                              <wps:wsp>
                                <wps:cNvPr id="302" name="曲线连接符 567"/>
                                <wps:cNvCnPr/>
                                <wps:spPr>
                                  <a:xfrm rot="16200000">
                                    <a:off x="3656" y="4883"/>
                                    <a:ext cx="384" cy="628"/>
                                  </a:xfrm>
                                  <a:prstGeom prst="curvedConnector3">
                                    <a:avLst>
                                      <a:gd name="adj1" fmla="val 50000"/>
                                    </a:avLst>
                                  </a:prstGeom>
                                  <a:ln w="9525" cap="flat" cmpd="sng">
                                    <a:solidFill>
                                      <a:srgbClr val="000000"/>
                                    </a:solidFill>
                                    <a:prstDash val="dash"/>
                                    <a:headEnd type="none" w="med" len="med"/>
                                    <a:tailEnd type="arrow" w="med" len="med"/>
                                  </a:ln>
                                  <a:effectLst/>
                                </wps:spPr>
                                <wps:bodyPr/>
                              </wps:wsp>
                              <wps:wsp>
                                <wps:cNvPr id="303" name="直接连接符 579"/>
                                <wps:cNvCnPr/>
                                <wps:spPr>
                                  <a:xfrm>
                                    <a:off x="4784" y="5582"/>
                                    <a:ext cx="920" cy="0"/>
                                  </a:xfrm>
                                  <a:prstGeom prst="line">
                                    <a:avLst/>
                                  </a:prstGeom>
                                  <a:ln w="9525" cap="flat" cmpd="sng">
                                    <a:solidFill>
                                      <a:srgbClr val="000000"/>
                                    </a:solidFill>
                                    <a:prstDash val="solid"/>
                                    <a:round/>
                                    <a:headEnd type="none" w="med" len="med"/>
                                    <a:tailEnd type="triangle" w="med" len="med"/>
                                  </a:ln>
                                </wps:spPr>
                                <wps:bodyPr upright="1"/>
                              </wps:wsp>
                              <wps:wsp>
                                <wps:cNvPr id="304" name="直接连接符 592"/>
                                <wps:cNvCnPr/>
                                <wps:spPr>
                                  <a:xfrm>
                                    <a:off x="1874" y="5576"/>
                                    <a:ext cx="979" cy="1"/>
                                  </a:xfrm>
                                  <a:prstGeom prst="line">
                                    <a:avLst/>
                                  </a:prstGeom>
                                  <a:ln w="9525" cap="flat" cmpd="sng">
                                    <a:solidFill>
                                      <a:srgbClr val="000000"/>
                                    </a:solidFill>
                                    <a:prstDash val="solid"/>
                                    <a:round/>
                                    <a:headEnd type="none" w="med" len="med"/>
                                    <a:tailEnd type="triangle" w="med" len="med"/>
                                  </a:ln>
                                </wps:spPr>
                                <wps:bodyPr upright="1"/>
                              </wps:wsp>
                              <wps:wsp>
                                <wps:cNvPr id="305" name="文本框 595"/>
                                <wps:cNvSpPr txBox="1"/>
                                <wps:spPr>
                                  <a:xfrm>
                                    <a:off x="2853" y="5380"/>
                                    <a:ext cx="1940" cy="380"/>
                                  </a:xfrm>
                                  <a:prstGeom prst="rect">
                                    <a:avLst/>
                                  </a:prstGeom>
                                  <a:noFill/>
                                  <a:ln w="9525" cap="flat" cmpd="sng">
                                    <a:solidFill>
                                      <a:srgbClr val="000000"/>
                                    </a:solidFill>
                                    <a:prstDash val="solid"/>
                                    <a:miter/>
                                    <a:headEnd type="none" w="med" len="med"/>
                                    <a:tailEnd type="none" w="med" len="med"/>
                                  </a:ln>
                                </wps:spPr>
                                <wps:txbx>
                                  <w:txbxContent>
                                    <w:p w14:paraId="6E21726A">
                                      <w:pPr>
                                        <w:jc w:val="center"/>
                                        <w:rPr>
                                          <w:rFonts w:hint="eastAsia" w:ascii="Times New Roman" w:hAnsi="Times New Roman" w:cs="Times New Roman"/>
                                          <w:color w:val="auto"/>
                                          <w:sz w:val="21"/>
                                          <w:szCs w:val="21"/>
                                          <w:lang w:eastAsia="zh-CN" w:bidi="ar-SA"/>
                                        </w:rPr>
                                      </w:pPr>
                                      <w:r>
                                        <w:rPr>
                                          <w:rFonts w:hint="eastAsia" w:cs="Times New Roman"/>
                                          <w:color w:val="auto"/>
                                          <w:sz w:val="21"/>
                                          <w:szCs w:val="21"/>
                                          <w:lang w:val="en-US" w:eastAsia="zh-CN" w:bidi="ar-SA"/>
                                        </w:rPr>
                                        <w:t>固体制剂</w:t>
                                      </w:r>
                                      <w:r>
                                        <w:rPr>
                                          <w:rFonts w:hint="eastAsia" w:ascii="Times New Roman" w:hAnsi="Times New Roman" w:cs="Times New Roman"/>
                                          <w:color w:val="auto"/>
                                          <w:sz w:val="21"/>
                                          <w:szCs w:val="21"/>
                                          <w:lang w:eastAsia="zh-CN" w:bidi="ar-SA"/>
                                        </w:rPr>
                                        <w:t>用水</w:t>
                                      </w:r>
                                    </w:p>
                                  </w:txbxContent>
                                </wps:txbx>
                                <wps:bodyPr lIns="0" tIns="3600" rIns="0" bIns="3600" upright="1"/>
                              </wps:wsp>
                            </wpg:wgp>
                            <wpg:wgp>
                              <wpg:cNvPr id="307" name="组合 307"/>
                              <wpg:cNvGrpSpPr/>
                              <wpg:grpSpPr>
                                <a:xfrm>
                                  <a:off x="2446655" y="5723255"/>
                                  <a:ext cx="923290" cy="355600"/>
                                  <a:chOff x="4108" y="5908"/>
                                  <a:chExt cx="1454" cy="560"/>
                                </a:xfrm>
                              </wpg:grpSpPr>
                              <wps:wsp>
                                <wps:cNvPr id="308" name="直接连接符 580"/>
                                <wps:cNvCnPr/>
                                <wps:spPr>
                                  <a:xfrm>
                                    <a:off x="4438" y="6178"/>
                                    <a:ext cx="4" cy="291"/>
                                  </a:xfrm>
                                  <a:prstGeom prst="line">
                                    <a:avLst/>
                                  </a:prstGeom>
                                  <a:ln w="9525" cap="flat" cmpd="sng">
                                    <a:solidFill>
                                      <a:srgbClr val="000000"/>
                                    </a:solidFill>
                                    <a:prstDash val="solid"/>
                                    <a:round/>
                                    <a:headEnd type="none" w="med" len="med"/>
                                    <a:tailEnd type="triangle" w="med" len="med"/>
                                  </a:ln>
                                </wps:spPr>
                                <wps:bodyPr upright="1"/>
                              </wps:wsp>
                              <wps:wsp>
                                <wps:cNvPr id="309" name="文本框 551"/>
                                <wps:cNvSpPr txBox="1"/>
                                <wps:spPr>
                                  <a:xfrm>
                                    <a:off x="4108" y="5908"/>
                                    <a:ext cx="1454" cy="380"/>
                                  </a:xfrm>
                                  <a:prstGeom prst="rect">
                                    <a:avLst/>
                                  </a:prstGeom>
                                  <a:noFill/>
                                  <a:ln>
                                    <a:noFill/>
                                  </a:ln>
                                  <a:effectLst/>
                                </wps:spPr>
                                <wps:txbx>
                                  <w:txbxContent>
                                    <w:p w14:paraId="06D5F8E0">
                                      <w:pPr>
                                        <w:jc w:val="center"/>
                                        <w:rPr>
                                          <w:rFonts w:hint="default"/>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化学</w:t>
                                      </w:r>
                                      <w:r>
                                        <w:rPr>
                                          <w:rFonts w:hint="eastAsia" w:cs="Times New Roman"/>
                                          <w:color w:val="000000" w:themeColor="text1"/>
                                          <w:sz w:val="21"/>
                                          <w:szCs w:val="21"/>
                                          <w:lang w:val="en-US" w:eastAsia="zh-CN"/>
                                          <w14:textFill>
                                            <w14:solidFill>
                                              <w14:schemeClr w14:val="tx1"/>
                                            </w14:solidFill>
                                          </w14:textFill>
                                        </w:rPr>
                                        <w:t>废试剂</w:t>
                                      </w:r>
                                    </w:p>
                                  </w:txbxContent>
                                </wps:txbx>
                                <wps:bodyPr vert="horz" wrap="square" lIns="0" tIns="0" rIns="0" bIns="0" anchor="t" anchorCtr="0" upright="1"/>
                              </wps:wsp>
                            </wpg:wgp>
                          </wpc:wpc>
                        </a:graphicData>
                      </a:graphic>
                    </wp:anchor>
                  </w:drawing>
                </mc:Choice>
                <mc:Fallback>
                  <w:pict>
                    <v:group id="_x0000_s1026" o:spid="_x0000_s1026" o:spt="203" style="position:absolute;left:0pt;margin-left:1.35pt;margin-top:1.85pt;height:519.55pt;width:408.2pt;mso-wrap-distance-bottom:0pt;mso-wrap-distance-top:0pt;z-index:251663360;mso-width-relative:page;mso-height-relative:page;" coordsize="5184140,6598285" editas="canvas" o:gfxdata="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">
                      <o:lock v:ext="edit" aspectratio="f"/>
                      <v:shape id="_x0000_s1026" o:spid="_x0000_s1026" style="position:absolute;left:0;top:0;height:6598285;width:5184140;" filled="f" stroked="f" coordsize="21600,21600" o:gfxdata="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">
                        <v:fill on="f" focussize="0,0"/>
                        <v:stroke on="f"/>
                        <v:imagedata o:title=""/>
                        <o:lock v:ext="edit" aspectratio="f"/>
                      </v:shape>
                      <v:shape id="文本框 543" o:spid="_x0000_s1026" o:spt="202" type="#_x0000_t202" style="position:absolute;left:50165;top:937895;height:242570;width:471805;" filled="f" stroked="f" coordsize="21600,21600" o:gfxdata="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TOuO&#10;cNcAAAAIAQAADwAAAAAAAAABACAAAAAiAAAAZHJzL2Rvd25yZXYueG1sUEsBAhQAFAAAAAgAh07i&#10;QK9iXWrqAQAAvwMAAA4AAAAAAAAAAQAgAAAAJgEAAGRycy9lMm9Eb2MueG1sUEsFBgAAAAAGAAYA&#10;WQEAAIIFAAAAAA==&#10;">
                        <v:fill on="f" focussize="0,0"/>
                        <v:stroke on="f"/>
                        <v:imagedata o:title=""/>
                        <o:lock v:ext="edit" aspectratio="f"/>
                        <v:textbox inset="0mm,0mm,0mm,0mm">
                          <w:txbxContent>
                            <w:p w14:paraId="7D4BFE73">
                              <w:pPr>
                                <w:rPr>
                                  <w:rFonts w:hint="eastAsia" w:ascii="Times New Roman" w:hAnsi="Times New Roman" w:eastAsia="宋体" w:cs="Times New Roman"/>
                                  <w:sz w:val="21"/>
                                  <w:szCs w:val="21"/>
                                  <w:lang w:eastAsia="zh-CN" w:bidi="ar-SA"/>
                                </w:rPr>
                              </w:pPr>
                              <w:r>
                                <w:rPr>
                                  <w:rFonts w:hint="eastAsia" w:ascii="Times New Roman" w:hAnsi="Times New Roman" w:cs="Times New Roman"/>
                                  <w:sz w:val="21"/>
                                  <w:szCs w:val="21"/>
                                  <w:lang w:eastAsia="zh-CN" w:bidi="ar-SA"/>
                                </w:rPr>
                                <w:t>新鲜水</w:t>
                              </w:r>
                            </w:p>
                          </w:txbxContent>
                        </v:textbox>
                      </v:shape>
                      <v:shape id="文本框 544" o:spid="_x0000_s1026" o:spt="202" type="#_x0000_t202" style="position:absolute;left:7620;top:1198880;height:464185;width:522605;" filled="f" stroked="f" coordsize="21600,21600" o:gfxdata="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BM645w1wAAAAgBAAAPAAAAAAAAAAEAIAAAACIAAABkcnMvZG93bnJl&#10;di54bWxQSwECFAAUAAAACACHTuJAgQ2f8cUBAAB+AwAADgAAAAAAAAABACAAAAAmAQAAZHJzL2Uy&#10;b0RvYy54bWxQSwUGAAAAAAYABgBZAQAAXQUAAAAA&#10;">
                        <v:fill on="f" focussize="0,0"/>
                        <v:stroke on="f"/>
                        <v:imagedata o:title=""/>
                        <o:lock v:ext="edit" aspectratio="f"/>
                        <v:textbox inset="0mm,0mm,0mm,0mm">
                          <w:txbxContent>
                            <w:p w14:paraId="34A4C9CB">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488841.025</w:t>
                              </w:r>
                            </w:p>
                          </w:txbxContent>
                        </v:textbox>
                      </v:shape>
                      <v:line id="直接连接符 568" o:spid="_x0000_s1026" o:spt="20" style="position:absolute;left:27305;top:1175385;flip:y;height:5080;width:516890;" filled="f" stroked="t" coordsize="21600,21600" o:gfxdata="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nkQmYtgAAAAI&#10;AQAADwAAAAAAAAABACAAAAAiAAAAZHJzL2Rvd25yZXYueG1sUEsBAhQAFAAAAAgAh07iQENAM44c&#10;AgAADAQAAA4AAAAAAAAAAQAgAAAAJwEAAGRycy9lMm9Eb2MueG1sUEsFBgAAAAAGAAYAWQEAALUF&#10;AAAAAA==&#10;">
                        <v:fill on="f" focussize="0,0"/>
                        <v:stroke color="#000000" joinstyle="round" endarrow="block"/>
                        <v:imagedata o:title=""/>
                        <o:lock v:ext="edit" aspectratio="f"/>
                      </v:line>
                      <v:shape id="直接箭头连接符 727" o:spid="_x0000_s1026" o:spt="32" type="#_x0000_t32" style="position:absolute;left:537845;top:718185;height:1335405;width:8890;" filled="f" stroked="t" coordsize="21600,21600" o:gfxdata="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CFNUeNcAAAAIAQAADwAA&#10;AAAAAAABACAAAAAiAAAAZHJzL2Rvd25yZXYueG1sUEsBAhQAFAAAAAgAh07iQI/veYwXAgAABwQA&#10;AA4AAAAAAAAAAQAgAAAAJgEAAGRycy9lMm9Eb2MueG1sUEsFBgAAAAAGAAYAWQEAAK8FAAAAAA==&#10;">
                        <v:fill on="f" focussize="0,0"/>
                        <v:stroke color="#000000" joinstyle="round"/>
                        <v:imagedata o:title=""/>
                        <o:lock v:ext="edit" aspectratio="f"/>
                      </v:shape>
                      <v:line id="直接连接符 589" o:spid="_x0000_s1026" o:spt="20" style="position:absolute;left:544195;top:704850;flip:y;height:5080;width:454660;" filled="f" stroked="t" coordsize="21600,21600" o:gfxdata="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nkQmYtgAAAAI&#10;AQAADwAAAAAAAAABACAAAAAiAAAAZHJzL2Rvd25yZXYueG1sUEsBAhQAFAAAAAgAh07iQLYiZq4c&#10;AgAADAQAAA4AAAAAAAAAAQAgAAAAJwEAAGRycy9lMm9Eb2MueG1sUEsFBgAAAAAGAAYAWQEAALUF&#10;AAAAAA==&#10;">
                        <v:fill on="f" focussize="0,0"/>
                        <v:stroke color="#000000" joinstyle="round" endarrow="block"/>
                        <v:imagedata o:title=""/>
                        <o:lock v:ext="edit" aspectratio="f"/>
                      </v:line>
                      <v:shape id="文本框 573" o:spid="_x0000_s1026" o:spt="202" type="#_x0000_t202" style="position:absolute;left:998855;top:590550;height:248920;width:945515;" filled="f" stroked="t" coordsize="21600,21600" o:gfxdata="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QmEMm9kAAAAIAQAADwAAAAAAAAABACAAAAAiAAAAZHJzL2Rvd25yZXYueG1sUEsBAhQAFAAAAAgA&#10;h07iQD64H54kAgAARAQAAA4AAAAAAAAAAQAgAAAAKAEAAGRycy9lMm9Eb2MueG1sUEsFBgAAAAAG&#10;AAYAWQEAAL4FAAAAAA==&#10;">
                        <v:fill on="f" focussize="0,0"/>
                        <v:stroke color="#000000" joinstyle="miter"/>
                        <v:imagedata o:title=""/>
                        <o:lock v:ext="edit" aspectratio="f"/>
                        <v:textbox inset="0mm,0.1mm,0mm,0.1mm">
                          <w:txbxContent>
                            <w:p w14:paraId="78682881">
                              <w:pPr>
                                <w:spacing w:line="240" w:lineRule="auto"/>
                                <w:jc w:val="center"/>
                                <w:rPr>
                                  <w:rFonts w:hint="eastAsia" w:ascii="Times New Roman" w:hAnsi="Times New Roman" w:eastAsia="宋体" w:cs="Times New Roman"/>
                                  <w:b w:val="0"/>
                                  <w:bCs/>
                                  <w:color w:val="000000"/>
                                  <w:kern w:val="2"/>
                                  <w:sz w:val="21"/>
                                  <w:szCs w:val="21"/>
                                  <w:highlight w:val="none"/>
                                  <w:lang w:val="en-US" w:eastAsia="zh-CN" w:bidi="ar-SA"/>
                                </w:rPr>
                              </w:pPr>
                              <w:r>
                                <w:rPr>
                                  <w:rFonts w:hint="eastAsia" w:ascii="Times New Roman" w:hAnsi="Times New Roman" w:eastAsia="宋体" w:cs="Times New Roman"/>
                                  <w:b w:val="0"/>
                                  <w:bCs/>
                                  <w:color w:val="000000"/>
                                  <w:kern w:val="2"/>
                                  <w:sz w:val="21"/>
                                  <w:szCs w:val="21"/>
                                  <w:highlight w:val="none"/>
                                  <w:lang w:val="en-US" w:eastAsia="zh-CN" w:bidi="ar-SA"/>
                                </w:rPr>
                                <w:t>生活用水</w:t>
                              </w:r>
                            </w:p>
                          </w:txbxContent>
                        </v:textbox>
                      </v:shape>
                      <v:shape id="文本框 586" o:spid="_x0000_s1026" o:spt="202" type="#_x0000_t202" style="position:absolute;left:503555;top:495300;height:197485;width:520065;" filled="f" stroked="f" coordsize="21600,21600" o:gfxdata="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TOuOcNcAAAAIAQAADwAAAAAAAAABACAAAAAiAAAAZHJzL2Rvd25y&#10;ZXYueG1sUEsBAhQAFAAAAAgAh07iQFV6nTPGAQAAfwMAAA4AAAAAAAAAAQAgAAAAJgEAAGRycy9l&#10;Mm9Eb2MueG1sUEsFBgAAAAAGAAYAWQEAAF4FAAAAAA==&#10;">
                        <v:fill on="f" focussize="0,0"/>
                        <v:stroke on="f"/>
                        <v:imagedata o:title=""/>
                        <o:lock v:ext="edit" aspectratio="f"/>
                        <v:textbox inset="0mm,0mm,0mm,0mm">
                          <w:txbxContent>
                            <w:p w14:paraId="6C1352B2">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54250</w:t>
                              </w:r>
                            </w:p>
                          </w:txbxContent>
                        </v:textbox>
                      </v:shape>
                      <v:line id="直接连接符 575" o:spid="_x0000_s1026" o:spt="20" style="position:absolute;left:1941830;top:723900;height:6350;width:295910;" filled="f" stroked="t" coordsize="21600,21600" o:gfxdata="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UQXb0NkAAAAIAQAADwAA&#10;AAAAAAABACAAAAAiAAAAZHJzL2Rvd25yZXYueG1sUEsBAhQAFAAAAAgAh07iQGVRkFIVAgAAAwQA&#10;AA4AAAAAAAAAAQAgAAAAKAEAAGRycy9lMm9Eb2MueG1sUEsFBgAAAAAGAAYAWQEAAK8FAAAAAA==&#10;">
                        <v:fill on="f" focussize="0,0"/>
                        <v:stroke color="#000000" joinstyle="round" endarrow="block"/>
                        <v:imagedata o:title=""/>
                        <o:lock v:ext="edit" aspectratio="f"/>
                      </v:line>
                      <v:shape id="曲线连接符 553" o:spid="_x0000_s1026" o:spt="38" type="#_x0000_t38" style="position:absolute;left:1332230;top:314325;height:282575;width:262890;rotation:-5898240f;" filled="f" stroked="t" coordsize="21600,21600" o:gfxdata="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PAYmw2AAAAAgBAAAPAAAAAAAAAAEAIAAAACIAAABkcnMvZG93&#10;bnJldi54bWxQSwECFAAUAAAACACHTuJA2hgYmzkCAABBBAAADgAAAAAAAAABACAAAAAnAQAAZHJz&#10;L2Uyb0RvYy54bWxQSwUGAAAAAAYABgBZAQAA0gUAAAAA&#10;" adj="10826">
                        <v:fill on="f" focussize="0,0"/>
                        <v:stroke color="#000000" joinstyle="round" dashstyle="dash" endarrow="open"/>
                        <v:imagedata o:title=""/>
                        <o:lock v:ext="edit" aspectratio="f"/>
                      </v:shape>
                      <v:shape id="文本框 566" o:spid="_x0000_s1026" o:spt="202" type="#_x0000_t202" style="position:absolute;left:1398905;top:161925;height:207645;width:452120;" filled="f" stroked="f" coordsize="21600,21600" o:gfxdata="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TOuOcNcAAAAIAQAADwAAAAAAAAABACAAAAAiAAAAZHJzL2Rvd25yZXYueG1s&#10;UEsBAhQAFAAAAAgAh07iQKaVgV35AQAA2wMAAA4AAAAAAAAAAQAgAAAAJgEAAGRycy9lMm9Eb2Mu&#10;eG1sUEsFBgAAAAAGAAYAWQEAAJEFAAAAAA==&#10;">
                        <v:fill on="f" focussize="0,0"/>
                        <v:stroke on="f"/>
                        <v:imagedata o:title=""/>
                        <o:lock v:ext="edit" aspectratio="f"/>
                        <v:textbox inset="0mm,0mm,0mm,0mm">
                          <w:txbxContent>
                            <w:p w14:paraId="1E823DD1">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10750</w:t>
                              </w:r>
                            </w:p>
                          </w:txbxContent>
                        </v:textbox>
                      </v:shape>
                      <v:shape id="文本框 573" o:spid="_x0000_s1026" o:spt="202" type="#_x0000_t202" style="position:absolute;left:2227580;top:590550;height:248920;width:659765;" filled="f" stroked="t" coordsize="21600,21600" o:gfxdata="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CYQyb2QAAAAgBAAAPAAAAAAAAAAEAIAAAACIAAABkcnMvZG93bnJldi54bWxQSwECFAAUAAAA&#10;CACHTuJAV2BK9iYCAABFBAAADgAAAAAAAAABACAAAAAoAQAAZHJzL2Uyb0RvYy54bWxQSwUGAAAA&#10;AAYABgBZAQAAwAUAAAAA&#10;">
                        <v:fill on="f" focussize="0,0"/>
                        <v:stroke color="#000000" joinstyle="miter"/>
                        <v:imagedata o:title=""/>
                        <o:lock v:ext="edit" aspectratio="f"/>
                        <v:textbox inset="0mm,0.1mm,0mm,0.1mm">
                          <w:txbxContent>
                            <w:p w14:paraId="5F298A72">
                              <w:pPr>
                                <w:spacing w:line="240" w:lineRule="auto"/>
                                <w:jc w:val="center"/>
                                <w:rPr>
                                  <w:rFonts w:hint="default" w:ascii="Times New Roman" w:hAnsi="Times New Roman" w:eastAsia="宋体" w:cs="Times New Roman"/>
                                  <w:b w:val="0"/>
                                  <w:bCs/>
                                  <w:color w:val="000000"/>
                                  <w:kern w:val="2"/>
                                  <w:sz w:val="21"/>
                                  <w:szCs w:val="21"/>
                                  <w:highlight w:val="none"/>
                                  <w:lang w:val="en-US" w:eastAsia="zh-CN" w:bidi="ar-SA"/>
                                </w:rPr>
                              </w:pPr>
                              <w:r>
                                <w:rPr>
                                  <w:rFonts w:hint="eastAsia" w:ascii="Times New Roman" w:hAnsi="Times New Roman" w:eastAsia="宋体" w:cs="Times New Roman"/>
                                  <w:b w:val="0"/>
                                  <w:bCs/>
                                  <w:color w:val="000000"/>
                                  <w:kern w:val="2"/>
                                  <w:sz w:val="21"/>
                                  <w:szCs w:val="21"/>
                                  <w:highlight w:val="none"/>
                                  <w:lang w:val="en-US" w:eastAsia="zh-CN" w:bidi="ar-SA"/>
                                </w:rPr>
                                <w:t>化粪池</w:t>
                              </w:r>
                            </w:p>
                          </w:txbxContent>
                        </v:textbox>
                      </v:shape>
                      <v:line id="直接连接符 575" o:spid="_x0000_s1026" o:spt="20" style="position:absolute;left:2894330;top:721360;flip:y;height:2540;width:1457960;" filled="f" stroked="t" coordsize="21600,21600" o:gfxdata="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J5EJmLYAAAA&#10;CAEAAA8AAAAAAAAAAQAgAAAAIgAAAGRycy9kb3ducmV2LnhtbFBLAQIUABQAAAAIAIdO4kAjBszy&#10;HQIAAA4EAAAOAAAAAAAAAAEAIAAAACcBAABkcnMvZTJvRG9jLnhtbFBLBQYAAAAABgAGAFkBAAC2&#10;BQAAAAA=&#10;">
                        <v:fill on="f" focussize="0,0"/>
                        <v:stroke color="#000000" joinstyle="round" endarrow="block"/>
                        <v:imagedata o:title=""/>
                        <o:lock v:ext="edit" aspectratio="f"/>
                      </v:line>
                      <v:shape id="文本框 562" o:spid="_x0000_s1026" o:spt="202" type="#_x0000_t202" style="position:absolute;left:3380105;top:504825;height:203200;width:454025;" filled="f" stroked="f" coordsize="21600,21600" o:gfxdata="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TOuOcNcAAAAIAQAADwAAAAAAAAABACAAAAAiAAAAZHJzL2Rvd25y&#10;ZXYueG1sUEsBAhQAFAAAAAgAh07iQIZY/HXGAQAAgAMAAA4AAAAAAAAAAQAgAAAAJgEAAGRycy9l&#10;Mm9Eb2MueG1sUEsFBgAAAAAGAAYAWQEAAF4FAAAAAA==&#10;">
                        <v:fill on="f" focussize="0,0"/>
                        <v:stroke on="f"/>
                        <v:imagedata o:title=""/>
                        <o:lock v:ext="edit" aspectratio="f"/>
                        <v:textbox inset="0mm,0mm,0mm,0mm">
                          <w:txbxContent>
                            <w:p w14:paraId="0B023A94">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43500</w:t>
                              </w:r>
                            </w:p>
                          </w:txbxContent>
                        </v:textbox>
                      </v:shape>
                      <v:shape id="肘形连接符 581" o:spid="_x0000_s1026" o:spt="33" type="#_x0000_t33" style="position:absolute;left:3424555;top:2802890;height:779780;width:942340;" filled="f" stroked="t" coordsize="21600,21600" o:gfxdata="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daZpy2AAAAAgBAAAPAAAAAAAAAAEAIAAAACIAAABkcnMvZG93bnJldi54bWxQSwECFAAUAAAA&#10;CACHTuJA+WZF3CcCAAAtBAAADgAAAAAAAAABACAAAAAnAQAAZHJzL2Uyb0RvYy54bWxQSwUGAAAA&#10;AAYABgBZAQAAwAUAAAAA&#10;">
                        <v:fill on="f" focussize="0,0"/>
                        <v:stroke color="#000000" joinstyle="miter" endarrow="block"/>
                        <v:imagedata o:title=""/>
                        <o:lock v:ext="edit" aspectratio="f"/>
                      </v:shape>
                      <v:shape id="文本框 557" o:spid="_x0000_s1026" o:spt="202" type="#_x0000_t202" style="position:absolute;left:3657600;top:3582670;height:222250;width:1417955;" filled="f" stroked="f" coordsize="21600,21600" o:gfxdata="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M&#10;645w1wAAAAgBAAAPAAAAAAAAAAEAIAAAACIAAABkcnMvZG93bnJldi54bWxQSwECFAAUAAAACACH&#10;TuJAF9pHhuwBAADDAwAADgAAAAAAAAABACAAAAAmAQAAZHJzL2Uyb0RvYy54bWxQSwUGAAAAAAYA&#10;BgBZAQAAhAUAAAAA&#10;">
                        <v:fill on="f" focussize="0,0"/>
                        <v:stroke on="f"/>
                        <v:imagedata o:title=""/>
                        <o:lock v:ext="edit" aspectratio="f"/>
                        <v:textbox inset="0mm,0mm,0mm,0mm">
                          <w:txbxContent>
                            <w:p w14:paraId="0BBF8EEC">
                              <w:pPr>
                                <w:jc w:val="center"/>
                                <w:rPr>
                                  <w:rFonts w:hint="default" w:ascii="Times New Roman" w:hAnsi="Times New Roman" w:eastAsia="宋体" w:cs="Times New Roman"/>
                                  <w:sz w:val="28"/>
                                  <w:szCs w:val="24"/>
                                  <w:lang w:val="en-US" w:eastAsia="zh-CN" w:bidi="ar-SA"/>
                                </w:rPr>
                              </w:pPr>
                              <w:r>
                                <w:rPr>
                                  <w:rFonts w:hint="eastAsia" w:ascii="Times New Roman" w:hAnsi="宋体" w:cs="Times New Roman"/>
                                  <w:color w:val="auto"/>
                                  <w:sz w:val="21"/>
                                  <w:szCs w:val="21"/>
                                  <w:lang w:val="en-US" w:eastAsia="zh-CN" w:bidi="ar-SA"/>
                                </w:rPr>
                                <w:t>厂内污水处理站</w:t>
                              </w:r>
                            </w:p>
                          </w:txbxContent>
                        </v:textbox>
                      </v:shape>
                      <v:shape id="文本框 548" o:spid="_x0000_s1026" o:spt="202" type="#_x0000_t202" style="position:absolute;left:3698240;top:4211955;height:241300;width:1311910;" filled="f" stroked="f" coordsize="21600,21600" o:gfxdata="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TOuOcNcAAAAIAQAADwAAAAAAAAABACAAAAAiAAAAZHJzL2Rvd25yZXYueG1sUEsBAhQAFAAAAAgA&#10;h07iQHVIZfjtAQAAwwMAAA4AAAAAAAAAAQAgAAAAJgEAAGRycy9lMm9Eb2MueG1sUEsFBgAAAAAG&#10;AAYAWQEAAIUFAAAAAA==&#10;">
                        <v:fill on="f" focussize="0,0"/>
                        <v:stroke on="f"/>
                        <v:imagedata o:title=""/>
                        <o:lock v:ext="edit" aspectratio="f"/>
                        <v:textbox inset="0mm,0mm,0mm,0mm">
                          <w:txbxContent>
                            <w:p w14:paraId="3F02D839">
                              <w:pPr>
                                <w:jc w:val="center"/>
                                <w:rPr>
                                  <w:rFonts w:hint="default"/>
                                  <w:sz w:val="21"/>
                                  <w:szCs w:val="21"/>
                                  <w:lang w:val="en-US" w:eastAsia="zh-CN"/>
                                </w:rPr>
                              </w:pPr>
                              <w:r>
                                <w:rPr>
                                  <w:rFonts w:hint="eastAsia" w:eastAsia="Calibri" w:cs="Times New Roman"/>
                                  <w:color w:val="000000"/>
                                  <w:kern w:val="2"/>
                                  <w:sz w:val="21"/>
                                  <w:szCs w:val="21"/>
                                  <w:lang w:val="en-US" w:eastAsia="zh-CN" w:bidi="ar-SA"/>
                                </w:rPr>
                                <w:t>石桥子污水处理厂</w:t>
                              </w:r>
                            </w:p>
                          </w:txbxContent>
                        </v:textbox>
                      </v:shape>
                      <v:shape id="文本框 585" o:spid="_x0000_s1026" o:spt="202" type="#_x0000_t202" style="position:absolute;left:3561080;top:2599055;height:200025;width:651510;" filled="f" stroked="f" coordsize="21600,21600" o:gfxdata="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M645w1wAAAAgBAAAPAAAAAAAAAAEAIAAAACIAAABkcnMvZG93&#10;bnJldi54bWxQSwECFAAUAAAACACHTuJA/7HD38gBAACBAwAADgAAAAAAAAABACAAAAAmAQAAZHJz&#10;L2Uyb0RvYy54bWxQSwUGAAAAAAYABgBZAQAAYAUAAAAA&#10;">
                        <v:fill on="f" focussize="0,0"/>
                        <v:stroke on="f"/>
                        <v:imagedata o:title=""/>
                        <o:lock v:ext="edit" aspectratio="f"/>
                        <v:textbox inset="0mm,0mm,0mm,0mm">
                          <w:txbxContent>
                            <w:p w14:paraId="05E1A2DA">
                              <w:pP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15485.93</w:t>
                              </w:r>
                            </w:p>
                          </w:txbxContent>
                        </v:textbox>
                      </v:shape>
                      <v:line id="直接连接符 582" o:spid="_x0000_s1026" o:spt="20" style="position:absolute;left:4354830;top:3816350;height:418465;width:1905;" filled="f" stroked="t" coordsize="21600,21600" o:gfxdata="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UQXb0NkAAAAIAQAADwAAAAAA&#10;AAABACAAAAAiAAAAZHJzL2Rvd25yZXYueG1sUEsBAhQAFAAAAAgAh07iQLT19xASAgAABAQAAA4A&#10;AAAAAAAAAQAgAAAAKAEAAGRycy9lMm9Eb2MueG1sUEsFBgAAAAAGAAYAWQEAAKwFAAAAAA==&#10;">
                        <v:fill on="f" focussize="0,0"/>
                        <v:stroke color="#000000" joinstyle="round" endarrow="block"/>
                        <v:imagedata o:title=""/>
                        <o:lock v:ext="edit" aspectratio="f"/>
                      </v:line>
                      <v:group id="_x0000_s1026" o:spid="_x0000_s1026" o:spt="203" style="position:absolute;left:1021080;top:5323205;height:326390;width:2550160;" coordorigin="1608,3823" coordsize="4016,514" o:gfxdata="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">
                        <o:lock v:ext="edit" aspectratio="f"/>
                        <v:shape id="文本框 551" o:spid="_x0000_s1026" o:spt="202" type="#_x0000_t202" style="position:absolute;left:4170;top:3957;height:380;width:1454;" filled="f" stroked="f" coordsize="21600,21600" o:gfxdata="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2n8pb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70615F43">
                                <w:pPr>
                                  <w:jc w:val="center"/>
                                  <w:rPr>
                                    <w:rFonts w:hint="default" w:ascii="Times New Roman" w:hAnsi="Times New Roman" w:cs="Times New Roman"/>
                                    <w:sz w:val="21"/>
                                    <w:szCs w:val="21"/>
                                    <w:lang w:val="en-US" w:eastAsia="zh-CN" w:bidi="ar-SA"/>
                                  </w:rPr>
                                </w:pPr>
                                <w:r>
                                  <w:rPr>
                                    <w:rFonts w:hint="eastAsia" w:ascii="Times New Roman" w:hAnsi="Times New Roman" w:cs="Times New Roman"/>
                                    <w:sz w:val="21"/>
                                    <w:szCs w:val="21"/>
                                    <w:lang w:val="en-US" w:eastAsia="zh-CN" w:bidi="ar-SA"/>
                                  </w:rPr>
                                  <w:t>进入产品</w:t>
                                </w:r>
                              </w:p>
                            </w:txbxContent>
                          </v:textbox>
                        </v:shape>
                        <v:shape id="文本框 555" o:spid="_x0000_s1026" o:spt="202" type="#_x0000_t202" style="position:absolute;left:1767;top:3823;height:241;width:510;" filled="f" stroked="f" coordsize="21600,21600" o:gfxdata="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Kw+W/&#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29B7F521">
                                <w:pPr>
                                  <w:jc w:val="center"/>
                                  <w:rPr>
                                    <w:rFonts w:hint="default" w:ascii="Times New Roman" w:hAnsi="Times New Roman" w:eastAsia="宋体" w:cs="Times New Roman"/>
                                    <w:sz w:val="21"/>
                                    <w:szCs w:val="21"/>
                                    <w:lang w:val="en-US" w:eastAsia="zh-CN" w:bidi="ar-SA"/>
                                  </w:rPr>
                                </w:pPr>
                                <w:r>
                                  <w:rPr>
                                    <w:rFonts w:hint="eastAsia" w:ascii="Times New Roman" w:hAnsi="Times New Roman" w:eastAsia="宋体" w:cs="Times New Roman"/>
                                    <w:sz w:val="21"/>
                                    <w:szCs w:val="21"/>
                                    <w:lang w:val="en-US" w:eastAsia="zh-CN" w:bidi="ar-SA"/>
                                  </w:rPr>
                                  <w:t>1.05</w:t>
                                </w:r>
                              </w:p>
                            </w:txbxContent>
                          </v:textbox>
                        </v:shape>
                        <v:line id="直接连接符 596" o:spid="_x0000_s1026" o:spt="20" style="position:absolute;left:3952;top:4128;height:8;width:510;" filled="f" stroked="t" coordsize="21600,21600" o:gfxdata="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86q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直接连接符 589" o:spid="_x0000_s1026" o:spt="20" style="position:absolute;left:1608;top:4106;height:0;width:920;" filled="f" stroked="t" coordsize="21600,21600" o:gfxdata="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SlQ3b4A&#10;AADc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shape id="文本框 590" o:spid="_x0000_s1026" o:spt="202" type="#_x0000_t202" style="position:absolute;left:2513;top:3905;height:392;width:1427;" filled="f" stroked="t" coordsize="21600,21600" o:gfxdata="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X/j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inset="0mm,0.1mm,0mm,0.1mm">
                            <w:txbxContent>
                              <w:p w14:paraId="00054577">
                                <w:pPr>
                                  <w:jc w:val="center"/>
                                  <w:rPr>
                                    <w:rFonts w:hint="eastAsia"/>
                                    <w:lang w:eastAsia="zh-CN"/>
                                  </w:rPr>
                                </w:pPr>
                                <w:r>
                                  <w:rPr>
                                    <w:rFonts w:hint="eastAsia" w:ascii="Times New Roman" w:hAnsi="Times New Roman" w:cs="Times New Roman"/>
                                    <w:sz w:val="21"/>
                                    <w:szCs w:val="21"/>
                                    <w:lang w:val="en-US" w:eastAsia="zh-CN" w:bidi="ar-SA"/>
                                  </w:rPr>
                                  <w:t>配料</w:t>
                                </w:r>
                                <w:r>
                                  <w:rPr>
                                    <w:rFonts w:hint="eastAsia" w:ascii="Times New Roman" w:hAnsi="Times New Roman" w:cs="Times New Roman"/>
                                    <w:sz w:val="21"/>
                                    <w:szCs w:val="21"/>
                                    <w:lang w:eastAsia="zh-CN" w:bidi="ar-SA"/>
                                  </w:rPr>
                                  <w:t>用水</w:t>
                                </w:r>
                              </w:p>
                            </w:txbxContent>
                          </v:textbox>
                        </v:shape>
                      </v:group>
                      <v:shape id="直接箭头连接符 593" o:spid="_x0000_s1026" o:spt="32" type="#_x0000_t32" style="position:absolute;left:994410;top:2567940;height:3637915;width:24130;" filled="f" stroked="t" coordsize="21600,21600" o:gfxdata="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CFNUeNcAAAAIAQAADwAAAAAA&#10;AAABACAAAAAiAAAAZHJzL2Rvd25yZXYueG1sUEsBAhQAFAAAAAgAh07iQHn7n2kUAgAACQQAAA4A&#10;AAAAAAAAAQAgAAAAJgEAAGRycy9lMm9Eb2MueG1sUEsFBgAAAAAGAAYAWQEAAKwFAAAAAA==&#10;">
                        <v:fill on="f" focussize="0,0"/>
                        <v:stroke color="#000000" joinstyle="round"/>
                        <v:imagedata o:title=""/>
                        <o:lock v:ext="edit" aspectratio="f"/>
                      </v:shape>
                      <v:group id="_x0000_s1026" o:spid="_x0000_s1026" o:spt="203" style="position:absolute;left:1009015;top:2901950;height:631825;width:2432050;" coordorigin="1589,4090" coordsize="3830,995" o:gfxdata="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">
                        <o:lock v:ext="edit" aspectratio="f"/>
                        <v:shape id="文本框 560" o:spid="_x0000_s1026" o:spt="202" type="#_x0000_t202" style="position:absolute;left:1693;top:4603;height:316;width:675;" filled="f" stroked="f" coordsize="21600,21600" o:gfxdata="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vL/4KvQAA&#10;ANw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66363CE1">
                                <w:pPr>
                                  <w:jc w:val="center"/>
                                  <w:rPr>
                                    <w:rFonts w:hint="default" w:ascii="Times New Roman" w:hAnsi="Times New Roman" w:eastAsia="宋体" w:cs="Times New Roman"/>
                                    <w:sz w:val="21"/>
                                    <w:szCs w:val="21"/>
                                    <w:lang w:val="en-US" w:eastAsia="zh-CN" w:bidi="ar-SA"/>
                                  </w:rPr>
                                </w:pPr>
                                <w:r>
                                  <w:rPr>
                                    <w:rFonts w:hint="eastAsia" w:ascii="Times New Roman" w:hAnsi="Times New Roman" w:eastAsia="宋体" w:cs="Times New Roman"/>
                                    <w:sz w:val="21"/>
                                    <w:szCs w:val="21"/>
                                    <w:lang w:val="en-US" w:eastAsia="zh-CN" w:bidi="ar-SA"/>
                                  </w:rPr>
                                  <w:t>375</w:t>
                                </w:r>
                              </w:p>
                            </w:txbxContent>
                          </v:textbox>
                        </v:shape>
                        <v:shape id="文本框 561" o:spid="_x0000_s1026" o:spt="202" type="#_x0000_t202" style="position:absolute;left:3533;top:4090;height:260;width:594;" filled="f" stroked="f" coordsize="21600,21600" o:gfxdata="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BjW5G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794B0DAC">
                                <w:pPr>
                                  <w:jc w:val="center"/>
                                  <w:rPr>
                                    <w:rFonts w:hint="default" w:ascii="Times New Roman" w:hAnsi="Times New Roman" w:eastAsia="宋体" w:cs="Times New Roman"/>
                                    <w:sz w:val="21"/>
                                    <w:szCs w:val="21"/>
                                    <w:lang w:val="en-US" w:eastAsia="zh-CN" w:bidi="ar-SA"/>
                                  </w:rPr>
                                </w:pPr>
                                <w:r>
                                  <w:rPr>
                                    <w:rFonts w:hint="eastAsia" w:ascii="Times New Roman" w:hAnsi="Times New Roman" w:eastAsia="宋体" w:cs="Times New Roman"/>
                                    <w:sz w:val="21"/>
                                    <w:szCs w:val="21"/>
                                    <w:lang w:val="en-US" w:eastAsia="zh-CN" w:bidi="ar-SA"/>
                                  </w:rPr>
                                  <w:t>37.5</w:t>
                                </w:r>
                              </w:p>
                            </w:txbxContent>
                          </v:textbox>
                        </v:shape>
                        <v:shape id="文本框 565" o:spid="_x0000_s1026" o:spt="202" type="#_x0000_t202" style="position:absolute;left:4617;top:4620;height:301;width:651;" filled="f" stroked="f" coordsize="21600,21600" o:gfxdata="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H8z+O/&#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62B0ACAE">
                                <w:pPr>
                                  <w:rPr>
                                    <w:rFonts w:hint="default" w:ascii="Times New Roman" w:hAnsi="Times New Roman" w:eastAsia="宋体" w:cs="Times New Roman"/>
                                    <w:sz w:val="21"/>
                                    <w:szCs w:val="21"/>
                                    <w:lang w:val="en-US" w:eastAsia="zh-CN" w:bidi="ar-SA"/>
                                  </w:rPr>
                                </w:pPr>
                                <w:r>
                                  <w:rPr>
                                    <w:rFonts w:hint="eastAsia" w:ascii="Times New Roman" w:hAnsi="Times New Roman" w:eastAsia="宋体" w:cs="Times New Roman"/>
                                    <w:sz w:val="21"/>
                                    <w:szCs w:val="21"/>
                                    <w:lang w:val="en-US" w:eastAsia="zh-CN" w:bidi="ar-SA"/>
                                  </w:rPr>
                                  <w:t>337.5</w:t>
                                </w:r>
                              </w:p>
                            </w:txbxContent>
                          </v:textbox>
                        </v:shape>
                        <v:shape id="曲线连接符 567" o:spid="_x0000_s1026" o:spt="38" type="#_x0000_t38" style="position:absolute;left:3371;top:4208;height:628;width:384;rotation:-5898240f;" filled="f" stroked="t" coordsize="21600,21600" o:gfxdata="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Dlx0vQAA&#10;ANwAAAAPAAAAAAAAAAEAIAAAACIAAABkcnMvZG93bnJldi54bWxQSwECFAAUAAAACACHTuJAMy8F&#10;njsAAAA5AAAAEAAAAAAAAAABACAAAAAMAQAAZHJzL3NoYXBleG1sLnhtbFBLBQYAAAAABgAGAFsB&#10;AAC2AwAAAAA=&#10;" adj="10800">
                          <v:fill on="f" focussize="0,0"/>
                          <v:stroke color="#000000" joinstyle="round" dashstyle="dash" endarrow="open"/>
                          <v:imagedata o:title=""/>
                          <o:lock v:ext="edit" aspectratio="f"/>
                        </v:shape>
                        <v:line id="直接连接符 579" o:spid="_x0000_s1026" o:spt="20" style="position:absolute;left:4499;top:4907;height:0;width:920;" filled="f" stroked="t" coordsize="21600,21600" o:gfxdata="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Zifyr4A&#10;AADc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直接连接符 592" o:spid="_x0000_s1026" o:spt="20" style="position:absolute;left:1589;top:4901;height:1;width:979;" filled="f" stroked="t" coordsize="21600,21600" o:gfxdata="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LUOlG/&#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文本框 595" o:spid="_x0000_s1026" o:spt="202" type="#_x0000_t202" style="position:absolute;left:2568;top:4705;height:380;width:1911;" filled="f" stroked="t" coordsize="21600,21600" o:gfxdata="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PiLoO/&#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inset="0mm,0.1mm,0mm,0.1mm">
                            <w:txbxContent>
                              <w:p w14:paraId="42D5394A">
                                <w:pPr>
                                  <w:jc w:val="center"/>
                                  <w:rPr>
                                    <w:rFonts w:hint="eastAsia" w:ascii="Times New Roman" w:hAnsi="Times New Roman" w:cs="Times New Roman"/>
                                    <w:color w:val="auto"/>
                                    <w:sz w:val="21"/>
                                    <w:szCs w:val="21"/>
                                    <w:lang w:eastAsia="zh-CN" w:bidi="ar-SA"/>
                                  </w:rPr>
                                </w:pPr>
                                <w:r>
                                  <w:rPr>
                                    <w:rFonts w:hint="eastAsia" w:ascii="Times New Roman" w:hAnsi="Times New Roman" w:cs="Times New Roman"/>
                                    <w:color w:val="auto"/>
                                    <w:sz w:val="21"/>
                                    <w:szCs w:val="21"/>
                                    <w:lang w:eastAsia="zh-CN" w:bidi="ar-SA"/>
                                  </w:rPr>
                                  <w:t>设备清洗用水</w:t>
                                </w:r>
                              </w:p>
                            </w:txbxContent>
                          </v:textbox>
                        </v:shape>
                      </v:group>
                      <v:group id="_x0000_s1026" o:spid="_x0000_s1026" o:spt="203" style="position:absolute;left:1014095;top:5989955;height:431800;width:3915410;" coordorigin="1597,4393" coordsize="6166,680" o:gfxdata="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">
                        <o:lock v:ext="edit" aspectratio="f"/>
                        <v:shape id="文本框 554" o:spid="_x0000_s1026" o:spt="202" type="#_x0000_t202" style="position:absolute;left:4699;top:4422;height:316;width:479;" filled="f" stroked="f" coordsize="21600,21600" o:gfxdata="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W6zUy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42DECF18">
                                <w:pP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1.0</w:t>
                                </w:r>
                              </w:p>
                            </w:txbxContent>
                          </v:textbox>
                        </v:shape>
                        <v:shape id="文本框 563" o:spid="_x0000_s1026" o:spt="202" type="#_x0000_t202" style="position:absolute;left:1862;top:4415;height:241;width:427;" filled="f" stroked="f" coordsize="21600,21600" o:gfxdata="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54xHb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5BBF0851">
                                <w:pP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0.6</w:t>
                                </w:r>
                              </w:p>
                            </w:txbxContent>
                          </v:textbox>
                        </v:shape>
                        <v:line id="直接连接符 580" o:spid="_x0000_s1026" o:spt="20" style="position:absolute;left:4488;top:4731;height:0;width:920;" filled="f" stroked="t" coordsize="21600,21600" o:gfxdata="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3vPFK/&#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文本框 591" o:spid="_x0000_s1026" o:spt="202" type="#_x0000_t202" style="position:absolute;left:2548;top:4520;height:380;width:1940;" filled="f" stroked="t" coordsize="21600,21600" o:gfxdata="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zZKIC/&#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inset="0mm,0.1mm,0mm,0.1mm">
                            <w:txbxContent>
                              <w:p w14:paraId="0AE5A528">
                                <w:pPr>
                                  <w:jc w:val="center"/>
                                  <w:rPr>
                                    <w:rFonts w:hint="eastAsia" w:ascii="Times New Roman" w:hAnsi="Times New Roman" w:cs="Times New Roman"/>
                                    <w:color w:val="auto"/>
                                    <w:sz w:val="21"/>
                                    <w:szCs w:val="21"/>
                                    <w:lang w:eastAsia="zh-CN" w:bidi="ar-SA"/>
                                  </w:rPr>
                                </w:pPr>
                                <w:r>
                                  <w:rPr>
                                    <w:rFonts w:hint="eastAsia" w:ascii="Times New Roman" w:hAnsi="Times New Roman" w:cs="Times New Roman"/>
                                    <w:color w:val="auto"/>
                                    <w:sz w:val="21"/>
                                    <w:szCs w:val="21"/>
                                    <w:lang w:eastAsia="zh-CN" w:bidi="ar-SA"/>
                                  </w:rPr>
                                  <w:t>质检用水</w:t>
                                </w:r>
                              </w:p>
                            </w:txbxContent>
                          </v:textbox>
                        </v:shape>
                        <v:line id="直接连接符 594" o:spid="_x0000_s1026" o:spt="20" style="position:absolute;left:1597;top:4733;height:1;width:958;" filled="f" stroked="t" coordsize="21600,21600" o:gfxdata="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JxB76/&#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文本框 600" o:spid="_x0000_s1026" o:spt="202" type="#_x0000_t202" style="position:absolute;left:5383;top:4393;height:680;width:2380;" filled="f" stroked="f" coordsize="21600,21600" o:gfxdata="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LTOxi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3D9D8276">
                                <w:pPr>
                                  <w:jc w:val="center"/>
                                  <w:rPr>
                                    <w:rFonts w:hint="default" w:ascii="Times New Roman" w:hAnsi="Times New Roman" w:eastAsia="宋体" w:cs="Times New Roman"/>
                                    <w:sz w:val="28"/>
                                    <w:szCs w:val="24"/>
                                    <w:lang w:val="en-US" w:eastAsia="zh-CN" w:bidi="ar-SA"/>
                                  </w:rPr>
                                </w:pPr>
                                <w:r>
                                  <w:rPr>
                                    <w:rFonts w:hint="eastAsia" w:ascii="Times New Roman" w:hAnsi="宋体" w:cs="Times New Roman"/>
                                    <w:color w:val="auto"/>
                                    <w:sz w:val="21"/>
                                    <w:szCs w:val="21"/>
                                    <w:lang w:val="en-US" w:eastAsia="zh-CN" w:bidi="ar-SA"/>
                                  </w:rPr>
                                  <w:t>暂存于危废贮存</w:t>
                                </w:r>
                                <w:r>
                                  <w:rPr>
                                    <w:rFonts w:hint="eastAsia" w:hAnsi="宋体" w:cs="Times New Roman"/>
                                    <w:color w:val="auto"/>
                                    <w:sz w:val="21"/>
                                    <w:szCs w:val="21"/>
                                    <w:lang w:val="en-US" w:eastAsia="zh-CN" w:bidi="ar-SA"/>
                                  </w:rPr>
                                  <w:t>库</w:t>
                                </w:r>
                                <w:r>
                                  <w:rPr>
                                    <w:rFonts w:hint="eastAsia" w:ascii="Times New Roman" w:hAnsi="宋体" w:cs="Times New Roman"/>
                                    <w:color w:val="auto"/>
                                    <w:sz w:val="21"/>
                                    <w:szCs w:val="21"/>
                                    <w:lang w:val="en-US" w:eastAsia="zh-CN" w:bidi="ar-SA"/>
                                  </w:rPr>
                                  <w:t>，定期交有资质单位处置</w:t>
                                </w:r>
                              </w:p>
                            </w:txbxContent>
                          </v:textbox>
                        </v:shape>
                      </v:group>
                      <v:group id="_x0000_s1026" o:spid="_x0000_s1026" o:spt="203" style="position:absolute;left:1002030;top:2196465;height:699135;width:2421255;" coordorigin="1578,2919" coordsize="3813,1101" o:gfxdata="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">
                        <o:lock v:ext="edit" aspectratio="f"/>
                        <v:shape id="文本框 556" o:spid="_x0000_s1026" o:spt="202" type="#_x0000_t202" style="position:absolute;left:1701;top:3537;height:295;width:611;" filled="f" stroked="f" coordsize="21600,21600" o:gfxdata="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dmcLL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0FE0E2D6">
                                <w:pPr>
                                  <w:rPr>
                                    <w:rFonts w:hint="default" w:ascii="Times New Roman" w:hAnsi="Times New Roman" w:eastAsia="宋体" w:cs="Times New Roman"/>
                                    <w:sz w:val="21"/>
                                    <w:szCs w:val="21"/>
                                    <w:lang w:val="en-US" w:eastAsia="zh-CN" w:bidi="ar-SA"/>
                                  </w:rPr>
                                </w:pPr>
                                <w:r>
                                  <w:rPr>
                                    <w:rFonts w:hint="eastAsia" w:ascii="Times New Roman" w:hAnsi="Times New Roman" w:eastAsia="宋体" w:cs="Times New Roman"/>
                                    <w:sz w:val="21"/>
                                    <w:szCs w:val="21"/>
                                    <w:lang w:val="en-US" w:eastAsia="zh-CN" w:bidi="ar-SA"/>
                                  </w:rPr>
                                  <w:t>371.07</w:t>
                                </w:r>
                              </w:p>
                            </w:txbxContent>
                          </v:textbox>
                        </v:shape>
                        <v:shape id="文本框 566" o:spid="_x0000_s1026" o:spt="202" type="#_x0000_t202" style="position:absolute;left:3086;top:2919;height:327;width:712;" filled="f" stroked="f" coordsize="21600,21600" o:gfxdata="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aVObe/&#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1D5B83B6">
                                <w:pPr>
                                  <w:rPr>
                                    <w:rFonts w:hint="default" w:ascii="Times New Roman" w:hAnsi="Times New Roman" w:eastAsia="宋体" w:cs="Times New Roman"/>
                                    <w:sz w:val="21"/>
                                    <w:szCs w:val="21"/>
                                    <w:lang w:val="en-US" w:eastAsia="zh-CN" w:bidi="ar-SA"/>
                                  </w:rPr>
                                </w:pPr>
                                <w:r>
                                  <w:rPr>
                                    <w:rFonts w:hint="eastAsia" w:ascii="Times New Roman" w:hAnsi="Times New Roman" w:eastAsia="宋体" w:cs="Times New Roman"/>
                                    <w:sz w:val="21"/>
                                    <w:szCs w:val="21"/>
                                    <w:lang w:val="en-US" w:eastAsia="zh-CN" w:bidi="ar-SA"/>
                                  </w:rPr>
                                  <w:t>61.845</w:t>
                                </w:r>
                              </w:p>
                            </w:txbxContent>
                          </v:textbox>
                        </v:shape>
                        <v:shape id="文本框 552" o:spid="_x0000_s1026" o:spt="202" type="#_x0000_t202" style="position:absolute;left:4437;top:3520;height:285;width:855;" filled="f" stroked="f" coordsize="21600,21600" o:gfxdata="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cKrcW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06931481">
                                <w:pPr>
                                  <w:jc w:val="center"/>
                                  <w:rPr>
                                    <w:rFonts w:hint="default" w:ascii="Times New Roman" w:hAnsi="Times New Roman" w:eastAsia="宋体" w:cs="Times New Roman"/>
                                    <w:sz w:val="21"/>
                                    <w:szCs w:val="21"/>
                                    <w:lang w:val="en-US" w:eastAsia="zh-CN" w:bidi="ar-SA"/>
                                  </w:rPr>
                                </w:pPr>
                                <w:r>
                                  <w:rPr>
                                    <w:rFonts w:hint="eastAsia" w:ascii="Times New Roman" w:hAnsi="Times New Roman" w:eastAsia="宋体" w:cs="Times New Roman"/>
                                    <w:sz w:val="21"/>
                                    <w:szCs w:val="21"/>
                                    <w:lang w:val="en-US" w:eastAsia="zh-CN" w:bidi="ar-SA"/>
                                  </w:rPr>
                                  <w:t>309.225</w:t>
                                </w:r>
                              </w:p>
                            </w:txbxContent>
                          </v:textbox>
                        </v:shape>
                        <v:shape id="曲线连接符 553" o:spid="_x0000_s1026" o:spt="38" type="#_x0000_t38" style="position:absolute;left:2935;top:3184;height:445;width:414;rotation:-5898240f;" filled="f" stroked="t" coordsize="21600,21600" o:gfxdata="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zeGR74A&#10;AADcAAAADwAAAAAAAAABACAAAAAiAAAAZHJzL2Rvd25yZXYueG1sUEsBAhQAFAAAAAgAh07iQDMv&#10;BZ47AAAAOQAAABAAAAAAAAAAAQAgAAAADQEAAGRycy9zaGFwZXhtbC54bWxQSwUGAAAAAAYABgBb&#10;AQAAtwMAAAAA&#10;" adj="10826">
                          <v:fill on="f" focussize="0,0"/>
                          <v:stroke color="#000000" joinstyle="round" dashstyle="dash" endarrow="open"/>
                          <v:imagedata o:title=""/>
                          <o:lock v:ext="edit" aspectratio="f"/>
                        </v:shape>
                        <v:line id="直接连接符 587" o:spid="_x0000_s1026" o:spt="20" style="position:absolute;left:1578;top:3857;height:0;width:920;" filled="f" stroked="t" coordsize="21600,21600" o:gfxdata="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Ytw6q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shape id="文本框 588" o:spid="_x0000_s1026" o:spt="202" type="#_x0000_t202" style="position:absolute;left:2483;top:3628;height:392;width:1929;" filled="f" stroked="t" coordsize="21600,21600" o:gfxdata="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iF7JS/&#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inset="0mm,0.1mm,0mm,0.1mm">
                            <w:txbxContent>
                              <w:p w14:paraId="31D13B5D">
                                <w:pPr>
                                  <w:jc w:val="center"/>
                                  <w:rPr>
                                    <w:rFonts w:hint="eastAsia" w:ascii="Times New Roman" w:hAnsi="Times New Roman" w:cs="Times New Roman"/>
                                    <w:sz w:val="21"/>
                                    <w:szCs w:val="21"/>
                                    <w:lang w:eastAsia="zh-CN" w:bidi="ar-SA"/>
                                  </w:rPr>
                                </w:pPr>
                                <w:r>
                                  <w:rPr>
                                    <w:rFonts w:hint="eastAsia" w:ascii="Times New Roman" w:hAnsi="Times New Roman" w:cs="Times New Roman"/>
                                    <w:sz w:val="21"/>
                                    <w:szCs w:val="21"/>
                                    <w:lang w:val="en-US" w:eastAsia="zh-CN" w:bidi="ar-SA"/>
                                  </w:rPr>
                                  <w:t>药材</w:t>
                                </w:r>
                                <w:r>
                                  <w:rPr>
                                    <w:rFonts w:hint="eastAsia" w:cs="Times New Roman"/>
                                    <w:sz w:val="21"/>
                                    <w:szCs w:val="21"/>
                                    <w:lang w:val="en-US" w:eastAsia="zh-CN" w:bidi="ar-SA"/>
                                  </w:rPr>
                                  <w:t>炮制</w:t>
                                </w:r>
                                <w:r>
                                  <w:rPr>
                                    <w:rFonts w:hint="eastAsia" w:ascii="Times New Roman" w:hAnsi="Times New Roman" w:cs="Times New Roman"/>
                                    <w:sz w:val="21"/>
                                    <w:szCs w:val="21"/>
                                    <w:lang w:eastAsia="zh-CN" w:bidi="ar-SA"/>
                                  </w:rPr>
                                  <w:t>用水</w:t>
                                </w:r>
                              </w:p>
                            </w:txbxContent>
                          </v:textbox>
                        </v:shape>
                        <v:line id="直接连接符 602" o:spid="_x0000_s1026" o:spt="20" style="position:absolute;left:4423;top:3811;flip:y;height:12;width:968;" filled="f" stroked="t" coordsize="21600,21600" o:gfxdata="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AN9Pa/&#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group>
                      <v:shape id="文本框 586" o:spid="_x0000_s1026" o:spt="202" type="#_x0000_t202" style="position:absolute;left:313055;top:2257425;height:233680;width:662305;" filled="f" stroked="f" coordsize="21600,21600" o:gfxdata="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zrjnDXAAAACAEAAA8AAAAAAAAAAQAgAAAAIgAAAGRycy9kb3du&#10;cmV2LnhtbFBLAQIUABQAAAAIAIdO4kB5b31+xwEAAIADAAAOAAAAAAAAAAEAIAAAACYBAABkcnMv&#10;ZTJvRG9jLnhtbFBLBQYAAAAABgAGAFkBAABfBQAAAAA=&#10;">
                        <v:fill on="f" focussize="0,0"/>
                        <v:stroke on="f"/>
                        <v:imagedata o:title=""/>
                        <o:lock v:ext="edit" aspectratio="f"/>
                        <v:textbox inset="0mm,0mm,0mm,0mm">
                          <w:txbxContent>
                            <w:p w14:paraId="54FE91DF">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16717.86</w:t>
                              </w:r>
                            </w:p>
                          </w:txbxContent>
                        </v:textbox>
                      </v:shape>
                      <v:group id="_x0000_s1026" o:spid="_x0000_s1026" o:spt="203" style="position:absolute;left:941705;top:1858010;height:719455;width:2482215;" coordorigin="1483,2236" coordsize="3909,1133" o:gfxdata="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">
                        <o:lock v:ext="edit" aspectratio="f"/>
                        <v:shape id="文本框 562" o:spid="_x0000_s1026" o:spt="202" type="#_x0000_t202" style="position:absolute;left:3802;top:2236;height:335;width:940;" filled="f" stroked="f" coordsize="21600,21600" o:gfxdata="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dnyOa/&#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1353CF97">
                                <w:pPr>
                                  <w:jc w:val="both"/>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4179.465</w:t>
                                </w:r>
                              </w:p>
                            </w:txbxContent>
                          </v:textbox>
                        </v:shape>
                        <v:shape id="文本框 573" o:spid="_x0000_s1026" o:spt="202" type="#_x0000_t202" style="position:absolute;left:1483;top:2337;height:407;width:1924;" filled="f" stroked="t" coordsize="21600,21600" o:gfxdata="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dsdOC/&#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inset="0mm,0.1mm,0mm,0.1mm">
                            <w:txbxContent>
                              <w:p w14:paraId="2AFC220D">
                                <w:pPr>
                                  <w:spacing w:line="240" w:lineRule="auto"/>
                                  <w:jc w:val="center"/>
                                  <w:rPr>
                                    <w:rFonts w:hint="eastAsia" w:ascii="Times New Roman" w:hAnsi="Times New Roman" w:eastAsia="宋体" w:cs="Times New Roman"/>
                                    <w:b w:val="0"/>
                                    <w:bCs/>
                                    <w:color w:val="000000"/>
                                    <w:kern w:val="2"/>
                                    <w:sz w:val="21"/>
                                    <w:szCs w:val="21"/>
                                    <w:highlight w:val="none"/>
                                    <w:lang w:val="en-US" w:eastAsia="zh-CN" w:bidi="ar-SA"/>
                                  </w:rPr>
                                </w:pPr>
                                <w:r>
                                  <w:rPr>
                                    <w:rFonts w:hint="eastAsia" w:cs="Times New Roman"/>
                                    <w:b w:val="0"/>
                                    <w:bCs/>
                                    <w:color w:val="000000"/>
                                    <w:kern w:val="2"/>
                                    <w:sz w:val="21"/>
                                    <w:szCs w:val="21"/>
                                    <w:highlight w:val="none"/>
                                    <w:lang w:val="en-US" w:eastAsia="zh-CN" w:bidi="ar-SA"/>
                                  </w:rPr>
                                  <w:t>软化水制备</w:t>
                                </w:r>
                                <w:r>
                                  <w:rPr>
                                    <w:rFonts w:hint="eastAsia" w:ascii="Times New Roman" w:hAnsi="Times New Roman" w:eastAsia="宋体" w:cs="Times New Roman"/>
                                    <w:b w:val="0"/>
                                    <w:bCs/>
                                    <w:color w:val="000000"/>
                                    <w:kern w:val="2"/>
                                    <w:sz w:val="21"/>
                                    <w:szCs w:val="21"/>
                                    <w:highlight w:val="none"/>
                                    <w:lang w:val="en-US" w:eastAsia="zh-CN" w:bidi="ar-SA"/>
                                  </w:rPr>
                                  <w:t>用水</w:t>
                                </w:r>
                              </w:p>
                              <w:p w14:paraId="3B4FDA21">
                                <w:pPr>
                                  <w:rPr>
                                    <w:rFonts w:hint="eastAsia"/>
                                    <w:lang w:val="en-US" w:eastAsia="zh-CN"/>
                                  </w:rPr>
                                </w:pPr>
                              </w:p>
                            </w:txbxContent>
                          </v:textbox>
                        </v:shape>
                        <v:line id="直接连接符 575" o:spid="_x0000_s1026" o:spt="20" style="position:absolute;left:3406;top:2529;height:9;width:1986;" filled="f" stroked="t" coordsize="21600,21600" o:gfxdata="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5xFve&#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line id="直接连接符 597" o:spid="_x0000_s1026" o:spt="20" style="position:absolute;left:1567;top:2739;height:630;width:0;" filled="f" stroked="t" coordsize="21600,21600" o:gfxdata="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hbz6y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group>
                      <v:line id="直接连接符 589" o:spid="_x0000_s1026" o:spt="20" style="position:absolute;left:551815;top:2046605;flip:y;height:5080;width:389890;" filled="f" stroked="t" coordsize="21600,21600" o:gfxdata="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J5EJmLYAAAA&#10;CAEAAA8AAAAAAAAAAQAgAAAAIgAAAGRycy9kb3ducmV2LnhtbFBLAQIUABQAAAAIAIdO4kDwvxT4&#10;HQIAAA0EAAAOAAAAAAAAAAEAIAAAACcBAABkcnMvZTJvRG9jLnhtbFBLBQYAAAAABgAGAFkBAAC2&#10;BQAAAAA=&#10;">
                        <v:fill on="f" focussize="0,0"/>
                        <v:stroke color="#000000" joinstyle="round" endarrow="block"/>
                        <v:imagedata o:title=""/>
                        <o:lock v:ext="edit" aspectratio="f"/>
                      </v:line>
                      <v:shape id="直接箭头连接符 576" o:spid="_x0000_s1026" o:spt="32" type="#_x0000_t32" style="position:absolute;left:3423285;top:2044065;height:2685415;width:14605;" filled="f" stroked="t" coordsize="21600,21600" o:gfxdata="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CFNUeNcAAAAIAQAADwAA&#10;AAAAAAABACAAAAAiAAAAZHJzL2Rvd25yZXYueG1sUEsBAhQAFAAAAAgAh07iQOu/0KIXAgAACgQA&#10;AA4AAAAAAAAAAQAgAAAAJgEAAGRycy9lMm9Eb2MueG1sUEsFBgAAAAAGAAYAWQEAAK8FAAAAAA==&#10;">
                        <v:fill on="f" focussize="0,0"/>
                        <v:stroke color="#000000" joinstyle="round"/>
                        <v:imagedata o:title=""/>
                        <o:lock v:ext="edit" aspectratio="f"/>
                      </v:shape>
                      <v:line id="直接连接符 575" o:spid="_x0000_s1026" o:spt="20" style="position:absolute;left:2428240;top:1501140;flip:y;height:18415;width:1918970;" filled="f" stroked="t" coordsize="21600,21600" o:gfxdata="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J5EJmLYAAAACAEA&#10;AA8AAAAAAAAAAQAgAAAAIgAAAGRycy9kb3ducmV2LnhtbFBLAQIUABQAAAAIAIdO4kD7o8coGgIA&#10;ABAEAAAOAAAAAAAAAAEAIAAAACcBAABkcnMvZTJvRG9jLnhtbFBLBQYAAAAABgAGAFkBAACzBQAA&#10;AAA=&#10;">
                        <v:fill on="f" focussize="0,0"/>
                        <v:stroke color="#000000" joinstyle="round" endarrow="block"/>
                        <v:imagedata o:title=""/>
                        <o:lock v:ext="edit" aspectratio="f"/>
                      </v:line>
                      <v:line id="直接连接符 589" o:spid="_x0000_s1026" o:spt="20" style="position:absolute;left:542290;top:1522730;flip:y;height:6350;width:635000;" filled="f" stroked="t" coordsize="21600,21600" o:gfxdata="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nkQmYtgAAAAIAQAADwAA&#10;AAAAAAABACAAAAAiAAAAZHJzL2Rvd25yZXYueG1sUEsBAhQAFAAAAAgAh07iQFPDW5sWAgAADQQA&#10;AA4AAAAAAAAAAQAgAAAAJwEAAGRycy9lMm9Eb2MueG1sUEsFBgAAAAAGAAYAWQEAAK8FAAAAAA==&#10;">
                        <v:fill on="f" focussize="0,0"/>
                        <v:stroke color="#000000" joinstyle="round" endarrow="block"/>
                        <v:imagedata o:title=""/>
                        <o:lock v:ext="edit" aspectratio="f"/>
                      </v:line>
                      <v:shape id="文本框 573" o:spid="_x0000_s1026" o:spt="202" type="#_x0000_t202" style="position:absolute;left:1170940;top:1408430;height:248920;width:1249680;" filled="f" stroked="t" coordsize="21600,21600" o:gfxdata="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CYQyb2QAAAAgBAAAPAAAAAAAAAAEAIAAAACIAAABkcnMvZG93bnJldi54bWxQSwECFAAUAAAA&#10;CACHTuJAPrx6NCYCAABHBAAADgAAAAAAAAABACAAAAAoAQAAZHJzL2Uyb0RvYy54bWxQSwUGAAAA&#10;AAYABgBZAQAAwAUAAAAA&#10;">
                        <v:fill on="f" focussize="0,0"/>
                        <v:stroke color="#000000" joinstyle="miter"/>
                        <v:imagedata o:title=""/>
                        <o:lock v:ext="edit" aspectratio="f"/>
                        <v:textbox inset="0mm,0.1mm,0mm,0.1mm">
                          <w:txbxContent>
                            <w:p w14:paraId="25217B75">
                              <w:pPr>
                                <w:spacing w:line="240" w:lineRule="auto"/>
                                <w:jc w:val="center"/>
                                <w:rPr>
                                  <w:rFonts w:hint="eastAsia" w:ascii="Times New Roman" w:hAnsi="Times New Roman" w:eastAsia="宋体" w:cs="Times New Roman"/>
                                  <w:b w:val="0"/>
                                  <w:bCs/>
                                  <w:color w:val="000000"/>
                                  <w:kern w:val="2"/>
                                  <w:sz w:val="21"/>
                                  <w:szCs w:val="21"/>
                                  <w:highlight w:val="none"/>
                                  <w:lang w:val="en-US" w:eastAsia="zh-CN" w:bidi="ar-SA"/>
                                </w:rPr>
                              </w:pPr>
                              <w:r>
                                <w:rPr>
                                  <w:rFonts w:hint="eastAsia" w:cs="Times New Roman"/>
                                  <w:b w:val="0"/>
                                  <w:bCs/>
                                  <w:color w:val="000000"/>
                                  <w:kern w:val="2"/>
                                  <w:sz w:val="21"/>
                                  <w:szCs w:val="21"/>
                                  <w:highlight w:val="none"/>
                                  <w:lang w:val="en-US" w:eastAsia="zh-CN" w:bidi="ar-SA"/>
                                </w:rPr>
                                <w:t>现有项目</w:t>
                              </w:r>
                              <w:r>
                                <w:rPr>
                                  <w:rFonts w:hint="eastAsia" w:ascii="Times New Roman" w:hAnsi="Times New Roman" w:eastAsia="宋体" w:cs="Times New Roman"/>
                                  <w:b w:val="0"/>
                                  <w:bCs/>
                                  <w:color w:val="000000"/>
                                  <w:kern w:val="2"/>
                                  <w:sz w:val="21"/>
                                  <w:szCs w:val="21"/>
                                  <w:highlight w:val="none"/>
                                  <w:lang w:val="en-US" w:eastAsia="zh-CN" w:bidi="ar-SA"/>
                                </w:rPr>
                                <w:t>生产用水</w:t>
                              </w:r>
                            </w:p>
                          </w:txbxContent>
                        </v:textbox>
                      </v:shape>
                      <v:shape id="文本框 562" o:spid="_x0000_s1026" o:spt="202" type="#_x0000_t202" style="position:absolute;left:3399155;top:1313180;height:203200;width:454025;" filled="f" stroked="f" coordsize="21600,21600" o:gfxdata="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zrjnDXAAAACAEAAA8AAAAAAAAAAQAgAAAAIgAAAGRycy9kb3du&#10;cmV2LnhtbFBLAQIUABQAAAAIAIdO4kA5T24sxwEAAIEDAAAOAAAAAAAAAAEAIAAAACYBAABkcnMv&#10;ZTJvRG9jLnhtbFBLBQYAAAAABgAGAFkBAABfBQAAAAA=&#10;">
                        <v:fill on="f" focussize="0,0"/>
                        <v:stroke on="f"/>
                        <v:imagedata o:title=""/>
                        <o:lock v:ext="edit" aspectratio="f"/>
                        <v:textbox inset="0mm,0mm,0mm,0mm">
                          <w:txbxContent>
                            <w:p w14:paraId="6B5D3622">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114500</w:t>
                              </w:r>
                            </w:p>
                          </w:txbxContent>
                        </v:textbox>
                      </v:shape>
                      <v:shape id="文本框 562" o:spid="_x0000_s1026" o:spt="202" type="#_x0000_t202" style="position:absolute;left:608330;top:1341755;height:203200;width:454025;" filled="f" stroked="f" coordsize="21600,21600" o:gfxdata="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zrjnDXAAAACAEAAA8AAAAAAAAAAQAgAAAAIgAAAGRycy9kb3du&#10;cmV2LnhtbFBLAQIUABQAAAAIAIdO4kA9hQ78xwEAAIADAAAOAAAAAAAAAAEAIAAAACYBAABkcnMv&#10;ZTJvRG9jLnhtbFBLBQYAAAAABgAGAFkBAABfBQAAAAA=&#10;">
                        <v:fill on="f" focussize="0,0"/>
                        <v:stroke on="f"/>
                        <v:imagedata o:title=""/>
                        <o:lock v:ext="edit" aspectratio="f"/>
                        <v:textbox inset="0mm,0mm,0mm,0mm">
                          <w:txbxContent>
                            <w:p w14:paraId="0FAE682E">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416750</w:t>
                              </w:r>
                            </w:p>
                          </w:txbxContent>
                        </v:textbox>
                      </v:shape>
                      <v:shape id="曲线连接符 553" o:spid="_x0000_s1026" o:spt="38" type="#_x0000_t38" style="position:absolute;left:1598930;top:1141730;height:282575;width:262890;rotation:-5898240f;" filled="f" stroked="t" coordsize="21600,21600" o:gfxdata="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PAYmw2AAAAAgBAAAPAAAAAAAAAAEAIAAAACIAAABkcnMvZG93&#10;bnJldi54bWxQSwECFAAUAAAACACHTuJAWrYmVDkCAABCBAAADgAAAAAAAAABACAAAAAnAQAAZHJz&#10;L2Uyb0RvYy54bWxQSwUGAAAAAAYABgBZAQAA0gUAAAAA&#10;" adj="10826">
                        <v:fill on="f" focussize="0,0"/>
                        <v:stroke color="#000000" joinstyle="round" dashstyle="dash" endarrow="open"/>
                        <v:imagedata o:title=""/>
                        <o:lock v:ext="edit" aspectratio="f"/>
                      </v:shape>
                      <v:shape id="文本框 566" o:spid="_x0000_s1026" o:spt="202" type="#_x0000_t202" style="position:absolute;left:1684655;top:970280;height:198755;width:518160;" filled="f" stroked="f" coordsize="21600,21600" o:gfxdata="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TOuOcNcAAAAIAQAADwAAAAAAAAABACAAAAAiAAAAZHJzL2Rvd25yZXYueG1s&#10;UEsBAhQAFAAAAAgAh07iQNvHHpD5AQAA2wMAAA4AAAAAAAAAAQAgAAAAJgEAAGRycy9lMm9Eb2Mu&#10;eG1sUEsFBgAAAAAGAAYAWQEAAJEFAAAAAA==&#10;">
                        <v:fill on="f" focussize="0,0"/>
                        <v:stroke on="f"/>
                        <v:imagedata o:title=""/>
                        <o:lock v:ext="edit" aspectratio="f"/>
                        <v:textbox inset="0mm,0mm,0mm,0mm">
                          <w:txbxContent>
                            <w:p w14:paraId="40367499">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302250</w:t>
                              </w:r>
                            </w:p>
                          </w:txbxContent>
                        </v:textbox>
                      </v:shape>
                      <v:group id="_x0000_s1026" o:spid="_x0000_s1026" o:spt="203" style="position:absolute;left:1008380;top:4189730;height:641350;width:2432050;" coordorigin="1873,5053" coordsize="3830,1010" o:gfxdata="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">
                        <o:lock v:ext="edit" aspectratio="f"/>
                        <v:shape id="文本框 560" o:spid="_x0000_s1026" o:spt="202" type="#_x0000_t202" style="position:absolute;left:1902;top:5566;height:302;width:915;" filled="f" stroked="f" coordsize="21600,21600" o:gfxdata="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SP6lL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2982C5EB">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13525.2</w:t>
                                </w:r>
                              </w:p>
                            </w:txbxContent>
                          </v:textbox>
                        </v:shape>
                        <v:shape id="文本框 561" o:spid="_x0000_s1026" o:spt="202" type="#_x0000_t202" style="position:absolute;left:3788;top:5053;height:245;width:727;" filled="f" stroked="f" coordsize="21600,21600" o:gfxdata="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7KYuC/&#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4D712B09">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937.45</w:t>
                                </w:r>
                              </w:p>
                            </w:txbxContent>
                          </v:textbox>
                        </v:shape>
                        <v:shape id="文本框 565" o:spid="_x0000_s1026" o:spt="202" type="#_x0000_t202" style="position:absolute;left:4901;top:5568;height:301;width:651;" filled="f" stroked="f" coordsize="21600,21600" o:gfxdata="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GGx3u/&#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20394628">
                                <w:pP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11271</w:t>
                                </w:r>
                              </w:p>
                            </w:txbxContent>
                          </v:textbox>
                        </v:shape>
                        <v:shape id="曲线连接符 567" o:spid="_x0000_s1026" o:spt="38" type="#_x0000_t38" style="position:absolute;left:3655;top:5186;height:628;width:384;rotation:-5898240f;" filled="f" stroked="t" coordsize="21600,21600" o:gfxdata="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upvAL4A&#10;AADcAAAADwAAAAAAAAABACAAAAAiAAAAZHJzL2Rvd25yZXYueG1sUEsBAhQAFAAAAAgAh07iQDMv&#10;BZ47AAAAOQAAABAAAAAAAAAAAQAgAAAADQEAAGRycy9zaGFwZXhtbC54bWxQSwUGAAAAAAYABgBb&#10;AQAAtwMAAAAA&#10;" adj="10800">
                          <v:fill on="f" focussize="0,0"/>
                          <v:stroke color="#000000" joinstyle="round" dashstyle="dash" endarrow="open"/>
                          <v:imagedata o:title=""/>
                          <o:lock v:ext="edit" aspectratio="f"/>
                        </v:shape>
                        <v:line id="直接连接符 579" o:spid="_x0000_s1026" o:spt="20" style="position:absolute;left:4783;top:5885;height:0;width:920;" filled="f" stroked="t" coordsize="21600,21600" o:gfxdata="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PJVRD&#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line id="直接连接符 592" o:spid="_x0000_s1026" o:spt="20" style="position:absolute;left:1873;top:5879;height:1;width:979;" filled="f" stroked="t" coordsize="21600,21600" o:gfxdata="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66wDG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shape id="文本框 595" o:spid="_x0000_s1026" o:spt="202" type="#_x0000_t202" style="position:absolute;left:2852;top:5683;height:380;width:1940;" filled="f" stroked="t" coordsize="21600,21600" o:gfxdata="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QEu8P&#10;wAAAANwAAAAPAAAAAAAAAAEAIAAAACIAAABkcnMvZG93bnJldi54bWxQSwECFAAUAAAACACHTuJA&#10;My8FnjsAAAA5AAAAEAAAAAAAAAABACAAAAAPAQAAZHJzL3NoYXBleG1sLnhtbFBLBQYAAAAABgAG&#10;AFsBAAC5AwAAAAA=&#10;">
                          <v:fill on="f" focussize="0,0"/>
                          <v:stroke color="#000000" joinstyle="miter"/>
                          <v:imagedata o:title=""/>
                          <o:lock v:ext="edit" aspectratio="f"/>
                          <v:textbox inset="0mm,0.1mm,0mm,0.1mm">
                            <w:txbxContent>
                              <w:p w14:paraId="38A5CBE1">
                                <w:pPr>
                                  <w:jc w:val="center"/>
                                  <w:rPr>
                                    <w:rFonts w:hint="eastAsia" w:ascii="Times New Roman" w:hAnsi="Times New Roman" w:cs="Times New Roman"/>
                                    <w:color w:val="auto"/>
                                    <w:sz w:val="21"/>
                                    <w:szCs w:val="21"/>
                                    <w:lang w:eastAsia="zh-CN" w:bidi="ar-SA"/>
                                  </w:rPr>
                                </w:pPr>
                                <w:r>
                                  <w:rPr>
                                    <w:rFonts w:hint="eastAsia" w:cs="Times New Roman"/>
                                    <w:color w:val="auto"/>
                                    <w:sz w:val="21"/>
                                    <w:szCs w:val="21"/>
                                    <w:lang w:val="en-US" w:eastAsia="zh-CN" w:bidi="ar-SA"/>
                                  </w:rPr>
                                  <w:t>提取</w:t>
                                </w:r>
                                <w:r>
                                  <w:rPr>
                                    <w:rFonts w:hint="eastAsia" w:ascii="Times New Roman" w:hAnsi="Times New Roman" w:cs="Times New Roman"/>
                                    <w:color w:val="auto"/>
                                    <w:sz w:val="21"/>
                                    <w:szCs w:val="21"/>
                                    <w:lang w:eastAsia="zh-CN" w:bidi="ar-SA"/>
                                  </w:rPr>
                                  <w:t>用水</w:t>
                                </w:r>
                              </w:p>
                            </w:txbxContent>
                          </v:textbox>
                        </v:shape>
                      </v:group>
                      <v:line id="直接连接符 582" o:spid="_x0000_s1026" o:spt="20" style="position:absolute;left:4352290;top:721360;height:2085975;width:9525;" filled="f" stroked="t" coordsize="21600,21600" o:gfxdata="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UQXb0NkAAAAIAQAADwAAAAAAAAAB&#10;ACAAAAAiAAAAZHJzL2Rvd25yZXYueG1sUEsBAhQAFAAAAAgAh07iQP5dBTgPAgAABAQAAA4AAAAA&#10;AAAAAQAgAAAAKAEAAGRycy9lMm9Eb2MueG1sUEsFBgAAAAAGAAYAWQEAAKkFAAAAAA==&#10;">
                        <v:fill on="f" focussize="0,0"/>
                        <v:stroke color="#000000" joinstyle="round" endarrow="block"/>
                        <v:imagedata o:title=""/>
                        <o:lock v:ext="edit" aspectratio="f"/>
                      </v:line>
                      <v:shape id="文本框 585" o:spid="_x0000_s1026" o:spt="202" type="#_x0000_t202" style="position:absolute;left:4389755;top:3065780;height:200025;width:651510;" filled="f" stroked="f" coordsize="21600,21600" o:gfxdata="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TOuOcNcAAAAIAQAADwAAAAAAAAABACAAAAAiAAAAZHJzL2Rv&#10;d25yZXYueG1sUEsBAhQAFAAAAAgAh07iQAEGJC7JAQAAgQMAAA4AAAAAAAAAAQAgAAAAJgEAAGRy&#10;cy9lMm9Eb2MueG1sUEsFBgAAAAAGAAYAWQEAAGEFAAAAAA==&#10;">
                        <v:fill on="f" focussize="0,0"/>
                        <v:stroke on="f"/>
                        <v:imagedata o:title=""/>
                        <o:lock v:ext="edit" aspectratio="f"/>
                        <v:textbox inset="0mm,0mm,0mm,0mm">
                          <w:txbxContent>
                            <w:p w14:paraId="7A8254F6">
                              <w:pP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173485.93</w:t>
                              </w:r>
                            </w:p>
                          </w:txbxContent>
                        </v:textbox>
                      </v:shape>
                      <v:shape id="_x0000_s1026" o:spid="_x0000_s1026" o:spt="33" type="#_x0000_t33" style="position:absolute;left:2846705;top:4275455;flip:y;height:1394460;width:229235;rotation:-5898240f;" filled="f" stroked="t" coordsize="21600,21600" o:gfxdata="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r&#10;usFi2AAAAAgBAAAPAAAAAAAAAAEAIAAAACIAAABkcnMvZG93bnJldi54bWxQSwECFAAUAAAACACH&#10;TuJAm1hFAyQCAAASBAAADgAAAAAAAAABACAAAAAnAQAAZHJzL2Uyb0RvYy54bWxQSwUGAAAAAAYA&#10;BgBZAQAAvQUAAAAA&#10;">
                        <v:fill on="f" focussize="0,0"/>
                        <v:stroke color="#000000" joinstyle="round" dashstyle="dash" endarrow="block"/>
                        <v:imagedata o:title=""/>
                        <o:lock v:ext="edit" aspectratio="f"/>
                      </v:shape>
                      <v:shape id="文本框 561" o:spid="_x0000_s1026" o:spt="202" type="#_x0000_t202" style="position:absolute;left:2875280;top:4913630;height:155575;width:461645;" filled="f" stroked="f" coordsize="21600,21600" o:gfxdata="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TOuOcNcAAAAIAQAADwAAAAAAAAABACAAAAAiAAAAZHJzL2Rv&#10;d25yZXYueG1sUEsBAhQAFAAAAAgAh07iQG8BlcHJAQAAgQMAAA4AAAAAAAAAAQAgAAAAJgEAAGRy&#10;cy9lMm9Eb2MueG1sUEsFBgAAAAAGAAYAWQEAAGEFAAAAAA==&#10;">
                        <v:fill on="f" focussize="0,0"/>
                        <v:stroke on="f"/>
                        <v:imagedata o:title=""/>
                        <o:lock v:ext="edit" aspectratio="f"/>
                        <v:textbox inset="0mm,0mm,0mm,0mm">
                          <w:txbxContent>
                            <w:p w14:paraId="54687A63">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1316.75</w:t>
                              </w:r>
                            </w:p>
                          </w:txbxContent>
                        </v:textbox>
                      </v:shape>
                      <v:shape id="文本框 548" o:spid="_x0000_s1026" o:spt="202" type="#_x0000_t202" style="position:absolute;left:3513455;top:4961255;height:241300;width:1311910;" filled="f" stroked="f" coordsize="21600,21600" o:gfxdata="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TOuOcNcAAAAIAQAADwAAAAAAAAABACAAAAAiAAAAZHJzL2Rvd25yZXYueG1sUEsBAhQAFAAAAAgA&#10;h07iQH5ex+XtAQAAwwMAAA4AAAAAAAAAAQAgAAAAJgEAAGRycy9lMm9Eb2MueG1sUEsFBgAAAAAG&#10;AAYAWQEAAIUFAAAAAA==&#10;">
                        <v:fill on="f" focussize="0,0"/>
                        <v:stroke on="f"/>
                        <v:imagedata o:title=""/>
                        <o:lock v:ext="edit" aspectratio="f"/>
                        <v:textbox inset="0mm,0mm,0mm,0mm">
                          <w:txbxContent>
                            <w:p w14:paraId="6061BF42">
                              <w:pPr>
                                <w:jc w:val="center"/>
                                <w:rPr>
                                  <w:rFonts w:hint="default"/>
                                  <w:sz w:val="21"/>
                                  <w:szCs w:val="21"/>
                                  <w:lang w:val="en-US" w:eastAsia="zh-CN"/>
                                </w:rPr>
                              </w:pPr>
                              <w:r>
                                <w:rPr>
                                  <w:rFonts w:hint="eastAsia"/>
                                  <w:sz w:val="21"/>
                                  <w:szCs w:val="21"/>
                                  <w:lang w:val="en-US" w:eastAsia="zh-CN"/>
                                </w:rPr>
                                <w:t>中药渣带走水量</w:t>
                              </w:r>
                            </w:p>
                          </w:txbxContent>
                        </v:textbox>
                      </v:shape>
                      <v:shape id="文本框 544" o:spid="_x0000_s1026" o:spt="202" type="#_x0000_t202" style="position:absolute;left:532130;top:1741805;height:217170;width:662305;" filled="f" stroked="f" coordsize="21600,21600" o:gfxdata="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M645w1wAAAAgBAAAPAAAAAAAAAAEAIAAAACIAAABkcnMvZG93&#10;bnJldi54bWxQSwECFAAUAAAACACHTuJAALgrAsgBAACAAwAADgAAAAAAAAABACAAAAAmAQAAZHJz&#10;L2Uyb0RvYy54bWxQSwUGAAAAAAYABgBZAQAAYAUAAAAA&#10;">
                        <v:fill on="f" focussize="0,0"/>
                        <v:stroke on="f"/>
                        <v:imagedata o:title=""/>
                        <o:lock v:ext="edit" aspectratio="f"/>
                        <v:textbox inset="0mm,0mm,0mm,0mm">
                          <w:txbxContent>
                            <w:p w14:paraId="7FD8BD78">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20897.325</w:t>
                              </w:r>
                            </w:p>
                          </w:txbxContent>
                        </v:textbox>
                      </v:shape>
                      <v:group id="组合 810" o:spid="_x0000_s1026" o:spt="203" style="position:absolute;left:998855;top:3532505;height:641350;width:2432050;" coordorigin="1874,4750" coordsize="3830,1010" o:gfxdata="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">
                        <o:lock v:ext="edit" aspectratio="f"/>
                        <v:shape id="文本框 560" o:spid="_x0000_s1026" o:spt="202" type="#_x0000_t202" style="position:absolute;left:1933;top:5263;height:330;width:750;" filled="f" stroked="f" coordsize="21600,21600" o:gfxdata="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wA4Qr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78AF4FAB">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2444.94</w:t>
                                </w:r>
                              </w:p>
                            </w:txbxContent>
                          </v:textbox>
                        </v:shape>
                        <v:shape id="文本框 561" o:spid="_x0000_s1026" o:spt="202" type="#_x0000_t202" style="position:absolute;left:3863;top:4750;height:260;width:653;" filled="f" stroked="f" coordsize="21600,21600" o:gfxdata="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Eyd2b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29D96C91">
                                <w:pPr>
                                  <w:jc w:val="cente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407.49</w:t>
                                </w:r>
                              </w:p>
                            </w:txbxContent>
                          </v:textbox>
                        </v:shape>
                        <v:shape id="文本框 565" o:spid="_x0000_s1026" o:spt="202" type="#_x0000_t202" style="position:absolute;left:4843;top:5265;height:301;width:785;" filled="f" stroked="f" coordsize="21600,21600" o:gfxdata="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QidGL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57D92117">
                                <w:pPr>
                                  <w:rPr>
                                    <w:rFonts w:hint="default" w:ascii="Times New Roman" w:hAnsi="Times New Roman" w:eastAsia="宋体" w:cs="Times New Roman"/>
                                    <w:sz w:val="21"/>
                                    <w:szCs w:val="21"/>
                                    <w:lang w:val="en-US" w:eastAsia="zh-CN" w:bidi="ar-SA"/>
                                  </w:rPr>
                                </w:pPr>
                                <w:r>
                                  <w:rPr>
                                    <w:rFonts w:hint="eastAsia" w:cs="Times New Roman"/>
                                    <w:sz w:val="21"/>
                                    <w:szCs w:val="21"/>
                                    <w:lang w:val="en-US" w:eastAsia="zh-CN" w:bidi="ar-SA"/>
                                  </w:rPr>
                                  <w:t>2037.45</w:t>
                                </w:r>
                              </w:p>
                            </w:txbxContent>
                          </v:textbox>
                        </v:shape>
                        <v:shape id="曲线连接符 567" o:spid="_x0000_s1026" o:spt="38" type="#_x0000_t38" style="position:absolute;left:3656;top:4883;height:628;width:384;rotation:-5898240f;" filled="f" stroked="t" coordsize="21600,21600" o:gfxdata="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ZkNWO/&#10;AAAA3AAAAA8AAAAAAAAAAQAgAAAAIgAAAGRycy9kb3ducmV2LnhtbFBLAQIUABQAAAAIAIdO4kAz&#10;LwWeOwAAADkAAAAQAAAAAAAAAAEAIAAAAA4BAABkcnMvc2hhcGV4bWwueG1sUEsFBgAAAAAGAAYA&#10;WwEAALgDAAAAAA==&#10;" adj="10800">
                          <v:fill on="f" focussize="0,0"/>
                          <v:stroke color="#000000" joinstyle="round" dashstyle="dash" endarrow="open"/>
                          <v:imagedata o:title=""/>
                          <o:lock v:ext="edit" aspectratio="f"/>
                        </v:shape>
                        <v:line id="直接连接符 579" o:spid="_x0000_s1026" o:spt="20" style="position:absolute;left:4784;top:5582;height:0;width:920;" filled="f" stroked="t" coordsize="21600,21600" o:gfxdata="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qw4g&#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line id="直接连接符 592" o:spid="_x0000_s1026" o:spt="20" style="position:absolute;left:1874;top:5576;height:1;width:979;" filled="f" stroked="t" coordsize="21600,21600" o:gfxdata="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0QpZU&#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shape id="文本框 595" o:spid="_x0000_s1026" o:spt="202" type="#_x0000_t202" style="position:absolute;left:2853;top:5380;height:380;width:1940;" filled="f" stroked="t" coordsize="21600,21600" o:gfxdata="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a6rlq&#10;wAAAANwAAAAPAAAAAAAAAAEAIAAAACIAAABkcnMvZG93bnJldi54bWxQSwECFAAUAAAACACHTuJA&#10;My8FnjsAAAA5AAAAEAAAAAAAAAABACAAAAAPAQAAZHJzL3NoYXBleG1sLnhtbFBLBQYAAAAABgAG&#10;AFsBAAC5AwAAAAA=&#10;">
                          <v:fill on="f" focussize="0,0"/>
                          <v:stroke color="#000000" joinstyle="miter"/>
                          <v:imagedata o:title=""/>
                          <o:lock v:ext="edit" aspectratio="f"/>
                          <v:textbox inset="0mm,0.1mm,0mm,0.1mm">
                            <w:txbxContent>
                              <w:p w14:paraId="6E21726A">
                                <w:pPr>
                                  <w:jc w:val="center"/>
                                  <w:rPr>
                                    <w:rFonts w:hint="eastAsia" w:ascii="Times New Roman" w:hAnsi="Times New Roman" w:cs="Times New Roman"/>
                                    <w:color w:val="auto"/>
                                    <w:sz w:val="21"/>
                                    <w:szCs w:val="21"/>
                                    <w:lang w:eastAsia="zh-CN" w:bidi="ar-SA"/>
                                  </w:rPr>
                                </w:pPr>
                                <w:r>
                                  <w:rPr>
                                    <w:rFonts w:hint="eastAsia" w:cs="Times New Roman"/>
                                    <w:color w:val="auto"/>
                                    <w:sz w:val="21"/>
                                    <w:szCs w:val="21"/>
                                    <w:lang w:val="en-US" w:eastAsia="zh-CN" w:bidi="ar-SA"/>
                                  </w:rPr>
                                  <w:t>固体制剂</w:t>
                                </w:r>
                                <w:r>
                                  <w:rPr>
                                    <w:rFonts w:hint="eastAsia" w:ascii="Times New Roman" w:hAnsi="Times New Roman" w:cs="Times New Roman"/>
                                    <w:color w:val="auto"/>
                                    <w:sz w:val="21"/>
                                    <w:szCs w:val="21"/>
                                    <w:lang w:eastAsia="zh-CN" w:bidi="ar-SA"/>
                                  </w:rPr>
                                  <w:t>用水</w:t>
                                </w:r>
                              </w:p>
                            </w:txbxContent>
                          </v:textbox>
                        </v:shape>
                      </v:group>
                      <v:group id="_x0000_s1026" o:spid="_x0000_s1026" o:spt="203" style="position:absolute;left:2446655;top:5723255;height:355600;width:923290;" coordorigin="4108,5908" coordsize="1454,560" o:gfxdata="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">
                        <o:lock v:ext="edit" aspectratio="f"/>
                        <v:line id="直接连接符 580" o:spid="_x0000_s1026" o:spt="20" style="position:absolute;left:4438;top:6178;height:291;width:4;" filled="f" stroked="t" coordsize="21600,21600" o:gfxdata="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UPnFG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shape id="文本框 551" o:spid="_x0000_s1026" o:spt="202" type="#_x0000_t202" style="position:absolute;left:4108;top:5908;height:380;width:1454;" filled="f" stroked="f" coordsize="21600,21600" o:gfxdata="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36RHr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06D5F8E0">
                                <w:pPr>
                                  <w:jc w:val="center"/>
                                  <w:rPr>
                                    <w:rFonts w:hint="default"/>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化学</w:t>
                                </w:r>
                                <w:r>
                                  <w:rPr>
                                    <w:rFonts w:hint="eastAsia" w:cs="Times New Roman"/>
                                    <w:color w:val="000000" w:themeColor="text1"/>
                                    <w:sz w:val="21"/>
                                    <w:szCs w:val="21"/>
                                    <w:lang w:val="en-US" w:eastAsia="zh-CN"/>
                                    <w14:textFill>
                                      <w14:solidFill>
                                        <w14:schemeClr w14:val="tx1"/>
                                      </w14:solidFill>
                                    </w14:textFill>
                                  </w:rPr>
                                  <w:t>废试剂</w:t>
                                </w:r>
                              </w:p>
                            </w:txbxContent>
                          </v:textbox>
                        </v:shape>
                      </v:group>
                      <w10:wrap type="topAndBottom"/>
                    </v:group>
                  </w:pict>
                </mc:Fallback>
              </mc:AlternateContent>
            </w:r>
          </w:p>
          <w:p w14:paraId="52FCA08A">
            <w:pPr>
              <w:keepNext w:val="0"/>
              <w:keepLines w:val="0"/>
              <w:numPr>
                <w:ilvl w:val="0"/>
                <w:numId w:val="16"/>
              </w:numPr>
              <w:suppressLineNumbers w:val="0"/>
              <w:snapToGrid w:val="0"/>
              <w:spacing w:before="0" w:beforeLines="0" w:beforeAutospacing="0" w:after="0" w:afterLines="0" w:afterAutospacing="0" w:line="360" w:lineRule="auto"/>
              <w:ind w:left="0" w:leftChars="0" w:right="0" w:rightChars="0" w:firstLine="0" w:firstLineChars="0"/>
              <w:jc w:val="cente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2731135</wp:posOffset>
                      </wp:positionH>
                      <wp:positionV relativeFrom="paragraph">
                        <wp:posOffset>4472305</wp:posOffset>
                      </wp:positionV>
                      <wp:extent cx="487680" cy="7620"/>
                      <wp:effectExtent l="0" t="31750" r="7620" b="36830"/>
                      <wp:wrapNone/>
                      <wp:docPr id="290" name="直接连接符 290"/>
                      <wp:cNvGraphicFramePr/>
                      <a:graphic xmlns:a="http://schemas.openxmlformats.org/drawingml/2006/main">
                        <a:graphicData uri="http://schemas.microsoft.com/office/word/2010/wordprocessingShape">
                          <wps:wsp>
                            <wps:cNvCnPr/>
                            <wps:spPr>
                              <a:xfrm>
                                <a:off x="0" y="0"/>
                                <a:ext cx="487680" cy="762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15.05pt;margin-top:352.15pt;height:0.6pt;width:38.4pt;z-index:251660288;mso-width-relative:page;mso-height-relative:page;" filled="f" stroked="t" coordsize="21600,21600" o:gfxdata="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2rzqkNwAAAALAQAADwAAAAAAAAABACAAAAAi&#10;AAAAZHJzL2Rvd25yZXYueG1sUEsBAhQAFAAAAAgAh07iQK/qu08GAgAA/AMAAA4AAAAAAAAAAQAg&#10;AAAAKwEAAGRycy9lMm9Eb2MueG1sUEsFBgAAAAAGAAYAWQEAAKMFAAAAAA==&#10;">
                      <v:fill on="f" focussize="0,0"/>
                      <v:stroke color="#000000" joinstyle="round" endarrow="block"/>
                      <v:imagedata o:title=""/>
                      <o:lock v:ext="edit" aspectratio="f"/>
                    </v:line>
                  </w:pict>
                </mc:Fallback>
              </mc:AlternateConten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本项目</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建成后全厂</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水平衡图（m</w:t>
            </w:r>
            <w:r>
              <w:rPr>
                <w:rFonts w:hint="default" w:ascii="Times New Roman" w:hAnsi="Times New Roman" w:eastAsia="宋体" w:cs="Times New Roman"/>
                <w:b/>
                <w:bCs/>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/a）</w:t>
            </w:r>
          </w:p>
          <w:p w14:paraId="0771FFC0">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3.1</w:t>
            </w:r>
            <w:r>
              <w:rPr>
                <w:rFonts w:hint="eastAsia" w:cs="Times New Roman"/>
                <w:b/>
                <w:bCs/>
                <w:color w:val="000000" w:themeColor="text1"/>
                <w:sz w:val="24"/>
                <w:szCs w:val="24"/>
                <w:highlight w:val="none"/>
                <w:lang w:val="en-US" w:eastAsia="zh-CN"/>
                <w14:textFill>
                  <w14:solidFill>
                    <w14:schemeClr w14:val="tx1"/>
                  </w14:solidFill>
                </w14:textFill>
              </w:rPr>
              <w:t>1</w:t>
            </w:r>
            <w:r>
              <w:rPr>
                <w:rFonts w:hint="default" w:ascii="Times New Roman" w:hAnsi="Times New Roman" w:cs="Times New Roman"/>
                <w:b/>
                <w:bCs/>
                <w:color w:val="000000" w:themeColor="text1"/>
                <w:sz w:val="24"/>
                <w:szCs w:val="24"/>
                <w:highlight w:val="none"/>
                <w14:textFill>
                  <w14:solidFill>
                    <w14:schemeClr w14:val="tx1"/>
                  </w14:solidFill>
                </w14:textFill>
              </w:rPr>
              <w:t>厂区平面布置</w:t>
            </w: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合理性分析</w:t>
            </w:r>
          </w:p>
          <w:p w14:paraId="4E28631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本项目位于</w:t>
            </w:r>
            <w:r>
              <w:rPr>
                <w:rFonts w:hint="eastAsia" w:cs="Times New Roman"/>
                <w:color w:val="000000" w:themeColor="text1"/>
                <w:sz w:val="24"/>
                <w:szCs w:val="24"/>
                <w:highlight w:val="none"/>
                <w:lang w:val="en-US" w:eastAsia="zh-CN"/>
                <w14:textFill>
                  <w14:solidFill>
                    <w14:schemeClr w14:val="tx1"/>
                  </w14:solidFill>
                </w14:textFill>
              </w:rPr>
              <w:t>辽宁省本溪经济技术开发区医药园区</w:t>
            </w:r>
            <w:r>
              <w:rPr>
                <w:rFonts w:hint="default" w:ascii="Times New Roman" w:hAnsi="Times New Roman" w:eastAsia="宋体" w:cs="Times New Roman"/>
                <w:color w:val="000000" w:themeColor="text1"/>
                <w:sz w:val="24"/>
                <w:szCs w:val="24"/>
                <w:highlight w:val="none"/>
                <w14:textFill>
                  <w14:solidFill>
                    <w14:schemeClr w14:val="tx1"/>
                  </w14:solidFill>
                </w14:textFill>
              </w:rPr>
              <w:t>，厂区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总</w:t>
            </w:r>
            <w:r>
              <w:rPr>
                <w:rFonts w:hint="default" w:ascii="Times New Roman" w:hAnsi="Times New Roman" w:eastAsia="宋体" w:cs="Times New Roman"/>
                <w:color w:val="000000" w:themeColor="text1"/>
                <w:sz w:val="24"/>
                <w:szCs w:val="24"/>
                <w:highlight w:val="none"/>
                <w14:textFill>
                  <w14:solidFill>
                    <w14:schemeClr w14:val="tx1"/>
                  </w14:solidFill>
                </w14:textFill>
              </w:rPr>
              <w:t>占地面积</w:t>
            </w:r>
            <w:r>
              <w:rPr>
                <w:rFonts w:hint="eastAsia" w:cs="Times New Roman"/>
                <w:color w:val="000000" w:themeColor="text1"/>
                <w:sz w:val="24"/>
                <w:szCs w:val="24"/>
                <w:highlight w:val="none"/>
                <w:lang w:val="en-US" w:eastAsia="zh-CN"/>
                <w14:textFill>
                  <w14:solidFill>
                    <w14:schemeClr w14:val="tx1"/>
                  </w14:solidFill>
                </w14:textFill>
              </w:rPr>
              <w:t>14100</w:t>
            </w:r>
            <w:r>
              <w:rPr>
                <w:rFonts w:hint="default" w:ascii="Times New Roman" w:hAnsi="Times New Roman" w:eastAsia="宋体" w:cs="Times New Roman"/>
                <w:color w:val="000000" w:themeColor="text1"/>
                <w:sz w:val="24"/>
                <w:szCs w:val="24"/>
                <w:highlight w:val="none"/>
                <w14:textFill>
                  <w14:solidFill>
                    <w14:schemeClr w14:val="tx1"/>
                  </w14:solidFill>
                </w14:textFill>
              </w:rPr>
              <w:t>m</w:t>
            </w:r>
            <w:r>
              <w:rPr>
                <w:rFonts w:hint="default" w:ascii="Times New Roman" w:hAnsi="Times New Roman" w:eastAsia="宋体" w:cs="Times New Roman"/>
                <w:color w:val="000000" w:themeColor="text1"/>
                <w:sz w:val="24"/>
                <w:szCs w:val="24"/>
                <w:highlight w:val="none"/>
                <w:vertAlign w:val="superscript"/>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，总体</w:t>
            </w:r>
            <w:r>
              <w:rPr>
                <w:rFonts w:hint="eastAsia" w:cs="Times New Roman"/>
                <w:color w:val="000000" w:themeColor="text1"/>
                <w:sz w:val="24"/>
                <w:szCs w:val="24"/>
                <w:highlight w:val="none"/>
                <w:lang w:val="en-US" w:eastAsia="zh-CN"/>
                <w14:textFill>
                  <w14:solidFill>
                    <w14:schemeClr w14:val="tx1"/>
                  </w14:solidFill>
                </w14:textFill>
              </w:rPr>
              <w:t>布局</w:t>
            </w:r>
            <w:r>
              <w:rPr>
                <w:rFonts w:hint="default" w:ascii="Times New Roman" w:hAnsi="Times New Roman" w:eastAsia="宋体" w:cs="Times New Roman"/>
                <w:color w:val="000000" w:themeColor="text1"/>
                <w:sz w:val="24"/>
                <w:szCs w:val="24"/>
                <w:highlight w:val="none"/>
                <w14:textFill>
                  <w14:solidFill>
                    <w14:schemeClr w14:val="tx1"/>
                  </w14:solidFill>
                </w14:textFill>
              </w:rPr>
              <w:t>满足《工业企业总平面设计规范》和《医药工业洁净厂房设计规范》对厂区总体环境的要求，</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本次</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改</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扩建项目</w:t>
            </w:r>
            <w:r>
              <w:rPr>
                <w:rFonts w:hint="default" w:ascii="Times New Roman" w:hAnsi="Times New Roman" w:eastAsia="宋体" w:cs="Times New Roman"/>
                <w:color w:val="000000" w:themeColor="text1"/>
                <w:sz w:val="24"/>
                <w:szCs w:val="24"/>
                <w:highlight w:val="none"/>
                <w14:textFill>
                  <w14:solidFill>
                    <w14:schemeClr w14:val="tx1"/>
                  </w14:solidFill>
                </w14:textFill>
              </w:rPr>
              <w:t>利用现有</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闲置厂房</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建设</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依托现有</w:t>
            </w:r>
            <w:r>
              <w:rPr>
                <w:rFonts w:hint="default" w:ascii="Times New Roman" w:hAnsi="Times New Roman" w:eastAsia="宋体" w:cs="Times New Roman"/>
                <w:color w:val="000000" w:themeColor="text1"/>
                <w:sz w:val="24"/>
                <w:szCs w:val="24"/>
                <w:highlight w:val="none"/>
                <w14:textFill>
                  <w14:solidFill>
                    <w14:schemeClr w14:val="tx1"/>
                  </w14:solidFill>
                </w14:textFill>
              </w:rPr>
              <w:t>配套辅助设施，考虑人货分流，在厂区开设专门作为工厂货物运输的出入口，并开设作为人流的出入口，避免人货交叉，有利于生产管理和运输方便，使整个厂区功能分区明确。厂区围绕主体建筑四周设置运输和消防共用的环形道路满足消防的有关要求。人流、物流路线明确清晰，不存在人、物流交叉混杂的现象，满足人物流交通运输和消防扑救的要求</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0422B6FF">
            <w:pPr>
              <w:keepNext w:val="0"/>
              <w:keepLines w:val="0"/>
              <w:suppressLineNumbers w:val="0"/>
              <w:adjustRightInd w:val="0"/>
              <w:snapToGrid w:val="0"/>
              <w:spacing w:before="0" w:beforeAutospacing="0" w:after="0" w:afterAutospacing="0"/>
              <w:ind w:left="0" w:right="0"/>
              <w:jc w:val="center"/>
              <w:rPr>
                <w:rFonts w:hint="default" w:ascii="宋体" w:hAnsi="宋体" w:cs="宋体"/>
                <w:bCs/>
                <w:color w:val="000000" w:themeColor="text1"/>
                <w:szCs w:val="21"/>
                <w:highlight w:val="none"/>
                <w14:textFill>
                  <w14:solidFill>
                    <w14:schemeClr w14:val="tx1"/>
                  </w14:solidFill>
                </w14:textFill>
              </w:rPr>
            </w:pPr>
          </w:p>
          <w:p w14:paraId="7E10E308">
            <w:pPr>
              <w:pStyle w:val="25"/>
              <w:keepNext w:val="0"/>
              <w:keepLines w:val="0"/>
              <w:suppressLineNumbers w:val="0"/>
              <w:spacing w:before="0" w:beforeAutospacing="0" w:afterAutospacing="0"/>
              <w:ind w:right="0"/>
              <w:rPr>
                <w:rFonts w:hint="default" w:ascii="宋体" w:hAnsi="宋体" w:cs="宋体"/>
                <w:bCs/>
                <w:color w:val="000000" w:themeColor="text1"/>
                <w:szCs w:val="21"/>
                <w:highlight w:val="none"/>
                <w14:textFill>
                  <w14:solidFill>
                    <w14:schemeClr w14:val="tx1"/>
                  </w14:solidFill>
                </w14:textFill>
              </w:rPr>
            </w:pPr>
          </w:p>
          <w:p w14:paraId="55920A09">
            <w:pPr>
              <w:keepNext w:val="0"/>
              <w:keepLines w:val="0"/>
              <w:suppressLineNumbers w:val="0"/>
              <w:spacing w:before="0" w:beforeAutospacing="0" w:after="0" w:afterAutospacing="0"/>
              <w:ind w:left="0" w:right="0"/>
              <w:rPr>
                <w:rFonts w:hint="default" w:ascii="宋体" w:hAnsi="宋体" w:cs="宋体"/>
                <w:bCs/>
                <w:color w:val="000000" w:themeColor="text1"/>
                <w:szCs w:val="21"/>
                <w:highlight w:val="none"/>
                <w14:textFill>
                  <w14:solidFill>
                    <w14:schemeClr w14:val="tx1"/>
                  </w14:solidFill>
                </w14:textFill>
              </w:rPr>
            </w:pPr>
          </w:p>
          <w:p w14:paraId="53D74294">
            <w:pPr>
              <w:pStyle w:val="25"/>
              <w:keepNext w:val="0"/>
              <w:keepLines w:val="0"/>
              <w:suppressLineNumbers w:val="0"/>
              <w:spacing w:before="0" w:beforeAutospacing="0" w:afterAutospacing="0"/>
              <w:ind w:right="0"/>
              <w:rPr>
                <w:rFonts w:hint="default" w:ascii="宋体" w:hAnsi="宋体" w:cs="宋体"/>
                <w:bCs/>
                <w:color w:val="000000" w:themeColor="text1"/>
                <w:szCs w:val="21"/>
                <w:highlight w:val="none"/>
                <w14:textFill>
                  <w14:solidFill>
                    <w14:schemeClr w14:val="tx1"/>
                  </w14:solidFill>
                </w14:textFill>
              </w:rPr>
            </w:pPr>
          </w:p>
          <w:p w14:paraId="311EA1AB">
            <w:pPr>
              <w:keepNext w:val="0"/>
              <w:keepLines w:val="0"/>
              <w:suppressLineNumbers w:val="0"/>
              <w:spacing w:before="0" w:beforeAutospacing="0" w:after="0" w:afterAutospacing="0"/>
              <w:ind w:left="0" w:right="0"/>
              <w:rPr>
                <w:rFonts w:hint="default" w:ascii="宋体" w:hAnsi="宋体" w:cs="宋体"/>
                <w:bCs/>
                <w:color w:val="000000" w:themeColor="text1"/>
                <w:szCs w:val="21"/>
                <w:highlight w:val="none"/>
                <w14:textFill>
                  <w14:solidFill>
                    <w14:schemeClr w14:val="tx1"/>
                  </w14:solidFill>
                </w14:textFill>
              </w:rPr>
            </w:pPr>
          </w:p>
          <w:p w14:paraId="5E888BAA">
            <w:pPr>
              <w:pStyle w:val="25"/>
              <w:keepNext w:val="0"/>
              <w:keepLines w:val="0"/>
              <w:suppressLineNumbers w:val="0"/>
              <w:spacing w:before="0" w:beforeAutospacing="0" w:afterAutospacing="0"/>
              <w:ind w:right="0"/>
              <w:rPr>
                <w:rFonts w:hint="default" w:ascii="宋体" w:hAnsi="宋体" w:cs="宋体"/>
                <w:bCs/>
                <w:color w:val="000000" w:themeColor="text1"/>
                <w:szCs w:val="21"/>
                <w:highlight w:val="none"/>
                <w14:textFill>
                  <w14:solidFill>
                    <w14:schemeClr w14:val="tx1"/>
                  </w14:solidFill>
                </w14:textFill>
              </w:rPr>
            </w:pPr>
          </w:p>
          <w:p w14:paraId="68A70ABB">
            <w:pPr>
              <w:keepNext w:val="0"/>
              <w:keepLines w:val="0"/>
              <w:suppressLineNumbers w:val="0"/>
              <w:spacing w:before="0" w:beforeAutospacing="0" w:after="0" w:afterAutospacing="0"/>
              <w:ind w:left="0" w:right="0"/>
              <w:rPr>
                <w:rFonts w:hint="default" w:ascii="宋体" w:hAnsi="宋体" w:cs="宋体"/>
                <w:bCs/>
                <w:color w:val="000000" w:themeColor="text1"/>
                <w:szCs w:val="21"/>
                <w:highlight w:val="none"/>
                <w14:textFill>
                  <w14:solidFill>
                    <w14:schemeClr w14:val="tx1"/>
                  </w14:solidFill>
                </w14:textFill>
              </w:rPr>
            </w:pPr>
          </w:p>
          <w:p w14:paraId="47808E94">
            <w:pPr>
              <w:pStyle w:val="25"/>
              <w:keepNext w:val="0"/>
              <w:keepLines w:val="0"/>
              <w:suppressLineNumbers w:val="0"/>
              <w:spacing w:before="0" w:beforeAutospacing="0" w:afterAutospacing="0"/>
              <w:ind w:right="0"/>
              <w:rPr>
                <w:rFonts w:hint="default" w:ascii="宋体" w:hAnsi="宋体" w:cs="宋体"/>
                <w:bCs/>
                <w:color w:val="000000" w:themeColor="text1"/>
                <w:szCs w:val="21"/>
                <w:highlight w:val="none"/>
                <w14:textFill>
                  <w14:solidFill>
                    <w14:schemeClr w14:val="tx1"/>
                  </w14:solidFill>
                </w14:textFill>
              </w:rPr>
            </w:pPr>
          </w:p>
          <w:p w14:paraId="65F284AC">
            <w:pPr>
              <w:keepNext w:val="0"/>
              <w:keepLines w:val="0"/>
              <w:suppressLineNumbers w:val="0"/>
              <w:spacing w:before="0" w:beforeAutospacing="0" w:after="0" w:afterAutospacing="0"/>
              <w:ind w:left="0" w:right="0"/>
              <w:rPr>
                <w:rFonts w:hint="default" w:ascii="宋体" w:hAnsi="宋体" w:cs="宋体"/>
                <w:bCs/>
                <w:color w:val="000000" w:themeColor="text1"/>
                <w:szCs w:val="21"/>
                <w:highlight w:val="none"/>
                <w14:textFill>
                  <w14:solidFill>
                    <w14:schemeClr w14:val="tx1"/>
                  </w14:solidFill>
                </w14:textFill>
              </w:rPr>
            </w:pPr>
          </w:p>
          <w:p w14:paraId="206CBF19">
            <w:pPr>
              <w:pStyle w:val="25"/>
              <w:keepNext w:val="0"/>
              <w:keepLines w:val="0"/>
              <w:suppressLineNumbers w:val="0"/>
              <w:spacing w:before="0" w:beforeAutospacing="0" w:afterAutospacing="0"/>
              <w:ind w:right="0"/>
              <w:rPr>
                <w:rFonts w:hint="default" w:ascii="宋体" w:hAnsi="宋体" w:cs="宋体"/>
                <w:bCs/>
                <w:color w:val="000000" w:themeColor="text1"/>
                <w:szCs w:val="21"/>
                <w:highlight w:val="none"/>
                <w14:textFill>
                  <w14:solidFill>
                    <w14:schemeClr w14:val="tx1"/>
                  </w14:solidFill>
                </w14:textFill>
              </w:rPr>
            </w:pPr>
          </w:p>
          <w:p w14:paraId="5AB7D57E">
            <w:pPr>
              <w:keepNext w:val="0"/>
              <w:keepLines w:val="0"/>
              <w:suppressLineNumbers w:val="0"/>
              <w:spacing w:before="0" w:beforeAutospacing="0" w:after="0" w:afterAutospacing="0"/>
              <w:ind w:left="0" w:right="0"/>
              <w:rPr>
                <w:rFonts w:hint="default" w:ascii="宋体" w:hAnsi="宋体" w:cs="宋体"/>
                <w:bCs/>
                <w:color w:val="000000" w:themeColor="text1"/>
                <w:szCs w:val="21"/>
                <w:highlight w:val="none"/>
                <w14:textFill>
                  <w14:solidFill>
                    <w14:schemeClr w14:val="tx1"/>
                  </w14:solidFill>
                </w14:textFill>
              </w:rPr>
            </w:pPr>
          </w:p>
          <w:p w14:paraId="19E295A3">
            <w:pPr>
              <w:pStyle w:val="25"/>
              <w:keepNext w:val="0"/>
              <w:keepLines w:val="0"/>
              <w:suppressLineNumbers w:val="0"/>
              <w:spacing w:before="0" w:beforeAutospacing="0" w:afterAutospacing="0"/>
              <w:ind w:right="0"/>
              <w:rPr>
                <w:rFonts w:hint="default" w:ascii="宋体" w:hAnsi="宋体" w:cs="宋体"/>
                <w:bCs/>
                <w:color w:val="000000" w:themeColor="text1"/>
                <w:szCs w:val="21"/>
                <w:highlight w:val="none"/>
                <w14:textFill>
                  <w14:solidFill>
                    <w14:schemeClr w14:val="tx1"/>
                  </w14:solidFill>
                </w14:textFill>
              </w:rPr>
            </w:pPr>
          </w:p>
          <w:p w14:paraId="683C0B03">
            <w:pPr>
              <w:keepNext w:val="0"/>
              <w:keepLines w:val="0"/>
              <w:suppressLineNumbers w:val="0"/>
              <w:spacing w:before="0" w:beforeAutospacing="0" w:after="0" w:afterAutospacing="0"/>
              <w:ind w:left="0" w:right="0"/>
              <w:rPr>
                <w:rFonts w:hint="default" w:ascii="宋体" w:hAnsi="宋体" w:cs="宋体"/>
                <w:bCs/>
                <w:color w:val="000000" w:themeColor="text1"/>
                <w:szCs w:val="21"/>
                <w:highlight w:val="none"/>
                <w14:textFill>
                  <w14:solidFill>
                    <w14:schemeClr w14:val="tx1"/>
                  </w14:solidFill>
                </w14:textFill>
              </w:rPr>
            </w:pPr>
          </w:p>
          <w:p w14:paraId="61F9947D">
            <w:pPr>
              <w:pStyle w:val="25"/>
              <w:keepNext w:val="0"/>
              <w:keepLines w:val="0"/>
              <w:suppressLineNumbers w:val="0"/>
              <w:spacing w:before="0" w:beforeAutospacing="0" w:afterAutospacing="0"/>
              <w:ind w:right="0"/>
              <w:rPr>
                <w:rFonts w:hint="default" w:ascii="宋体" w:hAnsi="宋体" w:cs="宋体"/>
                <w:bCs/>
                <w:color w:val="000000" w:themeColor="text1"/>
                <w:szCs w:val="21"/>
                <w:highlight w:val="none"/>
                <w14:textFill>
                  <w14:solidFill>
                    <w14:schemeClr w14:val="tx1"/>
                  </w14:solidFill>
                </w14:textFill>
              </w:rPr>
            </w:pPr>
          </w:p>
          <w:p w14:paraId="7B2E61A3">
            <w:pPr>
              <w:keepNext w:val="0"/>
              <w:keepLines w:val="0"/>
              <w:suppressLineNumbers w:val="0"/>
              <w:spacing w:before="0" w:beforeAutospacing="0" w:after="0" w:afterAutospacing="0"/>
              <w:ind w:left="0" w:right="0"/>
              <w:rPr>
                <w:rFonts w:hint="default" w:ascii="宋体" w:hAnsi="宋体" w:cs="宋体"/>
                <w:bCs/>
                <w:color w:val="000000" w:themeColor="text1"/>
                <w:szCs w:val="21"/>
                <w:highlight w:val="none"/>
                <w14:textFill>
                  <w14:solidFill>
                    <w14:schemeClr w14:val="tx1"/>
                  </w14:solidFill>
                </w14:textFill>
              </w:rPr>
            </w:pPr>
          </w:p>
          <w:p w14:paraId="4C2C852C">
            <w:pPr>
              <w:pStyle w:val="25"/>
              <w:keepNext w:val="0"/>
              <w:keepLines w:val="0"/>
              <w:suppressLineNumbers w:val="0"/>
              <w:spacing w:before="0" w:beforeAutospacing="0" w:afterAutospacing="0"/>
              <w:ind w:right="0"/>
              <w:rPr>
                <w:rFonts w:hint="default" w:ascii="宋体" w:hAnsi="宋体" w:cs="宋体"/>
                <w:bCs/>
                <w:color w:val="000000" w:themeColor="text1"/>
                <w:szCs w:val="21"/>
                <w:highlight w:val="none"/>
                <w14:textFill>
                  <w14:solidFill>
                    <w14:schemeClr w14:val="tx1"/>
                  </w14:solidFill>
                </w14:textFill>
              </w:rPr>
            </w:pPr>
          </w:p>
          <w:p w14:paraId="4A71BF69">
            <w:pPr>
              <w:keepNext w:val="0"/>
              <w:keepLines w:val="0"/>
              <w:suppressLineNumbers w:val="0"/>
              <w:spacing w:before="0" w:beforeAutospacing="0" w:after="0" w:afterAutospacing="0"/>
              <w:ind w:left="0" w:right="0"/>
              <w:rPr>
                <w:rFonts w:hint="default" w:ascii="宋体" w:hAnsi="宋体" w:cs="宋体"/>
                <w:bCs/>
                <w:color w:val="000000" w:themeColor="text1"/>
                <w:szCs w:val="21"/>
                <w:highlight w:val="none"/>
                <w14:textFill>
                  <w14:solidFill>
                    <w14:schemeClr w14:val="tx1"/>
                  </w14:solidFill>
                </w14:textFill>
              </w:rPr>
            </w:pPr>
          </w:p>
          <w:p w14:paraId="06ADC1F6">
            <w:pPr>
              <w:pStyle w:val="25"/>
              <w:keepNext w:val="0"/>
              <w:keepLines w:val="0"/>
              <w:suppressLineNumbers w:val="0"/>
              <w:spacing w:before="0" w:beforeAutospacing="0" w:afterAutospacing="0"/>
              <w:ind w:right="0"/>
              <w:rPr>
                <w:rFonts w:hint="default" w:ascii="宋体" w:hAnsi="宋体" w:cs="宋体"/>
                <w:bCs/>
                <w:color w:val="000000" w:themeColor="text1"/>
                <w:szCs w:val="21"/>
                <w:highlight w:val="none"/>
                <w14:textFill>
                  <w14:solidFill>
                    <w14:schemeClr w14:val="tx1"/>
                  </w14:solidFill>
                </w14:textFill>
              </w:rPr>
            </w:pPr>
          </w:p>
          <w:p w14:paraId="0DEAFB8F">
            <w:pPr>
              <w:keepNext w:val="0"/>
              <w:keepLines w:val="0"/>
              <w:suppressLineNumbers w:val="0"/>
              <w:spacing w:before="0" w:beforeAutospacing="0" w:after="0" w:afterAutospacing="0"/>
              <w:ind w:left="0" w:right="0"/>
              <w:rPr>
                <w:rFonts w:hint="default"/>
                <w:color w:val="000000" w:themeColor="text1"/>
                <w:highlight w:val="none"/>
                <w14:textFill>
                  <w14:solidFill>
                    <w14:schemeClr w14:val="tx1"/>
                  </w14:solidFill>
                </w14:textFill>
              </w:rPr>
            </w:pPr>
          </w:p>
        </w:tc>
      </w:tr>
    </w:tbl>
    <w:p w14:paraId="53C311BD">
      <w:pPr>
        <w:pStyle w:val="8"/>
        <w:adjustRightInd w:val="0"/>
        <w:snapToGrid w:val="0"/>
        <w:spacing w:before="0" w:beforeAutospacing="0" w:after="0" w:afterAutospacing="0"/>
        <w:jc w:val="center"/>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br w:type="page"/>
      </w:r>
    </w:p>
    <w:tbl>
      <w:tblPr>
        <w:tblStyle w:val="35"/>
        <w:tblW w:w="898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1"/>
        <w:gridCol w:w="8263"/>
      </w:tblGrid>
      <w:tr w14:paraId="74B416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108" w:hRule="atLeast"/>
          <w:jc w:val="center"/>
        </w:trPr>
        <w:tc>
          <w:tcPr>
            <w:tcW w:w="721" w:type="dxa"/>
            <w:vAlign w:val="center"/>
          </w:tcPr>
          <w:p w14:paraId="6DE44D1A">
            <w:pPr>
              <w:pStyle w:val="8"/>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工</w:t>
            </w:r>
          </w:p>
          <w:p w14:paraId="414B9B45">
            <w:pPr>
              <w:pStyle w:val="8"/>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艺</w:t>
            </w:r>
          </w:p>
          <w:p w14:paraId="3FB2FE36">
            <w:pPr>
              <w:pStyle w:val="8"/>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流</w:t>
            </w:r>
          </w:p>
          <w:p w14:paraId="197BC8A4">
            <w:pPr>
              <w:pStyle w:val="8"/>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程</w:t>
            </w:r>
          </w:p>
          <w:p w14:paraId="29B915F4">
            <w:pPr>
              <w:pStyle w:val="8"/>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和</w:t>
            </w:r>
          </w:p>
          <w:p w14:paraId="1C28DC14">
            <w:pPr>
              <w:pStyle w:val="8"/>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产</w:t>
            </w:r>
          </w:p>
          <w:p w14:paraId="23B1D375">
            <w:pPr>
              <w:pStyle w:val="8"/>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排</w:t>
            </w:r>
          </w:p>
          <w:p w14:paraId="4D028EC7">
            <w:pPr>
              <w:pStyle w:val="8"/>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污</w:t>
            </w:r>
          </w:p>
          <w:p w14:paraId="39C5ECC2">
            <w:pPr>
              <w:pStyle w:val="8"/>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环</w:t>
            </w:r>
          </w:p>
          <w:p w14:paraId="4165B312">
            <w:pPr>
              <w:pStyle w:val="8"/>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节</w:t>
            </w:r>
          </w:p>
        </w:tc>
        <w:tc>
          <w:tcPr>
            <w:tcW w:w="8263" w:type="dxa"/>
          </w:tcPr>
          <w:p w14:paraId="39CA8EF7">
            <w:pPr>
              <w:keepNext w:val="0"/>
              <w:keepLines w:val="0"/>
              <w:widowControl/>
              <w:suppressLineNumbers w:val="0"/>
              <w:adjustRightInd w:val="0"/>
              <w:snapToGrid w:val="0"/>
              <w:spacing w:before="93" w:beforeLines="30" w:beforeAutospacing="0" w:after="93" w:afterLines="30" w:afterAutospacing="0" w:line="360" w:lineRule="auto"/>
              <w:ind w:left="0" w:right="0"/>
              <w:jc w:val="left"/>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t>1、工艺流程简述（图示）：</w:t>
            </w:r>
          </w:p>
          <w:p w14:paraId="3594CEDC">
            <w:pPr>
              <w:keepNext w:val="0"/>
              <w:keepLines w:val="0"/>
              <w:widowControl/>
              <w:suppressLineNumbers w:val="0"/>
              <w:adjustRightInd w:val="0"/>
              <w:snapToGrid w:val="0"/>
              <w:spacing w:before="93" w:beforeLines="30" w:beforeAutospacing="0" w:after="93" w:afterLines="30" w:afterAutospacing="0" w:line="360" w:lineRule="auto"/>
              <w:ind w:left="0" w:right="0"/>
              <w:jc w:val="left"/>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t>1.1施工期</w:t>
            </w:r>
          </w:p>
          <w:p w14:paraId="503F27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imes New Roman" w:hAnsi="Times New Roman" w:eastAsia="瀹嬩綋" w:cs="Times New Roman"/>
                <w:color w:val="000000" w:themeColor="text1"/>
                <w:kern w:val="0"/>
                <w:sz w:val="24"/>
                <w:szCs w:val="24"/>
                <w:highlight w:val="none"/>
                <w:lang w:val="en-US" w:eastAsia="zh-CN" w:bidi="ar"/>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根据建设单位提供资料，计划施工期3个月。</w:t>
            </w:r>
            <w:r>
              <w:rPr>
                <w:rFonts w:hint="eastAsia" w:ascii="Times New Roman" w:hAnsi="Times New Roman" w:eastAsia="瀹嬩綋" w:cs="Times New Roman"/>
                <w:color w:val="000000" w:themeColor="text1"/>
                <w:kern w:val="0"/>
                <w:sz w:val="24"/>
                <w:szCs w:val="24"/>
                <w:highlight w:val="none"/>
                <w:lang w:val="en-US" w:eastAsia="zh-CN" w:bidi="ar"/>
                <w14:textFill>
                  <w14:solidFill>
                    <w14:schemeClr w14:val="tx1"/>
                  </w14:solidFill>
                </w14:textFill>
              </w:rPr>
              <w:t>本项目在</w:t>
            </w:r>
            <w:r>
              <w:rPr>
                <w:rFonts w:hint="eastAsia" w:cs="Times New Roman"/>
                <w:color w:val="000000" w:themeColor="text1"/>
                <w:kern w:val="2"/>
                <w:sz w:val="24"/>
                <w:szCs w:val="24"/>
                <w:highlight w:val="none"/>
                <w:lang w:val="en-US" w:eastAsia="zh-CN" w:bidi="ar-SA"/>
                <w14:textFill>
                  <w14:solidFill>
                    <w14:schemeClr w14:val="tx1"/>
                  </w14:solidFill>
                </w14:textFill>
              </w:rPr>
              <w:t>前处理车间和</w:t>
            </w:r>
            <w:r>
              <w:rPr>
                <w:rFonts w:hint="eastAsia" w:ascii="Times New Roman" w:hAnsi="Times New Roman" w:cs="Times New Roman"/>
                <w:color w:val="000000" w:themeColor="text1"/>
                <w:kern w:val="0"/>
                <w:sz w:val="24"/>
                <w:szCs w:val="24"/>
                <w:highlight w:val="none"/>
                <w:u w:val="none"/>
                <w:lang w:val="en-US" w:eastAsia="zh-CN"/>
                <w14:textFill>
                  <w14:solidFill>
                    <w14:schemeClr w14:val="tx1"/>
                  </w14:solidFill>
                </w14:textFill>
              </w:rPr>
              <w:t>综合制剂车间二层</w:t>
            </w:r>
            <w:r>
              <w:rPr>
                <w:rFonts w:hint="eastAsia" w:cs="Times New Roman"/>
                <w:color w:val="000000" w:themeColor="text1"/>
                <w:kern w:val="0"/>
                <w:sz w:val="24"/>
                <w:szCs w:val="24"/>
                <w:highlight w:val="none"/>
                <w:u w:val="none"/>
                <w:lang w:val="en-US" w:eastAsia="zh-CN"/>
                <w14:textFill>
                  <w14:solidFill>
                    <w14:schemeClr w14:val="tx1"/>
                  </w14:solidFill>
                </w14:textFill>
              </w:rPr>
              <w:t>进行改扩建，并在厂区西南新建成品库，</w:t>
            </w:r>
            <w:r>
              <w:rPr>
                <w:rFonts w:hint="eastAsia" w:ascii="Times New Roman" w:hAnsi="Times New Roman" w:eastAsia="瀹嬩綋" w:cs="Times New Roman"/>
                <w:color w:val="000000" w:themeColor="text1"/>
                <w:kern w:val="0"/>
                <w:sz w:val="24"/>
                <w:szCs w:val="24"/>
                <w:highlight w:val="none"/>
                <w:lang w:val="en-US" w:eastAsia="zh-CN" w:bidi="ar"/>
                <w14:textFill>
                  <w14:solidFill>
                    <w14:schemeClr w14:val="tx1"/>
                  </w14:solidFill>
                </w14:textFill>
              </w:rPr>
              <w:t>施工期</w:t>
            </w:r>
            <w:r>
              <w:rPr>
                <w:rFonts w:hint="eastAsia" w:eastAsia="瀹嬩綋" w:cs="Times New Roman"/>
                <w:color w:val="000000" w:themeColor="text1"/>
                <w:kern w:val="0"/>
                <w:sz w:val="24"/>
                <w:szCs w:val="24"/>
                <w:highlight w:val="none"/>
                <w:lang w:val="en-US" w:eastAsia="zh-CN" w:bidi="ar"/>
                <w14:textFill>
                  <w14:solidFill>
                    <w14:schemeClr w14:val="tx1"/>
                  </w14:solidFill>
                </w14:textFill>
              </w:rPr>
              <w:t>在</w:t>
            </w:r>
            <w:r>
              <w:rPr>
                <w:rFonts w:hint="eastAsia" w:cs="Times New Roman"/>
                <w:color w:val="000000" w:themeColor="text1"/>
                <w:kern w:val="2"/>
                <w:sz w:val="24"/>
                <w:szCs w:val="24"/>
                <w:highlight w:val="none"/>
                <w:lang w:val="en-US" w:eastAsia="zh-CN" w:bidi="ar-SA"/>
                <w14:textFill>
                  <w14:solidFill>
                    <w14:schemeClr w14:val="tx1"/>
                  </w14:solidFill>
                </w14:textFill>
              </w:rPr>
              <w:t>前处理车间和</w:t>
            </w:r>
            <w:r>
              <w:rPr>
                <w:rFonts w:hint="eastAsia" w:ascii="Times New Roman" w:hAnsi="Times New Roman" w:cs="Times New Roman"/>
                <w:color w:val="000000" w:themeColor="text1"/>
                <w:kern w:val="0"/>
                <w:sz w:val="24"/>
                <w:szCs w:val="24"/>
                <w:highlight w:val="none"/>
                <w:u w:val="none"/>
                <w:lang w:val="en-US" w:eastAsia="zh-CN"/>
                <w14:textFill>
                  <w14:solidFill>
                    <w14:schemeClr w14:val="tx1"/>
                  </w14:solidFill>
                </w14:textFill>
              </w:rPr>
              <w:t>综合制剂车间</w:t>
            </w:r>
            <w:r>
              <w:rPr>
                <w:rFonts w:hint="eastAsia" w:ascii="Times New Roman" w:hAnsi="Times New Roman" w:eastAsia="瀹嬩綋" w:cs="Times New Roman"/>
                <w:color w:val="000000" w:themeColor="text1"/>
                <w:kern w:val="0"/>
                <w:sz w:val="24"/>
                <w:szCs w:val="24"/>
                <w:highlight w:val="none"/>
                <w:lang w:val="en-US" w:eastAsia="zh-CN" w:bidi="ar"/>
                <w14:textFill>
                  <w14:solidFill>
                    <w14:schemeClr w14:val="tx1"/>
                  </w14:solidFill>
                </w14:textFill>
              </w:rPr>
              <w:t>主要是</w:t>
            </w:r>
            <w:r>
              <w:rPr>
                <w:rFonts w:hint="eastAsia"/>
                <w:color w:val="000000" w:themeColor="text1"/>
                <w:sz w:val="24"/>
                <w:szCs w:val="24"/>
                <w:highlight w:val="none"/>
                <w:lang w:val="en-US" w:eastAsia="zh-CN"/>
                <w14:textFill>
                  <w14:solidFill>
                    <w14:schemeClr w14:val="tx1"/>
                  </w14:solidFill>
                </w14:textFill>
              </w:rPr>
              <w:t>设备安装调试等</w:t>
            </w:r>
            <w:r>
              <w:rPr>
                <w:rFonts w:hint="eastAsia" w:eastAsia="瀹嬩綋" w:cs="Times New Roman"/>
                <w:color w:val="000000" w:themeColor="text1"/>
                <w:kern w:val="0"/>
                <w:sz w:val="24"/>
                <w:szCs w:val="24"/>
                <w:highlight w:val="none"/>
                <w:lang w:val="en-US" w:eastAsia="zh-CN" w:bidi="ar"/>
                <w14:textFill>
                  <w14:solidFill>
                    <w14:schemeClr w14:val="tx1"/>
                  </w14:solidFill>
                </w14:textFill>
              </w:rPr>
              <w:t>，新建成品库</w:t>
            </w:r>
            <w:r>
              <w:rPr>
                <w:rFonts w:hint="eastAsia" w:ascii="Times New Roman" w:hAnsi="Times New Roman" w:eastAsia="瀹嬩綋" w:cs="Times New Roman"/>
                <w:color w:val="000000" w:themeColor="text1"/>
                <w:kern w:val="0"/>
                <w:sz w:val="24"/>
                <w:szCs w:val="24"/>
                <w:highlight w:val="none"/>
                <w:lang w:val="en-US" w:eastAsia="zh-CN" w:bidi="ar"/>
                <w14:textFill>
                  <w14:solidFill>
                    <w14:schemeClr w14:val="tx1"/>
                  </w14:solidFill>
                </w14:textFill>
              </w:rPr>
              <w:t>涉及大规模土建工程，施工过程中将产生施工人员生活污水、施工噪声、少量粉尘、以及建筑垃圾、生活垃圾等固废。</w:t>
            </w:r>
          </w:p>
          <w:p w14:paraId="27BD57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Times New Roman" w:hAnsi="Times New Roman" w:eastAsia="宋体" w:cs="Times New Roman"/>
                <w:bCs/>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bCs/>
                <w:color w:val="000000" w:themeColor="text1"/>
                <w:sz w:val="21"/>
                <w:szCs w:val="21"/>
                <w:highlight w:val="none"/>
                <w:lang w:eastAsia="zh-CN"/>
                <w14:textFill>
                  <w14:solidFill>
                    <w14:schemeClr w14:val="tx1"/>
                  </w14:solidFill>
                </w14:textFill>
              </w:rPr>
              <w:drawing>
                <wp:inline distT="0" distB="0" distL="114300" distR="114300">
                  <wp:extent cx="5108575" cy="2124075"/>
                  <wp:effectExtent l="0" t="0" r="0" b="9525"/>
                  <wp:docPr id="19" name="E657119C-6982-421D-8BA7-E74DEB70A7D9-1" descr="C:/Users/闫刚/AppData/Roaming/Kingsoft/wps/addons/data/win-i386/kinsertprocesson/insertimage.ckMuQHinsert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E657119C-6982-421D-8BA7-E74DEB70A7D9-1" descr="C:/Users/闫刚/AppData/Roaming/Kingsoft/wps/addons/data/win-i386/kinsertprocesson/insertimage.ckMuQHinsertimage"/>
                          <pic:cNvPicPr>
                            <a:picLocks noChangeAspect="1"/>
                          </pic:cNvPicPr>
                        </pic:nvPicPr>
                        <pic:blipFill>
                          <a:blip r:embed="rId16"/>
                          <a:srcRect t="4950" b="5740"/>
                          <a:stretch>
                            <a:fillRect/>
                          </a:stretch>
                        </pic:blipFill>
                        <pic:spPr>
                          <a:xfrm>
                            <a:off x="0" y="0"/>
                            <a:ext cx="5108575" cy="2124075"/>
                          </a:xfrm>
                          <a:prstGeom prst="rect">
                            <a:avLst/>
                          </a:prstGeom>
                        </pic:spPr>
                      </pic:pic>
                    </a:graphicData>
                  </a:graphic>
                </wp:inline>
              </w:drawing>
            </w:r>
          </w:p>
          <w:p w14:paraId="34BB92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Times New Roman" w:hAnsi="Times New Roman" w:eastAsia="宋体" w:cs="Times New Roman"/>
                <w:bCs/>
                <w:color w:val="000000" w:themeColor="text1"/>
                <w:sz w:val="21"/>
                <w:szCs w:val="21"/>
                <w:highlight w:val="none"/>
                <w:lang w:eastAsia="zh-CN"/>
                <w14:textFill>
                  <w14:solidFill>
                    <w14:schemeClr w14:val="tx1"/>
                  </w14:solidFill>
                </w14:textFill>
              </w:rPr>
            </w:pPr>
          </w:p>
          <w:p w14:paraId="5FE1F79B">
            <w:pPr>
              <w:keepNext w:val="0"/>
              <w:keepLines w:val="0"/>
              <w:numPr>
                <w:ilvl w:val="0"/>
                <w:numId w:val="16"/>
              </w:numPr>
              <w:suppressLineNumbers w:val="0"/>
              <w:snapToGrid w:val="0"/>
              <w:spacing w:before="0" w:beforeLines="0" w:beforeAutospacing="0" w:after="0" w:afterLines="0" w:afterAutospacing="0"/>
              <w:ind w:left="0" w:leftChars="0" w:right="0" w:rightChars="0" w:firstLine="0" w:firstLineChars="0"/>
              <w:jc w:val="center"/>
              <w:rPr>
                <w:rFonts w:hint="eastAsia"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 xml:space="preserve">  施工期工艺流程及产污节点图</w:t>
            </w:r>
          </w:p>
          <w:p w14:paraId="5713F3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pPr>
          </w:p>
          <w:p w14:paraId="69F65E7C">
            <w:pPr>
              <w:keepNext w:val="0"/>
              <w:keepLines w:val="0"/>
              <w:widowControl/>
              <w:suppressLineNumbers w:val="0"/>
              <w:adjustRightInd w:val="0"/>
              <w:snapToGrid w:val="0"/>
              <w:spacing w:before="93" w:beforeLines="30" w:beforeAutospacing="0" w:after="93" w:afterLines="30" w:afterAutospacing="0" w:line="360" w:lineRule="auto"/>
              <w:ind w:left="0" w:right="0"/>
              <w:jc w:val="left"/>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t>1.2运营期</w:t>
            </w:r>
          </w:p>
          <w:p w14:paraId="368E0CB0">
            <w:pPr>
              <w:keepNext w:val="0"/>
              <w:keepLines w:val="0"/>
              <w:widowControl/>
              <w:suppressLineNumbers w:val="0"/>
              <w:adjustRightInd w:val="0"/>
              <w:snapToGrid w:val="0"/>
              <w:spacing w:before="93" w:beforeLines="30" w:beforeAutospacing="0" w:after="93" w:afterLines="30" w:afterAutospacing="0" w:line="360" w:lineRule="auto"/>
              <w:ind w:left="0" w:right="0"/>
              <w:jc w:val="left"/>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t>1.2.1</w:t>
            </w:r>
            <w:r>
              <w:rPr>
                <w:rFonts w:hint="default"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t xml:space="preserve"> 经典名方1</w:t>
            </w:r>
            <w:r>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t>炮制工艺流程简述：</w:t>
            </w:r>
          </w:p>
          <w:p w14:paraId="5C25A38D">
            <w:pPr>
              <w:keepNext w:val="0"/>
              <w:keepLines w:val="0"/>
              <w:suppressLineNumbers w:val="0"/>
              <w:autoSpaceDE w:val="0"/>
              <w:autoSpaceDN w:val="0"/>
              <w:adjustRightInd w:val="0"/>
              <w:snapToGrid w:val="0"/>
              <w:spacing w:before="0" w:beforeAutospacing="0" w:after="0" w:afterAutospacing="0" w:line="360" w:lineRule="auto"/>
              <w:ind w:left="0" w:right="0"/>
              <w:jc w:val="center"/>
              <w:rPr>
                <w:rFonts w:hint="eastAsia" w:ascii="Times New Roman" w:hAnsi="Times New Roman" w:eastAsia="宋体" w:cs="Times New Roman"/>
                <w:b/>
                <w:bCs/>
                <w:color w:val="000000" w:themeColor="text1"/>
                <w:kern w:val="0"/>
                <w:sz w:val="24"/>
                <w:szCs w:val="24"/>
                <w:highlight w:val="none"/>
                <w:vertAlign w:val="baseli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vertAlign w:val="baseline"/>
                <w:lang w:val="en-US" w:eastAsia="zh-CN" w:bidi="ar"/>
                <w14:textFill>
                  <w14:solidFill>
                    <w14:schemeClr w14:val="tx1"/>
                  </w14:solidFill>
                </w14:textFill>
              </w:rPr>
              <w:drawing>
                <wp:inline distT="0" distB="0" distL="114300" distR="114300">
                  <wp:extent cx="5109210" cy="4914900"/>
                  <wp:effectExtent l="0" t="0" r="15240" b="0"/>
                  <wp:docPr id="291" name="图片 29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图片 291" descr="2"/>
                          <pic:cNvPicPr>
                            <a:picLocks noChangeAspect="1"/>
                          </pic:cNvPicPr>
                        </pic:nvPicPr>
                        <pic:blipFill>
                          <a:blip r:embed="rId17"/>
                          <a:stretch>
                            <a:fillRect/>
                          </a:stretch>
                        </pic:blipFill>
                        <pic:spPr>
                          <a:xfrm>
                            <a:off x="0" y="0"/>
                            <a:ext cx="5109210" cy="4914900"/>
                          </a:xfrm>
                          <a:prstGeom prst="rect">
                            <a:avLst/>
                          </a:prstGeom>
                        </pic:spPr>
                      </pic:pic>
                    </a:graphicData>
                  </a:graphic>
                </wp:inline>
              </w:drawing>
            </w:r>
          </w:p>
          <w:p w14:paraId="5F5AF3A0">
            <w:pPr>
              <w:keepNext w:val="0"/>
              <w:keepLines w:val="0"/>
              <w:numPr>
                <w:ilvl w:val="0"/>
                <w:numId w:val="16"/>
              </w:numPr>
              <w:suppressLineNumbers w:val="0"/>
              <w:snapToGrid w:val="0"/>
              <w:spacing w:before="0" w:beforeLines="0" w:beforeAutospacing="0" w:after="0" w:afterLines="0" w:afterAutospacing="0"/>
              <w:ind w:left="0" w:leftChars="0" w:right="0" w:rightChars="0" w:firstLine="0" w:firstLineChars="0"/>
              <w:jc w:val="center"/>
              <w:rPr>
                <w:rFonts w:hint="eastAsia"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 xml:space="preserve">  经典名方1炮制工艺流程及产污节点图</w:t>
            </w:r>
          </w:p>
          <w:p w14:paraId="283D4156">
            <w:pPr>
              <w:keepNext w:val="0"/>
              <w:keepLines w:val="0"/>
              <w:widowControl/>
              <w:suppressLineNumbers w:val="0"/>
              <w:adjustRightInd w:val="0"/>
              <w:snapToGrid w:val="0"/>
              <w:spacing w:before="0" w:beforeAutospacing="0" w:after="0" w:afterAutospacing="0" w:line="360" w:lineRule="auto"/>
              <w:ind w:left="0" w:right="0"/>
              <w:jc w:val="left"/>
              <w:rPr>
                <w:rFonts w:hint="default" w:ascii="Times New Roman" w:hAnsi="Times New Roman" w:cs="Times New Roman"/>
                <w:color w:val="000000" w:themeColor="text1"/>
                <w:kern w:val="0"/>
                <w:sz w:val="24"/>
                <w:szCs w:val="24"/>
                <w:highlight w:val="none"/>
                <w:lang w:bidi="en-US"/>
                <w14:textFill>
                  <w14:solidFill>
                    <w14:schemeClr w14:val="tx1"/>
                  </w14:solidFill>
                </w14:textFill>
              </w:rPr>
            </w:pPr>
          </w:p>
          <w:p w14:paraId="6836F7F8">
            <w:pPr>
              <w:keepNext w:val="0"/>
              <w:keepLines w:val="0"/>
              <w:widowControl/>
              <w:suppressLineNumbers w:val="0"/>
              <w:adjustRightInd w:val="0"/>
              <w:snapToGrid w:val="0"/>
              <w:spacing w:before="0" w:beforeAutospacing="0" w:after="0" w:afterAutospacing="0" w:line="360" w:lineRule="auto"/>
              <w:ind w:left="0" w:right="0"/>
              <w:jc w:val="left"/>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kern w:val="0"/>
                <w:sz w:val="24"/>
                <w:szCs w:val="24"/>
                <w:highlight w:val="none"/>
                <w:lang w:eastAsia="zh-CN" w:bidi="en-US"/>
                <w14:textFill>
                  <w14:solidFill>
                    <w14:schemeClr w14:val="tx1"/>
                  </w14:solidFill>
                </w14:textFill>
              </w:rPr>
              <w:t>（</w:t>
            </w:r>
            <w:r>
              <w:rPr>
                <w:rFonts w:hint="eastAsia" w:cs="Times New Roman"/>
                <w:b/>
                <w:bCs/>
                <w:color w:val="000000" w:themeColor="text1"/>
                <w:kern w:val="0"/>
                <w:sz w:val="24"/>
                <w:szCs w:val="24"/>
                <w:highlight w:val="none"/>
                <w:lang w:val="en-US" w:eastAsia="zh-CN" w:bidi="en-US"/>
                <w14:textFill>
                  <w14:solidFill>
                    <w14:schemeClr w14:val="tx1"/>
                  </w14:solidFill>
                </w14:textFill>
              </w:rPr>
              <w:t>1</w:t>
            </w:r>
            <w:r>
              <w:rPr>
                <w:rFonts w:hint="eastAsia" w:cs="Times New Roman"/>
                <w:b/>
                <w:bCs/>
                <w:color w:val="000000" w:themeColor="text1"/>
                <w:kern w:val="0"/>
                <w:sz w:val="24"/>
                <w:szCs w:val="24"/>
                <w:highlight w:val="none"/>
                <w:lang w:eastAsia="zh-CN" w:bidi="en-US"/>
                <w14:textFill>
                  <w14:solidFill>
                    <w14:schemeClr w14:val="tx1"/>
                  </w14:solidFill>
                </w14:textFill>
              </w:rPr>
              <w:t>）经典名方1</w:t>
            </w:r>
            <w:r>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t>炮制工艺流程简述：</w:t>
            </w:r>
          </w:p>
          <w:p w14:paraId="1E53557D">
            <w:pPr>
              <w:keepNext/>
              <w:keepLines w:val="0"/>
              <w:suppressLineNumbers w:val="0"/>
              <w:spacing w:before="0" w:beforeAutospacing="0" w:after="0" w:afterAutospacing="0" w:line="360" w:lineRule="auto"/>
              <w:ind w:left="0" w:right="0" w:firstLine="482" w:firstLineChars="200"/>
              <w:outlineLvl w:val="0"/>
              <w:rPr>
                <w:rFonts w:hint="default" w:cs="Times New Roman"/>
                <w:b w:val="0"/>
                <w:bCs/>
                <w:color w:val="000000" w:themeColor="text1"/>
                <w:sz w:val="24"/>
                <w:szCs w:val="24"/>
                <w:highlight w:val="none"/>
                <w:lang w:val="en-US"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①净制</w:t>
            </w:r>
            <w:r>
              <w:rPr>
                <w:rFonts w:hint="eastAsia"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将经典名方1的药材进行人工分拣，除去</w:t>
            </w:r>
            <w:r>
              <w:rPr>
                <w:rFonts w:hint="eastAsia" w:cs="Times New Roman" w:asciiTheme="minorEastAsia" w:hAnsiTheme="minorEastAsia"/>
                <w:color w:val="000000" w:themeColor="text1"/>
                <w:sz w:val="24"/>
                <w:highlight w:val="none"/>
                <w14:textFill>
                  <w14:solidFill>
                    <w14:schemeClr w14:val="tx1"/>
                  </w14:solidFill>
                </w14:textFill>
              </w:rPr>
              <w:t>根茎</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或杂质等，利用洗药机进行清洗，清洗采用软化水，清洗后的</w:t>
            </w:r>
            <w:r>
              <w:rPr>
                <w:rFonts w:hint="eastAsia" w:cs="Times New Roman"/>
                <w:b w:val="0"/>
                <w:bCs/>
                <w:color w:val="000000" w:themeColor="text1"/>
                <w:sz w:val="24"/>
                <w:szCs w:val="24"/>
                <w:highlight w:val="none"/>
                <w:lang w:val="en-US" w:eastAsia="zh-CN"/>
                <w14:textFill>
                  <w14:solidFill>
                    <w14:schemeClr w14:val="tx1"/>
                  </w14:solidFill>
                </w14:textFill>
              </w:rPr>
              <w:t>药材按照药材特征分别进入软化工序、搓碎工序、捣碎工序。此过程</w:t>
            </w:r>
            <w:r>
              <w:rPr>
                <w:rFonts w:hint="eastAsia"/>
                <w:color w:val="000000" w:themeColor="text1"/>
                <w:sz w:val="24"/>
                <w:szCs w:val="24"/>
                <w:highlight w:val="none"/>
                <w:lang w:val="en-US" w:eastAsia="zh-CN"/>
                <w14:textFill>
                  <w14:solidFill>
                    <w14:schemeClr w14:val="tx1"/>
                  </w14:solidFill>
                </w14:textFill>
              </w:rPr>
              <w:t>产生的污染物主要为S1（</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分拣废渣</w:t>
            </w:r>
            <w:r>
              <w:rPr>
                <w:rFonts w:hint="eastAsia"/>
                <w:color w:val="000000" w:themeColor="text1"/>
                <w:sz w:val="24"/>
                <w:szCs w:val="24"/>
                <w:highlight w:val="none"/>
                <w:lang w:val="en-US" w:eastAsia="zh-CN"/>
                <w14:textFill>
                  <w14:solidFill>
                    <w14:schemeClr w14:val="tx1"/>
                  </w14:solidFill>
                </w14:textFill>
              </w:rPr>
              <w:t>）、W1（</w:t>
            </w:r>
            <w:r>
              <w:rPr>
                <w:rFonts w:hint="default" w:ascii="Times New Roman" w:hAnsi="Times New Roman" w:eastAsia="新宋体" w:cs="Times New Roman"/>
                <w:color w:val="000000" w:themeColor="text1"/>
                <w:sz w:val="24"/>
                <w:szCs w:val="24"/>
                <w:highlight w:val="none"/>
                <w:lang w:bidi="ar-SA"/>
                <w14:textFill>
                  <w14:solidFill>
                    <w14:schemeClr w14:val="tx1"/>
                  </w14:solidFill>
                </w14:textFill>
              </w:rPr>
              <w:t>废水</w:t>
            </w:r>
            <w:r>
              <w:rPr>
                <w:rFonts w:hint="eastAsia"/>
                <w:color w:val="000000" w:themeColor="text1"/>
                <w:sz w:val="24"/>
                <w:szCs w:val="24"/>
                <w:highlight w:val="none"/>
                <w:lang w:val="en-US" w:eastAsia="zh-CN"/>
                <w14:textFill>
                  <w14:solidFill>
                    <w14:schemeClr w14:val="tx1"/>
                  </w14:solidFill>
                </w14:textFill>
              </w:rPr>
              <w:t>）、N（设备噪声）。</w:t>
            </w:r>
          </w:p>
          <w:p w14:paraId="555ACC74">
            <w:pPr>
              <w:keepNext/>
              <w:keepLines w:val="0"/>
              <w:suppressLineNumbers w:val="0"/>
              <w:spacing w:before="0" w:beforeAutospacing="0" w:after="0" w:afterAutospacing="0" w:line="360" w:lineRule="auto"/>
              <w:ind w:left="0" w:right="0" w:firstLine="482" w:firstLineChars="200"/>
              <w:outlineLvl w:val="0"/>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pPr>
            <w:r>
              <w:rPr>
                <w:rFonts w:hint="eastAsia" w:cs="Times New Roman"/>
                <w:b/>
                <w:bCs w:val="0"/>
                <w:color w:val="000000" w:themeColor="text1"/>
                <w:sz w:val="24"/>
                <w:szCs w:val="24"/>
                <w:highlight w:val="none"/>
                <w:u w:val="none"/>
                <w:lang w:val="en-US" w:eastAsia="zh-CN"/>
                <w14:textFill>
                  <w14:solidFill>
                    <w14:schemeClr w14:val="tx1"/>
                  </w14:solidFill>
                </w14:textFill>
              </w:rPr>
              <w:t>②</w:t>
            </w:r>
            <w:r>
              <w:rPr>
                <w:rFonts w:hint="eastAsia"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软化</w:t>
            </w:r>
            <w:r>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蒸润一体机</w:t>
            </w:r>
            <w:r>
              <w:rPr>
                <w:rFonts w:hint="eastAsia" w:cs="Times New Roman"/>
                <w:b w:val="0"/>
                <w:bCs/>
                <w:color w:val="000000" w:themeColor="text1"/>
                <w:sz w:val="24"/>
                <w:szCs w:val="24"/>
                <w:highlight w:val="none"/>
                <w:lang w:val="en-US" w:eastAsia="zh-CN"/>
                <w14:textFill>
                  <w14:solidFill>
                    <w14:schemeClr w14:val="tx1"/>
                  </w14:solidFill>
                </w14:textFill>
              </w:rPr>
              <w:t>是电加热软化水产生蒸汽，</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采用蒸润一体机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对</w:t>
            </w:r>
            <w:r>
              <w:rPr>
                <w:rFonts w:hint="eastAsia" w:cs="Times New Roman"/>
                <w:b w:val="0"/>
                <w:bCs/>
                <w:color w:val="000000" w:themeColor="text1"/>
                <w:sz w:val="24"/>
                <w:szCs w:val="24"/>
                <w:highlight w:val="none"/>
                <w:lang w:val="en-US" w:eastAsia="zh-CN"/>
                <w14:textFill>
                  <w14:solidFill>
                    <w14:schemeClr w14:val="tx1"/>
                  </w14:solidFill>
                </w14:textFill>
              </w:rPr>
              <w:t>药材进行软化润透，作用是方便切制、降低粉尘产生量、保住药性，减少有效成分流失等作用</w:t>
            </w:r>
            <w:r>
              <w:rPr>
                <w:rFonts w:hint="default" w:ascii="Times New Roman" w:hAnsi="Times New Roman" w:cs="Times New Roman"/>
                <w:color w:val="000000" w:themeColor="text1"/>
                <w:sz w:val="24"/>
                <w:highlight w:val="none"/>
                <w:lang w:val="en-US"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软化后的药材按照药材特征分别进入切制工序、压扁工序。项目</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蒸润一体机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密闭，泄压排气管道与车间整体排风连接，产生的水蒸气和少量中药异味（臭气浓度）无组织排放，设备定期清洗产生设备清洗废水</w:t>
            </w:r>
            <w:r>
              <w:rPr>
                <w:rFonts w:hint="eastAsia" w:eastAsia="宋体"/>
                <w:color w:val="000000" w:themeColor="text1"/>
                <w:sz w:val="24"/>
                <w:szCs w:val="24"/>
                <w:highlight w:val="none"/>
                <w:lang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此过程</w:t>
            </w:r>
            <w:r>
              <w:rPr>
                <w:rFonts w:hint="eastAsia"/>
                <w:color w:val="000000" w:themeColor="text1"/>
                <w:sz w:val="24"/>
                <w:szCs w:val="24"/>
                <w:highlight w:val="none"/>
                <w:lang w:val="en-US" w:eastAsia="zh-CN"/>
                <w14:textFill>
                  <w14:solidFill>
                    <w14:schemeClr w14:val="tx1"/>
                  </w14:solidFill>
                </w14:textFill>
              </w:rPr>
              <w:t>产生的污染物主要为G1（臭气浓度）、W2（</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废水</w:t>
            </w:r>
            <w:r>
              <w:rPr>
                <w:rFonts w:hint="eastAsia"/>
                <w:color w:val="000000" w:themeColor="text1"/>
                <w:sz w:val="24"/>
                <w:szCs w:val="24"/>
                <w:highlight w:val="none"/>
                <w:lang w:val="en-US" w:eastAsia="zh-CN"/>
                <w14:textFill>
                  <w14:solidFill>
                    <w14:schemeClr w14:val="tx1"/>
                  </w14:solidFill>
                </w14:textFill>
              </w:rPr>
              <w:t>）、N（设备噪声）。</w:t>
            </w:r>
          </w:p>
          <w:p w14:paraId="4BB74E7C">
            <w:pPr>
              <w:keepNext/>
              <w:keepLines w:val="0"/>
              <w:suppressLineNumbers w:val="0"/>
              <w:spacing w:before="0" w:beforeAutospacing="0" w:after="0" w:afterAutospacing="0" w:line="360" w:lineRule="auto"/>
              <w:ind w:left="0" w:right="0" w:firstLine="482" w:firstLineChars="200"/>
              <w:outlineLvl w:val="0"/>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③切制</w:t>
            </w:r>
            <w:r>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采用</w:t>
            </w:r>
            <w:r>
              <w:rPr>
                <w:rFonts w:hint="eastAsia" w:cs="Times New Roman" w:asciiTheme="minorEastAsia" w:hAnsiTheme="minorEastAsia"/>
                <w:color w:val="000000" w:themeColor="text1"/>
                <w:sz w:val="24"/>
                <w:highlight w:val="none"/>
                <w14:textFill>
                  <w14:solidFill>
                    <w14:schemeClr w14:val="tx1"/>
                  </w14:solidFill>
                </w14:textFill>
              </w:rPr>
              <w:t>切药机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对</w:t>
            </w:r>
            <w:r>
              <w:rPr>
                <w:rFonts w:hint="eastAsia" w:cs="Times New Roman"/>
                <w:b w:val="0"/>
                <w:bCs/>
                <w:color w:val="000000" w:themeColor="text1"/>
                <w:sz w:val="24"/>
                <w:szCs w:val="24"/>
                <w:highlight w:val="none"/>
                <w:lang w:val="en-US" w:eastAsia="zh-CN"/>
                <w14:textFill>
                  <w14:solidFill>
                    <w14:schemeClr w14:val="tx1"/>
                  </w14:solidFill>
                </w14:textFill>
              </w:rPr>
              <w:t>软化后的药材</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进行切制，切制过程产生</w:t>
            </w:r>
            <w:r>
              <w:rPr>
                <w:rFonts w:hint="eastAsia" w:cs="Times New Roman"/>
                <w:b w:val="0"/>
                <w:bCs/>
                <w:color w:val="000000" w:themeColor="text1"/>
                <w:sz w:val="24"/>
                <w:szCs w:val="24"/>
                <w:highlight w:val="none"/>
                <w:lang w:val="en-US" w:eastAsia="zh-CN"/>
                <w14:textFill>
                  <w14:solidFill>
                    <w14:schemeClr w14:val="tx1"/>
                  </w14:solidFill>
                </w14:textFill>
              </w:rPr>
              <w:t>少量</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粉尘</w:t>
            </w:r>
            <w:r>
              <w:rPr>
                <w:rFonts w:hint="eastAsia" w:cs="Times New Roman"/>
                <w:b w:val="0"/>
                <w:bCs/>
                <w:color w:val="000000" w:themeColor="text1"/>
                <w:sz w:val="24"/>
                <w:szCs w:val="24"/>
                <w:highlight w:val="none"/>
                <w:lang w:val="en-US" w:eastAsia="zh-CN"/>
                <w14:textFill>
                  <w14:solidFill>
                    <w14:schemeClr w14:val="tx1"/>
                  </w14:solidFill>
                </w14:textFill>
              </w:rPr>
              <w:t>，项目在</w:t>
            </w:r>
            <w:r>
              <w:rPr>
                <w:rFonts w:hint="eastAsia" w:cs="Times New Roman" w:asciiTheme="minorEastAsia" w:hAnsiTheme="minorEastAsia"/>
                <w:color w:val="000000" w:themeColor="text1"/>
                <w:sz w:val="24"/>
                <w:highlight w:val="none"/>
                <w14:textFill>
                  <w14:solidFill>
                    <w14:schemeClr w14:val="tx1"/>
                  </w14:solidFill>
                </w14:textFill>
              </w:rPr>
              <w:t>切药机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上方设置</w:t>
            </w:r>
            <w:r>
              <w:rPr>
                <w:rFonts w:hint="eastAsia"/>
                <w:color w:val="000000" w:themeColor="text1"/>
                <w:sz w:val="24"/>
                <w:szCs w:val="24"/>
                <w:highlight w:val="none"/>
                <w:lang w:val="en-US" w:eastAsia="zh-CN"/>
                <w14:textFill>
                  <w14:solidFill>
                    <w14:schemeClr w14:val="tx1"/>
                  </w14:solidFill>
                </w14:textFill>
              </w:rPr>
              <w:t>上吸式</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集气罩，</w:t>
            </w:r>
            <w:r>
              <w:rPr>
                <w:rFonts w:hint="eastAsia"/>
                <w:color w:val="000000" w:themeColor="text1"/>
                <w:sz w:val="24"/>
                <w:szCs w:val="24"/>
                <w:highlight w:val="none"/>
                <w:lang w:val="en-US" w:eastAsia="zh-CN"/>
                <w14:textFill>
                  <w14:solidFill>
                    <w14:schemeClr w14:val="tx1"/>
                  </w14:solidFill>
                </w14:textFill>
              </w:rPr>
              <w:t>经</w:t>
            </w:r>
            <w:r>
              <w:rPr>
                <w:rFonts w:hint="eastAsia" w:eastAsia="宋体"/>
                <w:color w:val="000000" w:themeColor="text1"/>
                <w:sz w:val="24"/>
                <w:szCs w:val="24"/>
                <w:highlight w:val="none"/>
                <w:lang w:eastAsia="zh-CN"/>
                <w14:textFill>
                  <w14:solidFill>
                    <w14:schemeClr w14:val="tx1"/>
                  </w14:solidFill>
                </w14:textFill>
              </w:rPr>
              <w:t>布袋除尘器（TA0</w:t>
            </w:r>
            <w:r>
              <w:rPr>
                <w:rFonts w:hint="eastAsia"/>
                <w:color w:val="000000" w:themeColor="text1"/>
                <w:sz w:val="24"/>
                <w:szCs w:val="24"/>
                <w:highlight w:val="none"/>
                <w:lang w:val="en-US" w:eastAsia="zh-CN"/>
                <w14:textFill>
                  <w14:solidFill>
                    <w14:schemeClr w14:val="tx1"/>
                  </w14:solidFill>
                </w14:textFill>
              </w:rPr>
              <w:t>25</w:t>
            </w:r>
            <w:r>
              <w:rPr>
                <w:rFonts w:hint="eastAsia" w:eastAsia="宋体"/>
                <w:color w:val="000000" w:themeColor="text1"/>
                <w:sz w:val="24"/>
                <w:szCs w:val="24"/>
                <w:highlight w:val="none"/>
                <w:lang w:eastAsia="zh-CN"/>
                <w14:textFill>
                  <w14:solidFill>
                    <w14:schemeClr w14:val="tx1"/>
                  </w14:solidFill>
                </w14:textFill>
              </w:rPr>
              <w:t>）处理后由</w:t>
            </w:r>
            <w:r>
              <w:rPr>
                <w:rFonts w:hint="eastAsia" w:eastAsia="宋体"/>
                <w:color w:val="000000" w:themeColor="text1"/>
                <w:sz w:val="24"/>
                <w:szCs w:val="24"/>
                <w:highlight w:val="none"/>
                <w:lang w:val="en-US" w:eastAsia="zh-CN"/>
                <w14:textFill>
                  <w14:solidFill>
                    <w14:schemeClr w14:val="tx1"/>
                  </w14:solidFill>
                </w14:textFill>
              </w:rPr>
              <w:t>不低于</w:t>
            </w:r>
            <w:r>
              <w:rPr>
                <w:rFonts w:hint="eastAsia" w:eastAsia="宋体"/>
                <w:color w:val="000000" w:themeColor="text1"/>
                <w:sz w:val="24"/>
                <w:szCs w:val="24"/>
                <w:highlight w:val="none"/>
                <w:lang w:eastAsia="zh-CN"/>
                <w14:textFill>
                  <w14:solidFill>
                    <w14:schemeClr w14:val="tx1"/>
                  </w14:solidFill>
                </w14:textFill>
              </w:rPr>
              <w:t>15m高的排气筒（DA0</w:t>
            </w:r>
            <w:r>
              <w:rPr>
                <w:rFonts w:hint="eastAsia"/>
                <w:color w:val="000000" w:themeColor="text1"/>
                <w:sz w:val="24"/>
                <w:szCs w:val="24"/>
                <w:highlight w:val="none"/>
                <w:lang w:val="en-US" w:eastAsia="zh-CN"/>
                <w14:textFill>
                  <w14:solidFill>
                    <w14:schemeClr w14:val="tx1"/>
                  </w14:solidFill>
                </w14:textFill>
              </w:rPr>
              <w:t>16</w:t>
            </w:r>
            <w:r>
              <w:rPr>
                <w:rFonts w:hint="eastAsia" w:eastAsia="宋体"/>
                <w:color w:val="000000" w:themeColor="text1"/>
                <w:sz w:val="24"/>
                <w:szCs w:val="24"/>
                <w:highlight w:val="none"/>
                <w:lang w:eastAsia="zh-CN"/>
                <w14:textFill>
                  <w14:solidFill>
                    <w14:schemeClr w14:val="tx1"/>
                  </w14:solidFill>
                </w14:textFill>
              </w:rPr>
              <w:t>）排放，</w:t>
            </w:r>
            <w:r>
              <w:rPr>
                <w:rFonts w:hint="eastAsia" w:cs="Times New Roman"/>
                <w:b w:val="0"/>
                <w:bCs/>
                <w:color w:val="000000" w:themeColor="text1"/>
                <w:sz w:val="24"/>
                <w:szCs w:val="24"/>
                <w:highlight w:val="none"/>
                <w:lang w:val="en-US" w:eastAsia="zh-CN"/>
                <w14:textFill>
                  <w14:solidFill>
                    <w14:schemeClr w14:val="tx1"/>
                  </w14:solidFill>
                </w14:textFill>
              </w:rPr>
              <w:t>此过程</w:t>
            </w:r>
            <w:r>
              <w:rPr>
                <w:rFonts w:hint="eastAsia"/>
                <w:color w:val="000000" w:themeColor="text1"/>
                <w:sz w:val="24"/>
                <w:szCs w:val="24"/>
                <w:highlight w:val="none"/>
                <w:lang w:val="en-US" w:eastAsia="zh-CN"/>
                <w14:textFill>
                  <w14:solidFill>
                    <w14:schemeClr w14:val="tx1"/>
                  </w14:solidFill>
                </w14:textFill>
              </w:rPr>
              <w:t>产生的污染物主要为G2（颗粒物）、N（设备噪声）</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p>
          <w:p w14:paraId="63667F40">
            <w:pPr>
              <w:keepNext/>
              <w:keepLines w:val="0"/>
              <w:suppressLineNumbers w:val="0"/>
              <w:spacing w:before="0" w:beforeAutospacing="0" w:after="0" w:afterAutospacing="0" w:line="360" w:lineRule="auto"/>
              <w:ind w:left="0" w:right="0" w:firstLine="482" w:firstLineChars="200"/>
              <w:outlineLvl w:val="0"/>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④</w:t>
            </w:r>
            <w:r>
              <w:rPr>
                <w:rFonts w:hint="eastAsia"/>
                <w:b/>
                <w:bCs w:val="0"/>
                <w:color w:val="000000" w:themeColor="text1"/>
                <w:sz w:val="24"/>
                <w:szCs w:val="24"/>
                <w:highlight w:val="none"/>
                <w:lang w:val="en-US" w:eastAsia="zh-CN"/>
                <w14:textFill>
                  <w14:solidFill>
                    <w14:schemeClr w14:val="tx1"/>
                  </w14:solidFill>
                </w14:textFill>
              </w:rPr>
              <w:t>压扁</w:t>
            </w:r>
            <w:r>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采用</w:t>
            </w:r>
            <w:r>
              <w:rPr>
                <w:rFonts w:hint="eastAsia" w:cs="Times New Roman" w:asciiTheme="minorEastAsia" w:hAnsiTheme="minorEastAsia"/>
                <w:color w:val="000000" w:themeColor="text1"/>
                <w:sz w:val="24"/>
                <w:highlight w:val="none"/>
                <w14:textFill>
                  <w14:solidFill>
                    <w14:schemeClr w14:val="tx1"/>
                  </w14:solidFill>
                </w14:textFill>
              </w:rPr>
              <w:t>压扁机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对</w:t>
            </w:r>
            <w:r>
              <w:rPr>
                <w:rFonts w:hint="eastAsia" w:cs="Times New Roman"/>
                <w:b w:val="0"/>
                <w:bCs/>
                <w:color w:val="000000" w:themeColor="text1"/>
                <w:sz w:val="24"/>
                <w:szCs w:val="24"/>
                <w:highlight w:val="none"/>
                <w:lang w:val="en-US" w:eastAsia="zh-CN"/>
                <w14:textFill>
                  <w14:solidFill>
                    <w14:schemeClr w14:val="tx1"/>
                  </w14:solidFill>
                </w14:textFill>
              </w:rPr>
              <w:t>软化后的药材进行压扁，作用是避免炮制受热不均、加快煎煮溶出药效成分等作用，</w:t>
            </w:r>
            <w:r>
              <w:rPr>
                <w:rFonts w:hint="eastAsia" w:cs="Times New Roman" w:asciiTheme="minorEastAsia" w:hAnsiTheme="minorEastAsia"/>
                <w:color w:val="000000" w:themeColor="text1"/>
                <w:sz w:val="24"/>
                <w:highlight w:val="none"/>
                <w14:textFill>
                  <w14:solidFill>
                    <w14:schemeClr w14:val="tx1"/>
                  </w14:solidFill>
                </w14:textFill>
              </w:rPr>
              <w:t>压扁</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过程产生</w:t>
            </w:r>
            <w:r>
              <w:rPr>
                <w:rFonts w:hint="eastAsia" w:cs="Times New Roman"/>
                <w:b w:val="0"/>
                <w:bCs/>
                <w:color w:val="000000" w:themeColor="text1"/>
                <w:sz w:val="24"/>
                <w:szCs w:val="24"/>
                <w:highlight w:val="none"/>
                <w:lang w:val="en-US" w:eastAsia="zh-CN"/>
                <w14:textFill>
                  <w14:solidFill>
                    <w14:schemeClr w14:val="tx1"/>
                  </w14:solidFill>
                </w14:textFill>
              </w:rPr>
              <w:t>少量</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粉尘</w:t>
            </w:r>
            <w:r>
              <w:rPr>
                <w:rFonts w:hint="eastAsia" w:cs="Times New Roman"/>
                <w:b w:val="0"/>
                <w:bCs/>
                <w:color w:val="000000" w:themeColor="text1"/>
                <w:sz w:val="24"/>
                <w:szCs w:val="24"/>
                <w:highlight w:val="none"/>
                <w:lang w:val="en-US" w:eastAsia="zh-CN"/>
                <w14:textFill>
                  <w14:solidFill>
                    <w14:schemeClr w14:val="tx1"/>
                  </w14:solidFill>
                </w14:textFill>
              </w:rPr>
              <w:t>，项目在压扁机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上方设置</w:t>
            </w:r>
            <w:r>
              <w:rPr>
                <w:rFonts w:hint="eastAsia"/>
                <w:color w:val="000000" w:themeColor="text1"/>
                <w:sz w:val="24"/>
                <w:szCs w:val="24"/>
                <w:highlight w:val="none"/>
                <w:lang w:val="en-US" w:eastAsia="zh-CN"/>
                <w14:textFill>
                  <w14:solidFill>
                    <w14:schemeClr w14:val="tx1"/>
                  </w14:solidFill>
                </w14:textFill>
              </w:rPr>
              <w:t>上吸式</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集气罩，</w:t>
            </w:r>
            <w:r>
              <w:rPr>
                <w:rFonts w:hint="eastAsia"/>
                <w:color w:val="000000" w:themeColor="text1"/>
                <w:sz w:val="24"/>
                <w:szCs w:val="24"/>
                <w:highlight w:val="none"/>
                <w:lang w:val="en-US" w:eastAsia="zh-CN"/>
                <w14:textFill>
                  <w14:solidFill>
                    <w14:schemeClr w14:val="tx1"/>
                  </w14:solidFill>
                </w14:textFill>
              </w:rPr>
              <w:t>经</w:t>
            </w:r>
            <w:r>
              <w:rPr>
                <w:rFonts w:hint="eastAsia" w:eastAsia="宋体"/>
                <w:color w:val="000000" w:themeColor="text1"/>
                <w:sz w:val="24"/>
                <w:szCs w:val="24"/>
                <w:highlight w:val="none"/>
                <w:lang w:eastAsia="zh-CN"/>
                <w14:textFill>
                  <w14:solidFill>
                    <w14:schemeClr w14:val="tx1"/>
                  </w14:solidFill>
                </w14:textFill>
              </w:rPr>
              <w:t>布袋除尘器（TA0</w:t>
            </w:r>
            <w:r>
              <w:rPr>
                <w:rFonts w:hint="eastAsia"/>
                <w:color w:val="000000" w:themeColor="text1"/>
                <w:sz w:val="24"/>
                <w:szCs w:val="24"/>
                <w:highlight w:val="none"/>
                <w:lang w:val="en-US" w:eastAsia="zh-CN"/>
                <w14:textFill>
                  <w14:solidFill>
                    <w14:schemeClr w14:val="tx1"/>
                  </w14:solidFill>
                </w14:textFill>
              </w:rPr>
              <w:t>25</w:t>
            </w:r>
            <w:r>
              <w:rPr>
                <w:rFonts w:hint="eastAsia" w:eastAsia="宋体"/>
                <w:color w:val="000000" w:themeColor="text1"/>
                <w:sz w:val="24"/>
                <w:szCs w:val="24"/>
                <w:highlight w:val="none"/>
                <w:lang w:eastAsia="zh-CN"/>
                <w14:textFill>
                  <w14:solidFill>
                    <w14:schemeClr w14:val="tx1"/>
                  </w14:solidFill>
                </w14:textFill>
              </w:rPr>
              <w:t>）处理后由</w:t>
            </w:r>
            <w:r>
              <w:rPr>
                <w:rFonts w:hint="eastAsia" w:eastAsia="宋体"/>
                <w:color w:val="000000" w:themeColor="text1"/>
                <w:sz w:val="24"/>
                <w:szCs w:val="24"/>
                <w:highlight w:val="none"/>
                <w:lang w:val="en-US" w:eastAsia="zh-CN"/>
                <w14:textFill>
                  <w14:solidFill>
                    <w14:schemeClr w14:val="tx1"/>
                  </w14:solidFill>
                </w14:textFill>
              </w:rPr>
              <w:t>不低于</w:t>
            </w:r>
            <w:r>
              <w:rPr>
                <w:rFonts w:hint="eastAsia" w:eastAsia="宋体"/>
                <w:color w:val="000000" w:themeColor="text1"/>
                <w:sz w:val="24"/>
                <w:szCs w:val="24"/>
                <w:highlight w:val="none"/>
                <w:lang w:eastAsia="zh-CN"/>
                <w14:textFill>
                  <w14:solidFill>
                    <w14:schemeClr w14:val="tx1"/>
                  </w14:solidFill>
                </w14:textFill>
              </w:rPr>
              <w:t>15m高的排气筒（DA0</w:t>
            </w:r>
            <w:r>
              <w:rPr>
                <w:rFonts w:hint="eastAsia"/>
                <w:color w:val="000000" w:themeColor="text1"/>
                <w:sz w:val="24"/>
                <w:szCs w:val="24"/>
                <w:highlight w:val="none"/>
                <w:lang w:val="en-US" w:eastAsia="zh-CN"/>
                <w14:textFill>
                  <w14:solidFill>
                    <w14:schemeClr w14:val="tx1"/>
                  </w14:solidFill>
                </w14:textFill>
              </w:rPr>
              <w:t>16</w:t>
            </w:r>
            <w:r>
              <w:rPr>
                <w:rFonts w:hint="eastAsia" w:eastAsia="宋体"/>
                <w:color w:val="000000" w:themeColor="text1"/>
                <w:sz w:val="24"/>
                <w:szCs w:val="24"/>
                <w:highlight w:val="none"/>
                <w:lang w:eastAsia="zh-CN"/>
                <w14:textFill>
                  <w14:solidFill>
                    <w14:schemeClr w14:val="tx1"/>
                  </w14:solidFill>
                </w14:textFill>
              </w:rPr>
              <w:t>）排放，</w:t>
            </w:r>
            <w:r>
              <w:rPr>
                <w:rFonts w:hint="eastAsia" w:cs="Times New Roman"/>
                <w:b w:val="0"/>
                <w:bCs/>
                <w:color w:val="000000" w:themeColor="text1"/>
                <w:sz w:val="24"/>
                <w:szCs w:val="24"/>
                <w:highlight w:val="none"/>
                <w:lang w:val="en-US" w:eastAsia="zh-CN"/>
                <w14:textFill>
                  <w14:solidFill>
                    <w14:schemeClr w14:val="tx1"/>
                  </w14:solidFill>
                </w14:textFill>
              </w:rPr>
              <w:t>此过程</w:t>
            </w:r>
            <w:r>
              <w:rPr>
                <w:rFonts w:hint="eastAsia"/>
                <w:color w:val="000000" w:themeColor="text1"/>
                <w:sz w:val="24"/>
                <w:szCs w:val="24"/>
                <w:highlight w:val="none"/>
                <w:lang w:val="en-US" w:eastAsia="zh-CN"/>
                <w14:textFill>
                  <w14:solidFill>
                    <w14:schemeClr w14:val="tx1"/>
                  </w14:solidFill>
                </w14:textFill>
              </w:rPr>
              <w:t>产生的污染物主要为G3（颗粒物）、N（设备噪声）</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p>
          <w:p w14:paraId="273383DB">
            <w:pPr>
              <w:keepNext/>
              <w:keepLines w:val="0"/>
              <w:suppressLineNumbers w:val="0"/>
              <w:spacing w:before="0" w:beforeAutospacing="0" w:after="0" w:afterAutospacing="0" w:line="360" w:lineRule="auto"/>
              <w:ind w:left="0" w:right="0" w:firstLine="482" w:firstLineChars="200"/>
              <w:outlineLvl w:val="0"/>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⑤干燥</w:t>
            </w:r>
            <w:r>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t>：</w:t>
            </w:r>
            <w:r>
              <w:rPr>
                <w:rFonts w:hint="eastAsia" w:eastAsia="宋体" w:cs="Times New Roman" w:asciiTheme="minorEastAsia" w:hAnsiTheme="minorEastAsia"/>
                <w:color w:val="000000" w:themeColor="text1"/>
                <w:sz w:val="24"/>
                <w:highlight w:val="none"/>
                <w:lang w:val="en-US" w:eastAsia="zh-CN"/>
                <w14:textFill>
                  <w14:solidFill>
                    <w14:schemeClr w14:val="tx1"/>
                  </w14:solidFill>
                </w14:textFill>
              </w:rPr>
              <w:t>采用</w:t>
            </w:r>
            <w:r>
              <w:rPr>
                <w:rFonts w:hint="default" w:cs="Times New Roman" w:asciiTheme="minorEastAsia" w:hAnsiTheme="minorEastAsia"/>
                <w:color w:val="000000" w:themeColor="text1"/>
                <w:sz w:val="24"/>
                <w:highlight w:val="none"/>
                <w14:textFill>
                  <w14:solidFill>
                    <w14:schemeClr w14:val="tx1"/>
                  </w14:solidFill>
                </w14:textFill>
              </w:rPr>
              <w:t>敞开式烘箱</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对切制和压扁后的</w:t>
            </w:r>
            <w:r>
              <w:rPr>
                <w:rFonts w:hint="eastAsia" w:cs="Times New Roman"/>
                <w:b w:val="0"/>
                <w:bCs/>
                <w:color w:val="000000" w:themeColor="text1"/>
                <w:sz w:val="24"/>
                <w:szCs w:val="24"/>
                <w:highlight w:val="none"/>
                <w:lang w:val="en-US" w:eastAsia="zh-CN"/>
                <w14:textFill>
                  <w14:solidFill>
                    <w14:schemeClr w14:val="tx1"/>
                  </w14:solidFill>
                </w14:textFill>
              </w:rPr>
              <w:t>药材进行干燥，去除多余水分，干燥后的药材进入筛选工序。项目在</w:t>
            </w:r>
            <w:r>
              <w:rPr>
                <w:rFonts w:hint="default" w:cs="Times New Roman" w:asciiTheme="minorEastAsia" w:hAnsiTheme="minorEastAsia"/>
                <w:color w:val="000000" w:themeColor="text1"/>
                <w:sz w:val="24"/>
                <w:highlight w:val="none"/>
                <w14:textFill>
                  <w14:solidFill>
                    <w14:schemeClr w14:val="tx1"/>
                  </w14:solidFill>
                </w14:textFill>
              </w:rPr>
              <w:t>敞开式烘箱</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上方设置</w:t>
            </w:r>
            <w:r>
              <w:rPr>
                <w:rFonts w:hint="eastAsia"/>
                <w:color w:val="000000" w:themeColor="text1"/>
                <w:sz w:val="24"/>
                <w:szCs w:val="24"/>
                <w:highlight w:val="none"/>
                <w:lang w:val="en-US" w:eastAsia="zh-CN"/>
                <w14:textFill>
                  <w14:solidFill>
                    <w14:schemeClr w14:val="tx1"/>
                  </w14:solidFill>
                </w14:textFill>
              </w:rPr>
              <w:t>上吸式</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集气罩，</w:t>
            </w:r>
            <w:r>
              <w:rPr>
                <w:rFonts w:hint="eastAsia"/>
                <w:color w:val="000000" w:themeColor="text1"/>
                <w:sz w:val="24"/>
                <w:szCs w:val="24"/>
                <w:highlight w:val="none"/>
                <w:lang w:val="en-US" w:eastAsia="zh-CN"/>
                <w14:textFill>
                  <w14:solidFill>
                    <w14:schemeClr w14:val="tx1"/>
                  </w14:solidFill>
                </w14:textFill>
              </w:rPr>
              <w:t>集气</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管道与车间整体排风连接，产生的水蒸气和少量中药异味（臭气浓度）无组织排放</w:t>
            </w:r>
            <w:r>
              <w:rPr>
                <w:rFonts w:hint="eastAsia" w:eastAsia="宋体"/>
                <w:color w:val="000000" w:themeColor="text1"/>
                <w:sz w:val="24"/>
                <w:szCs w:val="24"/>
                <w:highlight w:val="none"/>
                <w:lang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此过程</w:t>
            </w:r>
            <w:r>
              <w:rPr>
                <w:rFonts w:hint="eastAsia"/>
                <w:color w:val="000000" w:themeColor="text1"/>
                <w:sz w:val="24"/>
                <w:szCs w:val="24"/>
                <w:highlight w:val="none"/>
                <w:lang w:val="en-US" w:eastAsia="zh-CN"/>
                <w14:textFill>
                  <w14:solidFill>
                    <w14:schemeClr w14:val="tx1"/>
                  </w14:solidFill>
                </w14:textFill>
              </w:rPr>
              <w:t>产生的污染物主要为G4（臭气浓度）、N（设备噪声）</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p>
          <w:p w14:paraId="61143848">
            <w:pPr>
              <w:keepNext/>
              <w:keepLines w:val="0"/>
              <w:suppressLineNumbers w:val="0"/>
              <w:spacing w:before="0" w:beforeAutospacing="0" w:after="0" w:afterAutospacing="0" w:line="360" w:lineRule="auto"/>
              <w:ind w:left="0" w:right="0" w:firstLine="482" w:firstLineChars="200"/>
              <w:outlineLvl w:val="0"/>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⑥搓碎</w:t>
            </w:r>
            <w:r>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t>：</w:t>
            </w:r>
            <w:r>
              <w:rPr>
                <w:rFonts w:hint="eastAsia" w:eastAsia="宋体" w:cs="Times New Roman" w:asciiTheme="minorEastAsia" w:hAnsiTheme="minorEastAsia"/>
                <w:color w:val="000000" w:themeColor="text1"/>
                <w:sz w:val="24"/>
                <w:highlight w:val="none"/>
                <w:lang w:val="en-US" w:eastAsia="zh-CN"/>
                <w14:textFill>
                  <w14:solidFill>
                    <w14:schemeClr w14:val="tx1"/>
                  </w14:solidFill>
                </w14:textFill>
              </w:rPr>
              <w:t>采用</w:t>
            </w:r>
            <w:r>
              <w:rPr>
                <w:rFonts w:hint="eastAsia" w:cs="Times New Roman" w:asciiTheme="minorEastAsia" w:hAnsiTheme="minorEastAsia"/>
                <w:color w:val="000000" w:themeColor="text1"/>
                <w:sz w:val="24"/>
                <w:highlight w:val="none"/>
                <w14:textFill>
                  <w14:solidFill>
                    <w14:schemeClr w14:val="tx1"/>
                  </w14:solidFill>
                </w14:textFill>
              </w:rPr>
              <w:t>振动筛</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对净制后的</w:t>
            </w:r>
            <w:r>
              <w:rPr>
                <w:rFonts w:hint="eastAsia" w:cs="Times New Roman"/>
                <w:b w:val="0"/>
                <w:bCs/>
                <w:color w:val="000000" w:themeColor="text1"/>
                <w:sz w:val="24"/>
                <w:szCs w:val="24"/>
                <w:highlight w:val="none"/>
                <w:lang w:val="en-US" w:eastAsia="zh-CN"/>
                <w14:textFill>
                  <w14:solidFill>
                    <w14:schemeClr w14:val="tx1"/>
                  </w14:solidFill>
                </w14:textFill>
              </w:rPr>
              <w:t>药材进行搓碎，搓碎</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过程产生</w:t>
            </w:r>
            <w:r>
              <w:rPr>
                <w:rFonts w:hint="eastAsia" w:cs="Times New Roman"/>
                <w:b w:val="0"/>
                <w:bCs/>
                <w:color w:val="000000" w:themeColor="text1"/>
                <w:sz w:val="24"/>
                <w:szCs w:val="24"/>
                <w:highlight w:val="none"/>
                <w:lang w:val="en-US" w:eastAsia="zh-CN"/>
                <w14:textFill>
                  <w14:solidFill>
                    <w14:schemeClr w14:val="tx1"/>
                  </w14:solidFill>
                </w14:textFill>
              </w:rPr>
              <w:t>少量</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粉尘</w:t>
            </w:r>
            <w:r>
              <w:rPr>
                <w:rFonts w:hint="eastAsia" w:cs="Times New Roman"/>
                <w:b w:val="0"/>
                <w:bCs/>
                <w:color w:val="000000" w:themeColor="text1"/>
                <w:sz w:val="24"/>
                <w:szCs w:val="24"/>
                <w:highlight w:val="none"/>
                <w:lang w:val="en-US" w:eastAsia="zh-CN"/>
                <w14:textFill>
                  <w14:solidFill>
                    <w14:schemeClr w14:val="tx1"/>
                  </w14:solidFill>
                </w14:textFill>
              </w:rPr>
              <w:t>，项目在</w:t>
            </w:r>
            <w:r>
              <w:rPr>
                <w:rFonts w:hint="eastAsia" w:cs="Times New Roman" w:asciiTheme="minorEastAsia" w:hAnsiTheme="minorEastAsia"/>
                <w:color w:val="000000" w:themeColor="text1"/>
                <w:sz w:val="24"/>
                <w:highlight w:val="none"/>
                <w14:textFill>
                  <w14:solidFill>
                    <w14:schemeClr w14:val="tx1"/>
                  </w14:solidFill>
                </w14:textFill>
              </w:rPr>
              <w:t>振动筛</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上方设置</w:t>
            </w:r>
            <w:r>
              <w:rPr>
                <w:rFonts w:hint="eastAsia"/>
                <w:color w:val="000000" w:themeColor="text1"/>
                <w:sz w:val="24"/>
                <w:szCs w:val="24"/>
                <w:highlight w:val="none"/>
                <w:lang w:val="en-US" w:eastAsia="zh-CN"/>
                <w14:textFill>
                  <w14:solidFill>
                    <w14:schemeClr w14:val="tx1"/>
                  </w14:solidFill>
                </w14:textFill>
              </w:rPr>
              <w:t>上吸式</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集气罩，</w:t>
            </w:r>
            <w:r>
              <w:rPr>
                <w:rFonts w:hint="eastAsia"/>
                <w:color w:val="000000" w:themeColor="text1"/>
                <w:sz w:val="24"/>
                <w:szCs w:val="24"/>
                <w:highlight w:val="none"/>
                <w:lang w:val="en-US" w:eastAsia="zh-CN"/>
                <w14:textFill>
                  <w14:solidFill>
                    <w14:schemeClr w14:val="tx1"/>
                  </w14:solidFill>
                </w14:textFill>
              </w:rPr>
              <w:t>经</w:t>
            </w:r>
            <w:r>
              <w:rPr>
                <w:rFonts w:hint="eastAsia" w:eastAsia="宋体"/>
                <w:color w:val="000000" w:themeColor="text1"/>
                <w:sz w:val="24"/>
                <w:szCs w:val="24"/>
                <w:highlight w:val="none"/>
                <w:lang w:eastAsia="zh-CN"/>
                <w14:textFill>
                  <w14:solidFill>
                    <w14:schemeClr w14:val="tx1"/>
                  </w14:solidFill>
                </w14:textFill>
              </w:rPr>
              <w:t>布袋除尘器（TA0</w:t>
            </w:r>
            <w:r>
              <w:rPr>
                <w:rFonts w:hint="eastAsia"/>
                <w:color w:val="000000" w:themeColor="text1"/>
                <w:sz w:val="24"/>
                <w:szCs w:val="24"/>
                <w:highlight w:val="none"/>
                <w:lang w:val="en-US" w:eastAsia="zh-CN"/>
                <w14:textFill>
                  <w14:solidFill>
                    <w14:schemeClr w14:val="tx1"/>
                  </w14:solidFill>
                </w14:textFill>
              </w:rPr>
              <w:t>25</w:t>
            </w:r>
            <w:r>
              <w:rPr>
                <w:rFonts w:hint="eastAsia" w:eastAsia="宋体"/>
                <w:color w:val="000000" w:themeColor="text1"/>
                <w:sz w:val="24"/>
                <w:szCs w:val="24"/>
                <w:highlight w:val="none"/>
                <w:lang w:eastAsia="zh-CN"/>
                <w14:textFill>
                  <w14:solidFill>
                    <w14:schemeClr w14:val="tx1"/>
                  </w14:solidFill>
                </w14:textFill>
              </w:rPr>
              <w:t>）处理后由</w:t>
            </w:r>
            <w:r>
              <w:rPr>
                <w:rFonts w:hint="eastAsia" w:eastAsia="宋体"/>
                <w:color w:val="000000" w:themeColor="text1"/>
                <w:sz w:val="24"/>
                <w:szCs w:val="24"/>
                <w:highlight w:val="none"/>
                <w:lang w:val="en-US" w:eastAsia="zh-CN"/>
                <w14:textFill>
                  <w14:solidFill>
                    <w14:schemeClr w14:val="tx1"/>
                  </w14:solidFill>
                </w14:textFill>
              </w:rPr>
              <w:t>不低于</w:t>
            </w:r>
            <w:r>
              <w:rPr>
                <w:rFonts w:hint="eastAsia" w:eastAsia="宋体"/>
                <w:color w:val="000000" w:themeColor="text1"/>
                <w:sz w:val="24"/>
                <w:szCs w:val="24"/>
                <w:highlight w:val="none"/>
                <w:lang w:eastAsia="zh-CN"/>
                <w14:textFill>
                  <w14:solidFill>
                    <w14:schemeClr w14:val="tx1"/>
                  </w14:solidFill>
                </w14:textFill>
              </w:rPr>
              <w:t>15m高的排气筒（DA0</w:t>
            </w:r>
            <w:r>
              <w:rPr>
                <w:rFonts w:hint="eastAsia"/>
                <w:color w:val="000000" w:themeColor="text1"/>
                <w:sz w:val="24"/>
                <w:szCs w:val="24"/>
                <w:highlight w:val="none"/>
                <w:lang w:val="en-US" w:eastAsia="zh-CN"/>
                <w14:textFill>
                  <w14:solidFill>
                    <w14:schemeClr w14:val="tx1"/>
                  </w14:solidFill>
                </w14:textFill>
              </w:rPr>
              <w:t>16</w:t>
            </w:r>
            <w:r>
              <w:rPr>
                <w:rFonts w:hint="eastAsia" w:eastAsia="宋体"/>
                <w:color w:val="000000" w:themeColor="text1"/>
                <w:sz w:val="24"/>
                <w:szCs w:val="24"/>
                <w:highlight w:val="none"/>
                <w:lang w:eastAsia="zh-CN"/>
                <w14:textFill>
                  <w14:solidFill>
                    <w14:schemeClr w14:val="tx1"/>
                  </w14:solidFill>
                </w14:textFill>
              </w:rPr>
              <w:t>）排放，</w:t>
            </w:r>
            <w:r>
              <w:rPr>
                <w:rFonts w:hint="eastAsia" w:cs="Times New Roman"/>
                <w:b w:val="0"/>
                <w:bCs/>
                <w:color w:val="000000" w:themeColor="text1"/>
                <w:sz w:val="24"/>
                <w:szCs w:val="24"/>
                <w:highlight w:val="none"/>
                <w:lang w:val="en-US" w:eastAsia="zh-CN"/>
                <w14:textFill>
                  <w14:solidFill>
                    <w14:schemeClr w14:val="tx1"/>
                  </w14:solidFill>
                </w14:textFill>
              </w:rPr>
              <w:t>此过程</w:t>
            </w:r>
            <w:r>
              <w:rPr>
                <w:rFonts w:hint="eastAsia"/>
                <w:color w:val="000000" w:themeColor="text1"/>
                <w:sz w:val="24"/>
                <w:szCs w:val="24"/>
                <w:highlight w:val="none"/>
                <w:lang w:val="en-US" w:eastAsia="zh-CN"/>
                <w14:textFill>
                  <w14:solidFill>
                    <w14:schemeClr w14:val="tx1"/>
                  </w14:solidFill>
                </w14:textFill>
              </w:rPr>
              <w:t>产生的污染物主要为G5（颗粒物）、N（设备噪声）</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p>
          <w:p w14:paraId="73238EF8">
            <w:pPr>
              <w:keepNext/>
              <w:keepLines w:val="0"/>
              <w:suppressLineNumbers w:val="0"/>
              <w:spacing w:before="0" w:beforeAutospacing="0" w:after="0" w:afterAutospacing="0" w:line="360" w:lineRule="auto"/>
              <w:ind w:left="0" w:right="0" w:firstLine="482" w:firstLineChars="200"/>
              <w:outlineLvl w:val="0"/>
              <w:rPr>
                <w:rFonts w:hint="eastAsia"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⑦捣碎</w:t>
            </w:r>
            <w:r>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t>：</w:t>
            </w:r>
            <w:r>
              <w:rPr>
                <w:rFonts w:hint="eastAsia" w:eastAsia="宋体" w:cs="Times New Roman" w:asciiTheme="minorEastAsia" w:hAnsiTheme="minorEastAsia"/>
                <w:color w:val="000000" w:themeColor="text1"/>
                <w:sz w:val="24"/>
                <w:highlight w:val="none"/>
                <w:lang w:val="en-US" w:eastAsia="zh-CN"/>
                <w14:textFill>
                  <w14:solidFill>
                    <w14:schemeClr w14:val="tx1"/>
                  </w14:solidFill>
                </w14:textFill>
              </w:rPr>
              <w:t>采用</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对</w:t>
            </w:r>
            <w:r>
              <w:rPr>
                <w:rFonts w:hint="eastAsia" w:cs="Times New Roman" w:asciiTheme="minorEastAsia" w:hAnsiTheme="minorEastAsia"/>
                <w:color w:val="000000" w:themeColor="text1"/>
                <w:sz w:val="24"/>
                <w:highlight w:val="none"/>
                <w14:textFill>
                  <w14:solidFill>
                    <w14:schemeClr w14:val="tx1"/>
                  </w14:solidFill>
                </w14:textFill>
              </w:rPr>
              <w:t>辊式破碎机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对净制后的</w:t>
            </w:r>
            <w:r>
              <w:rPr>
                <w:rFonts w:hint="eastAsia" w:cs="Times New Roman"/>
                <w:b w:val="0"/>
                <w:bCs/>
                <w:color w:val="000000" w:themeColor="text1"/>
                <w:sz w:val="24"/>
                <w:szCs w:val="24"/>
                <w:highlight w:val="none"/>
                <w:lang w:val="en-US" w:eastAsia="zh-CN"/>
                <w14:textFill>
                  <w14:solidFill>
                    <w14:schemeClr w14:val="tx1"/>
                  </w14:solidFill>
                </w14:textFill>
              </w:rPr>
              <w:t>药材进行捣碎，捣碎</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过程产生</w:t>
            </w:r>
            <w:r>
              <w:rPr>
                <w:rFonts w:hint="eastAsia" w:cs="Times New Roman"/>
                <w:b w:val="0"/>
                <w:bCs/>
                <w:color w:val="000000" w:themeColor="text1"/>
                <w:sz w:val="24"/>
                <w:szCs w:val="24"/>
                <w:highlight w:val="none"/>
                <w:lang w:val="en-US" w:eastAsia="zh-CN"/>
                <w14:textFill>
                  <w14:solidFill>
                    <w14:schemeClr w14:val="tx1"/>
                  </w14:solidFill>
                </w14:textFill>
              </w:rPr>
              <w:t>少量</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粉尘</w:t>
            </w:r>
            <w:r>
              <w:rPr>
                <w:rFonts w:hint="eastAsia" w:cs="Times New Roman"/>
                <w:b w:val="0"/>
                <w:bCs/>
                <w:color w:val="000000" w:themeColor="text1"/>
                <w:sz w:val="24"/>
                <w:szCs w:val="24"/>
                <w:highlight w:val="none"/>
                <w:lang w:val="en-US" w:eastAsia="zh-CN"/>
                <w14:textFill>
                  <w14:solidFill>
                    <w14:schemeClr w14:val="tx1"/>
                  </w14:solidFill>
                </w14:textFill>
              </w:rPr>
              <w:t>，项目在对辊式破碎机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上方设置</w:t>
            </w:r>
            <w:r>
              <w:rPr>
                <w:rFonts w:hint="eastAsia"/>
                <w:color w:val="000000" w:themeColor="text1"/>
                <w:sz w:val="24"/>
                <w:szCs w:val="24"/>
                <w:highlight w:val="none"/>
                <w:lang w:val="en-US" w:eastAsia="zh-CN"/>
                <w14:textFill>
                  <w14:solidFill>
                    <w14:schemeClr w14:val="tx1"/>
                  </w14:solidFill>
                </w14:textFill>
              </w:rPr>
              <w:t>上吸式</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集气罩，</w:t>
            </w:r>
            <w:r>
              <w:rPr>
                <w:rFonts w:hint="eastAsia"/>
                <w:color w:val="000000" w:themeColor="text1"/>
                <w:sz w:val="24"/>
                <w:szCs w:val="24"/>
                <w:highlight w:val="none"/>
                <w:lang w:val="en-US" w:eastAsia="zh-CN"/>
                <w14:textFill>
                  <w14:solidFill>
                    <w14:schemeClr w14:val="tx1"/>
                  </w14:solidFill>
                </w14:textFill>
              </w:rPr>
              <w:t>经</w:t>
            </w:r>
            <w:r>
              <w:rPr>
                <w:rFonts w:hint="eastAsia" w:eastAsia="宋体"/>
                <w:color w:val="000000" w:themeColor="text1"/>
                <w:sz w:val="24"/>
                <w:szCs w:val="24"/>
                <w:highlight w:val="none"/>
                <w:lang w:eastAsia="zh-CN"/>
                <w14:textFill>
                  <w14:solidFill>
                    <w14:schemeClr w14:val="tx1"/>
                  </w14:solidFill>
                </w14:textFill>
              </w:rPr>
              <w:t>布袋除尘器（TA0</w:t>
            </w:r>
            <w:r>
              <w:rPr>
                <w:rFonts w:hint="eastAsia"/>
                <w:color w:val="000000" w:themeColor="text1"/>
                <w:sz w:val="24"/>
                <w:szCs w:val="24"/>
                <w:highlight w:val="none"/>
                <w:lang w:val="en-US" w:eastAsia="zh-CN"/>
                <w14:textFill>
                  <w14:solidFill>
                    <w14:schemeClr w14:val="tx1"/>
                  </w14:solidFill>
                </w14:textFill>
              </w:rPr>
              <w:t>25</w:t>
            </w:r>
            <w:r>
              <w:rPr>
                <w:rFonts w:hint="eastAsia" w:eastAsia="宋体"/>
                <w:color w:val="000000" w:themeColor="text1"/>
                <w:sz w:val="24"/>
                <w:szCs w:val="24"/>
                <w:highlight w:val="none"/>
                <w:lang w:eastAsia="zh-CN"/>
                <w14:textFill>
                  <w14:solidFill>
                    <w14:schemeClr w14:val="tx1"/>
                  </w14:solidFill>
                </w14:textFill>
              </w:rPr>
              <w:t>）处理后由</w:t>
            </w:r>
            <w:r>
              <w:rPr>
                <w:rFonts w:hint="eastAsia" w:eastAsia="宋体"/>
                <w:color w:val="000000" w:themeColor="text1"/>
                <w:sz w:val="24"/>
                <w:szCs w:val="24"/>
                <w:highlight w:val="none"/>
                <w:lang w:val="en-US" w:eastAsia="zh-CN"/>
                <w14:textFill>
                  <w14:solidFill>
                    <w14:schemeClr w14:val="tx1"/>
                  </w14:solidFill>
                </w14:textFill>
              </w:rPr>
              <w:t>不低于</w:t>
            </w:r>
            <w:r>
              <w:rPr>
                <w:rFonts w:hint="eastAsia" w:eastAsia="宋体"/>
                <w:color w:val="000000" w:themeColor="text1"/>
                <w:sz w:val="24"/>
                <w:szCs w:val="24"/>
                <w:highlight w:val="none"/>
                <w:lang w:eastAsia="zh-CN"/>
                <w14:textFill>
                  <w14:solidFill>
                    <w14:schemeClr w14:val="tx1"/>
                  </w14:solidFill>
                </w14:textFill>
              </w:rPr>
              <w:t>15m高的排气筒（DA0</w:t>
            </w:r>
            <w:r>
              <w:rPr>
                <w:rFonts w:hint="eastAsia"/>
                <w:color w:val="000000" w:themeColor="text1"/>
                <w:sz w:val="24"/>
                <w:szCs w:val="24"/>
                <w:highlight w:val="none"/>
                <w:lang w:val="en-US" w:eastAsia="zh-CN"/>
                <w14:textFill>
                  <w14:solidFill>
                    <w14:schemeClr w14:val="tx1"/>
                  </w14:solidFill>
                </w14:textFill>
              </w:rPr>
              <w:t>16</w:t>
            </w:r>
            <w:r>
              <w:rPr>
                <w:rFonts w:hint="eastAsia" w:eastAsia="宋体"/>
                <w:color w:val="000000" w:themeColor="text1"/>
                <w:sz w:val="24"/>
                <w:szCs w:val="24"/>
                <w:highlight w:val="none"/>
                <w:lang w:eastAsia="zh-CN"/>
                <w14:textFill>
                  <w14:solidFill>
                    <w14:schemeClr w14:val="tx1"/>
                  </w14:solidFill>
                </w14:textFill>
              </w:rPr>
              <w:t>）排放，</w:t>
            </w:r>
            <w:r>
              <w:rPr>
                <w:rFonts w:hint="eastAsia" w:cs="Times New Roman"/>
                <w:b w:val="0"/>
                <w:bCs/>
                <w:color w:val="000000" w:themeColor="text1"/>
                <w:sz w:val="24"/>
                <w:szCs w:val="24"/>
                <w:highlight w:val="none"/>
                <w:lang w:val="en-US" w:eastAsia="zh-CN"/>
                <w14:textFill>
                  <w14:solidFill>
                    <w14:schemeClr w14:val="tx1"/>
                  </w14:solidFill>
                </w14:textFill>
              </w:rPr>
              <w:t>此过程</w:t>
            </w:r>
            <w:r>
              <w:rPr>
                <w:rFonts w:hint="eastAsia"/>
                <w:color w:val="000000" w:themeColor="text1"/>
                <w:sz w:val="24"/>
                <w:szCs w:val="24"/>
                <w:highlight w:val="none"/>
                <w:lang w:val="en-US" w:eastAsia="zh-CN"/>
                <w14:textFill>
                  <w14:solidFill>
                    <w14:schemeClr w14:val="tx1"/>
                  </w14:solidFill>
                </w14:textFill>
              </w:rPr>
              <w:t>产生的污染物主要为G6（颗粒物）、N（设备噪声）</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p>
          <w:p w14:paraId="433B8832">
            <w:pPr>
              <w:keepNext/>
              <w:keepLines w:val="0"/>
              <w:suppressLineNumbers w:val="0"/>
              <w:spacing w:before="0" w:beforeAutospacing="0" w:after="0" w:afterAutospacing="0" w:line="360" w:lineRule="auto"/>
              <w:ind w:left="0" w:right="0" w:firstLine="482" w:firstLineChars="200"/>
              <w:outlineLvl w:val="0"/>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⑧筛选</w:t>
            </w:r>
            <w:r>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t>：</w:t>
            </w:r>
            <w:r>
              <w:rPr>
                <w:rFonts w:hint="eastAsia" w:eastAsia="宋体" w:cs="Times New Roman" w:asciiTheme="minorEastAsia" w:hAnsiTheme="minorEastAsia"/>
                <w:color w:val="000000" w:themeColor="text1"/>
                <w:sz w:val="24"/>
                <w:highlight w:val="none"/>
                <w:lang w:val="en-US" w:eastAsia="zh-CN"/>
                <w14:textFill>
                  <w14:solidFill>
                    <w14:schemeClr w14:val="tx1"/>
                  </w14:solidFill>
                </w14:textFill>
              </w:rPr>
              <w:t>采用</w:t>
            </w:r>
            <w:r>
              <w:rPr>
                <w:rFonts w:hint="default" w:cs="Times New Roman" w:asciiTheme="minorEastAsia" w:hAnsiTheme="minorEastAsia"/>
                <w:color w:val="000000" w:themeColor="text1"/>
                <w:sz w:val="24"/>
                <w:highlight w:val="none"/>
                <w14:textFill>
                  <w14:solidFill>
                    <w14:schemeClr w14:val="tx1"/>
                  </w14:solidFill>
                </w14:textFill>
              </w:rPr>
              <w:t>筛选机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对干燥、</w:t>
            </w:r>
            <w:r>
              <w:rPr>
                <w:rFonts w:hint="eastAsia" w:cs="Times New Roman"/>
                <w:b w:val="0"/>
                <w:bCs/>
                <w:color w:val="000000" w:themeColor="text1"/>
                <w:sz w:val="24"/>
                <w:szCs w:val="24"/>
                <w:highlight w:val="none"/>
                <w:lang w:val="en-US" w:eastAsia="zh-CN"/>
                <w14:textFill>
                  <w14:solidFill>
                    <w14:schemeClr w14:val="tx1"/>
                  </w14:solidFill>
                </w14:textFill>
              </w:rPr>
              <w:t>搓碎和捣碎后的药材</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进行</w:t>
            </w:r>
            <w:r>
              <w:rPr>
                <w:rFonts w:hint="default" w:cs="Times New Roman" w:asciiTheme="minorEastAsia" w:hAnsiTheme="minorEastAsia"/>
                <w:color w:val="000000" w:themeColor="text1"/>
                <w:sz w:val="24"/>
                <w:highlight w:val="none"/>
                <w14:textFill>
                  <w14:solidFill>
                    <w14:schemeClr w14:val="tx1"/>
                  </w14:solidFill>
                </w14:textFill>
              </w:rPr>
              <w:t>筛选</w:t>
            </w:r>
            <w:r>
              <w:rPr>
                <w:rFonts w:hint="eastAsia" w:cs="Times New Roman" w:asciiTheme="minorEastAsia" w:hAnsiTheme="minorEastAsia"/>
                <w:color w:val="000000" w:themeColor="text1"/>
                <w:sz w:val="24"/>
                <w:highlight w:val="none"/>
                <w:lang w:eastAsia="zh-CN"/>
                <w14:textFill>
                  <w14:solidFill>
                    <w14:schemeClr w14:val="tx1"/>
                  </w14:solidFill>
                </w14:textFill>
              </w:rPr>
              <w:t>，</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作用是分离完整药材饮片与碎料，碎料药材可集中回用至提取车间，提升药材利用率，不计入固废；完整药材饮片</w:t>
            </w:r>
            <w:r>
              <w:rPr>
                <w:rFonts w:hint="eastAsia" w:cs="Times New Roman"/>
                <w:b w:val="0"/>
                <w:bCs/>
                <w:color w:val="000000" w:themeColor="text1"/>
                <w:sz w:val="24"/>
                <w:szCs w:val="24"/>
                <w:highlight w:val="none"/>
                <w:lang w:val="en-US" w:eastAsia="zh-CN"/>
                <w14:textFill>
                  <w14:solidFill>
                    <w14:schemeClr w14:val="tx1"/>
                  </w14:solidFill>
                </w14:textFill>
              </w:rPr>
              <w:t>直接为经典名方1药材。项目在</w:t>
            </w:r>
            <w:r>
              <w:rPr>
                <w:rFonts w:hint="default" w:cs="Times New Roman" w:asciiTheme="minorEastAsia" w:hAnsiTheme="minorEastAsia"/>
                <w:color w:val="000000" w:themeColor="text1"/>
                <w:sz w:val="24"/>
                <w:highlight w:val="none"/>
                <w14:textFill>
                  <w14:solidFill>
                    <w14:schemeClr w14:val="tx1"/>
                  </w14:solidFill>
                </w14:textFill>
              </w:rPr>
              <w:t>筛选机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上方设置</w:t>
            </w:r>
            <w:r>
              <w:rPr>
                <w:rFonts w:hint="eastAsia"/>
                <w:color w:val="000000" w:themeColor="text1"/>
                <w:sz w:val="24"/>
                <w:szCs w:val="24"/>
                <w:highlight w:val="none"/>
                <w:lang w:val="en-US" w:eastAsia="zh-CN"/>
                <w14:textFill>
                  <w14:solidFill>
                    <w14:schemeClr w14:val="tx1"/>
                  </w14:solidFill>
                </w14:textFill>
              </w:rPr>
              <w:t>上吸式</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集气罩，</w:t>
            </w:r>
            <w:r>
              <w:rPr>
                <w:rFonts w:hint="eastAsia"/>
                <w:color w:val="000000" w:themeColor="text1"/>
                <w:sz w:val="24"/>
                <w:szCs w:val="24"/>
                <w:highlight w:val="none"/>
                <w:lang w:val="en-US" w:eastAsia="zh-CN"/>
                <w14:textFill>
                  <w14:solidFill>
                    <w14:schemeClr w14:val="tx1"/>
                  </w14:solidFill>
                </w14:textFill>
              </w:rPr>
              <w:t>经</w:t>
            </w:r>
            <w:r>
              <w:rPr>
                <w:rFonts w:hint="eastAsia" w:eastAsia="宋体"/>
                <w:color w:val="000000" w:themeColor="text1"/>
                <w:sz w:val="24"/>
                <w:szCs w:val="24"/>
                <w:highlight w:val="none"/>
                <w:lang w:eastAsia="zh-CN"/>
                <w14:textFill>
                  <w14:solidFill>
                    <w14:schemeClr w14:val="tx1"/>
                  </w14:solidFill>
                </w14:textFill>
              </w:rPr>
              <w:t>布袋除尘器（TA0</w:t>
            </w:r>
            <w:r>
              <w:rPr>
                <w:rFonts w:hint="eastAsia"/>
                <w:color w:val="000000" w:themeColor="text1"/>
                <w:sz w:val="24"/>
                <w:szCs w:val="24"/>
                <w:highlight w:val="none"/>
                <w:lang w:val="en-US" w:eastAsia="zh-CN"/>
                <w14:textFill>
                  <w14:solidFill>
                    <w14:schemeClr w14:val="tx1"/>
                  </w14:solidFill>
                </w14:textFill>
              </w:rPr>
              <w:t>25</w:t>
            </w:r>
            <w:r>
              <w:rPr>
                <w:rFonts w:hint="eastAsia" w:eastAsia="宋体"/>
                <w:color w:val="000000" w:themeColor="text1"/>
                <w:sz w:val="24"/>
                <w:szCs w:val="24"/>
                <w:highlight w:val="none"/>
                <w:lang w:eastAsia="zh-CN"/>
                <w14:textFill>
                  <w14:solidFill>
                    <w14:schemeClr w14:val="tx1"/>
                  </w14:solidFill>
                </w14:textFill>
              </w:rPr>
              <w:t>）处理后由</w:t>
            </w:r>
            <w:r>
              <w:rPr>
                <w:rFonts w:hint="eastAsia" w:eastAsia="宋体"/>
                <w:color w:val="000000" w:themeColor="text1"/>
                <w:sz w:val="24"/>
                <w:szCs w:val="24"/>
                <w:highlight w:val="none"/>
                <w:lang w:val="en-US" w:eastAsia="zh-CN"/>
                <w14:textFill>
                  <w14:solidFill>
                    <w14:schemeClr w14:val="tx1"/>
                  </w14:solidFill>
                </w14:textFill>
              </w:rPr>
              <w:t>不低于</w:t>
            </w:r>
            <w:r>
              <w:rPr>
                <w:rFonts w:hint="eastAsia" w:eastAsia="宋体"/>
                <w:color w:val="000000" w:themeColor="text1"/>
                <w:sz w:val="24"/>
                <w:szCs w:val="24"/>
                <w:highlight w:val="none"/>
                <w:lang w:eastAsia="zh-CN"/>
                <w14:textFill>
                  <w14:solidFill>
                    <w14:schemeClr w14:val="tx1"/>
                  </w14:solidFill>
                </w14:textFill>
              </w:rPr>
              <w:t>15m高的排气筒（DA0</w:t>
            </w:r>
            <w:r>
              <w:rPr>
                <w:rFonts w:hint="eastAsia"/>
                <w:color w:val="000000" w:themeColor="text1"/>
                <w:sz w:val="24"/>
                <w:szCs w:val="24"/>
                <w:highlight w:val="none"/>
                <w:lang w:val="en-US" w:eastAsia="zh-CN"/>
                <w14:textFill>
                  <w14:solidFill>
                    <w14:schemeClr w14:val="tx1"/>
                  </w14:solidFill>
                </w14:textFill>
              </w:rPr>
              <w:t>16</w:t>
            </w:r>
            <w:r>
              <w:rPr>
                <w:rFonts w:hint="eastAsia" w:eastAsia="宋体"/>
                <w:color w:val="000000" w:themeColor="text1"/>
                <w:sz w:val="24"/>
                <w:szCs w:val="24"/>
                <w:highlight w:val="none"/>
                <w:lang w:eastAsia="zh-CN"/>
                <w14:textFill>
                  <w14:solidFill>
                    <w14:schemeClr w14:val="tx1"/>
                  </w14:solidFill>
                </w14:textFill>
              </w:rPr>
              <w:t>）排放，</w:t>
            </w:r>
            <w:r>
              <w:rPr>
                <w:rFonts w:hint="eastAsia" w:cs="Times New Roman"/>
                <w:b w:val="0"/>
                <w:bCs/>
                <w:color w:val="000000" w:themeColor="text1"/>
                <w:sz w:val="24"/>
                <w:szCs w:val="24"/>
                <w:highlight w:val="none"/>
                <w:lang w:val="en-US" w:eastAsia="zh-CN"/>
                <w14:textFill>
                  <w14:solidFill>
                    <w14:schemeClr w14:val="tx1"/>
                  </w14:solidFill>
                </w14:textFill>
              </w:rPr>
              <w:t>此过程</w:t>
            </w:r>
            <w:r>
              <w:rPr>
                <w:rFonts w:hint="eastAsia"/>
                <w:color w:val="000000" w:themeColor="text1"/>
                <w:sz w:val="24"/>
                <w:szCs w:val="24"/>
                <w:highlight w:val="none"/>
                <w:lang w:val="en-US" w:eastAsia="zh-CN"/>
                <w14:textFill>
                  <w14:solidFill>
                    <w14:schemeClr w14:val="tx1"/>
                  </w14:solidFill>
                </w14:textFill>
              </w:rPr>
              <w:t>产生的污染物主要为G3（颗粒物）、N（设备噪声）</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p>
          <w:p w14:paraId="2D0B9E48">
            <w:pPr>
              <w:keepNext/>
              <w:keepLines w:val="0"/>
              <w:suppressLineNumbers w:val="0"/>
              <w:spacing w:before="0" w:beforeAutospacing="0" w:after="0" w:afterAutospacing="0" w:line="360" w:lineRule="auto"/>
              <w:ind w:left="0" w:right="0" w:firstLine="482" w:firstLineChars="200"/>
              <w:outlineLvl w:val="0"/>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⑨检验</w:t>
            </w:r>
            <w:r>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经典名方1药材经采样后进行检验，检验合格后成品入库。此过程</w:t>
            </w:r>
            <w:r>
              <w:rPr>
                <w:rFonts w:hint="eastAsia"/>
                <w:color w:val="000000" w:themeColor="text1"/>
                <w:sz w:val="24"/>
                <w:szCs w:val="24"/>
                <w:highlight w:val="none"/>
                <w:lang w:val="en-US" w:eastAsia="zh-CN"/>
                <w14:textFill>
                  <w14:solidFill>
                    <w14:schemeClr w14:val="tx1"/>
                  </w14:solidFill>
                </w14:textFill>
              </w:rPr>
              <w:t>产生的污染物主要为S2（</w:t>
            </w:r>
            <w:r>
              <w:rPr>
                <w:rFonts w:hint="eastAsia" w:cs="Times New Roman"/>
                <w:color w:val="000000" w:themeColor="text1"/>
                <w:sz w:val="24"/>
                <w:szCs w:val="24"/>
                <w:highlight w:val="none"/>
                <w:lang w:val="en-US" w:eastAsia="zh-CN"/>
                <w14:textFill>
                  <w14:solidFill>
                    <w14:schemeClr w14:val="tx1"/>
                  </w14:solidFill>
                </w14:textFill>
              </w:rPr>
              <w:t>化学检验废液、废化学试剂瓶、废弃薄层板、废试药</w:t>
            </w:r>
            <w:r>
              <w:rPr>
                <w:rFonts w:hint="eastAsia"/>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p>
          <w:p w14:paraId="0347DA46">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jc w:val="left"/>
              <w:textAlignment w:val="auto"/>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pPr>
            <w:r>
              <w:rPr>
                <w:rFonts w:hint="eastAsia" w:cs="Times New Roman"/>
                <w:b/>
                <w:bCs/>
                <w:color w:val="000000" w:themeColor="text1"/>
                <w:kern w:val="0"/>
                <w:sz w:val="24"/>
                <w:szCs w:val="24"/>
                <w:highlight w:val="none"/>
                <w:lang w:eastAsia="zh-CN" w:bidi="en-US"/>
                <w14:textFill>
                  <w14:solidFill>
                    <w14:schemeClr w14:val="tx1"/>
                  </w14:solidFill>
                </w14:textFill>
              </w:rPr>
              <w:t>（</w:t>
            </w:r>
            <w:r>
              <w:rPr>
                <w:rFonts w:hint="eastAsia" w:cs="Times New Roman"/>
                <w:b/>
                <w:bCs/>
                <w:color w:val="000000" w:themeColor="text1"/>
                <w:kern w:val="0"/>
                <w:sz w:val="24"/>
                <w:szCs w:val="24"/>
                <w:highlight w:val="none"/>
                <w:lang w:val="en-US" w:eastAsia="zh-CN" w:bidi="en-US"/>
                <w14:textFill>
                  <w14:solidFill>
                    <w14:schemeClr w14:val="tx1"/>
                  </w14:solidFill>
                </w14:textFill>
              </w:rPr>
              <w:t>2</w:t>
            </w:r>
            <w:r>
              <w:rPr>
                <w:rFonts w:hint="eastAsia" w:cs="Times New Roman"/>
                <w:b/>
                <w:bCs/>
                <w:color w:val="000000" w:themeColor="text1"/>
                <w:kern w:val="0"/>
                <w:sz w:val="24"/>
                <w:szCs w:val="24"/>
                <w:highlight w:val="none"/>
                <w:lang w:eastAsia="zh-CN" w:bidi="en-US"/>
                <w14:textFill>
                  <w14:solidFill>
                    <w14:schemeClr w14:val="tx1"/>
                  </w14:solidFill>
                </w14:textFill>
              </w:rPr>
              <w:t>）经典名方1炮制</w:t>
            </w: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产污环节一览表如下表所示</w:t>
            </w:r>
            <w:r>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t>：</w:t>
            </w:r>
          </w:p>
          <w:p w14:paraId="17E33C93">
            <w:pPr>
              <w:keepNext w:val="0"/>
              <w:keepLines w:val="0"/>
              <w:pageBreakBefore w:val="0"/>
              <w:widowControl w:val="0"/>
              <w:numPr>
                <w:ilvl w:val="0"/>
                <w:numId w:val="5"/>
              </w:numPr>
              <w:suppressLineNumbers w:val="0"/>
              <w:kinsoku/>
              <w:wordWrap/>
              <w:overflowPunct/>
              <w:topLinePunct w:val="0"/>
              <w:autoSpaceDE/>
              <w:autoSpaceDN/>
              <w:bidi w:val="0"/>
              <w:adjustRightInd/>
              <w:snapToGrid w:val="0"/>
              <w:spacing w:before="157" w:beforeLines="50" w:beforeAutospacing="0" w:after="0" w:afterLines="0" w:afterAutospacing="0"/>
              <w:ind w:left="0" w:leftChars="0" w:right="0" w:rightChars="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 xml:space="preserve">  </w:t>
            </w:r>
            <w:r>
              <w:rPr>
                <w:rFonts w:hint="eastAsia" w:cs="Times New Roman"/>
                <w:b/>
                <w:bCs/>
                <w:color w:val="000000" w:themeColor="text1"/>
                <w:kern w:val="2"/>
                <w:sz w:val="21"/>
                <w:szCs w:val="21"/>
                <w:highlight w:val="none"/>
                <w:lang w:val="en-US" w:eastAsia="zh-CN" w:bidi="ar-SA"/>
                <w14:textFill>
                  <w14:solidFill>
                    <w14:schemeClr w14:val="tx1"/>
                  </w14:solidFill>
                </w14:textFill>
              </w:rPr>
              <w:t>经典名方1</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炮制产污环节一览表</w:t>
            </w:r>
          </w:p>
          <w:tbl>
            <w:tblPr>
              <w:tblStyle w:val="36"/>
              <w:tblW w:w="4993"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57"/>
              <w:gridCol w:w="884"/>
              <w:gridCol w:w="1421"/>
              <w:gridCol w:w="1642"/>
              <w:gridCol w:w="3333"/>
            </w:tblGrid>
            <w:tr w14:paraId="332BEBE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tcBorders>
                    <w:tl2br w:val="nil"/>
                    <w:tr2bl w:val="nil"/>
                  </w:tcBorders>
                  <w:noWrap w:val="0"/>
                  <w:vAlign w:val="center"/>
                </w:tcPr>
                <w:p w14:paraId="2DCB80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类别</w:t>
                  </w:r>
                </w:p>
              </w:tc>
              <w:tc>
                <w:tcPr>
                  <w:tcW w:w="549" w:type="pct"/>
                  <w:tcBorders>
                    <w:tl2br w:val="nil"/>
                    <w:tr2bl w:val="nil"/>
                  </w:tcBorders>
                  <w:noWrap w:val="0"/>
                  <w:vAlign w:val="center"/>
                </w:tcPr>
                <w:p w14:paraId="3C43AC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编号</w:t>
                  </w:r>
                </w:p>
              </w:tc>
              <w:tc>
                <w:tcPr>
                  <w:tcW w:w="884" w:type="pct"/>
                  <w:tcBorders>
                    <w:tl2br w:val="nil"/>
                    <w:tr2bl w:val="nil"/>
                  </w:tcBorders>
                  <w:noWrap w:val="0"/>
                  <w:vAlign w:val="center"/>
                </w:tcPr>
                <w:p w14:paraId="7EE666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污染源</w:t>
                  </w:r>
                </w:p>
              </w:tc>
              <w:tc>
                <w:tcPr>
                  <w:tcW w:w="1021" w:type="pct"/>
                  <w:tcBorders>
                    <w:tl2br w:val="nil"/>
                    <w:tr2bl w:val="nil"/>
                  </w:tcBorders>
                  <w:noWrap w:val="0"/>
                  <w:vAlign w:val="center"/>
                </w:tcPr>
                <w:p w14:paraId="5628FB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主要污染</w:t>
                  </w:r>
                </w:p>
                <w:p w14:paraId="55CF62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因子</w:t>
                  </w:r>
                </w:p>
              </w:tc>
              <w:tc>
                <w:tcPr>
                  <w:tcW w:w="2073" w:type="pct"/>
                  <w:tcBorders>
                    <w:tl2br w:val="nil"/>
                    <w:tr2bl w:val="nil"/>
                  </w:tcBorders>
                  <w:noWrap w:val="0"/>
                  <w:vAlign w:val="center"/>
                </w:tcPr>
                <w:p w14:paraId="2385D1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治理措施</w:t>
                  </w:r>
                </w:p>
              </w:tc>
            </w:tr>
            <w:tr w14:paraId="6A346BF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70" w:type="pct"/>
                  <w:vMerge w:val="restart"/>
                  <w:tcBorders>
                    <w:tl2br w:val="nil"/>
                    <w:tr2bl w:val="nil"/>
                  </w:tcBorders>
                  <w:noWrap w:val="0"/>
                  <w:vAlign w:val="center"/>
                </w:tcPr>
                <w:p w14:paraId="14A2F8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废气</w:t>
                  </w:r>
                </w:p>
              </w:tc>
              <w:tc>
                <w:tcPr>
                  <w:tcW w:w="549" w:type="pct"/>
                  <w:tcBorders>
                    <w:tl2br w:val="nil"/>
                    <w:tr2bl w:val="nil"/>
                  </w:tcBorders>
                  <w:noWrap w:val="0"/>
                  <w:vAlign w:val="center"/>
                </w:tcPr>
                <w:p w14:paraId="720BFB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G1</w:t>
                  </w:r>
                </w:p>
              </w:tc>
              <w:tc>
                <w:tcPr>
                  <w:tcW w:w="884" w:type="pct"/>
                  <w:tcBorders>
                    <w:tl2br w:val="nil"/>
                    <w:tr2bl w:val="nil"/>
                  </w:tcBorders>
                  <w:noWrap w:val="0"/>
                  <w:vAlign w:val="center"/>
                </w:tcPr>
                <w:p w14:paraId="6C6928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软化废气</w:t>
                  </w:r>
                </w:p>
              </w:tc>
              <w:tc>
                <w:tcPr>
                  <w:tcW w:w="1021" w:type="pct"/>
                  <w:tcBorders>
                    <w:tl2br w:val="nil"/>
                    <w:tr2bl w:val="nil"/>
                  </w:tcBorders>
                  <w:noWrap w:val="0"/>
                  <w:vAlign w:val="center"/>
                </w:tcPr>
                <w:p w14:paraId="692DE5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臭气浓度</w:t>
                  </w:r>
                </w:p>
              </w:tc>
              <w:tc>
                <w:tcPr>
                  <w:tcW w:w="2073" w:type="pct"/>
                  <w:tcBorders>
                    <w:tl2br w:val="nil"/>
                    <w:tr2bl w:val="nil"/>
                  </w:tcBorders>
                  <w:noWrap w:val="0"/>
                  <w:vAlign w:val="center"/>
                </w:tcPr>
                <w:p w14:paraId="7449539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设备密闭+泄压排气管道与车间整体排风连接，产生的水蒸气和少量中药异味（臭气浓度）无组织排放</w:t>
                  </w:r>
                </w:p>
              </w:tc>
            </w:tr>
            <w:tr w14:paraId="724EC89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70" w:type="pct"/>
                  <w:vMerge w:val="continue"/>
                  <w:tcBorders>
                    <w:tl2br w:val="nil"/>
                    <w:tr2bl w:val="nil"/>
                  </w:tcBorders>
                  <w:noWrap w:val="0"/>
                  <w:vAlign w:val="center"/>
                </w:tcPr>
                <w:p w14:paraId="703209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49" w:type="pct"/>
                  <w:tcBorders>
                    <w:tl2br w:val="nil"/>
                    <w:tr2bl w:val="nil"/>
                  </w:tcBorders>
                  <w:noWrap w:val="0"/>
                  <w:vAlign w:val="center"/>
                </w:tcPr>
                <w:p w14:paraId="5A3030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G2</w:t>
                  </w:r>
                </w:p>
              </w:tc>
              <w:tc>
                <w:tcPr>
                  <w:tcW w:w="884" w:type="pct"/>
                  <w:tcBorders>
                    <w:tl2br w:val="nil"/>
                    <w:tr2bl w:val="nil"/>
                  </w:tcBorders>
                  <w:noWrap w:val="0"/>
                  <w:vAlign w:val="center"/>
                </w:tcPr>
                <w:p w14:paraId="73CA88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切制废气</w:t>
                  </w:r>
                </w:p>
              </w:tc>
              <w:tc>
                <w:tcPr>
                  <w:tcW w:w="1021" w:type="pct"/>
                  <w:tcBorders>
                    <w:tl2br w:val="nil"/>
                    <w:tr2bl w:val="nil"/>
                  </w:tcBorders>
                  <w:noWrap w:val="0"/>
                  <w:vAlign w:val="center"/>
                </w:tcPr>
                <w:p w14:paraId="38A1D4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2073" w:type="pct"/>
                  <w:vMerge w:val="restart"/>
                  <w:tcBorders>
                    <w:tl2br w:val="nil"/>
                    <w:tr2bl w:val="nil"/>
                  </w:tcBorders>
                  <w:noWrap w:val="0"/>
                  <w:vAlign w:val="center"/>
                </w:tcPr>
                <w:p w14:paraId="31D13429">
                  <w:pPr>
                    <w:keepNext w:val="0"/>
                    <w:keepLines w:val="0"/>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上吸式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集气罩+布袋除尘器（TA0</w:t>
                  </w:r>
                  <w:r>
                    <w:rPr>
                      <w:rFonts w:hint="eastAsia"/>
                      <w:color w:val="000000" w:themeColor="text1"/>
                      <w:sz w:val="21"/>
                      <w:szCs w:val="21"/>
                      <w:highlight w:val="none"/>
                      <w:lang w:val="en-US" w:eastAsia="zh-CN"/>
                      <w14:textFill>
                        <w14:solidFill>
                          <w14:schemeClr w14:val="tx1"/>
                        </w14:solidFill>
                      </w14:textFill>
                    </w:rPr>
                    <w:t>25</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）处理后由不低于15m高的排气筒（DA0</w:t>
                  </w:r>
                  <w:r>
                    <w:rPr>
                      <w:rFonts w:hint="eastAsia"/>
                      <w:color w:val="000000" w:themeColor="text1"/>
                      <w:sz w:val="21"/>
                      <w:szCs w:val="21"/>
                      <w:highlight w:val="none"/>
                      <w:lang w:val="en-US" w:eastAsia="zh-CN"/>
                      <w14:textFill>
                        <w14:solidFill>
                          <w14:schemeClr w14:val="tx1"/>
                        </w14:solidFill>
                      </w14:textFill>
                    </w:rPr>
                    <w:t>16</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）排放</w:t>
                  </w:r>
                </w:p>
              </w:tc>
            </w:tr>
            <w:tr w14:paraId="2708A91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70" w:type="pct"/>
                  <w:vMerge w:val="continue"/>
                  <w:tcBorders>
                    <w:tl2br w:val="nil"/>
                    <w:tr2bl w:val="nil"/>
                  </w:tcBorders>
                  <w:noWrap w:val="0"/>
                  <w:vAlign w:val="center"/>
                </w:tcPr>
                <w:p w14:paraId="68C858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49" w:type="pct"/>
                  <w:tcBorders>
                    <w:tl2br w:val="nil"/>
                    <w:tr2bl w:val="nil"/>
                  </w:tcBorders>
                  <w:noWrap w:val="0"/>
                  <w:vAlign w:val="center"/>
                </w:tcPr>
                <w:p w14:paraId="0DEC85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G3</w:t>
                  </w:r>
                </w:p>
              </w:tc>
              <w:tc>
                <w:tcPr>
                  <w:tcW w:w="884" w:type="pct"/>
                  <w:tcBorders>
                    <w:tl2br w:val="nil"/>
                    <w:tr2bl w:val="nil"/>
                  </w:tcBorders>
                  <w:noWrap w:val="0"/>
                  <w:vAlign w:val="center"/>
                </w:tcPr>
                <w:p w14:paraId="47DA72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压扁废气</w:t>
                  </w:r>
                </w:p>
              </w:tc>
              <w:tc>
                <w:tcPr>
                  <w:tcW w:w="1021" w:type="pct"/>
                  <w:tcBorders>
                    <w:tl2br w:val="nil"/>
                    <w:tr2bl w:val="nil"/>
                  </w:tcBorders>
                  <w:noWrap w:val="0"/>
                  <w:vAlign w:val="center"/>
                </w:tcPr>
                <w:p w14:paraId="02DE3E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2073" w:type="pct"/>
                  <w:vMerge w:val="continue"/>
                  <w:tcBorders>
                    <w:tl2br w:val="nil"/>
                    <w:tr2bl w:val="nil"/>
                  </w:tcBorders>
                  <w:noWrap w:val="0"/>
                  <w:vAlign w:val="center"/>
                </w:tcPr>
                <w:p w14:paraId="604FFB38">
                  <w:pPr>
                    <w:keepNext w:val="0"/>
                    <w:keepLines w:val="0"/>
                    <w:suppressLineNumbers w:val="0"/>
                    <w:spacing w:before="0" w:beforeAutospacing="0" w:after="0" w:afterAutospacing="0"/>
                    <w:ind w:left="0" w:right="0"/>
                    <w:jc w:val="center"/>
                    <w:rPr>
                      <w:rFonts w:hint="eastAsia"/>
                      <w:color w:val="000000" w:themeColor="text1"/>
                      <w:sz w:val="21"/>
                      <w:szCs w:val="21"/>
                      <w:highlight w:val="none"/>
                      <w:lang w:val="en-US" w:eastAsia="zh-CN"/>
                      <w14:textFill>
                        <w14:solidFill>
                          <w14:schemeClr w14:val="tx1"/>
                        </w14:solidFill>
                      </w14:textFill>
                    </w:rPr>
                  </w:pPr>
                </w:p>
              </w:tc>
            </w:tr>
            <w:tr w14:paraId="12B05B5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vMerge w:val="continue"/>
                  <w:tcBorders>
                    <w:tl2br w:val="nil"/>
                    <w:tr2bl w:val="nil"/>
                  </w:tcBorders>
                  <w:noWrap w:val="0"/>
                  <w:vAlign w:val="center"/>
                </w:tcPr>
                <w:p w14:paraId="1230D9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49" w:type="pct"/>
                  <w:tcBorders>
                    <w:tl2br w:val="nil"/>
                    <w:tr2bl w:val="nil"/>
                  </w:tcBorders>
                  <w:noWrap w:val="0"/>
                  <w:vAlign w:val="center"/>
                </w:tcPr>
                <w:p w14:paraId="10A878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w:t>
                  </w:r>
                  <w:r>
                    <w:rPr>
                      <w:rFonts w:hint="eastAsia" w:cs="Times New Roman"/>
                      <w:color w:val="000000" w:themeColor="text1"/>
                      <w:sz w:val="21"/>
                      <w:szCs w:val="21"/>
                      <w:highlight w:val="none"/>
                      <w:lang w:val="en-US" w:eastAsia="zh-CN"/>
                      <w14:textFill>
                        <w14:solidFill>
                          <w14:schemeClr w14:val="tx1"/>
                        </w14:solidFill>
                      </w14:textFill>
                    </w:rPr>
                    <w:t>4</w:t>
                  </w:r>
                </w:p>
              </w:tc>
              <w:tc>
                <w:tcPr>
                  <w:tcW w:w="884" w:type="pct"/>
                  <w:tcBorders>
                    <w:tl2br w:val="nil"/>
                    <w:tr2bl w:val="nil"/>
                  </w:tcBorders>
                  <w:noWrap w:val="0"/>
                  <w:vAlign w:val="center"/>
                </w:tcPr>
                <w:p w14:paraId="0B2583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干燥废气</w:t>
                  </w:r>
                </w:p>
              </w:tc>
              <w:tc>
                <w:tcPr>
                  <w:tcW w:w="1021" w:type="pct"/>
                  <w:tcBorders>
                    <w:tl2br w:val="nil"/>
                    <w:tr2bl w:val="nil"/>
                  </w:tcBorders>
                  <w:noWrap w:val="0"/>
                  <w:vAlign w:val="center"/>
                </w:tcPr>
                <w:p w14:paraId="660B36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臭气浓度</w:t>
                  </w:r>
                </w:p>
              </w:tc>
              <w:tc>
                <w:tcPr>
                  <w:tcW w:w="2073" w:type="pct"/>
                  <w:tcBorders>
                    <w:tl2br w:val="nil"/>
                    <w:tr2bl w:val="nil"/>
                  </w:tcBorders>
                  <w:noWrap w:val="0"/>
                  <w:vAlign w:val="center"/>
                </w:tcPr>
                <w:p w14:paraId="72D950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上吸式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集气罩+集气管道与车间整体排风连接，产生的水蒸气和少量中药异味（臭气浓度）无组织排放</w:t>
                  </w:r>
                </w:p>
              </w:tc>
            </w:tr>
            <w:tr w14:paraId="6270BD8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vMerge w:val="continue"/>
                  <w:tcBorders>
                    <w:tl2br w:val="nil"/>
                    <w:tr2bl w:val="nil"/>
                  </w:tcBorders>
                  <w:noWrap w:val="0"/>
                  <w:vAlign w:val="center"/>
                </w:tcPr>
                <w:p w14:paraId="3F65DC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49" w:type="pct"/>
                  <w:tcBorders>
                    <w:tl2br w:val="nil"/>
                    <w:tr2bl w:val="nil"/>
                  </w:tcBorders>
                  <w:noWrap w:val="0"/>
                  <w:vAlign w:val="center"/>
                </w:tcPr>
                <w:p w14:paraId="2DCB80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w:t>
                  </w:r>
                  <w:r>
                    <w:rPr>
                      <w:rFonts w:hint="eastAsia" w:cs="Times New Roman"/>
                      <w:color w:val="000000" w:themeColor="text1"/>
                      <w:sz w:val="21"/>
                      <w:szCs w:val="21"/>
                      <w:highlight w:val="none"/>
                      <w:lang w:val="en-US" w:eastAsia="zh-CN"/>
                      <w14:textFill>
                        <w14:solidFill>
                          <w14:schemeClr w14:val="tx1"/>
                        </w14:solidFill>
                      </w14:textFill>
                    </w:rPr>
                    <w:t>5</w:t>
                  </w:r>
                </w:p>
              </w:tc>
              <w:tc>
                <w:tcPr>
                  <w:tcW w:w="884" w:type="pct"/>
                  <w:tcBorders>
                    <w:tl2br w:val="nil"/>
                    <w:tr2bl w:val="nil"/>
                  </w:tcBorders>
                  <w:noWrap w:val="0"/>
                  <w:vAlign w:val="center"/>
                </w:tcPr>
                <w:p w14:paraId="626C3BFF">
                  <w:pPr>
                    <w:pStyle w:val="115"/>
                    <w:keepNext w:val="0"/>
                    <w:keepLines w:val="0"/>
                    <w:pageBreakBefore w:val="0"/>
                    <w:widowControl w:val="0"/>
                    <w:suppressLineNumbers w:val="0"/>
                    <w:tabs>
                      <w:tab w:val="clear" w:pos="3480"/>
                    </w:tabs>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搓碎废气</w:t>
                  </w:r>
                </w:p>
              </w:tc>
              <w:tc>
                <w:tcPr>
                  <w:tcW w:w="1021" w:type="pct"/>
                  <w:tcBorders>
                    <w:tl2br w:val="nil"/>
                    <w:tr2bl w:val="nil"/>
                  </w:tcBorders>
                  <w:noWrap w:val="0"/>
                  <w:vAlign w:val="center"/>
                </w:tcPr>
                <w:p w14:paraId="040117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2073" w:type="pct"/>
                  <w:vMerge w:val="restart"/>
                  <w:tcBorders>
                    <w:tl2br w:val="nil"/>
                    <w:tr2bl w:val="nil"/>
                  </w:tcBorders>
                  <w:noWrap w:val="0"/>
                  <w:vAlign w:val="center"/>
                </w:tcPr>
                <w:p w14:paraId="366AAD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上吸式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集气罩+布袋除尘器（TA0</w:t>
                  </w:r>
                  <w:r>
                    <w:rPr>
                      <w:rFonts w:hint="eastAsia"/>
                      <w:color w:val="000000" w:themeColor="text1"/>
                      <w:sz w:val="21"/>
                      <w:szCs w:val="21"/>
                      <w:highlight w:val="none"/>
                      <w:lang w:val="en-US" w:eastAsia="zh-CN"/>
                      <w14:textFill>
                        <w14:solidFill>
                          <w14:schemeClr w14:val="tx1"/>
                        </w14:solidFill>
                      </w14:textFill>
                    </w:rPr>
                    <w:t>25</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）处理后由不低于15m高的排气筒（DA0</w:t>
                  </w:r>
                  <w:r>
                    <w:rPr>
                      <w:rFonts w:hint="eastAsia"/>
                      <w:color w:val="000000" w:themeColor="text1"/>
                      <w:sz w:val="21"/>
                      <w:szCs w:val="21"/>
                      <w:highlight w:val="none"/>
                      <w:lang w:val="en-US" w:eastAsia="zh-CN"/>
                      <w14:textFill>
                        <w14:solidFill>
                          <w14:schemeClr w14:val="tx1"/>
                        </w14:solidFill>
                      </w14:textFill>
                    </w:rPr>
                    <w:t>16</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）排放</w:t>
                  </w:r>
                </w:p>
              </w:tc>
            </w:tr>
            <w:tr w14:paraId="1736E22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vMerge w:val="continue"/>
                  <w:tcBorders>
                    <w:tl2br w:val="nil"/>
                    <w:tr2bl w:val="nil"/>
                  </w:tcBorders>
                  <w:noWrap w:val="0"/>
                  <w:vAlign w:val="center"/>
                </w:tcPr>
                <w:p w14:paraId="143868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49" w:type="pct"/>
                  <w:tcBorders>
                    <w:tl2br w:val="nil"/>
                    <w:tr2bl w:val="nil"/>
                  </w:tcBorders>
                  <w:noWrap w:val="0"/>
                  <w:vAlign w:val="center"/>
                </w:tcPr>
                <w:p w14:paraId="2F2E07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w:t>
                  </w:r>
                  <w:r>
                    <w:rPr>
                      <w:rFonts w:hint="eastAsia" w:cs="Times New Roman"/>
                      <w:color w:val="000000" w:themeColor="text1"/>
                      <w:sz w:val="21"/>
                      <w:szCs w:val="21"/>
                      <w:highlight w:val="none"/>
                      <w:lang w:val="en-US" w:eastAsia="zh-CN"/>
                      <w14:textFill>
                        <w14:solidFill>
                          <w14:schemeClr w14:val="tx1"/>
                        </w14:solidFill>
                      </w14:textFill>
                    </w:rPr>
                    <w:t>6</w:t>
                  </w:r>
                </w:p>
              </w:tc>
              <w:tc>
                <w:tcPr>
                  <w:tcW w:w="884" w:type="pct"/>
                  <w:tcBorders>
                    <w:tl2br w:val="nil"/>
                    <w:tr2bl w:val="nil"/>
                  </w:tcBorders>
                  <w:noWrap w:val="0"/>
                  <w:vAlign w:val="center"/>
                </w:tcPr>
                <w:p w14:paraId="11199B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捣碎</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废气</w:t>
                  </w:r>
                </w:p>
              </w:tc>
              <w:tc>
                <w:tcPr>
                  <w:tcW w:w="1021" w:type="pct"/>
                  <w:tcBorders>
                    <w:tl2br w:val="nil"/>
                    <w:tr2bl w:val="nil"/>
                  </w:tcBorders>
                  <w:noWrap w:val="0"/>
                  <w:vAlign w:val="center"/>
                </w:tcPr>
                <w:p w14:paraId="6A1A63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2073" w:type="pct"/>
                  <w:vMerge w:val="continue"/>
                  <w:tcBorders>
                    <w:tl2br w:val="nil"/>
                    <w:tr2bl w:val="nil"/>
                  </w:tcBorders>
                  <w:noWrap w:val="0"/>
                  <w:vAlign w:val="center"/>
                </w:tcPr>
                <w:p w14:paraId="6150B3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color w:val="000000" w:themeColor="text1"/>
                      <w:sz w:val="21"/>
                      <w:szCs w:val="21"/>
                      <w:highlight w:val="none"/>
                      <w:lang w:val="en-US" w:eastAsia="zh-CN"/>
                      <w14:textFill>
                        <w14:solidFill>
                          <w14:schemeClr w14:val="tx1"/>
                        </w14:solidFill>
                      </w14:textFill>
                    </w:rPr>
                  </w:pPr>
                </w:p>
              </w:tc>
            </w:tr>
            <w:tr w14:paraId="10C0970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0" w:type="pct"/>
                  <w:vMerge w:val="continue"/>
                  <w:tcBorders>
                    <w:tl2br w:val="nil"/>
                    <w:tr2bl w:val="nil"/>
                  </w:tcBorders>
                  <w:noWrap w:val="0"/>
                  <w:vAlign w:val="center"/>
                </w:tcPr>
                <w:p w14:paraId="1940BA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49" w:type="pct"/>
                  <w:tcBorders>
                    <w:tl2br w:val="nil"/>
                    <w:tr2bl w:val="nil"/>
                  </w:tcBorders>
                  <w:noWrap w:val="0"/>
                  <w:vAlign w:val="center"/>
                </w:tcPr>
                <w:p w14:paraId="6597D4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w:t>
                  </w:r>
                  <w:r>
                    <w:rPr>
                      <w:rFonts w:hint="eastAsia" w:cs="Times New Roman"/>
                      <w:color w:val="000000" w:themeColor="text1"/>
                      <w:sz w:val="21"/>
                      <w:szCs w:val="21"/>
                      <w:highlight w:val="none"/>
                      <w:lang w:val="en-US" w:eastAsia="zh-CN"/>
                      <w14:textFill>
                        <w14:solidFill>
                          <w14:schemeClr w14:val="tx1"/>
                        </w14:solidFill>
                      </w14:textFill>
                    </w:rPr>
                    <w:t>7</w:t>
                  </w:r>
                </w:p>
              </w:tc>
              <w:tc>
                <w:tcPr>
                  <w:tcW w:w="884" w:type="pct"/>
                  <w:tcBorders>
                    <w:tl2br w:val="nil"/>
                    <w:tr2bl w:val="nil"/>
                  </w:tcBorders>
                  <w:noWrap w:val="0"/>
                  <w:vAlign w:val="center"/>
                </w:tcPr>
                <w:p w14:paraId="1EB0C9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筛选废气</w:t>
                  </w:r>
                </w:p>
              </w:tc>
              <w:tc>
                <w:tcPr>
                  <w:tcW w:w="1021" w:type="pct"/>
                  <w:tcBorders>
                    <w:tl2br w:val="nil"/>
                    <w:tr2bl w:val="nil"/>
                  </w:tcBorders>
                  <w:noWrap w:val="0"/>
                  <w:vAlign w:val="center"/>
                </w:tcPr>
                <w:p w14:paraId="293FBD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2073" w:type="pct"/>
                  <w:vMerge w:val="continue"/>
                  <w:tcBorders>
                    <w:tl2br w:val="nil"/>
                    <w:tr2bl w:val="nil"/>
                  </w:tcBorders>
                  <w:noWrap w:val="0"/>
                  <w:vAlign w:val="center"/>
                </w:tcPr>
                <w:p w14:paraId="4DF147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245E8D6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tcBorders>
                    <w:tl2br w:val="nil"/>
                    <w:tr2bl w:val="nil"/>
                  </w:tcBorders>
                  <w:noWrap w:val="0"/>
                  <w:vAlign w:val="center"/>
                </w:tcPr>
                <w:p w14:paraId="475B91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废水</w:t>
                  </w:r>
                </w:p>
              </w:tc>
              <w:tc>
                <w:tcPr>
                  <w:tcW w:w="549" w:type="pct"/>
                  <w:tcBorders>
                    <w:tl2br w:val="nil"/>
                    <w:tr2bl w:val="nil"/>
                  </w:tcBorders>
                  <w:noWrap w:val="0"/>
                  <w:vAlign w:val="center"/>
                </w:tcPr>
                <w:p w14:paraId="42E144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W1</w:t>
                  </w:r>
                  <w:r>
                    <w:rPr>
                      <w:rFonts w:hint="eastAsia"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w:t>
                  </w:r>
                </w:p>
              </w:tc>
              <w:tc>
                <w:tcPr>
                  <w:tcW w:w="884" w:type="pct"/>
                  <w:tcBorders>
                    <w:tl2br w:val="nil"/>
                    <w:tr2bl w:val="nil"/>
                  </w:tcBorders>
                  <w:noWrap w:val="0"/>
                  <w:vAlign w:val="center"/>
                </w:tcPr>
                <w:p w14:paraId="51684C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废水</w:t>
                  </w:r>
                </w:p>
              </w:tc>
              <w:tc>
                <w:tcPr>
                  <w:tcW w:w="1021" w:type="pct"/>
                  <w:tcBorders>
                    <w:tl2br w:val="nil"/>
                    <w:tr2bl w:val="nil"/>
                  </w:tcBorders>
                  <w:noWrap w:val="0"/>
                  <w:vAlign w:val="center"/>
                </w:tcPr>
                <w:p w14:paraId="02F2C8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pH值、动植物油、总有机碳</w:t>
                  </w:r>
                  <w:r>
                    <w:rPr>
                      <w:rFonts w:hint="eastAsia" w:eastAsia="宋体" w:cs="Times New Roman"/>
                      <w:color w:val="000000" w:themeColor="text1"/>
                      <w:sz w:val="21"/>
                      <w:szCs w:val="21"/>
                      <w:highlight w:val="none"/>
                      <w:lang w:val="en-US" w:eastAsia="zh-CN"/>
                      <w14:textFill>
                        <w14:solidFill>
                          <w14:schemeClr w14:val="tx1"/>
                        </w14:solidFill>
                      </w14:textFill>
                    </w:rPr>
                    <w:t>、色度、悬浮物、五日生化需氧量、化学需氧量、氨氮、总氮、总磷、总氰化物</w:t>
                  </w:r>
                </w:p>
              </w:tc>
              <w:tc>
                <w:tcPr>
                  <w:tcW w:w="2073" w:type="pct"/>
                  <w:tcBorders>
                    <w:tl2br w:val="nil"/>
                    <w:tr2bl w:val="nil"/>
                  </w:tcBorders>
                  <w:noWrap w:val="0"/>
                  <w:vAlign w:val="center"/>
                </w:tcPr>
                <w:p w14:paraId="699AF9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kern w:val="0"/>
                      <w:sz w:val="21"/>
                      <w:szCs w:val="21"/>
                      <w:highlight w:val="none"/>
                      <w:u w:val="none"/>
                      <w:lang w:val="en-US" w:eastAsia="zh-CN"/>
                      <w14:textFill>
                        <w14:solidFill>
                          <w14:schemeClr w14:val="tx1"/>
                        </w14:solidFill>
                      </w14:textFill>
                    </w:rPr>
                  </w:pPr>
                  <w:r>
                    <w:rPr>
                      <w:rFonts w:hint="eastAsia" w:ascii="Times New Roman" w:hAnsi="Times New Roman" w:eastAsia="新宋体" w:cs="Times New Roman"/>
                      <w:color w:val="000000" w:themeColor="text1"/>
                      <w:sz w:val="21"/>
                      <w:szCs w:val="21"/>
                      <w:highlight w:val="none"/>
                      <w:lang w:eastAsia="zh-CN"/>
                      <w14:textFill>
                        <w14:solidFill>
                          <w14:schemeClr w14:val="tx1"/>
                        </w14:solidFill>
                      </w14:textFill>
                    </w:rPr>
                    <w:t>废水进入厂内污水处理站进行处理，处理达标后，排入厂区污水管网后排入高新区市政管网最终排入</w:t>
                  </w:r>
                  <w:r>
                    <w:rPr>
                      <w:rFonts w:hint="eastAsia" w:cs="Times New Roman"/>
                      <w:color w:val="000000" w:themeColor="text1"/>
                      <w:sz w:val="21"/>
                      <w:szCs w:val="21"/>
                      <w:highlight w:val="none"/>
                      <w:lang w:eastAsia="zh-CN"/>
                      <w14:textFill>
                        <w14:solidFill>
                          <w14:schemeClr w14:val="tx1"/>
                        </w14:solidFill>
                      </w14:textFill>
                    </w:rPr>
                    <w:t>石桥子污水处理厂</w:t>
                  </w:r>
                  <w:r>
                    <w:rPr>
                      <w:rFonts w:hint="eastAsia" w:ascii="Times New Roman" w:hAnsi="Times New Roman" w:eastAsia="新宋体" w:cs="Times New Roman"/>
                      <w:color w:val="000000" w:themeColor="text1"/>
                      <w:sz w:val="21"/>
                      <w:szCs w:val="21"/>
                      <w:highlight w:val="none"/>
                      <w:lang w:eastAsia="zh-CN"/>
                      <w14:textFill>
                        <w14:solidFill>
                          <w14:schemeClr w14:val="tx1"/>
                        </w14:solidFill>
                      </w14:textFill>
                    </w:rPr>
                    <w:t>。</w:t>
                  </w:r>
                </w:p>
              </w:tc>
            </w:tr>
            <w:tr w14:paraId="495CCFD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vMerge w:val="restart"/>
                  <w:tcBorders>
                    <w:tl2br w:val="nil"/>
                    <w:tr2bl w:val="nil"/>
                  </w:tcBorders>
                  <w:noWrap w:val="0"/>
                  <w:vAlign w:val="center"/>
                </w:tcPr>
                <w:p w14:paraId="3C0121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固废</w:t>
                  </w:r>
                </w:p>
              </w:tc>
              <w:tc>
                <w:tcPr>
                  <w:tcW w:w="549" w:type="pct"/>
                  <w:tcBorders>
                    <w:tl2br w:val="nil"/>
                    <w:tr2bl w:val="nil"/>
                  </w:tcBorders>
                  <w:noWrap w:val="0"/>
                  <w:vAlign w:val="center"/>
                </w:tcPr>
                <w:p w14:paraId="303F84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S1</w:t>
                  </w:r>
                </w:p>
              </w:tc>
              <w:tc>
                <w:tcPr>
                  <w:tcW w:w="884" w:type="pct"/>
                  <w:tcBorders>
                    <w:tl2br w:val="nil"/>
                    <w:tr2bl w:val="nil"/>
                  </w:tcBorders>
                  <w:noWrap w:val="0"/>
                  <w:vAlign w:val="center"/>
                </w:tcPr>
                <w:p w14:paraId="7DFD91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净制</w:t>
                  </w:r>
                </w:p>
              </w:tc>
              <w:tc>
                <w:tcPr>
                  <w:tcW w:w="1021" w:type="pct"/>
                  <w:tcBorders>
                    <w:tl2br w:val="nil"/>
                    <w:tr2bl w:val="nil"/>
                  </w:tcBorders>
                  <w:noWrap w:val="0"/>
                  <w:vAlign w:val="center"/>
                </w:tcPr>
                <w:p w14:paraId="1167D8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分拣废渣</w:t>
                  </w:r>
                </w:p>
              </w:tc>
              <w:tc>
                <w:tcPr>
                  <w:tcW w:w="2073" w:type="pct"/>
                  <w:tcBorders>
                    <w:tl2br w:val="nil"/>
                    <w:tr2bl w:val="nil"/>
                  </w:tcBorders>
                  <w:noWrap w:val="0"/>
                  <w:vAlign w:val="center"/>
                </w:tcPr>
                <w:p w14:paraId="1433A0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u w:val="none"/>
                      <w:lang w:val="en-US" w:eastAsia="zh-CN"/>
                      <w14:textFill>
                        <w14:solidFill>
                          <w14:schemeClr w14:val="tx1"/>
                        </w14:solidFill>
                      </w14:textFill>
                    </w:rPr>
                    <w:t>集中收集后暂存于一般固废暂存区，交由有利用、处置能力的企业依法依规进行利用处置。</w:t>
                  </w:r>
                </w:p>
              </w:tc>
            </w:tr>
            <w:tr w14:paraId="5D3428C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vMerge w:val="continue"/>
                  <w:tcBorders>
                    <w:tl2br w:val="nil"/>
                    <w:tr2bl w:val="nil"/>
                  </w:tcBorders>
                  <w:noWrap w:val="0"/>
                  <w:vAlign w:val="center"/>
                </w:tcPr>
                <w:p w14:paraId="14AABF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49" w:type="pct"/>
                  <w:tcBorders>
                    <w:tl2br w:val="nil"/>
                    <w:tr2bl w:val="nil"/>
                  </w:tcBorders>
                  <w:noWrap w:val="0"/>
                  <w:vAlign w:val="center"/>
                </w:tcPr>
                <w:p w14:paraId="5CF845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w:t>
                  </w:r>
                  <w:r>
                    <w:rPr>
                      <w:rFonts w:hint="eastAsia" w:cs="Times New Roman"/>
                      <w:color w:val="000000" w:themeColor="text1"/>
                      <w:sz w:val="21"/>
                      <w:szCs w:val="21"/>
                      <w:highlight w:val="none"/>
                      <w:lang w:val="en-US" w:eastAsia="zh-CN"/>
                      <w14:textFill>
                        <w14:solidFill>
                          <w14:schemeClr w14:val="tx1"/>
                        </w14:solidFill>
                      </w14:textFill>
                    </w:rPr>
                    <w:t>2</w:t>
                  </w:r>
                </w:p>
              </w:tc>
              <w:tc>
                <w:tcPr>
                  <w:tcW w:w="884" w:type="pct"/>
                  <w:tcBorders>
                    <w:tl2br w:val="nil"/>
                    <w:tr2bl w:val="nil"/>
                  </w:tcBorders>
                  <w:noWrap w:val="0"/>
                  <w:vAlign w:val="center"/>
                </w:tcPr>
                <w:p w14:paraId="08BAB4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检验</w:t>
                  </w:r>
                </w:p>
              </w:tc>
              <w:tc>
                <w:tcPr>
                  <w:tcW w:w="1021" w:type="pct"/>
                  <w:tcBorders>
                    <w:tl2br w:val="nil"/>
                    <w:tr2bl w:val="nil"/>
                  </w:tcBorders>
                  <w:noWrap w:val="0"/>
                  <w:vAlign w:val="center"/>
                </w:tcPr>
                <w:p w14:paraId="0B30D0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化学检验废液</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cs="Times New Roman"/>
                      <w:b w:val="0"/>
                      <w:bCs w:val="0"/>
                      <w:color w:val="000000" w:themeColor="text1"/>
                      <w:sz w:val="21"/>
                      <w:szCs w:val="21"/>
                      <w:highlight w:val="none"/>
                      <w:lang w:eastAsia="zh-CN"/>
                      <w14:textFill>
                        <w14:solidFill>
                          <w14:schemeClr w14:val="tx1"/>
                        </w14:solidFill>
                      </w14:textFill>
                    </w:rPr>
                    <w:t>废化学试剂瓶</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、废弃薄层板</w:t>
                  </w:r>
                  <w:r>
                    <w:rPr>
                      <w:rFonts w:hint="default"/>
                      <w:color w:val="000000" w:themeColor="text1"/>
                      <w:highlight w:val="none"/>
                      <w14:textFill>
                        <w14:solidFill>
                          <w14:schemeClr w14:val="tx1"/>
                        </w14:solidFill>
                      </w14:textFill>
                    </w:rPr>
                    <w:t>、</w:t>
                  </w:r>
                  <w:r>
                    <w:rPr>
                      <w:rFonts w:hint="eastAsia"/>
                      <w:color w:val="000000" w:themeColor="text1"/>
                      <w:highlight w:val="none"/>
                      <w:lang w:eastAsia="zh-CN"/>
                      <w14:textFill>
                        <w14:solidFill>
                          <w14:schemeClr w14:val="tx1"/>
                        </w14:solidFill>
                      </w14:textFill>
                    </w:rPr>
                    <w:t>废试药</w:t>
                  </w:r>
                </w:p>
              </w:tc>
              <w:tc>
                <w:tcPr>
                  <w:tcW w:w="2073" w:type="pct"/>
                  <w:tcBorders>
                    <w:tl2br w:val="nil"/>
                    <w:tr2bl w:val="nil"/>
                  </w:tcBorders>
                  <w:noWrap w:val="0"/>
                  <w:vAlign w:val="center"/>
                </w:tcPr>
                <w:p w14:paraId="11AB72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t>依托现有危废贮存</w:t>
                  </w:r>
                  <w:r>
                    <w:rPr>
                      <w:rFonts w:hint="eastAsia" w:eastAsia="宋体" w:cs="Times New Roman"/>
                      <w:color w:val="000000" w:themeColor="text1"/>
                      <w:sz w:val="21"/>
                      <w:szCs w:val="21"/>
                      <w:highlight w:val="none"/>
                      <w:u w:val="none"/>
                      <w:lang w:val="en-US" w:eastAsia="zh-CN"/>
                      <w14:textFill>
                        <w14:solidFill>
                          <w14:schemeClr w14:val="tx1"/>
                        </w14:solidFill>
                      </w14:textFill>
                    </w:rPr>
                    <w:t>库</w:t>
                  </w:r>
                  <w:r>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t>暂存，定期委托有资质单位处置。</w:t>
                  </w:r>
                </w:p>
              </w:tc>
            </w:tr>
            <w:tr w14:paraId="643D228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tcBorders>
                    <w:tl2br w:val="nil"/>
                    <w:tr2bl w:val="nil"/>
                  </w:tcBorders>
                  <w:noWrap w:val="0"/>
                  <w:vAlign w:val="center"/>
                </w:tcPr>
                <w:p w14:paraId="31A66F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噪声</w:t>
                  </w:r>
                </w:p>
              </w:tc>
              <w:tc>
                <w:tcPr>
                  <w:tcW w:w="549" w:type="pct"/>
                  <w:tcBorders>
                    <w:tl2br w:val="nil"/>
                    <w:tr2bl w:val="nil"/>
                  </w:tcBorders>
                  <w:noWrap w:val="0"/>
                  <w:vAlign w:val="center"/>
                </w:tcPr>
                <w:p w14:paraId="45A1DE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N</w:t>
                  </w:r>
                </w:p>
              </w:tc>
              <w:tc>
                <w:tcPr>
                  <w:tcW w:w="1905" w:type="pct"/>
                  <w:gridSpan w:val="2"/>
                  <w:tcBorders>
                    <w:tl2br w:val="nil"/>
                    <w:tr2bl w:val="nil"/>
                  </w:tcBorders>
                  <w:noWrap w:val="0"/>
                  <w:vAlign w:val="center"/>
                </w:tcPr>
                <w:p w14:paraId="700836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各种设备运转噪声</w:t>
                  </w:r>
                </w:p>
              </w:tc>
              <w:tc>
                <w:tcPr>
                  <w:tcW w:w="2073" w:type="pct"/>
                  <w:tcBorders>
                    <w:tl2br w:val="nil"/>
                    <w:tr2bl w:val="nil"/>
                  </w:tcBorders>
                  <w:noWrap w:val="0"/>
                  <w:vAlign w:val="center"/>
                </w:tcPr>
                <w:p w14:paraId="0B5B30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低噪声设备选型、基础减振、建筑隔声</w:t>
                  </w:r>
                </w:p>
              </w:tc>
            </w:tr>
          </w:tbl>
          <w:p w14:paraId="00CEC520">
            <w:pPr>
              <w:keepNext w:val="0"/>
              <w:keepLines w:val="0"/>
              <w:widowControl/>
              <w:suppressLineNumbers w:val="0"/>
              <w:adjustRightInd w:val="0"/>
              <w:snapToGrid w:val="0"/>
              <w:spacing w:before="93" w:beforeLines="30" w:beforeAutospacing="0" w:after="93" w:afterLines="30" w:afterAutospacing="0" w:line="360" w:lineRule="auto"/>
              <w:ind w:left="0" w:right="0"/>
              <w:jc w:val="left"/>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t>1.2.</w:t>
            </w:r>
            <w:r>
              <w:rPr>
                <w:rFonts w:hint="eastAsia"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t>2</w:t>
            </w:r>
            <w:r>
              <w:rPr>
                <w:rFonts w:hint="default"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t xml:space="preserve"> </w:t>
            </w:r>
            <w:r>
              <w:rPr>
                <w:rFonts w:hint="eastAsia" w:cs="Times New Roman"/>
                <w:b/>
                <w:bCs/>
                <w:color w:val="000000" w:themeColor="text1"/>
                <w:kern w:val="0"/>
                <w:sz w:val="24"/>
                <w:szCs w:val="24"/>
                <w:highlight w:val="none"/>
                <w:lang w:val="en-US" w:eastAsia="zh-CN" w:bidi="en-US"/>
                <w14:textFill>
                  <w14:solidFill>
                    <w14:schemeClr w14:val="tx1"/>
                  </w14:solidFill>
                </w14:textFill>
              </w:rPr>
              <w:t>经典名方2</w:t>
            </w:r>
            <w:r>
              <w:rPr>
                <w:rFonts w:hint="default"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t>炮制工艺</w:t>
            </w:r>
            <w:r>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t>流程简述：</w:t>
            </w:r>
          </w:p>
          <w:p w14:paraId="4A62176C">
            <w:pPr>
              <w:pStyle w:val="25"/>
              <w:keepNext w:val="0"/>
              <w:keepLines w:val="0"/>
              <w:suppressLineNumbers w:val="0"/>
              <w:spacing w:before="0" w:beforeAutospacing="0" w:afterAutospacing="0"/>
              <w:ind w:left="0" w:leftChars="0" w:right="0" w:firstLine="0" w:firstLineChars="0"/>
              <w:jc w:val="center"/>
              <w:rPr>
                <w:rFonts w:hint="eastAsia" w:ascii="Times New Roman" w:hAnsi="Times New Roman" w:eastAsia="宋体" w:cs="Times New Roman"/>
                <w:b/>
                <w:bCs/>
                <w:color w:val="000000" w:themeColor="text1"/>
                <w:kern w:val="0"/>
                <w:sz w:val="24"/>
                <w:szCs w:val="24"/>
                <w:highlight w:val="none"/>
                <w:lang w:eastAsia="zh-CN" w:bidi="en-US"/>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eastAsia="zh-CN" w:bidi="en-US"/>
                <w14:textFill>
                  <w14:solidFill>
                    <w14:schemeClr w14:val="tx1"/>
                  </w14:solidFill>
                </w14:textFill>
              </w:rPr>
              <w:drawing>
                <wp:inline distT="0" distB="0" distL="114300" distR="114300">
                  <wp:extent cx="5104765" cy="3975100"/>
                  <wp:effectExtent l="0" t="0" r="635" b="6350"/>
                  <wp:docPr id="292" name="图片 29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图片 292" descr="2"/>
                          <pic:cNvPicPr>
                            <a:picLocks noChangeAspect="1"/>
                          </pic:cNvPicPr>
                        </pic:nvPicPr>
                        <pic:blipFill>
                          <a:blip r:embed="rId18"/>
                          <a:stretch>
                            <a:fillRect/>
                          </a:stretch>
                        </pic:blipFill>
                        <pic:spPr>
                          <a:xfrm>
                            <a:off x="0" y="0"/>
                            <a:ext cx="5104765" cy="3975100"/>
                          </a:xfrm>
                          <a:prstGeom prst="rect">
                            <a:avLst/>
                          </a:prstGeom>
                        </pic:spPr>
                      </pic:pic>
                    </a:graphicData>
                  </a:graphic>
                </wp:inline>
              </w:drawing>
            </w:r>
          </w:p>
          <w:p w14:paraId="07EB6589">
            <w:pPr>
              <w:keepNext w:val="0"/>
              <w:keepLines w:val="0"/>
              <w:numPr>
                <w:ilvl w:val="0"/>
                <w:numId w:val="16"/>
              </w:numPr>
              <w:suppressLineNumbers w:val="0"/>
              <w:snapToGrid w:val="0"/>
              <w:spacing w:before="0" w:beforeLines="0" w:beforeAutospacing="0" w:after="0" w:afterLines="0" w:afterAutospacing="0"/>
              <w:ind w:left="0" w:leftChars="0" w:right="0" w:rightChars="0" w:firstLine="0" w:firstLineChars="0"/>
              <w:jc w:val="center"/>
              <w:rPr>
                <w:rFonts w:hint="eastAsia"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 xml:space="preserve">  经典名方2炮制工艺流程及产污节点图</w:t>
            </w:r>
          </w:p>
          <w:p w14:paraId="3C969A73">
            <w:pPr>
              <w:pStyle w:val="18"/>
              <w:keepNext w:val="0"/>
              <w:keepLines w:val="0"/>
              <w:suppressLineNumbers w:val="0"/>
              <w:spacing w:beforeAutospacing="0" w:afterAutospacing="0"/>
              <w:ind w:left="0"/>
              <w:rPr>
                <w:rFonts w:hint="eastAsia"/>
                <w:color w:val="000000" w:themeColor="text1"/>
                <w:highlight w:val="none"/>
                <w:lang w:val="en-US" w:eastAsia="zh-CN"/>
                <w14:textFill>
                  <w14:solidFill>
                    <w14:schemeClr w14:val="tx1"/>
                  </w14:solidFill>
                </w14:textFill>
              </w:rPr>
            </w:pPr>
          </w:p>
          <w:p w14:paraId="3587DBA3">
            <w:pPr>
              <w:keepNext w:val="0"/>
              <w:keepLines w:val="0"/>
              <w:widowControl/>
              <w:suppressLineNumbers w:val="0"/>
              <w:adjustRightInd w:val="0"/>
              <w:snapToGrid w:val="0"/>
              <w:spacing w:before="0" w:beforeAutospacing="0" w:after="0" w:afterAutospacing="0" w:line="360" w:lineRule="auto"/>
              <w:ind w:left="0" w:right="0"/>
              <w:jc w:val="left"/>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pPr>
            <w:r>
              <w:rPr>
                <w:rFonts w:hint="eastAsia" w:cs="Times New Roman"/>
                <w:b/>
                <w:bCs/>
                <w:color w:val="000000" w:themeColor="text1"/>
                <w:kern w:val="0"/>
                <w:sz w:val="24"/>
                <w:szCs w:val="24"/>
                <w:highlight w:val="none"/>
                <w:lang w:eastAsia="zh-CN" w:bidi="en-US"/>
                <w14:textFill>
                  <w14:solidFill>
                    <w14:schemeClr w14:val="tx1"/>
                  </w14:solidFill>
                </w14:textFill>
              </w:rPr>
              <w:t>（</w:t>
            </w:r>
            <w:r>
              <w:rPr>
                <w:rFonts w:hint="eastAsia" w:cs="Times New Roman"/>
                <w:b/>
                <w:bCs/>
                <w:color w:val="000000" w:themeColor="text1"/>
                <w:kern w:val="0"/>
                <w:sz w:val="24"/>
                <w:szCs w:val="24"/>
                <w:highlight w:val="none"/>
                <w:lang w:val="en-US" w:eastAsia="zh-CN" w:bidi="en-US"/>
                <w14:textFill>
                  <w14:solidFill>
                    <w14:schemeClr w14:val="tx1"/>
                  </w14:solidFill>
                </w14:textFill>
              </w:rPr>
              <w:t>1</w:t>
            </w:r>
            <w:r>
              <w:rPr>
                <w:rFonts w:hint="eastAsia" w:cs="Times New Roman"/>
                <w:b/>
                <w:bCs/>
                <w:color w:val="000000" w:themeColor="text1"/>
                <w:kern w:val="0"/>
                <w:sz w:val="24"/>
                <w:szCs w:val="24"/>
                <w:highlight w:val="none"/>
                <w:lang w:eastAsia="zh-CN" w:bidi="en-US"/>
                <w14:textFill>
                  <w14:solidFill>
                    <w14:schemeClr w14:val="tx1"/>
                  </w14:solidFill>
                </w14:textFill>
              </w:rPr>
              <w:t>）</w:t>
            </w:r>
            <w:r>
              <w:rPr>
                <w:rFonts w:hint="eastAsia" w:cs="Times New Roman"/>
                <w:b/>
                <w:bCs/>
                <w:color w:val="000000" w:themeColor="text1"/>
                <w:kern w:val="0"/>
                <w:sz w:val="24"/>
                <w:szCs w:val="24"/>
                <w:highlight w:val="none"/>
                <w:lang w:val="en-US" w:eastAsia="zh-CN" w:bidi="en-US"/>
                <w14:textFill>
                  <w14:solidFill>
                    <w14:schemeClr w14:val="tx1"/>
                  </w14:solidFill>
                </w14:textFill>
              </w:rPr>
              <w:t>经典名方2</w:t>
            </w:r>
            <w:r>
              <w:rPr>
                <w:rFonts w:hint="default"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t>炮制</w:t>
            </w:r>
            <w:r>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t>工艺流程简述：</w:t>
            </w:r>
          </w:p>
          <w:p w14:paraId="69E56BC7">
            <w:pPr>
              <w:keepNext/>
              <w:keepLines w:val="0"/>
              <w:suppressLineNumbers w:val="0"/>
              <w:spacing w:before="0" w:beforeAutospacing="0" w:after="0" w:afterAutospacing="0" w:line="360" w:lineRule="auto"/>
              <w:ind w:left="0" w:right="0" w:firstLine="482" w:firstLineChars="200"/>
              <w:outlineLvl w:val="0"/>
              <w:rPr>
                <w:rFonts w:hint="default" w:cs="Times New Roman"/>
                <w:b w:val="0"/>
                <w:bCs/>
                <w:color w:val="000000" w:themeColor="text1"/>
                <w:sz w:val="24"/>
                <w:szCs w:val="24"/>
                <w:highlight w:val="none"/>
                <w:lang w:val="en-US"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①净制</w:t>
            </w:r>
            <w:r>
              <w:rPr>
                <w:rFonts w:hint="eastAsia"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将经典名方2的药材进行人工分拣，除去</w:t>
            </w:r>
            <w:r>
              <w:rPr>
                <w:rFonts w:hint="eastAsia" w:cs="Times New Roman" w:asciiTheme="minorEastAsia" w:hAnsiTheme="minorEastAsia"/>
                <w:color w:val="000000" w:themeColor="text1"/>
                <w:sz w:val="24"/>
                <w:highlight w:val="none"/>
                <w14:textFill>
                  <w14:solidFill>
                    <w14:schemeClr w14:val="tx1"/>
                  </w14:solidFill>
                </w14:textFill>
              </w:rPr>
              <w:t>根茎</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或杂质等，利用洗药机进行清洗，清洗采用软化水，清洗后的</w:t>
            </w:r>
            <w:r>
              <w:rPr>
                <w:rFonts w:hint="eastAsia" w:cs="Times New Roman"/>
                <w:b w:val="0"/>
                <w:bCs/>
                <w:color w:val="000000" w:themeColor="text1"/>
                <w:sz w:val="24"/>
                <w:szCs w:val="24"/>
                <w:highlight w:val="none"/>
                <w:lang w:val="en-US" w:eastAsia="zh-CN"/>
                <w14:textFill>
                  <w14:solidFill>
                    <w14:schemeClr w14:val="tx1"/>
                  </w14:solidFill>
                </w14:textFill>
              </w:rPr>
              <w:t>药材进入软化工序。此过程</w:t>
            </w:r>
            <w:r>
              <w:rPr>
                <w:rFonts w:hint="eastAsia"/>
                <w:color w:val="000000" w:themeColor="text1"/>
                <w:sz w:val="24"/>
                <w:szCs w:val="24"/>
                <w:highlight w:val="none"/>
                <w:lang w:val="en-US" w:eastAsia="zh-CN"/>
                <w14:textFill>
                  <w14:solidFill>
                    <w14:schemeClr w14:val="tx1"/>
                  </w14:solidFill>
                </w14:textFill>
              </w:rPr>
              <w:t>产生的污染物主要为S1（</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分拣废渣</w:t>
            </w:r>
            <w:r>
              <w:rPr>
                <w:rFonts w:hint="eastAsia"/>
                <w:color w:val="000000" w:themeColor="text1"/>
                <w:sz w:val="24"/>
                <w:szCs w:val="24"/>
                <w:highlight w:val="none"/>
                <w:lang w:val="en-US" w:eastAsia="zh-CN"/>
                <w14:textFill>
                  <w14:solidFill>
                    <w14:schemeClr w14:val="tx1"/>
                  </w14:solidFill>
                </w14:textFill>
              </w:rPr>
              <w:t>）、W1（</w:t>
            </w:r>
            <w:r>
              <w:rPr>
                <w:rFonts w:hint="default" w:ascii="Times New Roman" w:hAnsi="Times New Roman" w:eastAsia="新宋体" w:cs="Times New Roman"/>
                <w:color w:val="000000" w:themeColor="text1"/>
                <w:sz w:val="24"/>
                <w:szCs w:val="24"/>
                <w:highlight w:val="none"/>
                <w:lang w:bidi="ar-SA"/>
                <w14:textFill>
                  <w14:solidFill>
                    <w14:schemeClr w14:val="tx1"/>
                  </w14:solidFill>
                </w14:textFill>
              </w:rPr>
              <w:t>废水</w:t>
            </w:r>
            <w:r>
              <w:rPr>
                <w:rFonts w:hint="eastAsia"/>
                <w:color w:val="000000" w:themeColor="text1"/>
                <w:sz w:val="24"/>
                <w:szCs w:val="24"/>
                <w:highlight w:val="none"/>
                <w:lang w:val="en-US" w:eastAsia="zh-CN"/>
                <w14:textFill>
                  <w14:solidFill>
                    <w14:schemeClr w14:val="tx1"/>
                  </w14:solidFill>
                </w14:textFill>
              </w:rPr>
              <w:t>）、N（设备噪声）。</w:t>
            </w:r>
          </w:p>
          <w:p w14:paraId="419AE6CF">
            <w:pPr>
              <w:keepNext/>
              <w:keepLines w:val="0"/>
              <w:suppressLineNumbers w:val="0"/>
              <w:spacing w:before="0" w:beforeAutospacing="0" w:after="0" w:afterAutospacing="0" w:line="360" w:lineRule="auto"/>
              <w:ind w:left="0" w:right="0" w:firstLine="482" w:firstLineChars="200"/>
              <w:outlineLvl w:val="0"/>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pPr>
            <w:r>
              <w:rPr>
                <w:rFonts w:hint="eastAsia" w:cs="Times New Roman"/>
                <w:b/>
                <w:bCs w:val="0"/>
                <w:color w:val="000000" w:themeColor="text1"/>
                <w:sz w:val="24"/>
                <w:szCs w:val="24"/>
                <w:highlight w:val="none"/>
                <w:u w:val="none"/>
                <w:lang w:val="en-US" w:eastAsia="zh-CN"/>
                <w14:textFill>
                  <w14:solidFill>
                    <w14:schemeClr w14:val="tx1"/>
                  </w14:solidFill>
                </w14:textFill>
              </w:rPr>
              <w:t>②</w:t>
            </w:r>
            <w:r>
              <w:rPr>
                <w:rFonts w:hint="eastAsia"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软化</w:t>
            </w:r>
            <w:r>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蒸润一体机</w:t>
            </w:r>
            <w:r>
              <w:rPr>
                <w:rFonts w:hint="eastAsia" w:cs="Times New Roman"/>
                <w:b w:val="0"/>
                <w:bCs/>
                <w:color w:val="000000" w:themeColor="text1"/>
                <w:sz w:val="24"/>
                <w:szCs w:val="24"/>
                <w:highlight w:val="none"/>
                <w:lang w:val="en-US" w:eastAsia="zh-CN"/>
                <w14:textFill>
                  <w14:solidFill>
                    <w14:schemeClr w14:val="tx1"/>
                  </w14:solidFill>
                </w14:textFill>
              </w:rPr>
              <w:t>是电加热软化水产生蒸汽，</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采用蒸润一体机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对</w:t>
            </w:r>
            <w:r>
              <w:rPr>
                <w:rFonts w:hint="eastAsia" w:cs="Times New Roman"/>
                <w:b w:val="0"/>
                <w:bCs/>
                <w:color w:val="000000" w:themeColor="text1"/>
                <w:sz w:val="24"/>
                <w:szCs w:val="24"/>
                <w:highlight w:val="none"/>
                <w:lang w:val="en-US" w:eastAsia="zh-CN"/>
                <w14:textFill>
                  <w14:solidFill>
                    <w14:schemeClr w14:val="tx1"/>
                  </w14:solidFill>
                </w14:textFill>
              </w:rPr>
              <w:t>药材进行软化润透，作用是方便切制、降低粉尘产生量、保住药性，减少有效成分流失等作用</w:t>
            </w:r>
            <w:r>
              <w:rPr>
                <w:rFonts w:hint="default" w:ascii="Times New Roman" w:hAnsi="Times New Roman" w:cs="Times New Roman"/>
                <w:color w:val="000000" w:themeColor="text1"/>
                <w:sz w:val="24"/>
                <w:highlight w:val="none"/>
                <w:lang w:val="en-US"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软化后的药材按照药材特征分别进入切制工序、压扁工序。项目</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蒸润一体机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密闭，泄压排气管道与车间整体排风连接，产生的水蒸气和少量中药异味（臭气浓度）无组织排放，设备定期清洗产生设备清洗废水</w:t>
            </w:r>
            <w:r>
              <w:rPr>
                <w:rFonts w:hint="eastAsia" w:eastAsia="宋体"/>
                <w:color w:val="000000" w:themeColor="text1"/>
                <w:sz w:val="24"/>
                <w:szCs w:val="24"/>
                <w:highlight w:val="none"/>
                <w:lang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此过程</w:t>
            </w:r>
            <w:r>
              <w:rPr>
                <w:rFonts w:hint="eastAsia"/>
                <w:color w:val="000000" w:themeColor="text1"/>
                <w:sz w:val="24"/>
                <w:szCs w:val="24"/>
                <w:highlight w:val="none"/>
                <w:lang w:val="en-US" w:eastAsia="zh-CN"/>
                <w14:textFill>
                  <w14:solidFill>
                    <w14:schemeClr w14:val="tx1"/>
                  </w14:solidFill>
                </w14:textFill>
              </w:rPr>
              <w:t>产生的污染物主要为G1（臭气浓度）、W2（</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废水</w:t>
            </w:r>
            <w:r>
              <w:rPr>
                <w:rFonts w:hint="eastAsia"/>
                <w:color w:val="000000" w:themeColor="text1"/>
                <w:sz w:val="24"/>
                <w:szCs w:val="24"/>
                <w:highlight w:val="none"/>
                <w:lang w:val="en-US" w:eastAsia="zh-CN"/>
                <w14:textFill>
                  <w14:solidFill>
                    <w14:schemeClr w14:val="tx1"/>
                  </w14:solidFill>
                </w14:textFill>
              </w:rPr>
              <w:t>）、N（设备噪声）。</w:t>
            </w:r>
          </w:p>
          <w:p w14:paraId="4CB24FC4">
            <w:pPr>
              <w:keepNext/>
              <w:keepLines w:val="0"/>
              <w:suppressLineNumbers w:val="0"/>
              <w:spacing w:before="0" w:beforeAutospacing="0" w:after="0" w:afterAutospacing="0" w:line="360" w:lineRule="auto"/>
              <w:ind w:left="0" w:right="0" w:firstLine="482" w:firstLineChars="200"/>
              <w:outlineLvl w:val="0"/>
              <w:rPr>
                <w:rFonts w:hint="default" w:eastAsia="宋体"/>
                <w:color w:val="000000" w:themeColor="text1"/>
                <w:sz w:val="24"/>
                <w:szCs w:val="24"/>
                <w:highlight w:val="none"/>
                <w:lang w:val="en-US"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③蒸制</w:t>
            </w:r>
            <w:r>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采用</w:t>
            </w:r>
            <w:r>
              <w:rPr>
                <w:rFonts w:hint="eastAsia" w:cs="Times New Roman" w:asciiTheme="minorEastAsia" w:hAnsiTheme="minorEastAsia"/>
                <w:color w:val="000000" w:themeColor="text1"/>
                <w:sz w:val="24"/>
                <w:highlight w:val="none"/>
                <w14:textFill>
                  <w14:solidFill>
                    <w14:schemeClr w14:val="tx1"/>
                  </w14:solidFill>
                </w14:textFill>
              </w:rPr>
              <w:t>蒸煮锅</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对药材进行蒸制，蒸制后的药材进入切制工序。</w:t>
            </w:r>
            <w:r>
              <w:rPr>
                <w:rFonts w:hint="eastAsia" w:cs="Times New Roman"/>
                <w:b w:val="0"/>
                <w:bCs/>
                <w:color w:val="000000" w:themeColor="text1"/>
                <w:sz w:val="24"/>
                <w:szCs w:val="24"/>
                <w:highlight w:val="none"/>
                <w:lang w:val="en-US" w:eastAsia="zh-CN"/>
                <w14:textFill>
                  <w14:solidFill>
                    <w14:schemeClr w14:val="tx1"/>
                  </w14:solidFill>
                </w14:textFill>
              </w:rPr>
              <w:t>此过程</w:t>
            </w:r>
            <w:r>
              <w:rPr>
                <w:rFonts w:hint="eastAsia"/>
                <w:color w:val="000000" w:themeColor="text1"/>
                <w:sz w:val="24"/>
                <w:szCs w:val="24"/>
                <w:highlight w:val="none"/>
                <w:lang w:val="en-US" w:eastAsia="zh-CN"/>
                <w14:textFill>
                  <w14:solidFill>
                    <w14:schemeClr w14:val="tx1"/>
                  </w14:solidFill>
                </w14:textFill>
              </w:rPr>
              <w:t>产生的污染物主要为W3（</w:t>
            </w:r>
            <w:r>
              <w:rPr>
                <w:rFonts w:hint="default" w:ascii="Times New Roman" w:hAnsi="Times New Roman" w:eastAsia="新宋体" w:cs="Times New Roman"/>
                <w:color w:val="000000" w:themeColor="text1"/>
                <w:sz w:val="24"/>
                <w:szCs w:val="24"/>
                <w:highlight w:val="none"/>
                <w:lang w:bidi="ar-SA"/>
                <w14:textFill>
                  <w14:solidFill>
                    <w14:schemeClr w14:val="tx1"/>
                  </w14:solidFill>
                </w14:textFill>
              </w:rPr>
              <w:t>废水</w:t>
            </w:r>
            <w:r>
              <w:rPr>
                <w:rFonts w:hint="eastAsia"/>
                <w:color w:val="000000" w:themeColor="text1"/>
                <w:sz w:val="24"/>
                <w:szCs w:val="24"/>
                <w:highlight w:val="none"/>
                <w:lang w:val="en-US" w:eastAsia="zh-CN"/>
                <w14:textFill>
                  <w14:solidFill>
                    <w14:schemeClr w14:val="tx1"/>
                  </w14:solidFill>
                </w14:textFill>
              </w:rPr>
              <w:t>）、N（设备噪声）。</w:t>
            </w:r>
          </w:p>
          <w:p w14:paraId="12F9B579">
            <w:pPr>
              <w:keepNext/>
              <w:keepLines w:val="0"/>
              <w:suppressLineNumbers w:val="0"/>
              <w:spacing w:before="0" w:beforeAutospacing="0" w:after="0" w:afterAutospacing="0" w:line="360" w:lineRule="auto"/>
              <w:ind w:left="0" w:right="0" w:firstLine="482" w:firstLineChars="200"/>
              <w:outlineLvl w:val="0"/>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④切制</w:t>
            </w:r>
            <w:r>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采用</w:t>
            </w:r>
            <w:r>
              <w:rPr>
                <w:rFonts w:hint="eastAsia" w:cs="Times New Roman" w:asciiTheme="minorEastAsia" w:hAnsiTheme="minorEastAsia"/>
                <w:color w:val="000000" w:themeColor="text1"/>
                <w:sz w:val="24"/>
                <w:highlight w:val="none"/>
                <w14:textFill>
                  <w14:solidFill>
                    <w14:schemeClr w14:val="tx1"/>
                  </w14:solidFill>
                </w14:textFill>
              </w:rPr>
              <w:t>切药机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对</w:t>
            </w:r>
            <w:r>
              <w:rPr>
                <w:rFonts w:hint="eastAsia" w:cs="Times New Roman"/>
                <w:b w:val="0"/>
                <w:bCs/>
                <w:color w:val="000000" w:themeColor="text1"/>
                <w:sz w:val="24"/>
                <w:szCs w:val="24"/>
                <w:highlight w:val="none"/>
                <w:lang w:val="en-US" w:eastAsia="zh-CN"/>
                <w14:textFill>
                  <w14:solidFill>
                    <w14:schemeClr w14:val="tx1"/>
                  </w14:solidFill>
                </w14:textFill>
              </w:rPr>
              <w:t>软化后的药材</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进行切制，切制过程产生</w:t>
            </w:r>
            <w:r>
              <w:rPr>
                <w:rFonts w:hint="eastAsia" w:cs="Times New Roman"/>
                <w:b w:val="0"/>
                <w:bCs/>
                <w:color w:val="000000" w:themeColor="text1"/>
                <w:sz w:val="24"/>
                <w:szCs w:val="24"/>
                <w:highlight w:val="none"/>
                <w:lang w:val="en-US" w:eastAsia="zh-CN"/>
                <w14:textFill>
                  <w14:solidFill>
                    <w14:schemeClr w14:val="tx1"/>
                  </w14:solidFill>
                </w14:textFill>
              </w:rPr>
              <w:t>少量</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粉尘</w:t>
            </w:r>
            <w:r>
              <w:rPr>
                <w:rFonts w:hint="eastAsia" w:cs="Times New Roman"/>
                <w:b w:val="0"/>
                <w:bCs/>
                <w:color w:val="000000" w:themeColor="text1"/>
                <w:sz w:val="24"/>
                <w:szCs w:val="24"/>
                <w:highlight w:val="none"/>
                <w:lang w:val="en-US" w:eastAsia="zh-CN"/>
                <w14:textFill>
                  <w14:solidFill>
                    <w14:schemeClr w14:val="tx1"/>
                  </w14:solidFill>
                </w14:textFill>
              </w:rPr>
              <w:t>，项目在</w:t>
            </w:r>
            <w:r>
              <w:rPr>
                <w:rFonts w:hint="eastAsia" w:cs="Times New Roman" w:asciiTheme="minorEastAsia" w:hAnsiTheme="minorEastAsia"/>
                <w:color w:val="000000" w:themeColor="text1"/>
                <w:sz w:val="24"/>
                <w:highlight w:val="none"/>
                <w14:textFill>
                  <w14:solidFill>
                    <w14:schemeClr w14:val="tx1"/>
                  </w14:solidFill>
                </w14:textFill>
              </w:rPr>
              <w:t>切药机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上方设置</w:t>
            </w:r>
            <w:r>
              <w:rPr>
                <w:rFonts w:hint="eastAsia"/>
                <w:color w:val="000000" w:themeColor="text1"/>
                <w:sz w:val="24"/>
                <w:szCs w:val="24"/>
                <w:highlight w:val="none"/>
                <w:lang w:val="en-US" w:eastAsia="zh-CN"/>
                <w14:textFill>
                  <w14:solidFill>
                    <w14:schemeClr w14:val="tx1"/>
                  </w14:solidFill>
                </w14:textFill>
              </w:rPr>
              <w:t>上吸式</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集气罩，</w:t>
            </w:r>
            <w:r>
              <w:rPr>
                <w:rFonts w:hint="eastAsia"/>
                <w:color w:val="000000" w:themeColor="text1"/>
                <w:sz w:val="24"/>
                <w:szCs w:val="24"/>
                <w:highlight w:val="none"/>
                <w:lang w:val="en-US" w:eastAsia="zh-CN"/>
                <w14:textFill>
                  <w14:solidFill>
                    <w14:schemeClr w14:val="tx1"/>
                  </w14:solidFill>
                </w14:textFill>
              </w:rPr>
              <w:t>经</w:t>
            </w:r>
            <w:r>
              <w:rPr>
                <w:rFonts w:hint="eastAsia" w:eastAsia="宋体"/>
                <w:color w:val="000000" w:themeColor="text1"/>
                <w:sz w:val="24"/>
                <w:szCs w:val="24"/>
                <w:highlight w:val="none"/>
                <w:lang w:eastAsia="zh-CN"/>
                <w14:textFill>
                  <w14:solidFill>
                    <w14:schemeClr w14:val="tx1"/>
                  </w14:solidFill>
                </w14:textFill>
              </w:rPr>
              <w:t>布袋除尘器（TA0</w:t>
            </w:r>
            <w:r>
              <w:rPr>
                <w:rFonts w:hint="eastAsia"/>
                <w:color w:val="000000" w:themeColor="text1"/>
                <w:sz w:val="24"/>
                <w:szCs w:val="24"/>
                <w:highlight w:val="none"/>
                <w:lang w:val="en-US" w:eastAsia="zh-CN"/>
                <w14:textFill>
                  <w14:solidFill>
                    <w14:schemeClr w14:val="tx1"/>
                  </w14:solidFill>
                </w14:textFill>
              </w:rPr>
              <w:t>25</w:t>
            </w:r>
            <w:r>
              <w:rPr>
                <w:rFonts w:hint="eastAsia" w:eastAsia="宋体"/>
                <w:color w:val="000000" w:themeColor="text1"/>
                <w:sz w:val="24"/>
                <w:szCs w:val="24"/>
                <w:highlight w:val="none"/>
                <w:lang w:eastAsia="zh-CN"/>
                <w14:textFill>
                  <w14:solidFill>
                    <w14:schemeClr w14:val="tx1"/>
                  </w14:solidFill>
                </w14:textFill>
              </w:rPr>
              <w:t>）处理后由</w:t>
            </w:r>
            <w:r>
              <w:rPr>
                <w:rFonts w:hint="eastAsia" w:eastAsia="宋体"/>
                <w:color w:val="000000" w:themeColor="text1"/>
                <w:sz w:val="24"/>
                <w:szCs w:val="24"/>
                <w:highlight w:val="none"/>
                <w:lang w:val="en-US" w:eastAsia="zh-CN"/>
                <w14:textFill>
                  <w14:solidFill>
                    <w14:schemeClr w14:val="tx1"/>
                  </w14:solidFill>
                </w14:textFill>
              </w:rPr>
              <w:t>不低于</w:t>
            </w:r>
            <w:r>
              <w:rPr>
                <w:rFonts w:hint="eastAsia" w:eastAsia="宋体"/>
                <w:color w:val="000000" w:themeColor="text1"/>
                <w:sz w:val="24"/>
                <w:szCs w:val="24"/>
                <w:highlight w:val="none"/>
                <w:lang w:eastAsia="zh-CN"/>
                <w14:textFill>
                  <w14:solidFill>
                    <w14:schemeClr w14:val="tx1"/>
                  </w14:solidFill>
                </w14:textFill>
              </w:rPr>
              <w:t>15m高的排气筒（DA0</w:t>
            </w:r>
            <w:r>
              <w:rPr>
                <w:rFonts w:hint="eastAsia"/>
                <w:color w:val="000000" w:themeColor="text1"/>
                <w:sz w:val="24"/>
                <w:szCs w:val="24"/>
                <w:highlight w:val="none"/>
                <w:lang w:val="en-US" w:eastAsia="zh-CN"/>
                <w14:textFill>
                  <w14:solidFill>
                    <w14:schemeClr w14:val="tx1"/>
                  </w14:solidFill>
                </w14:textFill>
              </w:rPr>
              <w:t>16</w:t>
            </w:r>
            <w:r>
              <w:rPr>
                <w:rFonts w:hint="eastAsia" w:eastAsia="宋体"/>
                <w:color w:val="000000" w:themeColor="text1"/>
                <w:sz w:val="24"/>
                <w:szCs w:val="24"/>
                <w:highlight w:val="none"/>
                <w:lang w:eastAsia="zh-CN"/>
                <w14:textFill>
                  <w14:solidFill>
                    <w14:schemeClr w14:val="tx1"/>
                  </w14:solidFill>
                </w14:textFill>
              </w:rPr>
              <w:t>）排放，</w:t>
            </w:r>
            <w:r>
              <w:rPr>
                <w:rFonts w:hint="eastAsia" w:cs="Times New Roman"/>
                <w:b w:val="0"/>
                <w:bCs/>
                <w:color w:val="000000" w:themeColor="text1"/>
                <w:sz w:val="24"/>
                <w:szCs w:val="24"/>
                <w:highlight w:val="none"/>
                <w:lang w:val="en-US" w:eastAsia="zh-CN"/>
                <w14:textFill>
                  <w14:solidFill>
                    <w14:schemeClr w14:val="tx1"/>
                  </w14:solidFill>
                </w14:textFill>
              </w:rPr>
              <w:t>此过程</w:t>
            </w:r>
            <w:r>
              <w:rPr>
                <w:rFonts w:hint="eastAsia"/>
                <w:color w:val="000000" w:themeColor="text1"/>
                <w:sz w:val="24"/>
                <w:szCs w:val="24"/>
                <w:highlight w:val="none"/>
                <w:lang w:val="en-US" w:eastAsia="zh-CN"/>
                <w14:textFill>
                  <w14:solidFill>
                    <w14:schemeClr w14:val="tx1"/>
                  </w14:solidFill>
                </w14:textFill>
              </w:rPr>
              <w:t>产生的污染物主要为G2（颗粒物）、N（设备噪声）</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p>
          <w:p w14:paraId="42BBE6A4">
            <w:pPr>
              <w:keepNext/>
              <w:keepLines w:val="0"/>
              <w:suppressLineNumbers w:val="0"/>
              <w:spacing w:before="0" w:beforeAutospacing="0" w:after="0" w:afterAutospacing="0" w:line="360" w:lineRule="auto"/>
              <w:ind w:left="0" w:right="0" w:firstLine="482" w:firstLineChars="200"/>
              <w:outlineLvl w:val="0"/>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⑤</w:t>
            </w:r>
            <w:r>
              <w:rPr>
                <w:rFonts w:hint="eastAsia"/>
                <w:b/>
                <w:bCs w:val="0"/>
                <w:color w:val="000000" w:themeColor="text1"/>
                <w:sz w:val="24"/>
                <w:szCs w:val="24"/>
                <w:highlight w:val="none"/>
                <w:lang w:val="en-US" w:eastAsia="zh-CN"/>
                <w14:textFill>
                  <w14:solidFill>
                    <w14:schemeClr w14:val="tx1"/>
                  </w14:solidFill>
                </w14:textFill>
              </w:rPr>
              <w:t>压扁</w:t>
            </w:r>
            <w:r>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采用</w:t>
            </w:r>
            <w:r>
              <w:rPr>
                <w:rFonts w:hint="eastAsia" w:cs="Times New Roman" w:asciiTheme="minorEastAsia" w:hAnsiTheme="minorEastAsia"/>
                <w:color w:val="000000" w:themeColor="text1"/>
                <w:sz w:val="24"/>
                <w:highlight w:val="none"/>
                <w14:textFill>
                  <w14:solidFill>
                    <w14:schemeClr w14:val="tx1"/>
                  </w14:solidFill>
                </w14:textFill>
              </w:rPr>
              <w:t>压扁机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对</w:t>
            </w:r>
            <w:r>
              <w:rPr>
                <w:rFonts w:hint="eastAsia" w:cs="Times New Roman"/>
                <w:b w:val="0"/>
                <w:bCs/>
                <w:color w:val="000000" w:themeColor="text1"/>
                <w:sz w:val="24"/>
                <w:szCs w:val="24"/>
                <w:highlight w:val="none"/>
                <w:lang w:val="en-US" w:eastAsia="zh-CN"/>
                <w14:textFill>
                  <w14:solidFill>
                    <w14:schemeClr w14:val="tx1"/>
                  </w14:solidFill>
                </w14:textFill>
              </w:rPr>
              <w:t>软化后的药材进行压扁，作用是避免炮制受热不均、加快煎煮溶出药效成分等作用，</w:t>
            </w:r>
            <w:r>
              <w:rPr>
                <w:rFonts w:hint="eastAsia" w:cs="Times New Roman" w:asciiTheme="minorEastAsia" w:hAnsiTheme="minorEastAsia"/>
                <w:color w:val="000000" w:themeColor="text1"/>
                <w:sz w:val="24"/>
                <w:highlight w:val="none"/>
                <w14:textFill>
                  <w14:solidFill>
                    <w14:schemeClr w14:val="tx1"/>
                  </w14:solidFill>
                </w14:textFill>
              </w:rPr>
              <w:t>压扁</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过程产生</w:t>
            </w:r>
            <w:r>
              <w:rPr>
                <w:rFonts w:hint="eastAsia" w:cs="Times New Roman"/>
                <w:b w:val="0"/>
                <w:bCs/>
                <w:color w:val="000000" w:themeColor="text1"/>
                <w:sz w:val="24"/>
                <w:szCs w:val="24"/>
                <w:highlight w:val="none"/>
                <w:lang w:val="en-US" w:eastAsia="zh-CN"/>
                <w14:textFill>
                  <w14:solidFill>
                    <w14:schemeClr w14:val="tx1"/>
                  </w14:solidFill>
                </w14:textFill>
              </w:rPr>
              <w:t>少量</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粉尘</w:t>
            </w:r>
            <w:r>
              <w:rPr>
                <w:rFonts w:hint="eastAsia" w:cs="Times New Roman"/>
                <w:b w:val="0"/>
                <w:bCs/>
                <w:color w:val="000000" w:themeColor="text1"/>
                <w:sz w:val="24"/>
                <w:szCs w:val="24"/>
                <w:highlight w:val="none"/>
                <w:lang w:val="en-US" w:eastAsia="zh-CN"/>
                <w14:textFill>
                  <w14:solidFill>
                    <w14:schemeClr w14:val="tx1"/>
                  </w14:solidFill>
                </w14:textFill>
              </w:rPr>
              <w:t>，项目在压扁机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上方设置</w:t>
            </w:r>
            <w:r>
              <w:rPr>
                <w:rFonts w:hint="eastAsia"/>
                <w:color w:val="000000" w:themeColor="text1"/>
                <w:sz w:val="24"/>
                <w:szCs w:val="24"/>
                <w:highlight w:val="none"/>
                <w:lang w:val="en-US" w:eastAsia="zh-CN"/>
                <w14:textFill>
                  <w14:solidFill>
                    <w14:schemeClr w14:val="tx1"/>
                  </w14:solidFill>
                </w14:textFill>
              </w:rPr>
              <w:t>上吸式</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集气罩，</w:t>
            </w:r>
            <w:r>
              <w:rPr>
                <w:rFonts w:hint="eastAsia"/>
                <w:color w:val="000000" w:themeColor="text1"/>
                <w:sz w:val="24"/>
                <w:szCs w:val="24"/>
                <w:highlight w:val="none"/>
                <w:lang w:val="en-US" w:eastAsia="zh-CN"/>
                <w14:textFill>
                  <w14:solidFill>
                    <w14:schemeClr w14:val="tx1"/>
                  </w14:solidFill>
                </w14:textFill>
              </w:rPr>
              <w:t>经</w:t>
            </w:r>
            <w:r>
              <w:rPr>
                <w:rFonts w:hint="eastAsia" w:eastAsia="宋体"/>
                <w:color w:val="000000" w:themeColor="text1"/>
                <w:sz w:val="24"/>
                <w:szCs w:val="24"/>
                <w:highlight w:val="none"/>
                <w:lang w:eastAsia="zh-CN"/>
                <w14:textFill>
                  <w14:solidFill>
                    <w14:schemeClr w14:val="tx1"/>
                  </w14:solidFill>
                </w14:textFill>
              </w:rPr>
              <w:t>布袋除尘器（TA0</w:t>
            </w:r>
            <w:r>
              <w:rPr>
                <w:rFonts w:hint="eastAsia"/>
                <w:color w:val="000000" w:themeColor="text1"/>
                <w:sz w:val="24"/>
                <w:szCs w:val="24"/>
                <w:highlight w:val="none"/>
                <w:lang w:val="en-US" w:eastAsia="zh-CN"/>
                <w14:textFill>
                  <w14:solidFill>
                    <w14:schemeClr w14:val="tx1"/>
                  </w14:solidFill>
                </w14:textFill>
              </w:rPr>
              <w:t>25</w:t>
            </w:r>
            <w:r>
              <w:rPr>
                <w:rFonts w:hint="eastAsia" w:eastAsia="宋体"/>
                <w:color w:val="000000" w:themeColor="text1"/>
                <w:sz w:val="24"/>
                <w:szCs w:val="24"/>
                <w:highlight w:val="none"/>
                <w:lang w:eastAsia="zh-CN"/>
                <w14:textFill>
                  <w14:solidFill>
                    <w14:schemeClr w14:val="tx1"/>
                  </w14:solidFill>
                </w14:textFill>
              </w:rPr>
              <w:t>）处理后由</w:t>
            </w:r>
            <w:r>
              <w:rPr>
                <w:rFonts w:hint="eastAsia" w:eastAsia="宋体"/>
                <w:color w:val="000000" w:themeColor="text1"/>
                <w:sz w:val="24"/>
                <w:szCs w:val="24"/>
                <w:highlight w:val="none"/>
                <w:lang w:val="en-US" w:eastAsia="zh-CN"/>
                <w14:textFill>
                  <w14:solidFill>
                    <w14:schemeClr w14:val="tx1"/>
                  </w14:solidFill>
                </w14:textFill>
              </w:rPr>
              <w:t>不低于</w:t>
            </w:r>
            <w:r>
              <w:rPr>
                <w:rFonts w:hint="eastAsia" w:eastAsia="宋体"/>
                <w:color w:val="000000" w:themeColor="text1"/>
                <w:sz w:val="24"/>
                <w:szCs w:val="24"/>
                <w:highlight w:val="none"/>
                <w:lang w:eastAsia="zh-CN"/>
                <w14:textFill>
                  <w14:solidFill>
                    <w14:schemeClr w14:val="tx1"/>
                  </w14:solidFill>
                </w14:textFill>
              </w:rPr>
              <w:t>15m高的排气筒（DA0</w:t>
            </w:r>
            <w:r>
              <w:rPr>
                <w:rFonts w:hint="eastAsia"/>
                <w:color w:val="000000" w:themeColor="text1"/>
                <w:sz w:val="24"/>
                <w:szCs w:val="24"/>
                <w:highlight w:val="none"/>
                <w:lang w:val="en-US" w:eastAsia="zh-CN"/>
                <w14:textFill>
                  <w14:solidFill>
                    <w14:schemeClr w14:val="tx1"/>
                  </w14:solidFill>
                </w14:textFill>
              </w:rPr>
              <w:t>16</w:t>
            </w:r>
            <w:r>
              <w:rPr>
                <w:rFonts w:hint="eastAsia" w:eastAsia="宋体"/>
                <w:color w:val="000000" w:themeColor="text1"/>
                <w:sz w:val="24"/>
                <w:szCs w:val="24"/>
                <w:highlight w:val="none"/>
                <w:lang w:eastAsia="zh-CN"/>
                <w14:textFill>
                  <w14:solidFill>
                    <w14:schemeClr w14:val="tx1"/>
                  </w14:solidFill>
                </w14:textFill>
              </w:rPr>
              <w:t>）排放，</w:t>
            </w:r>
            <w:r>
              <w:rPr>
                <w:rFonts w:hint="eastAsia" w:cs="Times New Roman"/>
                <w:b w:val="0"/>
                <w:bCs/>
                <w:color w:val="000000" w:themeColor="text1"/>
                <w:sz w:val="24"/>
                <w:szCs w:val="24"/>
                <w:highlight w:val="none"/>
                <w:lang w:val="en-US" w:eastAsia="zh-CN"/>
                <w14:textFill>
                  <w14:solidFill>
                    <w14:schemeClr w14:val="tx1"/>
                  </w14:solidFill>
                </w14:textFill>
              </w:rPr>
              <w:t>此过程</w:t>
            </w:r>
            <w:r>
              <w:rPr>
                <w:rFonts w:hint="eastAsia"/>
                <w:color w:val="000000" w:themeColor="text1"/>
                <w:sz w:val="24"/>
                <w:szCs w:val="24"/>
                <w:highlight w:val="none"/>
                <w:lang w:val="en-US" w:eastAsia="zh-CN"/>
                <w14:textFill>
                  <w14:solidFill>
                    <w14:schemeClr w14:val="tx1"/>
                  </w14:solidFill>
                </w14:textFill>
              </w:rPr>
              <w:t>产生的污染物主要为G3（颗粒物）、N（设备噪声）</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p>
          <w:p w14:paraId="76893AB8">
            <w:pPr>
              <w:keepNext/>
              <w:keepLines w:val="0"/>
              <w:suppressLineNumbers w:val="0"/>
              <w:spacing w:before="0" w:beforeAutospacing="0" w:after="0" w:afterAutospacing="0" w:line="360" w:lineRule="auto"/>
              <w:ind w:left="0" w:right="0" w:firstLine="482" w:firstLineChars="200"/>
              <w:outlineLvl w:val="0"/>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⑥干燥</w:t>
            </w:r>
            <w:r>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t>：</w:t>
            </w:r>
            <w:r>
              <w:rPr>
                <w:rFonts w:hint="eastAsia" w:eastAsia="宋体" w:cs="Times New Roman" w:asciiTheme="minorEastAsia" w:hAnsiTheme="minorEastAsia"/>
                <w:color w:val="000000" w:themeColor="text1"/>
                <w:sz w:val="24"/>
                <w:highlight w:val="none"/>
                <w:lang w:val="en-US" w:eastAsia="zh-CN"/>
                <w14:textFill>
                  <w14:solidFill>
                    <w14:schemeClr w14:val="tx1"/>
                  </w14:solidFill>
                </w14:textFill>
              </w:rPr>
              <w:t>采用</w:t>
            </w:r>
            <w:r>
              <w:rPr>
                <w:rFonts w:hint="default" w:cs="Times New Roman" w:asciiTheme="minorEastAsia" w:hAnsiTheme="minorEastAsia"/>
                <w:color w:val="000000" w:themeColor="text1"/>
                <w:sz w:val="24"/>
                <w:highlight w:val="none"/>
                <w14:textFill>
                  <w14:solidFill>
                    <w14:schemeClr w14:val="tx1"/>
                  </w14:solidFill>
                </w14:textFill>
              </w:rPr>
              <w:t>敞开式烘箱</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对切制和压扁后的</w:t>
            </w:r>
            <w:r>
              <w:rPr>
                <w:rFonts w:hint="eastAsia" w:cs="Times New Roman"/>
                <w:b w:val="0"/>
                <w:bCs/>
                <w:color w:val="000000" w:themeColor="text1"/>
                <w:sz w:val="24"/>
                <w:szCs w:val="24"/>
                <w:highlight w:val="none"/>
                <w:lang w:val="en-US" w:eastAsia="zh-CN"/>
                <w14:textFill>
                  <w14:solidFill>
                    <w14:schemeClr w14:val="tx1"/>
                  </w14:solidFill>
                </w14:textFill>
              </w:rPr>
              <w:t>药材进行干燥，去除多余水分，干燥后的药材进入筛选工序。项目在</w:t>
            </w:r>
            <w:r>
              <w:rPr>
                <w:rFonts w:hint="default" w:cs="Times New Roman" w:asciiTheme="minorEastAsia" w:hAnsiTheme="minorEastAsia"/>
                <w:color w:val="000000" w:themeColor="text1"/>
                <w:sz w:val="24"/>
                <w:highlight w:val="none"/>
                <w14:textFill>
                  <w14:solidFill>
                    <w14:schemeClr w14:val="tx1"/>
                  </w14:solidFill>
                </w14:textFill>
              </w:rPr>
              <w:t>敞开式烘箱</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上方设置</w:t>
            </w:r>
            <w:r>
              <w:rPr>
                <w:rFonts w:hint="eastAsia"/>
                <w:color w:val="000000" w:themeColor="text1"/>
                <w:sz w:val="24"/>
                <w:szCs w:val="24"/>
                <w:highlight w:val="none"/>
                <w:lang w:val="en-US" w:eastAsia="zh-CN"/>
                <w14:textFill>
                  <w14:solidFill>
                    <w14:schemeClr w14:val="tx1"/>
                  </w14:solidFill>
                </w14:textFill>
              </w:rPr>
              <w:t>上吸式</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集气罩，</w:t>
            </w:r>
            <w:r>
              <w:rPr>
                <w:rFonts w:hint="eastAsia"/>
                <w:color w:val="000000" w:themeColor="text1"/>
                <w:sz w:val="24"/>
                <w:szCs w:val="24"/>
                <w:highlight w:val="none"/>
                <w:lang w:val="en-US" w:eastAsia="zh-CN"/>
                <w14:textFill>
                  <w14:solidFill>
                    <w14:schemeClr w14:val="tx1"/>
                  </w14:solidFill>
                </w14:textFill>
              </w:rPr>
              <w:t>集气</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管道与车间整体排风连接，产生的水蒸气和少量中药异味（臭气浓度）无组织排放</w:t>
            </w:r>
            <w:r>
              <w:rPr>
                <w:rFonts w:hint="eastAsia" w:eastAsia="宋体"/>
                <w:color w:val="000000" w:themeColor="text1"/>
                <w:sz w:val="24"/>
                <w:szCs w:val="24"/>
                <w:highlight w:val="none"/>
                <w:lang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此过程</w:t>
            </w:r>
            <w:r>
              <w:rPr>
                <w:rFonts w:hint="eastAsia"/>
                <w:color w:val="000000" w:themeColor="text1"/>
                <w:sz w:val="24"/>
                <w:szCs w:val="24"/>
                <w:highlight w:val="none"/>
                <w:lang w:val="en-US" w:eastAsia="zh-CN"/>
                <w14:textFill>
                  <w14:solidFill>
                    <w14:schemeClr w14:val="tx1"/>
                  </w14:solidFill>
                </w14:textFill>
              </w:rPr>
              <w:t>产生的污染物主要为G4（臭气浓度）、N（设备噪声）</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p>
          <w:p w14:paraId="34703BF9">
            <w:pPr>
              <w:keepNext/>
              <w:keepLines w:val="0"/>
              <w:suppressLineNumbers w:val="0"/>
              <w:spacing w:before="0" w:beforeAutospacing="0" w:after="0" w:afterAutospacing="0" w:line="360" w:lineRule="auto"/>
              <w:ind w:left="0" w:right="0" w:firstLine="482" w:firstLineChars="200"/>
              <w:outlineLvl w:val="0"/>
              <w:rPr>
                <w:rFonts w:hint="default" w:eastAsia="宋体" w:cs="Times New Roman" w:asciiTheme="minorEastAsia" w:hAnsiTheme="minorEastAsia"/>
                <w:color w:val="000000" w:themeColor="text1"/>
                <w:sz w:val="24"/>
                <w:highlight w:val="none"/>
                <w:lang w:val="en-US"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⑦打碎、除杂、粉碎</w:t>
            </w:r>
            <w:r>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t>：</w:t>
            </w:r>
            <w:r>
              <w:rPr>
                <w:rFonts w:hint="eastAsia" w:eastAsia="宋体" w:cs="Times New Roman" w:asciiTheme="minorEastAsia" w:hAnsiTheme="minorEastAsia"/>
                <w:color w:val="000000" w:themeColor="text1"/>
                <w:sz w:val="24"/>
                <w:highlight w:val="none"/>
                <w:lang w:val="en-US" w:eastAsia="zh-CN"/>
                <w14:textFill>
                  <w14:solidFill>
                    <w14:schemeClr w14:val="tx1"/>
                  </w14:solidFill>
                </w14:textFill>
              </w:rPr>
              <w:t>采用</w:t>
            </w:r>
            <w:r>
              <w:rPr>
                <w:rFonts w:hint="eastAsia" w:cs="Times New Roman" w:asciiTheme="minorEastAsia" w:hAnsiTheme="minorEastAsia"/>
                <w:color w:val="000000" w:themeColor="text1"/>
                <w:sz w:val="24"/>
                <w:highlight w:val="none"/>
                <w14:textFill>
                  <w14:solidFill>
                    <w14:schemeClr w14:val="tx1"/>
                  </w14:solidFill>
                </w14:textFill>
              </w:rPr>
              <w:t>破碎机</w:t>
            </w:r>
            <w:r>
              <w:rPr>
                <w:rFonts w:hint="eastAsia" w:cs="Times New Roman" w:asciiTheme="minorEastAsia" w:hAnsiTheme="minorEastAsia"/>
                <w:color w:val="000000" w:themeColor="text1"/>
                <w:sz w:val="24"/>
                <w:highlight w:val="none"/>
                <w:lang w:eastAsia="zh-CN"/>
                <w14:textFill>
                  <w14:solidFill>
                    <w14:schemeClr w14:val="tx1"/>
                  </w14:solidFill>
                </w14:textFill>
              </w:rPr>
              <w:t>、</w:t>
            </w:r>
            <w:r>
              <w:rPr>
                <w:rFonts w:hint="eastAsia" w:cs="Times New Roman" w:asciiTheme="minorEastAsia" w:hAnsiTheme="minorEastAsia"/>
                <w:color w:val="000000" w:themeColor="text1"/>
                <w:sz w:val="24"/>
                <w:highlight w:val="none"/>
                <w14:textFill>
                  <w14:solidFill>
                    <w14:schemeClr w14:val="tx1"/>
                  </w14:solidFill>
                </w14:textFill>
              </w:rPr>
              <w:t>振动筛</w:t>
            </w:r>
            <w:r>
              <w:rPr>
                <w:rFonts w:hint="eastAsia" w:cs="Times New Roman" w:asciiTheme="minorEastAsia" w:hAnsiTheme="minorEastAsia"/>
                <w:color w:val="000000" w:themeColor="text1"/>
                <w:sz w:val="24"/>
                <w:highlight w:val="none"/>
                <w:lang w:eastAsia="zh-CN"/>
                <w14:textFill>
                  <w14:solidFill>
                    <w14:schemeClr w14:val="tx1"/>
                  </w14:solidFill>
                </w14:textFill>
              </w:rPr>
              <w:t>、</w:t>
            </w:r>
            <w:r>
              <w:rPr>
                <w:rFonts w:hint="eastAsia" w:cs="Times New Roman" w:asciiTheme="minorEastAsia" w:hAnsiTheme="minorEastAsia"/>
                <w:color w:val="000000" w:themeColor="text1"/>
                <w:sz w:val="24"/>
                <w:highlight w:val="none"/>
                <w14:textFill>
                  <w14:solidFill>
                    <w14:schemeClr w14:val="tx1"/>
                  </w14:solidFill>
                </w14:textFill>
              </w:rPr>
              <w:t>粉碎机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对</w:t>
            </w:r>
            <w:r>
              <w:rPr>
                <w:rFonts w:hint="eastAsia" w:cs="Times New Roman" w:asciiTheme="minorEastAsia" w:hAnsiTheme="minorEastAsia"/>
                <w:color w:val="000000" w:themeColor="text1"/>
                <w:sz w:val="24"/>
                <w:highlight w:val="none"/>
                <w14:textFill>
                  <w14:solidFill>
                    <w14:schemeClr w14:val="tx1"/>
                  </w14:solidFill>
                </w14:textFill>
              </w:rPr>
              <w:t>石膏</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进行打碎、除杂、粉碎，粉碎后的石膏</w:t>
            </w:r>
            <w:r>
              <w:rPr>
                <w:rFonts w:hint="eastAsia" w:cs="Times New Roman"/>
                <w:b w:val="0"/>
                <w:bCs/>
                <w:color w:val="000000" w:themeColor="text1"/>
                <w:sz w:val="24"/>
                <w:szCs w:val="24"/>
                <w:highlight w:val="none"/>
                <w:lang w:val="en-US" w:eastAsia="zh-CN"/>
                <w14:textFill>
                  <w14:solidFill>
                    <w14:schemeClr w14:val="tx1"/>
                  </w14:solidFill>
                </w14:textFill>
              </w:rPr>
              <w:t>直接为经典名方2药材</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项目在</w:t>
            </w:r>
            <w:r>
              <w:rPr>
                <w:rFonts w:hint="eastAsia" w:cs="Times New Roman" w:asciiTheme="minorEastAsia" w:hAnsiTheme="minorEastAsia"/>
                <w:color w:val="000000" w:themeColor="text1"/>
                <w:sz w:val="24"/>
                <w:highlight w:val="none"/>
                <w14:textFill>
                  <w14:solidFill>
                    <w14:schemeClr w14:val="tx1"/>
                  </w14:solidFill>
                </w14:textFill>
              </w:rPr>
              <w:t>破碎机</w:t>
            </w:r>
            <w:r>
              <w:rPr>
                <w:rFonts w:hint="eastAsia" w:cs="Times New Roman" w:asciiTheme="minorEastAsia" w:hAnsiTheme="minorEastAsia"/>
                <w:color w:val="000000" w:themeColor="text1"/>
                <w:sz w:val="24"/>
                <w:highlight w:val="none"/>
                <w:lang w:eastAsia="zh-CN"/>
                <w14:textFill>
                  <w14:solidFill>
                    <w14:schemeClr w14:val="tx1"/>
                  </w14:solidFill>
                </w14:textFill>
              </w:rPr>
              <w:t>、</w:t>
            </w:r>
            <w:r>
              <w:rPr>
                <w:rFonts w:hint="eastAsia" w:cs="Times New Roman" w:asciiTheme="minorEastAsia" w:hAnsiTheme="minorEastAsia"/>
                <w:color w:val="000000" w:themeColor="text1"/>
                <w:sz w:val="24"/>
                <w:highlight w:val="none"/>
                <w14:textFill>
                  <w14:solidFill>
                    <w14:schemeClr w14:val="tx1"/>
                  </w14:solidFill>
                </w14:textFill>
              </w:rPr>
              <w:t>振动筛</w:t>
            </w:r>
            <w:r>
              <w:rPr>
                <w:rFonts w:hint="eastAsia" w:cs="Times New Roman" w:asciiTheme="minorEastAsia" w:hAnsiTheme="minorEastAsia"/>
                <w:color w:val="000000" w:themeColor="text1"/>
                <w:sz w:val="24"/>
                <w:highlight w:val="none"/>
                <w:lang w:eastAsia="zh-CN"/>
                <w14:textFill>
                  <w14:solidFill>
                    <w14:schemeClr w14:val="tx1"/>
                  </w14:solidFill>
                </w14:textFill>
              </w:rPr>
              <w:t>、</w:t>
            </w:r>
            <w:r>
              <w:rPr>
                <w:rFonts w:hint="eastAsia" w:cs="Times New Roman" w:asciiTheme="minorEastAsia" w:hAnsiTheme="minorEastAsia"/>
                <w:color w:val="000000" w:themeColor="text1"/>
                <w:sz w:val="24"/>
                <w:highlight w:val="none"/>
                <w14:textFill>
                  <w14:solidFill>
                    <w14:schemeClr w14:val="tx1"/>
                  </w14:solidFill>
                </w14:textFill>
              </w:rPr>
              <w:t>粉碎机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上方设置</w:t>
            </w:r>
            <w:r>
              <w:rPr>
                <w:rFonts w:hint="eastAsia"/>
                <w:color w:val="000000" w:themeColor="text1"/>
                <w:sz w:val="24"/>
                <w:szCs w:val="24"/>
                <w:highlight w:val="none"/>
                <w:lang w:val="en-US" w:eastAsia="zh-CN"/>
                <w14:textFill>
                  <w14:solidFill>
                    <w14:schemeClr w14:val="tx1"/>
                  </w14:solidFill>
                </w14:textFill>
              </w:rPr>
              <w:t>上吸式</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集气罩，</w:t>
            </w:r>
            <w:r>
              <w:rPr>
                <w:rFonts w:hint="eastAsia"/>
                <w:color w:val="000000" w:themeColor="text1"/>
                <w:sz w:val="24"/>
                <w:szCs w:val="24"/>
                <w:highlight w:val="none"/>
                <w:lang w:val="en-US" w:eastAsia="zh-CN"/>
                <w14:textFill>
                  <w14:solidFill>
                    <w14:schemeClr w14:val="tx1"/>
                  </w14:solidFill>
                </w14:textFill>
              </w:rPr>
              <w:t>经</w:t>
            </w:r>
            <w:r>
              <w:rPr>
                <w:rFonts w:hint="eastAsia" w:eastAsia="宋体"/>
                <w:color w:val="000000" w:themeColor="text1"/>
                <w:sz w:val="24"/>
                <w:szCs w:val="24"/>
                <w:highlight w:val="none"/>
                <w:lang w:eastAsia="zh-CN"/>
                <w14:textFill>
                  <w14:solidFill>
                    <w14:schemeClr w14:val="tx1"/>
                  </w14:solidFill>
                </w14:textFill>
              </w:rPr>
              <w:t>布袋除尘器（TA00</w:t>
            </w:r>
            <w:r>
              <w:rPr>
                <w:rFonts w:hint="eastAsia"/>
                <w:color w:val="000000" w:themeColor="text1"/>
                <w:sz w:val="24"/>
                <w:szCs w:val="24"/>
                <w:highlight w:val="none"/>
                <w:lang w:val="en-US" w:eastAsia="zh-CN"/>
                <w14:textFill>
                  <w14:solidFill>
                    <w14:schemeClr w14:val="tx1"/>
                  </w14:solidFill>
                </w14:textFill>
              </w:rPr>
              <w:t>2</w:t>
            </w:r>
            <w:r>
              <w:rPr>
                <w:rFonts w:hint="eastAsia" w:eastAsia="宋体"/>
                <w:color w:val="000000" w:themeColor="text1"/>
                <w:sz w:val="24"/>
                <w:szCs w:val="24"/>
                <w:highlight w:val="none"/>
                <w:lang w:eastAsia="zh-CN"/>
                <w14:textFill>
                  <w14:solidFill>
                    <w14:schemeClr w14:val="tx1"/>
                  </w14:solidFill>
                </w14:textFill>
              </w:rPr>
              <w:t>）处理后由</w:t>
            </w:r>
            <w:r>
              <w:rPr>
                <w:rFonts w:hint="eastAsia" w:eastAsia="宋体"/>
                <w:color w:val="000000" w:themeColor="text1"/>
                <w:sz w:val="24"/>
                <w:szCs w:val="24"/>
                <w:highlight w:val="none"/>
                <w:lang w:val="en-US" w:eastAsia="zh-CN"/>
                <w14:textFill>
                  <w14:solidFill>
                    <w14:schemeClr w14:val="tx1"/>
                  </w14:solidFill>
                </w14:textFill>
              </w:rPr>
              <w:t>不低于</w:t>
            </w:r>
            <w:r>
              <w:rPr>
                <w:rFonts w:hint="eastAsia" w:eastAsia="宋体"/>
                <w:color w:val="000000" w:themeColor="text1"/>
                <w:sz w:val="24"/>
                <w:szCs w:val="24"/>
                <w:highlight w:val="none"/>
                <w:lang w:eastAsia="zh-CN"/>
                <w14:textFill>
                  <w14:solidFill>
                    <w14:schemeClr w14:val="tx1"/>
                  </w14:solidFill>
                </w14:textFill>
              </w:rPr>
              <w:t>1</w:t>
            </w:r>
            <w:r>
              <w:rPr>
                <w:rFonts w:hint="eastAsia"/>
                <w:color w:val="000000" w:themeColor="text1"/>
                <w:sz w:val="24"/>
                <w:szCs w:val="24"/>
                <w:highlight w:val="none"/>
                <w:lang w:val="en-US" w:eastAsia="zh-CN"/>
                <w14:textFill>
                  <w14:solidFill>
                    <w14:schemeClr w14:val="tx1"/>
                  </w14:solidFill>
                </w14:textFill>
              </w:rPr>
              <w:t>5</w:t>
            </w:r>
            <w:r>
              <w:rPr>
                <w:rFonts w:hint="eastAsia" w:eastAsia="宋体"/>
                <w:color w:val="000000" w:themeColor="text1"/>
                <w:sz w:val="24"/>
                <w:szCs w:val="24"/>
                <w:highlight w:val="none"/>
                <w:lang w:eastAsia="zh-CN"/>
                <w14:textFill>
                  <w14:solidFill>
                    <w14:schemeClr w14:val="tx1"/>
                  </w14:solidFill>
                </w14:textFill>
              </w:rPr>
              <w:t>m高的排气筒（DA0</w:t>
            </w:r>
            <w:r>
              <w:rPr>
                <w:rFonts w:hint="eastAsia"/>
                <w:color w:val="000000" w:themeColor="text1"/>
                <w:sz w:val="24"/>
                <w:szCs w:val="24"/>
                <w:highlight w:val="none"/>
                <w:lang w:val="en-US" w:eastAsia="zh-CN"/>
                <w14:textFill>
                  <w14:solidFill>
                    <w14:schemeClr w14:val="tx1"/>
                  </w14:solidFill>
                </w14:textFill>
              </w:rPr>
              <w:t>02</w:t>
            </w:r>
            <w:r>
              <w:rPr>
                <w:rFonts w:hint="eastAsia" w:eastAsia="宋体"/>
                <w:color w:val="000000" w:themeColor="text1"/>
                <w:sz w:val="24"/>
                <w:szCs w:val="24"/>
                <w:highlight w:val="none"/>
                <w:lang w:eastAsia="zh-CN"/>
                <w14:textFill>
                  <w14:solidFill>
                    <w14:schemeClr w14:val="tx1"/>
                  </w14:solidFill>
                </w14:textFill>
              </w:rPr>
              <w:t>）排放，</w:t>
            </w:r>
            <w:r>
              <w:rPr>
                <w:rFonts w:hint="eastAsia" w:cs="Times New Roman"/>
                <w:b w:val="0"/>
                <w:bCs/>
                <w:color w:val="000000" w:themeColor="text1"/>
                <w:sz w:val="24"/>
                <w:szCs w:val="24"/>
                <w:highlight w:val="none"/>
                <w:lang w:val="en-US" w:eastAsia="zh-CN"/>
                <w14:textFill>
                  <w14:solidFill>
                    <w14:schemeClr w14:val="tx1"/>
                  </w14:solidFill>
                </w14:textFill>
              </w:rPr>
              <w:t>此过程</w:t>
            </w:r>
            <w:r>
              <w:rPr>
                <w:rFonts w:hint="eastAsia"/>
                <w:color w:val="000000" w:themeColor="text1"/>
                <w:sz w:val="24"/>
                <w:szCs w:val="24"/>
                <w:highlight w:val="none"/>
                <w:lang w:val="en-US" w:eastAsia="zh-CN"/>
                <w14:textFill>
                  <w14:solidFill>
                    <w14:schemeClr w14:val="tx1"/>
                  </w14:solidFill>
                </w14:textFill>
              </w:rPr>
              <w:t>产生的污染物主要为G5（颗粒物）、G6（颗粒物）、G7（颗粒物）、S2（</w:t>
            </w:r>
            <w:r>
              <w:rPr>
                <w:rFonts w:hint="eastAsia" w:cs="Times New Roman"/>
                <w:color w:val="000000" w:themeColor="text1"/>
                <w:sz w:val="24"/>
                <w:szCs w:val="24"/>
                <w:highlight w:val="none"/>
                <w:lang w:val="en-US" w:eastAsia="zh-CN"/>
                <w14:textFill>
                  <w14:solidFill>
                    <w14:schemeClr w14:val="tx1"/>
                  </w14:solidFill>
                </w14:textFill>
              </w:rPr>
              <w:t>废渣</w:t>
            </w:r>
            <w:r>
              <w:rPr>
                <w:rFonts w:hint="eastAsia"/>
                <w:color w:val="000000" w:themeColor="text1"/>
                <w:sz w:val="24"/>
                <w:szCs w:val="24"/>
                <w:highlight w:val="none"/>
                <w:lang w:val="en-US" w:eastAsia="zh-CN"/>
                <w14:textFill>
                  <w14:solidFill>
                    <w14:schemeClr w14:val="tx1"/>
                  </w14:solidFill>
                </w14:textFill>
              </w:rPr>
              <w:t>）、N（设备噪声）</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p>
          <w:p w14:paraId="5340BDD3">
            <w:pPr>
              <w:keepNext/>
              <w:keepLines w:val="0"/>
              <w:suppressLineNumbers w:val="0"/>
              <w:spacing w:before="0" w:beforeAutospacing="0" w:after="0" w:afterAutospacing="0" w:line="360" w:lineRule="auto"/>
              <w:ind w:left="0" w:right="0" w:firstLine="482" w:firstLineChars="200"/>
              <w:outlineLvl w:val="0"/>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⑧筛选</w:t>
            </w:r>
            <w:r>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t>：</w:t>
            </w:r>
            <w:r>
              <w:rPr>
                <w:rFonts w:hint="eastAsia" w:eastAsia="宋体" w:cs="Times New Roman" w:asciiTheme="minorEastAsia" w:hAnsiTheme="minorEastAsia"/>
                <w:color w:val="000000" w:themeColor="text1"/>
                <w:sz w:val="24"/>
                <w:highlight w:val="none"/>
                <w:lang w:val="en-US" w:eastAsia="zh-CN"/>
                <w14:textFill>
                  <w14:solidFill>
                    <w14:schemeClr w14:val="tx1"/>
                  </w14:solidFill>
                </w14:textFill>
              </w:rPr>
              <w:t>采用</w:t>
            </w:r>
            <w:r>
              <w:rPr>
                <w:rFonts w:hint="default" w:cs="Times New Roman" w:asciiTheme="minorEastAsia" w:hAnsiTheme="minorEastAsia"/>
                <w:color w:val="000000" w:themeColor="text1"/>
                <w:sz w:val="24"/>
                <w:highlight w:val="none"/>
                <w14:textFill>
                  <w14:solidFill>
                    <w14:schemeClr w14:val="tx1"/>
                  </w14:solidFill>
                </w14:textFill>
              </w:rPr>
              <w:t>筛选机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对干燥</w:t>
            </w:r>
            <w:r>
              <w:rPr>
                <w:rFonts w:hint="eastAsia" w:cs="Times New Roman"/>
                <w:b w:val="0"/>
                <w:bCs/>
                <w:color w:val="000000" w:themeColor="text1"/>
                <w:sz w:val="24"/>
                <w:szCs w:val="24"/>
                <w:highlight w:val="none"/>
                <w:lang w:val="en-US" w:eastAsia="zh-CN"/>
                <w14:textFill>
                  <w14:solidFill>
                    <w14:schemeClr w14:val="tx1"/>
                  </w14:solidFill>
                </w14:textFill>
              </w:rPr>
              <w:t>后的药材</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进行</w:t>
            </w:r>
            <w:r>
              <w:rPr>
                <w:rFonts w:hint="default" w:cs="Times New Roman" w:asciiTheme="minorEastAsia" w:hAnsiTheme="minorEastAsia"/>
                <w:color w:val="000000" w:themeColor="text1"/>
                <w:sz w:val="24"/>
                <w:highlight w:val="none"/>
                <w14:textFill>
                  <w14:solidFill>
                    <w14:schemeClr w14:val="tx1"/>
                  </w14:solidFill>
                </w14:textFill>
              </w:rPr>
              <w:t>筛选</w:t>
            </w:r>
            <w:r>
              <w:rPr>
                <w:rFonts w:hint="eastAsia" w:cs="Times New Roman" w:asciiTheme="minorEastAsia" w:hAnsiTheme="minorEastAsia"/>
                <w:color w:val="000000" w:themeColor="text1"/>
                <w:sz w:val="24"/>
                <w:highlight w:val="none"/>
                <w:lang w:eastAsia="zh-CN"/>
                <w14:textFill>
                  <w14:solidFill>
                    <w14:schemeClr w14:val="tx1"/>
                  </w14:solidFill>
                </w14:textFill>
              </w:rPr>
              <w:t>，</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作用是分离完整药材饮片与碎料，碎料药材可集中回用至提取车间，提升药材利用率，不计入固废；完整药材饮片</w:t>
            </w:r>
            <w:r>
              <w:rPr>
                <w:rFonts w:hint="eastAsia" w:cs="Times New Roman"/>
                <w:b w:val="0"/>
                <w:bCs/>
                <w:color w:val="000000" w:themeColor="text1"/>
                <w:sz w:val="24"/>
                <w:szCs w:val="24"/>
                <w:highlight w:val="none"/>
                <w:lang w:val="en-US" w:eastAsia="zh-CN"/>
                <w14:textFill>
                  <w14:solidFill>
                    <w14:schemeClr w14:val="tx1"/>
                  </w14:solidFill>
                </w14:textFill>
              </w:rPr>
              <w:t>直接为经典名方2药材。项目在</w:t>
            </w:r>
            <w:r>
              <w:rPr>
                <w:rFonts w:hint="default" w:cs="Times New Roman" w:asciiTheme="minorEastAsia" w:hAnsiTheme="minorEastAsia"/>
                <w:color w:val="000000" w:themeColor="text1"/>
                <w:sz w:val="24"/>
                <w:highlight w:val="none"/>
                <w14:textFill>
                  <w14:solidFill>
                    <w14:schemeClr w14:val="tx1"/>
                  </w14:solidFill>
                </w14:textFill>
              </w:rPr>
              <w:t>筛选机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上方设置</w:t>
            </w:r>
            <w:r>
              <w:rPr>
                <w:rFonts w:hint="eastAsia"/>
                <w:color w:val="000000" w:themeColor="text1"/>
                <w:sz w:val="24"/>
                <w:szCs w:val="24"/>
                <w:highlight w:val="none"/>
                <w:lang w:val="en-US" w:eastAsia="zh-CN"/>
                <w14:textFill>
                  <w14:solidFill>
                    <w14:schemeClr w14:val="tx1"/>
                  </w14:solidFill>
                </w14:textFill>
              </w:rPr>
              <w:t>上吸式</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集气罩，</w:t>
            </w:r>
            <w:r>
              <w:rPr>
                <w:rFonts w:hint="eastAsia"/>
                <w:color w:val="000000" w:themeColor="text1"/>
                <w:sz w:val="24"/>
                <w:szCs w:val="24"/>
                <w:highlight w:val="none"/>
                <w:lang w:val="en-US" w:eastAsia="zh-CN"/>
                <w14:textFill>
                  <w14:solidFill>
                    <w14:schemeClr w14:val="tx1"/>
                  </w14:solidFill>
                </w14:textFill>
              </w:rPr>
              <w:t>经</w:t>
            </w:r>
            <w:r>
              <w:rPr>
                <w:rFonts w:hint="eastAsia" w:eastAsia="宋体"/>
                <w:color w:val="000000" w:themeColor="text1"/>
                <w:sz w:val="24"/>
                <w:szCs w:val="24"/>
                <w:highlight w:val="none"/>
                <w:lang w:eastAsia="zh-CN"/>
                <w14:textFill>
                  <w14:solidFill>
                    <w14:schemeClr w14:val="tx1"/>
                  </w14:solidFill>
                </w14:textFill>
              </w:rPr>
              <w:t>布袋除尘器（TA0</w:t>
            </w:r>
            <w:r>
              <w:rPr>
                <w:rFonts w:hint="eastAsia"/>
                <w:color w:val="000000" w:themeColor="text1"/>
                <w:sz w:val="24"/>
                <w:szCs w:val="24"/>
                <w:highlight w:val="none"/>
                <w:lang w:val="en-US" w:eastAsia="zh-CN"/>
                <w14:textFill>
                  <w14:solidFill>
                    <w14:schemeClr w14:val="tx1"/>
                  </w14:solidFill>
                </w14:textFill>
              </w:rPr>
              <w:t>25</w:t>
            </w:r>
            <w:r>
              <w:rPr>
                <w:rFonts w:hint="eastAsia" w:eastAsia="宋体"/>
                <w:color w:val="000000" w:themeColor="text1"/>
                <w:sz w:val="24"/>
                <w:szCs w:val="24"/>
                <w:highlight w:val="none"/>
                <w:lang w:eastAsia="zh-CN"/>
                <w14:textFill>
                  <w14:solidFill>
                    <w14:schemeClr w14:val="tx1"/>
                  </w14:solidFill>
                </w14:textFill>
              </w:rPr>
              <w:t>）处理后由</w:t>
            </w:r>
            <w:r>
              <w:rPr>
                <w:rFonts w:hint="eastAsia" w:eastAsia="宋体"/>
                <w:color w:val="000000" w:themeColor="text1"/>
                <w:sz w:val="24"/>
                <w:szCs w:val="24"/>
                <w:highlight w:val="none"/>
                <w:lang w:val="en-US" w:eastAsia="zh-CN"/>
                <w14:textFill>
                  <w14:solidFill>
                    <w14:schemeClr w14:val="tx1"/>
                  </w14:solidFill>
                </w14:textFill>
              </w:rPr>
              <w:t>不低于</w:t>
            </w:r>
            <w:r>
              <w:rPr>
                <w:rFonts w:hint="eastAsia" w:eastAsia="宋体"/>
                <w:color w:val="000000" w:themeColor="text1"/>
                <w:sz w:val="24"/>
                <w:szCs w:val="24"/>
                <w:highlight w:val="none"/>
                <w:lang w:eastAsia="zh-CN"/>
                <w14:textFill>
                  <w14:solidFill>
                    <w14:schemeClr w14:val="tx1"/>
                  </w14:solidFill>
                </w14:textFill>
              </w:rPr>
              <w:t>15m高的排气筒（DA0</w:t>
            </w:r>
            <w:r>
              <w:rPr>
                <w:rFonts w:hint="eastAsia"/>
                <w:color w:val="000000" w:themeColor="text1"/>
                <w:sz w:val="24"/>
                <w:szCs w:val="24"/>
                <w:highlight w:val="none"/>
                <w:lang w:val="en-US" w:eastAsia="zh-CN"/>
                <w14:textFill>
                  <w14:solidFill>
                    <w14:schemeClr w14:val="tx1"/>
                  </w14:solidFill>
                </w14:textFill>
              </w:rPr>
              <w:t>16</w:t>
            </w:r>
            <w:r>
              <w:rPr>
                <w:rFonts w:hint="eastAsia" w:eastAsia="宋体"/>
                <w:color w:val="000000" w:themeColor="text1"/>
                <w:sz w:val="24"/>
                <w:szCs w:val="24"/>
                <w:highlight w:val="none"/>
                <w:lang w:eastAsia="zh-CN"/>
                <w14:textFill>
                  <w14:solidFill>
                    <w14:schemeClr w14:val="tx1"/>
                  </w14:solidFill>
                </w14:textFill>
              </w:rPr>
              <w:t>）排放，</w:t>
            </w:r>
            <w:r>
              <w:rPr>
                <w:rFonts w:hint="eastAsia" w:cs="Times New Roman"/>
                <w:b w:val="0"/>
                <w:bCs/>
                <w:color w:val="000000" w:themeColor="text1"/>
                <w:sz w:val="24"/>
                <w:szCs w:val="24"/>
                <w:highlight w:val="none"/>
                <w:lang w:val="en-US" w:eastAsia="zh-CN"/>
                <w14:textFill>
                  <w14:solidFill>
                    <w14:schemeClr w14:val="tx1"/>
                  </w14:solidFill>
                </w14:textFill>
              </w:rPr>
              <w:t>此过程</w:t>
            </w:r>
            <w:r>
              <w:rPr>
                <w:rFonts w:hint="eastAsia"/>
                <w:color w:val="000000" w:themeColor="text1"/>
                <w:sz w:val="24"/>
                <w:szCs w:val="24"/>
                <w:highlight w:val="none"/>
                <w:lang w:val="en-US" w:eastAsia="zh-CN"/>
                <w14:textFill>
                  <w14:solidFill>
                    <w14:schemeClr w14:val="tx1"/>
                  </w14:solidFill>
                </w14:textFill>
              </w:rPr>
              <w:t>产生的污染物主要为G8（颗粒物）、N（设备噪声）</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p>
          <w:p w14:paraId="21D28C35">
            <w:pPr>
              <w:keepNext/>
              <w:keepLines w:val="0"/>
              <w:suppressLineNumbers w:val="0"/>
              <w:spacing w:before="0" w:beforeAutospacing="0" w:after="0" w:afterAutospacing="0" w:line="360" w:lineRule="auto"/>
              <w:ind w:left="0" w:right="0" w:firstLine="482" w:firstLineChars="200"/>
              <w:outlineLvl w:val="0"/>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⑨检验</w:t>
            </w:r>
            <w:r>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经典名方2药材经采样后进行检验，检验合格后成品入库。此过程</w:t>
            </w:r>
            <w:r>
              <w:rPr>
                <w:rFonts w:hint="eastAsia"/>
                <w:color w:val="000000" w:themeColor="text1"/>
                <w:sz w:val="24"/>
                <w:szCs w:val="24"/>
                <w:highlight w:val="none"/>
                <w:lang w:val="en-US" w:eastAsia="zh-CN"/>
                <w14:textFill>
                  <w14:solidFill>
                    <w14:schemeClr w14:val="tx1"/>
                  </w14:solidFill>
                </w14:textFill>
              </w:rPr>
              <w:t>产生的污染物主要为S2（</w:t>
            </w:r>
            <w:r>
              <w:rPr>
                <w:rFonts w:hint="eastAsia" w:cs="Times New Roman"/>
                <w:color w:val="000000" w:themeColor="text1"/>
                <w:sz w:val="24"/>
                <w:szCs w:val="24"/>
                <w:highlight w:val="none"/>
                <w:lang w:val="en-US" w:eastAsia="zh-CN"/>
                <w14:textFill>
                  <w14:solidFill>
                    <w14:schemeClr w14:val="tx1"/>
                  </w14:solidFill>
                </w14:textFill>
              </w:rPr>
              <w:t>化学检验废液、废化学试剂瓶、废弃薄层板、废试药</w:t>
            </w:r>
            <w:r>
              <w:rPr>
                <w:rFonts w:hint="eastAsia"/>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p>
          <w:p w14:paraId="2452CF39">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jc w:val="left"/>
              <w:textAlignment w:val="auto"/>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pPr>
            <w:r>
              <w:rPr>
                <w:rFonts w:hint="eastAsia" w:cs="Times New Roman"/>
                <w:b/>
                <w:bCs/>
                <w:color w:val="000000" w:themeColor="text1"/>
                <w:kern w:val="0"/>
                <w:sz w:val="24"/>
                <w:szCs w:val="24"/>
                <w:highlight w:val="none"/>
                <w:lang w:eastAsia="zh-CN" w:bidi="en-US"/>
                <w14:textFill>
                  <w14:solidFill>
                    <w14:schemeClr w14:val="tx1"/>
                  </w14:solidFill>
                </w14:textFill>
              </w:rPr>
              <w:t>（</w:t>
            </w:r>
            <w:r>
              <w:rPr>
                <w:rFonts w:hint="eastAsia" w:cs="Times New Roman"/>
                <w:b/>
                <w:bCs/>
                <w:color w:val="000000" w:themeColor="text1"/>
                <w:kern w:val="0"/>
                <w:sz w:val="24"/>
                <w:szCs w:val="24"/>
                <w:highlight w:val="none"/>
                <w:lang w:val="en-US" w:eastAsia="zh-CN" w:bidi="en-US"/>
                <w14:textFill>
                  <w14:solidFill>
                    <w14:schemeClr w14:val="tx1"/>
                  </w14:solidFill>
                </w14:textFill>
              </w:rPr>
              <w:t>2</w:t>
            </w:r>
            <w:r>
              <w:rPr>
                <w:rFonts w:hint="eastAsia" w:cs="Times New Roman"/>
                <w:b/>
                <w:bCs/>
                <w:color w:val="000000" w:themeColor="text1"/>
                <w:kern w:val="0"/>
                <w:sz w:val="24"/>
                <w:szCs w:val="24"/>
                <w:highlight w:val="none"/>
                <w:lang w:eastAsia="zh-CN" w:bidi="en-US"/>
                <w14:textFill>
                  <w14:solidFill>
                    <w14:schemeClr w14:val="tx1"/>
                  </w14:solidFill>
                </w14:textFill>
              </w:rPr>
              <w:t>）</w:t>
            </w:r>
            <w:r>
              <w:rPr>
                <w:rFonts w:hint="eastAsia" w:cs="Times New Roman"/>
                <w:b/>
                <w:bCs/>
                <w:color w:val="000000" w:themeColor="text1"/>
                <w:kern w:val="0"/>
                <w:sz w:val="24"/>
                <w:szCs w:val="24"/>
                <w:highlight w:val="none"/>
                <w:lang w:val="en-US" w:eastAsia="zh-CN" w:bidi="en-US"/>
                <w14:textFill>
                  <w14:solidFill>
                    <w14:schemeClr w14:val="tx1"/>
                  </w14:solidFill>
                </w14:textFill>
              </w:rPr>
              <w:t>经典名方2</w:t>
            </w:r>
            <w:r>
              <w:rPr>
                <w:rFonts w:hint="default"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t>炮制</w:t>
            </w: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产污环节一览表如下表所示</w:t>
            </w:r>
            <w:r>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t>：</w:t>
            </w:r>
          </w:p>
          <w:p w14:paraId="30B26740">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jc w:val="left"/>
              <w:textAlignment w:val="auto"/>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pPr>
          </w:p>
          <w:p w14:paraId="3E579B1C">
            <w:pPr>
              <w:keepNext w:val="0"/>
              <w:keepLines w:val="0"/>
              <w:suppressLineNumbers w:val="0"/>
              <w:bidi w:val="0"/>
              <w:spacing w:before="0" w:beforeAutospacing="0" w:after="0" w:afterAutospacing="0"/>
              <w:ind w:left="0" w:right="0"/>
              <w:rPr>
                <w:rFonts w:hint="default"/>
              </w:rPr>
            </w:pPr>
          </w:p>
          <w:p w14:paraId="404BC49F">
            <w:pPr>
              <w:keepNext w:val="0"/>
              <w:keepLines w:val="0"/>
              <w:pageBreakBefore w:val="0"/>
              <w:widowControl w:val="0"/>
              <w:numPr>
                <w:ilvl w:val="0"/>
                <w:numId w:val="5"/>
              </w:numPr>
              <w:suppressLineNumbers w:val="0"/>
              <w:kinsoku/>
              <w:wordWrap/>
              <w:overflowPunct/>
              <w:topLinePunct w:val="0"/>
              <w:autoSpaceDE/>
              <w:autoSpaceDN/>
              <w:bidi w:val="0"/>
              <w:adjustRightInd/>
              <w:snapToGrid w:val="0"/>
              <w:spacing w:before="157" w:beforeLines="50" w:beforeAutospacing="0" w:after="0" w:afterLines="0" w:afterAutospacing="0"/>
              <w:ind w:left="0" w:leftChars="0" w:right="0" w:rightChars="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 xml:space="preserve">  </w:t>
            </w:r>
            <w:r>
              <w:rPr>
                <w:rFonts w:hint="eastAsia" w:cs="Times New Roman"/>
                <w:b/>
                <w:bCs/>
                <w:color w:val="000000" w:themeColor="text1"/>
                <w:kern w:val="2"/>
                <w:sz w:val="21"/>
                <w:szCs w:val="21"/>
                <w:highlight w:val="none"/>
                <w:lang w:val="en-US" w:eastAsia="zh-CN" w:bidi="ar-SA"/>
                <w14:textFill>
                  <w14:solidFill>
                    <w14:schemeClr w14:val="tx1"/>
                  </w14:solidFill>
                </w14:textFill>
              </w:rPr>
              <w:t>经典名方2</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炮制产污环节一览表</w:t>
            </w:r>
          </w:p>
          <w:tbl>
            <w:tblPr>
              <w:tblStyle w:val="36"/>
              <w:tblW w:w="4993"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57"/>
              <w:gridCol w:w="884"/>
              <w:gridCol w:w="1421"/>
              <w:gridCol w:w="1642"/>
              <w:gridCol w:w="3333"/>
            </w:tblGrid>
            <w:tr w14:paraId="46AA4B4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tcBorders>
                    <w:tl2br w:val="nil"/>
                    <w:tr2bl w:val="nil"/>
                  </w:tcBorders>
                  <w:noWrap w:val="0"/>
                  <w:vAlign w:val="center"/>
                </w:tcPr>
                <w:p w14:paraId="6DC24C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类别</w:t>
                  </w:r>
                </w:p>
              </w:tc>
              <w:tc>
                <w:tcPr>
                  <w:tcW w:w="549" w:type="pct"/>
                  <w:tcBorders>
                    <w:tl2br w:val="nil"/>
                    <w:tr2bl w:val="nil"/>
                  </w:tcBorders>
                  <w:noWrap w:val="0"/>
                  <w:vAlign w:val="center"/>
                </w:tcPr>
                <w:p w14:paraId="0A19FB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编号</w:t>
                  </w:r>
                </w:p>
              </w:tc>
              <w:tc>
                <w:tcPr>
                  <w:tcW w:w="884" w:type="pct"/>
                  <w:tcBorders>
                    <w:tl2br w:val="nil"/>
                    <w:tr2bl w:val="nil"/>
                  </w:tcBorders>
                  <w:noWrap w:val="0"/>
                  <w:vAlign w:val="center"/>
                </w:tcPr>
                <w:p w14:paraId="2E7A2E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污染源</w:t>
                  </w:r>
                </w:p>
              </w:tc>
              <w:tc>
                <w:tcPr>
                  <w:tcW w:w="1021" w:type="pct"/>
                  <w:tcBorders>
                    <w:tl2br w:val="nil"/>
                    <w:tr2bl w:val="nil"/>
                  </w:tcBorders>
                  <w:noWrap w:val="0"/>
                  <w:vAlign w:val="center"/>
                </w:tcPr>
                <w:p w14:paraId="26E16B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主要污染</w:t>
                  </w:r>
                </w:p>
                <w:p w14:paraId="437957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因子</w:t>
                  </w:r>
                </w:p>
              </w:tc>
              <w:tc>
                <w:tcPr>
                  <w:tcW w:w="2073" w:type="pct"/>
                  <w:tcBorders>
                    <w:tl2br w:val="nil"/>
                    <w:tr2bl w:val="nil"/>
                  </w:tcBorders>
                  <w:noWrap w:val="0"/>
                  <w:vAlign w:val="center"/>
                </w:tcPr>
                <w:p w14:paraId="14E898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治理措施</w:t>
                  </w:r>
                </w:p>
              </w:tc>
            </w:tr>
            <w:tr w14:paraId="575E87C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70" w:type="pct"/>
                  <w:vMerge w:val="restart"/>
                  <w:tcBorders>
                    <w:tl2br w:val="nil"/>
                    <w:tr2bl w:val="nil"/>
                  </w:tcBorders>
                  <w:noWrap w:val="0"/>
                  <w:vAlign w:val="center"/>
                </w:tcPr>
                <w:p w14:paraId="08FCD3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废气</w:t>
                  </w:r>
                </w:p>
              </w:tc>
              <w:tc>
                <w:tcPr>
                  <w:tcW w:w="549" w:type="pct"/>
                  <w:tcBorders>
                    <w:tl2br w:val="nil"/>
                    <w:tr2bl w:val="nil"/>
                  </w:tcBorders>
                  <w:noWrap w:val="0"/>
                  <w:vAlign w:val="center"/>
                </w:tcPr>
                <w:p w14:paraId="7A70D2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G1</w:t>
                  </w:r>
                </w:p>
              </w:tc>
              <w:tc>
                <w:tcPr>
                  <w:tcW w:w="884" w:type="pct"/>
                  <w:tcBorders>
                    <w:tl2br w:val="nil"/>
                    <w:tr2bl w:val="nil"/>
                  </w:tcBorders>
                  <w:noWrap w:val="0"/>
                  <w:vAlign w:val="center"/>
                </w:tcPr>
                <w:p w14:paraId="7E2AD4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软化废气</w:t>
                  </w:r>
                </w:p>
              </w:tc>
              <w:tc>
                <w:tcPr>
                  <w:tcW w:w="1021" w:type="pct"/>
                  <w:tcBorders>
                    <w:tl2br w:val="nil"/>
                    <w:tr2bl w:val="nil"/>
                  </w:tcBorders>
                  <w:noWrap w:val="0"/>
                  <w:vAlign w:val="center"/>
                </w:tcPr>
                <w:p w14:paraId="72A618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臭气浓度</w:t>
                  </w:r>
                </w:p>
              </w:tc>
              <w:tc>
                <w:tcPr>
                  <w:tcW w:w="2073" w:type="pct"/>
                  <w:tcBorders>
                    <w:tl2br w:val="nil"/>
                    <w:tr2bl w:val="nil"/>
                  </w:tcBorders>
                  <w:noWrap w:val="0"/>
                  <w:vAlign w:val="center"/>
                </w:tcPr>
                <w:p w14:paraId="110870D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设备密闭+泄压排气管道与车间整体排风连接，产生的水蒸气和少量中药异味（臭气浓度）无组织排放</w:t>
                  </w:r>
                </w:p>
              </w:tc>
            </w:tr>
            <w:tr w14:paraId="7B38B51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70" w:type="pct"/>
                  <w:vMerge w:val="continue"/>
                  <w:tcBorders>
                    <w:tl2br w:val="nil"/>
                    <w:tr2bl w:val="nil"/>
                  </w:tcBorders>
                  <w:noWrap w:val="0"/>
                  <w:vAlign w:val="center"/>
                </w:tcPr>
                <w:p w14:paraId="77CC02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49" w:type="pct"/>
                  <w:tcBorders>
                    <w:tl2br w:val="nil"/>
                    <w:tr2bl w:val="nil"/>
                  </w:tcBorders>
                  <w:noWrap w:val="0"/>
                  <w:vAlign w:val="center"/>
                </w:tcPr>
                <w:p w14:paraId="566D69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G2</w:t>
                  </w:r>
                </w:p>
              </w:tc>
              <w:tc>
                <w:tcPr>
                  <w:tcW w:w="884" w:type="pct"/>
                  <w:tcBorders>
                    <w:tl2br w:val="nil"/>
                    <w:tr2bl w:val="nil"/>
                  </w:tcBorders>
                  <w:noWrap w:val="0"/>
                  <w:vAlign w:val="center"/>
                </w:tcPr>
                <w:p w14:paraId="226D4E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切制废气</w:t>
                  </w:r>
                </w:p>
              </w:tc>
              <w:tc>
                <w:tcPr>
                  <w:tcW w:w="1021" w:type="pct"/>
                  <w:tcBorders>
                    <w:tl2br w:val="nil"/>
                    <w:tr2bl w:val="nil"/>
                  </w:tcBorders>
                  <w:noWrap w:val="0"/>
                  <w:vAlign w:val="center"/>
                </w:tcPr>
                <w:p w14:paraId="7DF3D1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2073" w:type="pct"/>
                  <w:vMerge w:val="restart"/>
                  <w:tcBorders>
                    <w:tl2br w:val="nil"/>
                    <w:tr2bl w:val="nil"/>
                  </w:tcBorders>
                  <w:noWrap w:val="0"/>
                  <w:vAlign w:val="center"/>
                </w:tcPr>
                <w:p w14:paraId="1677FC29">
                  <w:pPr>
                    <w:keepNext w:val="0"/>
                    <w:keepLines w:val="0"/>
                    <w:suppressLineNumbers w:val="0"/>
                    <w:spacing w:before="0" w:beforeAutospacing="0" w:after="0" w:afterAutospacing="0"/>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上吸式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集气罩+布袋除尘器（TA0</w:t>
                  </w:r>
                  <w:r>
                    <w:rPr>
                      <w:rFonts w:hint="eastAsia"/>
                      <w:color w:val="000000" w:themeColor="text1"/>
                      <w:sz w:val="21"/>
                      <w:szCs w:val="21"/>
                      <w:highlight w:val="none"/>
                      <w:lang w:val="en-US" w:eastAsia="zh-CN"/>
                      <w14:textFill>
                        <w14:solidFill>
                          <w14:schemeClr w14:val="tx1"/>
                        </w14:solidFill>
                      </w14:textFill>
                    </w:rPr>
                    <w:t>25</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）处理后由不低于15m高的排气筒（DA0</w:t>
                  </w:r>
                  <w:r>
                    <w:rPr>
                      <w:rFonts w:hint="eastAsia"/>
                      <w:color w:val="000000" w:themeColor="text1"/>
                      <w:sz w:val="21"/>
                      <w:szCs w:val="21"/>
                      <w:highlight w:val="none"/>
                      <w:lang w:val="en-US" w:eastAsia="zh-CN"/>
                      <w14:textFill>
                        <w14:solidFill>
                          <w14:schemeClr w14:val="tx1"/>
                        </w14:solidFill>
                      </w14:textFill>
                    </w:rPr>
                    <w:t>16</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）排放</w:t>
                  </w:r>
                </w:p>
              </w:tc>
            </w:tr>
            <w:tr w14:paraId="694A2E1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70" w:type="pct"/>
                  <w:vMerge w:val="continue"/>
                  <w:tcBorders>
                    <w:tl2br w:val="nil"/>
                    <w:tr2bl w:val="nil"/>
                  </w:tcBorders>
                  <w:noWrap w:val="0"/>
                  <w:vAlign w:val="center"/>
                </w:tcPr>
                <w:p w14:paraId="041EC3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49" w:type="pct"/>
                  <w:tcBorders>
                    <w:tl2br w:val="nil"/>
                    <w:tr2bl w:val="nil"/>
                  </w:tcBorders>
                  <w:noWrap w:val="0"/>
                  <w:vAlign w:val="center"/>
                </w:tcPr>
                <w:p w14:paraId="4E8AA1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G3</w:t>
                  </w:r>
                </w:p>
              </w:tc>
              <w:tc>
                <w:tcPr>
                  <w:tcW w:w="884" w:type="pct"/>
                  <w:tcBorders>
                    <w:tl2br w:val="nil"/>
                    <w:tr2bl w:val="nil"/>
                  </w:tcBorders>
                  <w:noWrap w:val="0"/>
                  <w:vAlign w:val="center"/>
                </w:tcPr>
                <w:p w14:paraId="56BF20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压扁废气</w:t>
                  </w:r>
                </w:p>
              </w:tc>
              <w:tc>
                <w:tcPr>
                  <w:tcW w:w="1021" w:type="pct"/>
                  <w:tcBorders>
                    <w:tl2br w:val="nil"/>
                    <w:tr2bl w:val="nil"/>
                  </w:tcBorders>
                  <w:noWrap w:val="0"/>
                  <w:vAlign w:val="center"/>
                </w:tcPr>
                <w:p w14:paraId="1EAEB4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2073" w:type="pct"/>
                  <w:vMerge w:val="continue"/>
                  <w:tcBorders>
                    <w:tl2br w:val="nil"/>
                    <w:tr2bl w:val="nil"/>
                  </w:tcBorders>
                  <w:noWrap w:val="0"/>
                  <w:vAlign w:val="center"/>
                </w:tcPr>
                <w:p w14:paraId="31E0088C">
                  <w:pPr>
                    <w:keepNext w:val="0"/>
                    <w:keepLines w:val="0"/>
                    <w:suppressLineNumbers w:val="0"/>
                    <w:spacing w:before="0" w:beforeAutospacing="0" w:after="0" w:afterAutospacing="0"/>
                    <w:ind w:left="0" w:leftChars="0" w:right="0" w:rightChars="0"/>
                    <w:jc w:val="center"/>
                    <w:rPr>
                      <w:rFonts w:hint="eastAsia"/>
                      <w:color w:val="000000" w:themeColor="text1"/>
                      <w:sz w:val="21"/>
                      <w:szCs w:val="21"/>
                      <w:highlight w:val="none"/>
                      <w:lang w:val="en-US" w:eastAsia="zh-CN"/>
                      <w14:textFill>
                        <w14:solidFill>
                          <w14:schemeClr w14:val="tx1"/>
                        </w14:solidFill>
                      </w14:textFill>
                    </w:rPr>
                  </w:pPr>
                </w:p>
              </w:tc>
            </w:tr>
            <w:tr w14:paraId="055C43B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vMerge w:val="continue"/>
                  <w:tcBorders>
                    <w:tl2br w:val="nil"/>
                    <w:tr2bl w:val="nil"/>
                  </w:tcBorders>
                  <w:noWrap w:val="0"/>
                  <w:vAlign w:val="center"/>
                </w:tcPr>
                <w:p w14:paraId="55B28F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49" w:type="pct"/>
                  <w:tcBorders>
                    <w:tl2br w:val="nil"/>
                    <w:tr2bl w:val="nil"/>
                  </w:tcBorders>
                  <w:noWrap w:val="0"/>
                  <w:vAlign w:val="center"/>
                </w:tcPr>
                <w:p w14:paraId="6B5814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4</w:t>
                  </w:r>
                </w:p>
              </w:tc>
              <w:tc>
                <w:tcPr>
                  <w:tcW w:w="884" w:type="pct"/>
                  <w:tcBorders>
                    <w:tl2br w:val="nil"/>
                    <w:tr2bl w:val="nil"/>
                  </w:tcBorders>
                  <w:noWrap w:val="0"/>
                  <w:vAlign w:val="center"/>
                </w:tcPr>
                <w:p w14:paraId="055D21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干燥废气</w:t>
                  </w:r>
                </w:p>
              </w:tc>
              <w:tc>
                <w:tcPr>
                  <w:tcW w:w="1021" w:type="pct"/>
                  <w:tcBorders>
                    <w:tl2br w:val="nil"/>
                    <w:tr2bl w:val="nil"/>
                  </w:tcBorders>
                  <w:noWrap w:val="0"/>
                  <w:vAlign w:val="center"/>
                </w:tcPr>
                <w:p w14:paraId="5591E1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臭气浓度</w:t>
                  </w:r>
                </w:p>
              </w:tc>
              <w:tc>
                <w:tcPr>
                  <w:tcW w:w="2073" w:type="pct"/>
                  <w:tcBorders>
                    <w:tl2br w:val="nil"/>
                    <w:tr2bl w:val="nil"/>
                  </w:tcBorders>
                  <w:noWrap w:val="0"/>
                  <w:vAlign w:val="center"/>
                </w:tcPr>
                <w:p w14:paraId="113E31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上吸式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集气罩+集气管道与车间整体排风连接，产生的水蒸气和少量中药异味（臭气浓度）无组织排放</w:t>
                  </w:r>
                </w:p>
              </w:tc>
            </w:tr>
            <w:tr w14:paraId="2F8B516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vMerge w:val="continue"/>
                  <w:tcBorders>
                    <w:tl2br w:val="nil"/>
                    <w:tr2bl w:val="nil"/>
                  </w:tcBorders>
                  <w:noWrap w:val="0"/>
                  <w:vAlign w:val="center"/>
                </w:tcPr>
                <w:p w14:paraId="186962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49" w:type="pct"/>
                  <w:tcBorders>
                    <w:tl2br w:val="nil"/>
                    <w:tr2bl w:val="nil"/>
                  </w:tcBorders>
                  <w:noWrap w:val="0"/>
                  <w:vAlign w:val="center"/>
                </w:tcPr>
                <w:p w14:paraId="1B793F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884" w:type="pct"/>
                  <w:tcBorders>
                    <w:tl2br w:val="nil"/>
                    <w:tr2bl w:val="nil"/>
                  </w:tcBorders>
                  <w:noWrap w:val="0"/>
                  <w:vAlign w:val="center"/>
                </w:tcPr>
                <w:p w14:paraId="181968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打碎废气</w:t>
                  </w:r>
                </w:p>
              </w:tc>
              <w:tc>
                <w:tcPr>
                  <w:tcW w:w="1021" w:type="pct"/>
                  <w:tcBorders>
                    <w:tl2br w:val="nil"/>
                    <w:tr2bl w:val="nil"/>
                  </w:tcBorders>
                  <w:noWrap w:val="0"/>
                  <w:vAlign w:val="center"/>
                </w:tcPr>
                <w:p w14:paraId="02A3AC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2073" w:type="pct"/>
                  <w:vMerge w:val="restart"/>
                  <w:tcBorders>
                    <w:tl2br w:val="nil"/>
                    <w:tr2bl w:val="nil"/>
                  </w:tcBorders>
                  <w:noWrap w:val="0"/>
                  <w:vAlign w:val="center"/>
                </w:tcPr>
                <w:p w14:paraId="39BCE7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上吸式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集气罩+布袋除尘器（TA00</w:t>
                  </w:r>
                  <w:r>
                    <w:rPr>
                      <w:rFonts w:hint="eastAsia"/>
                      <w:color w:val="000000" w:themeColor="text1"/>
                      <w:sz w:val="21"/>
                      <w:szCs w:val="21"/>
                      <w:highlight w:val="none"/>
                      <w:lang w:val="en-US" w:eastAsia="zh-CN"/>
                      <w14:textFill>
                        <w14:solidFill>
                          <w14:schemeClr w14:val="tx1"/>
                        </w14:solidFill>
                      </w14:textFill>
                    </w:rPr>
                    <w:t>2</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）处理后由不低于15m</w:t>
                  </w:r>
                  <w:r>
                    <w:rPr>
                      <w:rFonts w:hint="eastAsia"/>
                      <w:color w:val="000000" w:themeColor="text1"/>
                      <w:sz w:val="21"/>
                      <w:szCs w:val="21"/>
                      <w:highlight w:val="none"/>
                      <w:lang w:val="en-US" w:eastAsia="zh-CN"/>
                      <w14:textFill>
                        <w14:solidFill>
                          <w14:schemeClr w14:val="tx1"/>
                        </w14:solidFill>
                      </w14:textFill>
                    </w:rPr>
                    <w:t>高</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的排气筒（DA0</w:t>
                  </w:r>
                  <w:r>
                    <w:rPr>
                      <w:rFonts w:hint="eastAsia"/>
                      <w:color w:val="000000" w:themeColor="text1"/>
                      <w:sz w:val="21"/>
                      <w:szCs w:val="21"/>
                      <w:highlight w:val="none"/>
                      <w:lang w:val="en-US" w:eastAsia="zh-CN"/>
                      <w14:textFill>
                        <w14:solidFill>
                          <w14:schemeClr w14:val="tx1"/>
                        </w14:solidFill>
                      </w14:textFill>
                    </w:rPr>
                    <w:t>02</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）排放</w:t>
                  </w:r>
                </w:p>
              </w:tc>
            </w:tr>
            <w:tr w14:paraId="3118552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vMerge w:val="continue"/>
                  <w:tcBorders>
                    <w:tl2br w:val="nil"/>
                    <w:tr2bl w:val="nil"/>
                  </w:tcBorders>
                  <w:noWrap w:val="0"/>
                  <w:vAlign w:val="center"/>
                </w:tcPr>
                <w:p w14:paraId="34B8CD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49" w:type="pct"/>
                  <w:tcBorders>
                    <w:tl2br w:val="nil"/>
                    <w:tr2bl w:val="nil"/>
                  </w:tcBorders>
                  <w:noWrap w:val="0"/>
                  <w:vAlign w:val="center"/>
                </w:tcPr>
                <w:p w14:paraId="2295D2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6</w:t>
                  </w:r>
                </w:p>
              </w:tc>
              <w:tc>
                <w:tcPr>
                  <w:tcW w:w="884" w:type="pct"/>
                  <w:tcBorders>
                    <w:tl2br w:val="nil"/>
                    <w:tr2bl w:val="nil"/>
                  </w:tcBorders>
                  <w:noWrap w:val="0"/>
                  <w:vAlign w:val="center"/>
                </w:tcPr>
                <w:p w14:paraId="290069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除杂废气</w:t>
                  </w:r>
                </w:p>
              </w:tc>
              <w:tc>
                <w:tcPr>
                  <w:tcW w:w="1021" w:type="pct"/>
                  <w:tcBorders>
                    <w:tl2br w:val="nil"/>
                    <w:tr2bl w:val="nil"/>
                  </w:tcBorders>
                  <w:noWrap w:val="0"/>
                  <w:vAlign w:val="center"/>
                </w:tcPr>
                <w:p w14:paraId="4F2304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2073" w:type="pct"/>
                  <w:vMerge w:val="continue"/>
                  <w:tcBorders>
                    <w:tl2br w:val="nil"/>
                    <w:tr2bl w:val="nil"/>
                  </w:tcBorders>
                  <w:noWrap w:val="0"/>
                  <w:vAlign w:val="center"/>
                </w:tcPr>
                <w:p w14:paraId="6DD116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color w:val="000000" w:themeColor="text1"/>
                      <w:sz w:val="21"/>
                      <w:szCs w:val="21"/>
                      <w:highlight w:val="none"/>
                      <w:lang w:val="en-US" w:eastAsia="zh-CN"/>
                      <w14:textFill>
                        <w14:solidFill>
                          <w14:schemeClr w14:val="tx1"/>
                        </w14:solidFill>
                      </w14:textFill>
                    </w:rPr>
                  </w:pPr>
                </w:p>
              </w:tc>
            </w:tr>
            <w:tr w14:paraId="0194E46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vMerge w:val="continue"/>
                  <w:tcBorders>
                    <w:tl2br w:val="nil"/>
                    <w:tr2bl w:val="nil"/>
                  </w:tcBorders>
                  <w:noWrap w:val="0"/>
                  <w:vAlign w:val="center"/>
                </w:tcPr>
                <w:p w14:paraId="626F58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49" w:type="pct"/>
                  <w:tcBorders>
                    <w:tl2br w:val="nil"/>
                    <w:tr2bl w:val="nil"/>
                  </w:tcBorders>
                  <w:noWrap w:val="0"/>
                  <w:vAlign w:val="center"/>
                </w:tcPr>
                <w:p w14:paraId="32608D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w:t>
                  </w:r>
                  <w:r>
                    <w:rPr>
                      <w:rFonts w:hint="eastAsia" w:eastAsia="宋体" w:cs="Times New Roman"/>
                      <w:color w:val="000000" w:themeColor="text1"/>
                      <w:sz w:val="21"/>
                      <w:szCs w:val="21"/>
                      <w:highlight w:val="none"/>
                      <w:lang w:val="en-US" w:eastAsia="zh-CN"/>
                      <w14:textFill>
                        <w14:solidFill>
                          <w14:schemeClr w14:val="tx1"/>
                        </w14:solidFill>
                      </w14:textFill>
                    </w:rPr>
                    <w:t>7</w:t>
                  </w:r>
                </w:p>
              </w:tc>
              <w:tc>
                <w:tcPr>
                  <w:tcW w:w="884" w:type="pct"/>
                  <w:tcBorders>
                    <w:tl2br w:val="nil"/>
                    <w:tr2bl w:val="nil"/>
                  </w:tcBorders>
                  <w:noWrap w:val="0"/>
                  <w:vAlign w:val="center"/>
                </w:tcPr>
                <w:p w14:paraId="42D54D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粉碎废气</w:t>
                  </w:r>
                </w:p>
              </w:tc>
              <w:tc>
                <w:tcPr>
                  <w:tcW w:w="1021" w:type="pct"/>
                  <w:tcBorders>
                    <w:tl2br w:val="nil"/>
                    <w:tr2bl w:val="nil"/>
                  </w:tcBorders>
                  <w:noWrap w:val="0"/>
                  <w:vAlign w:val="center"/>
                </w:tcPr>
                <w:p w14:paraId="6B45B4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2073" w:type="pct"/>
                  <w:vMerge w:val="continue"/>
                  <w:tcBorders>
                    <w:tl2br w:val="nil"/>
                    <w:tr2bl w:val="nil"/>
                  </w:tcBorders>
                  <w:noWrap w:val="0"/>
                  <w:vAlign w:val="center"/>
                </w:tcPr>
                <w:p w14:paraId="2DC7B3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color w:val="000000" w:themeColor="text1"/>
                      <w:sz w:val="21"/>
                      <w:szCs w:val="21"/>
                      <w:highlight w:val="none"/>
                      <w:lang w:val="en-US" w:eastAsia="zh-CN"/>
                      <w14:textFill>
                        <w14:solidFill>
                          <w14:schemeClr w14:val="tx1"/>
                        </w14:solidFill>
                      </w14:textFill>
                    </w:rPr>
                  </w:pPr>
                </w:p>
              </w:tc>
            </w:tr>
            <w:tr w14:paraId="7591092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vMerge w:val="continue"/>
                  <w:tcBorders>
                    <w:tl2br w:val="nil"/>
                    <w:tr2bl w:val="nil"/>
                  </w:tcBorders>
                  <w:noWrap w:val="0"/>
                  <w:vAlign w:val="center"/>
                </w:tcPr>
                <w:p w14:paraId="6D32A0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49" w:type="pct"/>
                  <w:tcBorders>
                    <w:tl2br w:val="nil"/>
                    <w:tr2bl w:val="nil"/>
                  </w:tcBorders>
                  <w:shd w:val="clear" w:color="auto" w:fill="auto"/>
                  <w:noWrap w:val="0"/>
                  <w:vAlign w:val="center"/>
                </w:tcPr>
                <w:p w14:paraId="1D6127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w:t>
                  </w:r>
                  <w:r>
                    <w:rPr>
                      <w:rFonts w:hint="eastAsia" w:eastAsia="宋体" w:cs="Times New Roman"/>
                      <w:color w:val="000000" w:themeColor="text1"/>
                      <w:sz w:val="21"/>
                      <w:szCs w:val="21"/>
                      <w:highlight w:val="none"/>
                      <w:lang w:val="en-US" w:eastAsia="zh-CN"/>
                      <w14:textFill>
                        <w14:solidFill>
                          <w14:schemeClr w14:val="tx1"/>
                        </w14:solidFill>
                      </w14:textFill>
                    </w:rPr>
                    <w:t>8</w:t>
                  </w:r>
                </w:p>
              </w:tc>
              <w:tc>
                <w:tcPr>
                  <w:tcW w:w="884" w:type="pct"/>
                  <w:tcBorders>
                    <w:tl2br w:val="nil"/>
                    <w:tr2bl w:val="nil"/>
                  </w:tcBorders>
                  <w:shd w:val="clear" w:color="auto" w:fill="auto"/>
                  <w:noWrap w:val="0"/>
                  <w:vAlign w:val="center"/>
                </w:tcPr>
                <w:p w14:paraId="0720BF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筛选废气</w:t>
                  </w:r>
                </w:p>
              </w:tc>
              <w:tc>
                <w:tcPr>
                  <w:tcW w:w="1021" w:type="pct"/>
                  <w:tcBorders>
                    <w:tl2br w:val="nil"/>
                    <w:tr2bl w:val="nil"/>
                  </w:tcBorders>
                  <w:shd w:val="clear" w:color="auto" w:fill="auto"/>
                  <w:noWrap w:val="0"/>
                  <w:vAlign w:val="center"/>
                </w:tcPr>
                <w:p w14:paraId="075ECB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2073" w:type="pct"/>
                  <w:tcBorders>
                    <w:tl2br w:val="nil"/>
                    <w:tr2bl w:val="nil"/>
                  </w:tcBorders>
                  <w:shd w:val="clear" w:color="auto" w:fill="auto"/>
                  <w:noWrap w:val="0"/>
                  <w:vAlign w:val="center"/>
                </w:tcPr>
                <w:p w14:paraId="68E59B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上吸式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集气罩+布袋除尘器（TA0</w:t>
                  </w:r>
                  <w:r>
                    <w:rPr>
                      <w:rFonts w:hint="eastAsia"/>
                      <w:color w:val="000000" w:themeColor="text1"/>
                      <w:sz w:val="21"/>
                      <w:szCs w:val="21"/>
                      <w:highlight w:val="none"/>
                      <w:lang w:val="en-US" w:eastAsia="zh-CN"/>
                      <w14:textFill>
                        <w14:solidFill>
                          <w14:schemeClr w14:val="tx1"/>
                        </w14:solidFill>
                      </w14:textFill>
                    </w:rPr>
                    <w:t>25</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）处理后由不低于15m高的排气筒（DA0</w:t>
                  </w:r>
                  <w:r>
                    <w:rPr>
                      <w:rFonts w:hint="eastAsia"/>
                      <w:color w:val="000000" w:themeColor="text1"/>
                      <w:sz w:val="21"/>
                      <w:szCs w:val="21"/>
                      <w:highlight w:val="none"/>
                      <w:lang w:val="en-US" w:eastAsia="zh-CN"/>
                      <w14:textFill>
                        <w14:solidFill>
                          <w14:schemeClr w14:val="tx1"/>
                        </w14:solidFill>
                      </w14:textFill>
                    </w:rPr>
                    <w:t>16</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）排放</w:t>
                  </w:r>
                </w:p>
              </w:tc>
            </w:tr>
            <w:tr w14:paraId="50B9B75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tcBorders>
                    <w:tl2br w:val="nil"/>
                    <w:tr2bl w:val="nil"/>
                  </w:tcBorders>
                  <w:noWrap w:val="0"/>
                  <w:vAlign w:val="center"/>
                </w:tcPr>
                <w:p w14:paraId="574BAA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废水</w:t>
                  </w:r>
                </w:p>
              </w:tc>
              <w:tc>
                <w:tcPr>
                  <w:tcW w:w="549" w:type="pct"/>
                  <w:tcBorders>
                    <w:tl2br w:val="nil"/>
                    <w:tr2bl w:val="nil"/>
                  </w:tcBorders>
                  <w:noWrap w:val="0"/>
                  <w:vAlign w:val="center"/>
                </w:tcPr>
                <w:p w14:paraId="6B63CB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W1</w:t>
                  </w:r>
                  <w:r>
                    <w:rPr>
                      <w:rFonts w:hint="eastAsia"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w:t>
                  </w:r>
                </w:p>
              </w:tc>
              <w:tc>
                <w:tcPr>
                  <w:tcW w:w="884" w:type="pct"/>
                  <w:tcBorders>
                    <w:tl2br w:val="nil"/>
                    <w:tr2bl w:val="nil"/>
                  </w:tcBorders>
                  <w:noWrap w:val="0"/>
                  <w:vAlign w:val="center"/>
                </w:tcPr>
                <w:p w14:paraId="1DD7E3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废水</w:t>
                  </w:r>
                </w:p>
              </w:tc>
              <w:tc>
                <w:tcPr>
                  <w:tcW w:w="1021" w:type="pct"/>
                  <w:tcBorders>
                    <w:tl2br w:val="nil"/>
                    <w:tr2bl w:val="nil"/>
                  </w:tcBorders>
                  <w:noWrap w:val="0"/>
                  <w:vAlign w:val="center"/>
                </w:tcPr>
                <w:p w14:paraId="677CC9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pH值、动植物油、总有机碳</w:t>
                  </w:r>
                  <w:r>
                    <w:rPr>
                      <w:rFonts w:hint="eastAsia" w:eastAsia="宋体" w:cs="Times New Roman"/>
                      <w:color w:val="000000" w:themeColor="text1"/>
                      <w:sz w:val="21"/>
                      <w:szCs w:val="21"/>
                      <w:highlight w:val="none"/>
                      <w:lang w:val="en-US" w:eastAsia="zh-CN"/>
                      <w14:textFill>
                        <w14:solidFill>
                          <w14:schemeClr w14:val="tx1"/>
                        </w14:solidFill>
                      </w14:textFill>
                    </w:rPr>
                    <w:t>、色度、悬浮物、五日生化需氧量、化学需氧量、氨氮、总氮、总磷、总氰化物</w:t>
                  </w:r>
                </w:p>
              </w:tc>
              <w:tc>
                <w:tcPr>
                  <w:tcW w:w="2073" w:type="pct"/>
                  <w:tcBorders>
                    <w:tl2br w:val="nil"/>
                    <w:tr2bl w:val="nil"/>
                  </w:tcBorders>
                  <w:noWrap w:val="0"/>
                  <w:vAlign w:val="center"/>
                </w:tcPr>
                <w:p w14:paraId="1A07DC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kern w:val="0"/>
                      <w:sz w:val="21"/>
                      <w:szCs w:val="21"/>
                      <w:highlight w:val="none"/>
                      <w:u w:val="none"/>
                      <w:lang w:val="en-US" w:eastAsia="zh-CN"/>
                      <w14:textFill>
                        <w14:solidFill>
                          <w14:schemeClr w14:val="tx1"/>
                        </w14:solidFill>
                      </w14:textFill>
                    </w:rPr>
                  </w:pPr>
                  <w:r>
                    <w:rPr>
                      <w:rFonts w:hint="eastAsia" w:ascii="Times New Roman" w:hAnsi="Times New Roman" w:eastAsia="新宋体" w:cs="Times New Roman"/>
                      <w:color w:val="000000" w:themeColor="text1"/>
                      <w:sz w:val="21"/>
                      <w:szCs w:val="21"/>
                      <w:highlight w:val="none"/>
                      <w:lang w:eastAsia="zh-CN"/>
                      <w14:textFill>
                        <w14:solidFill>
                          <w14:schemeClr w14:val="tx1"/>
                        </w14:solidFill>
                      </w14:textFill>
                    </w:rPr>
                    <w:t>废水进入厂内污水处理站进行处理，处理达标后，排入厂区污水管网后排入高新区市政管网最终排入</w:t>
                  </w:r>
                  <w:r>
                    <w:rPr>
                      <w:rFonts w:hint="eastAsia" w:cs="Times New Roman"/>
                      <w:color w:val="000000" w:themeColor="text1"/>
                      <w:sz w:val="21"/>
                      <w:szCs w:val="21"/>
                      <w:highlight w:val="none"/>
                      <w:lang w:eastAsia="zh-CN"/>
                      <w14:textFill>
                        <w14:solidFill>
                          <w14:schemeClr w14:val="tx1"/>
                        </w14:solidFill>
                      </w14:textFill>
                    </w:rPr>
                    <w:t>石桥子污水处理厂</w:t>
                  </w:r>
                  <w:r>
                    <w:rPr>
                      <w:rFonts w:hint="eastAsia" w:ascii="Times New Roman" w:hAnsi="Times New Roman" w:eastAsia="新宋体" w:cs="Times New Roman"/>
                      <w:color w:val="000000" w:themeColor="text1"/>
                      <w:sz w:val="21"/>
                      <w:szCs w:val="21"/>
                      <w:highlight w:val="none"/>
                      <w:lang w:eastAsia="zh-CN"/>
                      <w14:textFill>
                        <w14:solidFill>
                          <w14:schemeClr w14:val="tx1"/>
                        </w14:solidFill>
                      </w14:textFill>
                    </w:rPr>
                    <w:t>。</w:t>
                  </w:r>
                </w:p>
              </w:tc>
            </w:tr>
            <w:tr w14:paraId="6D719FB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vMerge w:val="restart"/>
                  <w:tcBorders>
                    <w:tl2br w:val="nil"/>
                    <w:tr2bl w:val="nil"/>
                  </w:tcBorders>
                  <w:noWrap w:val="0"/>
                  <w:vAlign w:val="center"/>
                </w:tcPr>
                <w:p w14:paraId="5813FD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固废</w:t>
                  </w:r>
                </w:p>
              </w:tc>
              <w:tc>
                <w:tcPr>
                  <w:tcW w:w="549" w:type="pct"/>
                  <w:tcBorders>
                    <w:tl2br w:val="nil"/>
                    <w:tr2bl w:val="nil"/>
                  </w:tcBorders>
                  <w:noWrap w:val="0"/>
                  <w:vAlign w:val="center"/>
                </w:tcPr>
                <w:p w14:paraId="7CFE85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S1</w:t>
                  </w:r>
                </w:p>
              </w:tc>
              <w:tc>
                <w:tcPr>
                  <w:tcW w:w="884" w:type="pct"/>
                  <w:tcBorders>
                    <w:tl2br w:val="nil"/>
                    <w:tr2bl w:val="nil"/>
                  </w:tcBorders>
                  <w:noWrap w:val="0"/>
                  <w:vAlign w:val="center"/>
                </w:tcPr>
                <w:p w14:paraId="44C319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净制</w:t>
                  </w:r>
                </w:p>
              </w:tc>
              <w:tc>
                <w:tcPr>
                  <w:tcW w:w="1021" w:type="pct"/>
                  <w:tcBorders>
                    <w:tl2br w:val="nil"/>
                    <w:tr2bl w:val="nil"/>
                  </w:tcBorders>
                  <w:noWrap w:val="0"/>
                  <w:vAlign w:val="center"/>
                </w:tcPr>
                <w:p w14:paraId="108E3F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分拣废渣</w:t>
                  </w:r>
                </w:p>
              </w:tc>
              <w:tc>
                <w:tcPr>
                  <w:tcW w:w="2073" w:type="pct"/>
                  <w:vMerge w:val="restart"/>
                  <w:tcBorders>
                    <w:tl2br w:val="nil"/>
                    <w:tr2bl w:val="nil"/>
                  </w:tcBorders>
                  <w:noWrap w:val="0"/>
                  <w:vAlign w:val="center"/>
                </w:tcPr>
                <w:p w14:paraId="3820FE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u w:val="none"/>
                      <w:lang w:val="en-US" w:eastAsia="zh-CN"/>
                      <w14:textFill>
                        <w14:solidFill>
                          <w14:schemeClr w14:val="tx1"/>
                        </w14:solidFill>
                      </w14:textFill>
                    </w:rPr>
                    <w:t>集中收集后暂存于一般固废暂存区，交由有利用、处置能力的企业依法依规进行利用处置。</w:t>
                  </w:r>
                </w:p>
              </w:tc>
            </w:tr>
            <w:tr w14:paraId="103A7F6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vMerge w:val="continue"/>
                  <w:tcBorders>
                    <w:tl2br w:val="nil"/>
                    <w:tr2bl w:val="nil"/>
                  </w:tcBorders>
                  <w:noWrap w:val="0"/>
                  <w:vAlign w:val="center"/>
                </w:tcPr>
                <w:p w14:paraId="2D406F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49" w:type="pct"/>
                  <w:tcBorders>
                    <w:tl2br w:val="nil"/>
                    <w:tr2bl w:val="nil"/>
                  </w:tcBorders>
                  <w:noWrap w:val="0"/>
                  <w:vAlign w:val="center"/>
                </w:tcPr>
                <w:p w14:paraId="2BA0E9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w:t>
                  </w:r>
                  <w:r>
                    <w:rPr>
                      <w:rFonts w:hint="eastAsia" w:cs="Times New Roman"/>
                      <w:color w:val="000000" w:themeColor="text1"/>
                      <w:sz w:val="21"/>
                      <w:szCs w:val="21"/>
                      <w:highlight w:val="none"/>
                      <w:lang w:val="en-US" w:eastAsia="zh-CN"/>
                      <w14:textFill>
                        <w14:solidFill>
                          <w14:schemeClr w14:val="tx1"/>
                        </w14:solidFill>
                      </w14:textFill>
                    </w:rPr>
                    <w:t>2</w:t>
                  </w:r>
                </w:p>
              </w:tc>
              <w:tc>
                <w:tcPr>
                  <w:tcW w:w="884" w:type="pct"/>
                  <w:tcBorders>
                    <w:tl2br w:val="nil"/>
                    <w:tr2bl w:val="nil"/>
                  </w:tcBorders>
                  <w:noWrap w:val="0"/>
                  <w:vAlign w:val="center"/>
                </w:tcPr>
                <w:p w14:paraId="227F40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除杂</w:t>
                  </w:r>
                </w:p>
              </w:tc>
              <w:tc>
                <w:tcPr>
                  <w:tcW w:w="1021" w:type="pct"/>
                  <w:tcBorders>
                    <w:tl2br w:val="nil"/>
                    <w:tr2bl w:val="nil"/>
                  </w:tcBorders>
                  <w:noWrap w:val="0"/>
                  <w:vAlign w:val="center"/>
                </w:tcPr>
                <w:p w14:paraId="3FBBB1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废渣</w:t>
                  </w:r>
                </w:p>
              </w:tc>
              <w:tc>
                <w:tcPr>
                  <w:tcW w:w="2073" w:type="pct"/>
                  <w:vMerge w:val="continue"/>
                  <w:tcBorders>
                    <w:tl2br w:val="nil"/>
                    <w:tr2bl w:val="nil"/>
                  </w:tcBorders>
                  <w:noWrap w:val="0"/>
                  <w:vAlign w:val="center"/>
                </w:tcPr>
                <w:p w14:paraId="6BF19E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pPr>
                </w:p>
              </w:tc>
            </w:tr>
            <w:tr w14:paraId="0FCE6F6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vMerge w:val="continue"/>
                  <w:tcBorders>
                    <w:tl2br w:val="nil"/>
                    <w:tr2bl w:val="nil"/>
                  </w:tcBorders>
                  <w:noWrap w:val="0"/>
                  <w:vAlign w:val="center"/>
                </w:tcPr>
                <w:p w14:paraId="7B143E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49" w:type="pct"/>
                  <w:tcBorders>
                    <w:tl2br w:val="nil"/>
                    <w:tr2bl w:val="nil"/>
                  </w:tcBorders>
                  <w:noWrap w:val="0"/>
                  <w:vAlign w:val="center"/>
                </w:tcPr>
                <w:p w14:paraId="7C7E75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w:t>
                  </w:r>
                </w:p>
              </w:tc>
              <w:tc>
                <w:tcPr>
                  <w:tcW w:w="884" w:type="pct"/>
                  <w:tcBorders>
                    <w:tl2br w:val="nil"/>
                    <w:tr2bl w:val="nil"/>
                  </w:tcBorders>
                  <w:noWrap w:val="0"/>
                  <w:vAlign w:val="center"/>
                </w:tcPr>
                <w:p w14:paraId="5AAF41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检验</w:t>
                  </w:r>
                </w:p>
              </w:tc>
              <w:tc>
                <w:tcPr>
                  <w:tcW w:w="1021" w:type="pct"/>
                  <w:tcBorders>
                    <w:tl2br w:val="nil"/>
                    <w:tr2bl w:val="nil"/>
                  </w:tcBorders>
                  <w:noWrap w:val="0"/>
                  <w:vAlign w:val="center"/>
                </w:tcPr>
                <w:p w14:paraId="412820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化学检验废液</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cs="Times New Roman"/>
                      <w:b w:val="0"/>
                      <w:bCs w:val="0"/>
                      <w:color w:val="000000" w:themeColor="text1"/>
                      <w:sz w:val="21"/>
                      <w:szCs w:val="21"/>
                      <w:highlight w:val="none"/>
                      <w:lang w:eastAsia="zh-CN"/>
                      <w14:textFill>
                        <w14:solidFill>
                          <w14:schemeClr w14:val="tx1"/>
                        </w14:solidFill>
                      </w14:textFill>
                    </w:rPr>
                    <w:t>废化学试剂瓶</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、废弃薄层板</w:t>
                  </w:r>
                  <w:r>
                    <w:rPr>
                      <w:rFonts w:hint="default"/>
                      <w:color w:val="000000" w:themeColor="text1"/>
                      <w:highlight w:val="none"/>
                      <w14:textFill>
                        <w14:solidFill>
                          <w14:schemeClr w14:val="tx1"/>
                        </w14:solidFill>
                      </w14:textFill>
                    </w:rPr>
                    <w:t>、</w:t>
                  </w:r>
                  <w:r>
                    <w:rPr>
                      <w:rFonts w:hint="eastAsia"/>
                      <w:color w:val="000000" w:themeColor="text1"/>
                      <w:highlight w:val="none"/>
                      <w:lang w:eastAsia="zh-CN"/>
                      <w14:textFill>
                        <w14:solidFill>
                          <w14:schemeClr w14:val="tx1"/>
                        </w14:solidFill>
                      </w14:textFill>
                    </w:rPr>
                    <w:t>废试药</w:t>
                  </w:r>
                </w:p>
              </w:tc>
              <w:tc>
                <w:tcPr>
                  <w:tcW w:w="2073" w:type="pct"/>
                  <w:tcBorders>
                    <w:tl2br w:val="nil"/>
                    <w:tr2bl w:val="nil"/>
                  </w:tcBorders>
                  <w:noWrap w:val="0"/>
                  <w:vAlign w:val="center"/>
                </w:tcPr>
                <w:p w14:paraId="196FF4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t>依托现有危废贮存</w:t>
                  </w:r>
                  <w:r>
                    <w:rPr>
                      <w:rFonts w:hint="eastAsia" w:eastAsia="宋体" w:cs="Times New Roman"/>
                      <w:color w:val="000000" w:themeColor="text1"/>
                      <w:sz w:val="21"/>
                      <w:szCs w:val="21"/>
                      <w:highlight w:val="none"/>
                      <w:u w:val="none"/>
                      <w:lang w:val="en-US" w:eastAsia="zh-CN"/>
                      <w14:textFill>
                        <w14:solidFill>
                          <w14:schemeClr w14:val="tx1"/>
                        </w14:solidFill>
                      </w14:textFill>
                    </w:rPr>
                    <w:t>库</w:t>
                  </w:r>
                  <w:r>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t>暂存，定期委托有资质单位处置。</w:t>
                  </w:r>
                </w:p>
              </w:tc>
            </w:tr>
            <w:tr w14:paraId="60DE12F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tcBorders>
                    <w:tl2br w:val="nil"/>
                    <w:tr2bl w:val="nil"/>
                  </w:tcBorders>
                  <w:noWrap w:val="0"/>
                  <w:vAlign w:val="center"/>
                </w:tcPr>
                <w:p w14:paraId="3CE577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噪声</w:t>
                  </w:r>
                </w:p>
              </w:tc>
              <w:tc>
                <w:tcPr>
                  <w:tcW w:w="549" w:type="pct"/>
                  <w:tcBorders>
                    <w:tl2br w:val="nil"/>
                    <w:tr2bl w:val="nil"/>
                  </w:tcBorders>
                  <w:noWrap w:val="0"/>
                  <w:vAlign w:val="center"/>
                </w:tcPr>
                <w:p w14:paraId="1D6C6D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N</w:t>
                  </w:r>
                </w:p>
              </w:tc>
              <w:tc>
                <w:tcPr>
                  <w:tcW w:w="1905" w:type="pct"/>
                  <w:gridSpan w:val="2"/>
                  <w:tcBorders>
                    <w:tl2br w:val="nil"/>
                    <w:tr2bl w:val="nil"/>
                  </w:tcBorders>
                  <w:noWrap w:val="0"/>
                  <w:vAlign w:val="center"/>
                </w:tcPr>
                <w:p w14:paraId="3F21C4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各种设备运转噪声</w:t>
                  </w:r>
                </w:p>
              </w:tc>
              <w:tc>
                <w:tcPr>
                  <w:tcW w:w="2073" w:type="pct"/>
                  <w:tcBorders>
                    <w:tl2br w:val="nil"/>
                    <w:tr2bl w:val="nil"/>
                  </w:tcBorders>
                  <w:noWrap w:val="0"/>
                  <w:vAlign w:val="center"/>
                </w:tcPr>
                <w:p w14:paraId="61F349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低噪声设备选型、基础减振、建筑隔声</w:t>
                  </w:r>
                </w:p>
              </w:tc>
            </w:tr>
          </w:tbl>
          <w:p w14:paraId="5258E051">
            <w:pPr>
              <w:keepNext w:val="0"/>
              <w:keepLines w:val="0"/>
              <w:widowControl/>
              <w:suppressLineNumbers w:val="0"/>
              <w:adjustRightInd w:val="0"/>
              <w:snapToGrid w:val="0"/>
              <w:spacing w:before="93" w:beforeLines="30" w:beforeAutospacing="0" w:after="93" w:afterLines="30" w:afterAutospacing="0" w:line="360" w:lineRule="auto"/>
              <w:ind w:left="0" w:right="0"/>
              <w:jc w:val="left"/>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t>1.2.</w:t>
            </w:r>
            <w:r>
              <w:rPr>
                <w:rFonts w:hint="eastAsia" w:cs="Times New Roman"/>
                <w:b/>
                <w:bCs/>
                <w:color w:val="000000" w:themeColor="text1"/>
                <w:kern w:val="0"/>
                <w:sz w:val="24"/>
                <w:szCs w:val="24"/>
                <w:highlight w:val="none"/>
                <w:lang w:val="en-US" w:eastAsia="zh-CN" w:bidi="en-US"/>
                <w14:textFill>
                  <w14:solidFill>
                    <w14:schemeClr w14:val="tx1"/>
                  </w14:solidFill>
                </w14:textFill>
              </w:rPr>
              <w:t>3</w:t>
            </w:r>
            <w:r>
              <w:rPr>
                <w:rFonts w:hint="default"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t xml:space="preserve"> </w:t>
            </w:r>
            <w:r>
              <w:rPr>
                <w:rFonts w:hint="eastAsia" w:cs="Times New Roman"/>
                <w:b/>
                <w:bCs/>
                <w:color w:val="000000" w:themeColor="text1"/>
                <w:kern w:val="0"/>
                <w:sz w:val="24"/>
                <w:szCs w:val="24"/>
                <w:highlight w:val="none"/>
                <w:lang w:val="en-US" w:eastAsia="zh-CN" w:bidi="en-US"/>
                <w14:textFill>
                  <w14:solidFill>
                    <w14:schemeClr w14:val="tx1"/>
                  </w14:solidFill>
                </w14:textFill>
              </w:rPr>
              <w:t>经典名方3</w:t>
            </w:r>
            <w:r>
              <w:rPr>
                <w:rFonts w:hint="default"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t>炮制工艺</w:t>
            </w:r>
            <w:r>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t>流程简述：</w:t>
            </w:r>
          </w:p>
          <w:p w14:paraId="4431027F">
            <w:pPr>
              <w:pStyle w:val="25"/>
              <w:keepNext w:val="0"/>
              <w:keepLines w:val="0"/>
              <w:suppressLineNumbers w:val="0"/>
              <w:spacing w:before="0" w:beforeAutospacing="0" w:afterAutospacing="0"/>
              <w:ind w:left="0" w:leftChars="0" w:right="0" w:firstLine="0" w:firstLineChars="0"/>
              <w:jc w:val="center"/>
              <w:rPr>
                <w:rFonts w:hint="eastAsia" w:ascii="Times New Roman" w:hAnsi="Times New Roman" w:eastAsia="宋体" w:cs="Times New Roman"/>
                <w:b/>
                <w:bCs/>
                <w:color w:val="000000" w:themeColor="text1"/>
                <w:kern w:val="0"/>
                <w:sz w:val="24"/>
                <w:szCs w:val="24"/>
                <w:highlight w:val="none"/>
                <w:lang w:eastAsia="zh-CN" w:bidi="en-US"/>
                <w14:textFill>
                  <w14:solidFill>
                    <w14:schemeClr w14:val="tx1"/>
                  </w14:solidFill>
                </w14:textFill>
              </w:rPr>
            </w:pPr>
            <w:r>
              <w:rPr>
                <w:rFonts w:hint="eastAsia" w:ascii="Times New Roman" w:hAnsi="Times New Roman" w:eastAsia="宋体" w:cs="Times New Roman"/>
                <w:b/>
                <w:bCs/>
                <w:color w:val="000000" w:themeColor="text1"/>
                <w:kern w:val="0"/>
                <w:sz w:val="24"/>
                <w:szCs w:val="24"/>
                <w:highlight w:val="none"/>
                <w:lang w:eastAsia="zh-CN" w:bidi="en-US"/>
                <w14:textFill>
                  <w14:solidFill>
                    <w14:schemeClr w14:val="tx1"/>
                  </w14:solidFill>
                </w14:textFill>
              </w:rPr>
              <w:drawing>
                <wp:inline distT="0" distB="0" distL="114300" distR="114300">
                  <wp:extent cx="3705225" cy="5248275"/>
                  <wp:effectExtent l="0" t="0" r="9525" b="9525"/>
                  <wp:docPr id="293" name="图片 29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图片 293" descr="2"/>
                          <pic:cNvPicPr>
                            <a:picLocks noChangeAspect="1"/>
                          </pic:cNvPicPr>
                        </pic:nvPicPr>
                        <pic:blipFill>
                          <a:blip r:embed="rId19"/>
                          <a:stretch>
                            <a:fillRect/>
                          </a:stretch>
                        </pic:blipFill>
                        <pic:spPr>
                          <a:xfrm>
                            <a:off x="0" y="0"/>
                            <a:ext cx="3705225" cy="5248275"/>
                          </a:xfrm>
                          <a:prstGeom prst="rect">
                            <a:avLst/>
                          </a:prstGeom>
                        </pic:spPr>
                      </pic:pic>
                    </a:graphicData>
                  </a:graphic>
                </wp:inline>
              </w:drawing>
            </w:r>
          </w:p>
          <w:p w14:paraId="5F99A057">
            <w:pPr>
              <w:keepNext w:val="0"/>
              <w:keepLines w:val="0"/>
              <w:numPr>
                <w:ilvl w:val="0"/>
                <w:numId w:val="16"/>
              </w:numPr>
              <w:suppressLineNumbers w:val="0"/>
              <w:snapToGrid w:val="0"/>
              <w:spacing w:before="0" w:beforeLines="0" w:beforeAutospacing="0" w:after="0" w:afterLines="0" w:afterAutospacing="0"/>
              <w:ind w:left="0" w:leftChars="0" w:right="0" w:rightChars="0" w:firstLine="0" w:firstLineChars="0"/>
              <w:jc w:val="center"/>
              <w:rPr>
                <w:rFonts w:hint="eastAsia"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 xml:space="preserve">  经典名方3炮制工艺流程及产污节点图</w:t>
            </w:r>
          </w:p>
          <w:p w14:paraId="58B64E10">
            <w:pPr>
              <w:pStyle w:val="18"/>
              <w:keepNext w:val="0"/>
              <w:keepLines w:val="0"/>
              <w:suppressLineNumbers w:val="0"/>
              <w:spacing w:beforeAutospacing="0" w:afterAutospacing="0"/>
              <w:ind w:left="0"/>
              <w:rPr>
                <w:rFonts w:hint="eastAsia"/>
                <w:color w:val="000000" w:themeColor="text1"/>
                <w:highlight w:val="none"/>
                <w:lang w:val="en-US" w:eastAsia="zh-CN"/>
                <w14:textFill>
                  <w14:solidFill>
                    <w14:schemeClr w14:val="tx1"/>
                  </w14:solidFill>
                </w14:textFill>
              </w:rPr>
            </w:pPr>
          </w:p>
          <w:p w14:paraId="3DC037F3">
            <w:pPr>
              <w:keepNext w:val="0"/>
              <w:keepLines w:val="0"/>
              <w:widowControl/>
              <w:suppressLineNumbers w:val="0"/>
              <w:adjustRightInd w:val="0"/>
              <w:snapToGrid w:val="0"/>
              <w:spacing w:before="0" w:beforeAutospacing="0" w:after="0" w:afterAutospacing="0" w:line="360" w:lineRule="auto"/>
              <w:ind w:left="0" w:right="0"/>
              <w:jc w:val="left"/>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kern w:val="0"/>
                <w:sz w:val="24"/>
                <w:szCs w:val="24"/>
                <w:highlight w:val="none"/>
                <w:lang w:eastAsia="zh-CN" w:bidi="en-US"/>
                <w14:textFill>
                  <w14:solidFill>
                    <w14:schemeClr w14:val="tx1"/>
                  </w14:solidFill>
                </w14:textFill>
              </w:rPr>
              <w:t>（</w:t>
            </w:r>
            <w:r>
              <w:rPr>
                <w:rFonts w:hint="eastAsia" w:cs="Times New Roman"/>
                <w:b/>
                <w:bCs/>
                <w:color w:val="000000" w:themeColor="text1"/>
                <w:kern w:val="0"/>
                <w:sz w:val="24"/>
                <w:szCs w:val="24"/>
                <w:highlight w:val="none"/>
                <w:lang w:val="en-US" w:eastAsia="zh-CN" w:bidi="en-US"/>
                <w14:textFill>
                  <w14:solidFill>
                    <w14:schemeClr w14:val="tx1"/>
                  </w14:solidFill>
                </w14:textFill>
              </w:rPr>
              <w:t>1</w:t>
            </w:r>
            <w:r>
              <w:rPr>
                <w:rFonts w:hint="eastAsia" w:cs="Times New Roman"/>
                <w:b/>
                <w:bCs/>
                <w:color w:val="000000" w:themeColor="text1"/>
                <w:kern w:val="0"/>
                <w:sz w:val="24"/>
                <w:szCs w:val="24"/>
                <w:highlight w:val="none"/>
                <w:lang w:eastAsia="zh-CN" w:bidi="en-US"/>
                <w14:textFill>
                  <w14:solidFill>
                    <w14:schemeClr w14:val="tx1"/>
                  </w14:solidFill>
                </w14:textFill>
              </w:rPr>
              <w:t>）</w:t>
            </w:r>
            <w:r>
              <w:rPr>
                <w:rFonts w:hint="eastAsia" w:cs="Times New Roman"/>
                <w:b/>
                <w:bCs/>
                <w:color w:val="000000" w:themeColor="text1"/>
                <w:sz w:val="24"/>
                <w:szCs w:val="24"/>
                <w:highlight w:val="none"/>
                <w:lang w:val="en-US" w:eastAsia="zh-CN"/>
                <w14:textFill>
                  <w14:solidFill>
                    <w14:schemeClr w14:val="tx1"/>
                  </w14:solidFill>
                </w14:textFill>
              </w:rPr>
              <w:t>经典名方3炮制</w:t>
            </w:r>
            <w:r>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t>工艺流程简述：</w:t>
            </w:r>
          </w:p>
          <w:p w14:paraId="69631B95">
            <w:pPr>
              <w:keepNext/>
              <w:keepLines w:val="0"/>
              <w:suppressLineNumbers w:val="0"/>
              <w:spacing w:before="0" w:beforeAutospacing="0" w:after="0" w:afterAutospacing="0" w:line="360" w:lineRule="auto"/>
              <w:ind w:left="0" w:right="0" w:firstLine="482" w:firstLineChars="200"/>
              <w:outlineLvl w:val="0"/>
              <w:rPr>
                <w:rFonts w:hint="default" w:cs="Times New Roman"/>
                <w:b w:val="0"/>
                <w:bCs/>
                <w:color w:val="000000" w:themeColor="text1"/>
                <w:sz w:val="24"/>
                <w:szCs w:val="24"/>
                <w:highlight w:val="none"/>
                <w:lang w:val="en-US"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①净制</w:t>
            </w:r>
            <w:r>
              <w:rPr>
                <w:rFonts w:hint="eastAsia"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将经典名方3的药材进行人工分拣，除去</w:t>
            </w:r>
            <w:r>
              <w:rPr>
                <w:rFonts w:hint="eastAsia" w:cs="Times New Roman" w:asciiTheme="minorEastAsia" w:hAnsiTheme="minorEastAsia"/>
                <w:color w:val="000000" w:themeColor="text1"/>
                <w:sz w:val="24"/>
                <w:highlight w:val="none"/>
                <w14:textFill>
                  <w14:solidFill>
                    <w14:schemeClr w14:val="tx1"/>
                  </w14:solidFill>
                </w14:textFill>
              </w:rPr>
              <w:t>根茎</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或杂质等，利用洗药机进行清洗，清洗采用软化水，清洗后的</w:t>
            </w:r>
            <w:r>
              <w:rPr>
                <w:rFonts w:hint="eastAsia" w:cs="Times New Roman"/>
                <w:b w:val="0"/>
                <w:bCs/>
                <w:color w:val="000000" w:themeColor="text1"/>
                <w:sz w:val="24"/>
                <w:szCs w:val="24"/>
                <w:highlight w:val="none"/>
                <w:lang w:val="en-US" w:eastAsia="zh-CN"/>
                <w14:textFill>
                  <w14:solidFill>
                    <w14:schemeClr w14:val="tx1"/>
                  </w14:solidFill>
                </w14:textFill>
              </w:rPr>
              <w:t>药材全部进入软化工序。此过程</w:t>
            </w:r>
            <w:r>
              <w:rPr>
                <w:rFonts w:hint="eastAsia"/>
                <w:color w:val="000000" w:themeColor="text1"/>
                <w:sz w:val="24"/>
                <w:szCs w:val="24"/>
                <w:highlight w:val="none"/>
                <w:lang w:val="en-US" w:eastAsia="zh-CN"/>
                <w14:textFill>
                  <w14:solidFill>
                    <w14:schemeClr w14:val="tx1"/>
                  </w14:solidFill>
                </w14:textFill>
              </w:rPr>
              <w:t>产生的污染物主要为S1（</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分拣废渣</w:t>
            </w:r>
            <w:r>
              <w:rPr>
                <w:rFonts w:hint="eastAsia"/>
                <w:color w:val="000000" w:themeColor="text1"/>
                <w:sz w:val="24"/>
                <w:szCs w:val="24"/>
                <w:highlight w:val="none"/>
                <w:lang w:val="en-US" w:eastAsia="zh-CN"/>
                <w14:textFill>
                  <w14:solidFill>
                    <w14:schemeClr w14:val="tx1"/>
                  </w14:solidFill>
                </w14:textFill>
              </w:rPr>
              <w:t>）、W1（</w:t>
            </w:r>
            <w:r>
              <w:rPr>
                <w:rFonts w:hint="default" w:ascii="Times New Roman" w:hAnsi="Times New Roman" w:eastAsia="新宋体" w:cs="Times New Roman"/>
                <w:color w:val="000000" w:themeColor="text1"/>
                <w:sz w:val="24"/>
                <w:szCs w:val="24"/>
                <w:highlight w:val="none"/>
                <w:lang w:bidi="ar-SA"/>
                <w14:textFill>
                  <w14:solidFill>
                    <w14:schemeClr w14:val="tx1"/>
                  </w14:solidFill>
                </w14:textFill>
              </w:rPr>
              <w:t>废水</w:t>
            </w:r>
            <w:r>
              <w:rPr>
                <w:rFonts w:hint="eastAsia"/>
                <w:color w:val="000000" w:themeColor="text1"/>
                <w:sz w:val="24"/>
                <w:szCs w:val="24"/>
                <w:highlight w:val="none"/>
                <w:lang w:val="en-US" w:eastAsia="zh-CN"/>
                <w14:textFill>
                  <w14:solidFill>
                    <w14:schemeClr w14:val="tx1"/>
                  </w14:solidFill>
                </w14:textFill>
              </w:rPr>
              <w:t>）、N（设备噪声）。</w:t>
            </w:r>
          </w:p>
          <w:p w14:paraId="1D62F91F">
            <w:pPr>
              <w:keepNext/>
              <w:keepLines w:val="0"/>
              <w:suppressLineNumbers w:val="0"/>
              <w:spacing w:before="0" w:beforeAutospacing="0" w:after="0" w:afterAutospacing="0" w:line="360" w:lineRule="auto"/>
              <w:ind w:left="0" w:right="0" w:firstLine="482" w:firstLineChars="200"/>
              <w:outlineLvl w:val="0"/>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pPr>
            <w:r>
              <w:rPr>
                <w:rFonts w:hint="eastAsia" w:cs="Times New Roman"/>
                <w:b/>
                <w:bCs w:val="0"/>
                <w:color w:val="000000" w:themeColor="text1"/>
                <w:sz w:val="24"/>
                <w:szCs w:val="24"/>
                <w:highlight w:val="none"/>
                <w:u w:val="none"/>
                <w:lang w:val="en-US" w:eastAsia="zh-CN"/>
                <w14:textFill>
                  <w14:solidFill>
                    <w14:schemeClr w14:val="tx1"/>
                  </w14:solidFill>
                </w14:textFill>
              </w:rPr>
              <w:t>②</w:t>
            </w:r>
            <w:r>
              <w:rPr>
                <w:rFonts w:hint="eastAsia"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软化</w:t>
            </w:r>
            <w:r>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蒸润一体机</w:t>
            </w:r>
            <w:r>
              <w:rPr>
                <w:rFonts w:hint="eastAsia" w:cs="Times New Roman"/>
                <w:b w:val="0"/>
                <w:bCs/>
                <w:color w:val="000000" w:themeColor="text1"/>
                <w:sz w:val="24"/>
                <w:szCs w:val="24"/>
                <w:highlight w:val="none"/>
                <w:lang w:val="en-US" w:eastAsia="zh-CN"/>
                <w14:textFill>
                  <w14:solidFill>
                    <w14:schemeClr w14:val="tx1"/>
                  </w14:solidFill>
                </w14:textFill>
              </w:rPr>
              <w:t>是电加热软化水产生蒸汽，</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采用蒸润一体机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对</w:t>
            </w:r>
            <w:r>
              <w:rPr>
                <w:rFonts w:hint="eastAsia" w:cs="Times New Roman"/>
                <w:b w:val="0"/>
                <w:bCs/>
                <w:color w:val="000000" w:themeColor="text1"/>
                <w:sz w:val="24"/>
                <w:szCs w:val="24"/>
                <w:highlight w:val="none"/>
                <w:lang w:val="en-US" w:eastAsia="zh-CN"/>
                <w14:textFill>
                  <w14:solidFill>
                    <w14:schemeClr w14:val="tx1"/>
                  </w14:solidFill>
                </w14:textFill>
              </w:rPr>
              <w:t>药材进行软化润透，作用是方便切制、降低粉尘产生量、保住药性，减少有效成分流失等作用</w:t>
            </w:r>
            <w:r>
              <w:rPr>
                <w:rFonts w:hint="default" w:ascii="Times New Roman" w:hAnsi="Times New Roman" w:cs="Times New Roman"/>
                <w:color w:val="000000" w:themeColor="text1"/>
                <w:sz w:val="24"/>
                <w:highlight w:val="none"/>
                <w:lang w:val="en-US"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软化后的药材按照药材特征分别进入切制工序。项目</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蒸润一体机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密闭，泄压排气管道与车间整体排风连接，产生的水蒸气和少量中药异味（臭气浓度）无组织排放，设备定期清洗产生设备清洗废水</w:t>
            </w:r>
            <w:r>
              <w:rPr>
                <w:rFonts w:hint="eastAsia" w:eastAsia="宋体"/>
                <w:color w:val="000000" w:themeColor="text1"/>
                <w:sz w:val="24"/>
                <w:szCs w:val="24"/>
                <w:highlight w:val="none"/>
                <w:lang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此过程</w:t>
            </w:r>
            <w:r>
              <w:rPr>
                <w:rFonts w:hint="eastAsia"/>
                <w:color w:val="000000" w:themeColor="text1"/>
                <w:sz w:val="24"/>
                <w:szCs w:val="24"/>
                <w:highlight w:val="none"/>
                <w:lang w:val="en-US" w:eastAsia="zh-CN"/>
                <w14:textFill>
                  <w14:solidFill>
                    <w14:schemeClr w14:val="tx1"/>
                  </w14:solidFill>
                </w14:textFill>
              </w:rPr>
              <w:t>产生的污染物主要为G1（臭气浓度）、W2（</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废水</w:t>
            </w:r>
            <w:r>
              <w:rPr>
                <w:rFonts w:hint="eastAsia"/>
                <w:color w:val="000000" w:themeColor="text1"/>
                <w:sz w:val="24"/>
                <w:szCs w:val="24"/>
                <w:highlight w:val="none"/>
                <w:lang w:val="en-US" w:eastAsia="zh-CN"/>
                <w14:textFill>
                  <w14:solidFill>
                    <w14:schemeClr w14:val="tx1"/>
                  </w14:solidFill>
                </w14:textFill>
              </w:rPr>
              <w:t>）、N（设备噪声）。</w:t>
            </w:r>
          </w:p>
          <w:p w14:paraId="17DEC4B5">
            <w:pPr>
              <w:keepNext/>
              <w:keepLines w:val="0"/>
              <w:suppressLineNumbers w:val="0"/>
              <w:spacing w:before="0" w:beforeAutospacing="0" w:after="0" w:afterAutospacing="0" w:line="360" w:lineRule="auto"/>
              <w:ind w:left="0" w:right="0" w:firstLine="482" w:firstLineChars="200"/>
              <w:outlineLvl w:val="0"/>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③切制</w:t>
            </w:r>
            <w:r>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采用</w:t>
            </w:r>
            <w:r>
              <w:rPr>
                <w:rFonts w:hint="eastAsia" w:cs="Times New Roman" w:asciiTheme="minorEastAsia" w:hAnsiTheme="minorEastAsia"/>
                <w:color w:val="000000" w:themeColor="text1"/>
                <w:sz w:val="24"/>
                <w:highlight w:val="none"/>
                <w14:textFill>
                  <w14:solidFill>
                    <w14:schemeClr w14:val="tx1"/>
                  </w14:solidFill>
                </w14:textFill>
              </w:rPr>
              <w:t>切药机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对</w:t>
            </w:r>
            <w:r>
              <w:rPr>
                <w:rFonts w:hint="eastAsia" w:cs="Times New Roman"/>
                <w:b w:val="0"/>
                <w:bCs/>
                <w:color w:val="000000" w:themeColor="text1"/>
                <w:sz w:val="24"/>
                <w:szCs w:val="24"/>
                <w:highlight w:val="none"/>
                <w:lang w:val="en-US" w:eastAsia="zh-CN"/>
                <w14:textFill>
                  <w14:solidFill>
                    <w14:schemeClr w14:val="tx1"/>
                  </w14:solidFill>
                </w14:textFill>
              </w:rPr>
              <w:t>软化后的药材</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进行切制，切制过程产生</w:t>
            </w:r>
            <w:r>
              <w:rPr>
                <w:rFonts w:hint="eastAsia" w:cs="Times New Roman"/>
                <w:b w:val="0"/>
                <w:bCs/>
                <w:color w:val="000000" w:themeColor="text1"/>
                <w:sz w:val="24"/>
                <w:szCs w:val="24"/>
                <w:highlight w:val="none"/>
                <w:lang w:val="en-US" w:eastAsia="zh-CN"/>
                <w14:textFill>
                  <w14:solidFill>
                    <w14:schemeClr w14:val="tx1"/>
                  </w14:solidFill>
                </w14:textFill>
              </w:rPr>
              <w:t>少量</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粉尘</w:t>
            </w:r>
            <w:r>
              <w:rPr>
                <w:rFonts w:hint="eastAsia" w:cs="Times New Roman"/>
                <w:b w:val="0"/>
                <w:bCs/>
                <w:color w:val="000000" w:themeColor="text1"/>
                <w:sz w:val="24"/>
                <w:szCs w:val="24"/>
                <w:highlight w:val="none"/>
                <w:lang w:val="en-US" w:eastAsia="zh-CN"/>
                <w14:textFill>
                  <w14:solidFill>
                    <w14:schemeClr w14:val="tx1"/>
                  </w14:solidFill>
                </w14:textFill>
              </w:rPr>
              <w:t>，项目在</w:t>
            </w:r>
            <w:r>
              <w:rPr>
                <w:rFonts w:hint="eastAsia" w:cs="Times New Roman" w:asciiTheme="minorEastAsia" w:hAnsiTheme="minorEastAsia"/>
                <w:color w:val="000000" w:themeColor="text1"/>
                <w:sz w:val="24"/>
                <w:highlight w:val="none"/>
                <w14:textFill>
                  <w14:solidFill>
                    <w14:schemeClr w14:val="tx1"/>
                  </w14:solidFill>
                </w14:textFill>
              </w:rPr>
              <w:t>切药机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上方设置</w:t>
            </w:r>
            <w:r>
              <w:rPr>
                <w:rFonts w:hint="eastAsia"/>
                <w:color w:val="000000" w:themeColor="text1"/>
                <w:sz w:val="24"/>
                <w:szCs w:val="24"/>
                <w:highlight w:val="none"/>
                <w:lang w:val="en-US" w:eastAsia="zh-CN"/>
                <w14:textFill>
                  <w14:solidFill>
                    <w14:schemeClr w14:val="tx1"/>
                  </w14:solidFill>
                </w14:textFill>
              </w:rPr>
              <w:t>上吸式</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集气罩，</w:t>
            </w:r>
            <w:r>
              <w:rPr>
                <w:rFonts w:hint="eastAsia"/>
                <w:color w:val="000000" w:themeColor="text1"/>
                <w:sz w:val="24"/>
                <w:szCs w:val="24"/>
                <w:highlight w:val="none"/>
                <w:lang w:val="en-US" w:eastAsia="zh-CN"/>
                <w14:textFill>
                  <w14:solidFill>
                    <w14:schemeClr w14:val="tx1"/>
                  </w14:solidFill>
                </w14:textFill>
              </w:rPr>
              <w:t>经</w:t>
            </w:r>
            <w:r>
              <w:rPr>
                <w:rFonts w:hint="eastAsia" w:eastAsia="宋体"/>
                <w:color w:val="000000" w:themeColor="text1"/>
                <w:sz w:val="24"/>
                <w:szCs w:val="24"/>
                <w:highlight w:val="none"/>
                <w:lang w:eastAsia="zh-CN"/>
                <w14:textFill>
                  <w14:solidFill>
                    <w14:schemeClr w14:val="tx1"/>
                  </w14:solidFill>
                </w14:textFill>
              </w:rPr>
              <w:t>布袋除尘器（TA0</w:t>
            </w:r>
            <w:r>
              <w:rPr>
                <w:rFonts w:hint="eastAsia"/>
                <w:color w:val="000000" w:themeColor="text1"/>
                <w:sz w:val="24"/>
                <w:szCs w:val="24"/>
                <w:highlight w:val="none"/>
                <w:lang w:val="en-US" w:eastAsia="zh-CN"/>
                <w14:textFill>
                  <w14:solidFill>
                    <w14:schemeClr w14:val="tx1"/>
                  </w14:solidFill>
                </w14:textFill>
              </w:rPr>
              <w:t>25</w:t>
            </w:r>
            <w:r>
              <w:rPr>
                <w:rFonts w:hint="eastAsia" w:eastAsia="宋体"/>
                <w:color w:val="000000" w:themeColor="text1"/>
                <w:sz w:val="24"/>
                <w:szCs w:val="24"/>
                <w:highlight w:val="none"/>
                <w:lang w:eastAsia="zh-CN"/>
                <w14:textFill>
                  <w14:solidFill>
                    <w14:schemeClr w14:val="tx1"/>
                  </w14:solidFill>
                </w14:textFill>
              </w:rPr>
              <w:t>）处理后由</w:t>
            </w:r>
            <w:r>
              <w:rPr>
                <w:rFonts w:hint="eastAsia" w:eastAsia="宋体"/>
                <w:color w:val="000000" w:themeColor="text1"/>
                <w:sz w:val="24"/>
                <w:szCs w:val="24"/>
                <w:highlight w:val="none"/>
                <w:lang w:val="en-US" w:eastAsia="zh-CN"/>
                <w14:textFill>
                  <w14:solidFill>
                    <w14:schemeClr w14:val="tx1"/>
                  </w14:solidFill>
                </w14:textFill>
              </w:rPr>
              <w:t>不低于</w:t>
            </w:r>
            <w:r>
              <w:rPr>
                <w:rFonts w:hint="eastAsia" w:eastAsia="宋体"/>
                <w:color w:val="000000" w:themeColor="text1"/>
                <w:sz w:val="24"/>
                <w:szCs w:val="24"/>
                <w:highlight w:val="none"/>
                <w:lang w:eastAsia="zh-CN"/>
                <w14:textFill>
                  <w14:solidFill>
                    <w14:schemeClr w14:val="tx1"/>
                  </w14:solidFill>
                </w14:textFill>
              </w:rPr>
              <w:t>15m高的排气筒（DA0</w:t>
            </w:r>
            <w:r>
              <w:rPr>
                <w:rFonts w:hint="eastAsia"/>
                <w:color w:val="000000" w:themeColor="text1"/>
                <w:sz w:val="24"/>
                <w:szCs w:val="24"/>
                <w:highlight w:val="none"/>
                <w:lang w:val="en-US" w:eastAsia="zh-CN"/>
                <w14:textFill>
                  <w14:solidFill>
                    <w14:schemeClr w14:val="tx1"/>
                  </w14:solidFill>
                </w14:textFill>
              </w:rPr>
              <w:t>16</w:t>
            </w:r>
            <w:r>
              <w:rPr>
                <w:rFonts w:hint="eastAsia" w:eastAsia="宋体"/>
                <w:color w:val="000000" w:themeColor="text1"/>
                <w:sz w:val="24"/>
                <w:szCs w:val="24"/>
                <w:highlight w:val="none"/>
                <w:lang w:eastAsia="zh-CN"/>
                <w14:textFill>
                  <w14:solidFill>
                    <w14:schemeClr w14:val="tx1"/>
                  </w14:solidFill>
                </w14:textFill>
              </w:rPr>
              <w:t>）排放，</w:t>
            </w:r>
            <w:r>
              <w:rPr>
                <w:rFonts w:hint="eastAsia" w:cs="Times New Roman"/>
                <w:b w:val="0"/>
                <w:bCs/>
                <w:color w:val="000000" w:themeColor="text1"/>
                <w:sz w:val="24"/>
                <w:szCs w:val="24"/>
                <w:highlight w:val="none"/>
                <w:lang w:val="en-US" w:eastAsia="zh-CN"/>
                <w14:textFill>
                  <w14:solidFill>
                    <w14:schemeClr w14:val="tx1"/>
                  </w14:solidFill>
                </w14:textFill>
              </w:rPr>
              <w:t>此过程</w:t>
            </w:r>
            <w:r>
              <w:rPr>
                <w:rFonts w:hint="eastAsia"/>
                <w:color w:val="000000" w:themeColor="text1"/>
                <w:sz w:val="24"/>
                <w:szCs w:val="24"/>
                <w:highlight w:val="none"/>
                <w:lang w:val="en-US" w:eastAsia="zh-CN"/>
                <w14:textFill>
                  <w14:solidFill>
                    <w14:schemeClr w14:val="tx1"/>
                  </w14:solidFill>
                </w14:textFill>
              </w:rPr>
              <w:t>产生的污染物主要为G2（颗粒物）、N（设备噪声）</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p>
          <w:p w14:paraId="36C13605">
            <w:pPr>
              <w:keepNext/>
              <w:keepLines w:val="0"/>
              <w:suppressLineNumbers w:val="0"/>
              <w:spacing w:before="0" w:beforeAutospacing="0" w:after="0" w:afterAutospacing="0" w:line="360" w:lineRule="auto"/>
              <w:ind w:left="0" w:right="0" w:firstLine="482" w:firstLineChars="200"/>
              <w:outlineLvl w:val="0"/>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④干燥</w:t>
            </w:r>
            <w:r>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t>：</w:t>
            </w:r>
            <w:r>
              <w:rPr>
                <w:rFonts w:hint="eastAsia" w:eastAsia="宋体" w:cs="Times New Roman" w:asciiTheme="minorEastAsia" w:hAnsiTheme="minorEastAsia"/>
                <w:color w:val="000000" w:themeColor="text1"/>
                <w:sz w:val="24"/>
                <w:highlight w:val="none"/>
                <w:lang w:val="en-US" w:eastAsia="zh-CN"/>
                <w14:textFill>
                  <w14:solidFill>
                    <w14:schemeClr w14:val="tx1"/>
                  </w14:solidFill>
                </w14:textFill>
              </w:rPr>
              <w:t>采用</w:t>
            </w:r>
            <w:r>
              <w:rPr>
                <w:rFonts w:hint="default" w:cs="Times New Roman" w:asciiTheme="minorEastAsia" w:hAnsiTheme="minorEastAsia"/>
                <w:color w:val="000000" w:themeColor="text1"/>
                <w:sz w:val="24"/>
                <w:highlight w:val="none"/>
                <w14:textFill>
                  <w14:solidFill>
                    <w14:schemeClr w14:val="tx1"/>
                  </w14:solidFill>
                </w14:textFill>
              </w:rPr>
              <w:t>敞开式烘箱</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对切制后的</w:t>
            </w:r>
            <w:r>
              <w:rPr>
                <w:rFonts w:hint="eastAsia" w:cs="Times New Roman"/>
                <w:b w:val="0"/>
                <w:bCs/>
                <w:color w:val="000000" w:themeColor="text1"/>
                <w:sz w:val="24"/>
                <w:szCs w:val="24"/>
                <w:highlight w:val="none"/>
                <w:lang w:val="en-US" w:eastAsia="zh-CN"/>
                <w14:textFill>
                  <w14:solidFill>
                    <w14:schemeClr w14:val="tx1"/>
                  </w14:solidFill>
                </w14:textFill>
              </w:rPr>
              <w:t>药材进行干燥，去除多余水分，干燥后的药材全部进入筛选工序。项目在</w:t>
            </w:r>
            <w:r>
              <w:rPr>
                <w:rFonts w:hint="default" w:cs="Times New Roman" w:asciiTheme="minorEastAsia" w:hAnsiTheme="minorEastAsia"/>
                <w:color w:val="000000" w:themeColor="text1"/>
                <w:sz w:val="24"/>
                <w:highlight w:val="none"/>
                <w14:textFill>
                  <w14:solidFill>
                    <w14:schemeClr w14:val="tx1"/>
                  </w14:solidFill>
                </w14:textFill>
              </w:rPr>
              <w:t>敞开式烘箱</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上方设置</w:t>
            </w:r>
            <w:r>
              <w:rPr>
                <w:rFonts w:hint="eastAsia"/>
                <w:color w:val="000000" w:themeColor="text1"/>
                <w:sz w:val="24"/>
                <w:szCs w:val="24"/>
                <w:highlight w:val="none"/>
                <w:lang w:val="en-US" w:eastAsia="zh-CN"/>
                <w14:textFill>
                  <w14:solidFill>
                    <w14:schemeClr w14:val="tx1"/>
                  </w14:solidFill>
                </w14:textFill>
              </w:rPr>
              <w:t>上吸式</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集气罩，</w:t>
            </w:r>
            <w:r>
              <w:rPr>
                <w:rFonts w:hint="eastAsia"/>
                <w:color w:val="000000" w:themeColor="text1"/>
                <w:sz w:val="24"/>
                <w:szCs w:val="24"/>
                <w:highlight w:val="none"/>
                <w:lang w:val="en-US" w:eastAsia="zh-CN"/>
                <w14:textFill>
                  <w14:solidFill>
                    <w14:schemeClr w14:val="tx1"/>
                  </w14:solidFill>
                </w14:textFill>
              </w:rPr>
              <w:t>集气</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管道与车间整体排风连接，产生的水蒸气和少量中药异味（臭气浓度）无组织排放</w:t>
            </w:r>
            <w:r>
              <w:rPr>
                <w:rFonts w:hint="eastAsia" w:eastAsia="宋体"/>
                <w:color w:val="000000" w:themeColor="text1"/>
                <w:sz w:val="24"/>
                <w:szCs w:val="24"/>
                <w:highlight w:val="none"/>
                <w:lang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此过程</w:t>
            </w:r>
            <w:r>
              <w:rPr>
                <w:rFonts w:hint="eastAsia"/>
                <w:color w:val="000000" w:themeColor="text1"/>
                <w:sz w:val="24"/>
                <w:szCs w:val="24"/>
                <w:highlight w:val="none"/>
                <w:lang w:val="en-US" w:eastAsia="zh-CN"/>
                <w14:textFill>
                  <w14:solidFill>
                    <w14:schemeClr w14:val="tx1"/>
                  </w14:solidFill>
                </w14:textFill>
              </w:rPr>
              <w:t>产生的污染物主要为G3（臭气浓度）、N（设备噪声）</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p>
          <w:p w14:paraId="4BA25278">
            <w:pPr>
              <w:keepNext/>
              <w:keepLines w:val="0"/>
              <w:suppressLineNumbers w:val="0"/>
              <w:spacing w:before="0" w:beforeAutospacing="0" w:after="0" w:afterAutospacing="0" w:line="360" w:lineRule="auto"/>
              <w:ind w:left="0" w:right="0" w:firstLine="482" w:firstLineChars="200"/>
              <w:outlineLvl w:val="0"/>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⑤筛选</w:t>
            </w:r>
            <w:r>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t>：</w:t>
            </w:r>
            <w:r>
              <w:rPr>
                <w:rFonts w:hint="eastAsia" w:eastAsia="宋体" w:cs="Times New Roman" w:asciiTheme="minorEastAsia" w:hAnsiTheme="minorEastAsia"/>
                <w:color w:val="000000" w:themeColor="text1"/>
                <w:sz w:val="24"/>
                <w:highlight w:val="none"/>
                <w:lang w:val="en-US" w:eastAsia="zh-CN"/>
                <w14:textFill>
                  <w14:solidFill>
                    <w14:schemeClr w14:val="tx1"/>
                  </w14:solidFill>
                </w14:textFill>
              </w:rPr>
              <w:t>采用</w:t>
            </w:r>
            <w:r>
              <w:rPr>
                <w:rFonts w:hint="default" w:cs="Times New Roman" w:asciiTheme="minorEastAsia" w:hAnsiTheme="minorEastAsia"/>
                <w:color w:val="000000" w:themeColor="text1"/>
                <w:sz w:val="24"/>
                <w:highlight w:val="none"/>
                <w14:textFill>
                  <w14:solidFill>
                    <w14:schemeClr w14:val="tx1"/>
                  </w14:solidFill>
                </w14:textFill>
              </w:rPr>
              <w:t>筛选机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对干燥</w:t>
            </w:r>
            <w:r>
              <w:rPr>
                <w:rFonts w:hint="eastAsia" w:cs="Times New Roman"/>
                <w:b w:val="0"/>
                <w:bCs/>
                <w:color w:val="000000" w:themeColor="text1"/>
                <w:sz w:val="24"/>
                <w:szCs w:val="24"/>
                <w:highlight w:val="none"/>
                <w:lang w:val="en-US" w:eastAsia="zh-CN"/>
                <w14:textFill>
                  <w14:solidFill>
                    <w14:schemeClr w14:val="tx1"/>
                  </w14:solidFill>
                </w14:textFill>
              </w:rPr>
              <w:t>后的药材</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进行</w:t>
            </w:r>
            <w:r>
              <w:rPr>
                <w:rFonts w:hint="default" w:cs="Times New Roman" w:asciiTheme="minorEastAsia" w:hAnsiTheme="minorEastAsia"/>
                <w:color w:val="000000" w:themeColor="text1"/>
                <w:sz w:val="24"/>
                <w:highlight w:val="none"/>
                <w14:textFill>
                  <w14:solidFill>
                    <w14:schemeClr w14:val="tx1"/>
                  </w14:solidFill>
                </w14:textFill>
              </w:rPr>
              <w:t>筛选</w:t>
            </w:r>
            <w:r>
              <w:rPr>
                <w:rFonts w:hint="eastAsia" w:cs="Times New Roman" w:asciiTheme="minorEastAsia" w:hAnsiTheme="minorEastAsia"/>
                <w:color w:val="000000" w:themeColor="text1"/>
                <w:sz w:val="24"/>
                <w:highlight w:val="none"/>
                <w:lang w:eastAsia="zh-CN"/>
                <w14:textFill>
                  <w14:solidFill>
                    <w14:schemeClr w14:val="tx1"/>
                  </w14:solidFill>
                </w14:textFill>
              </w:rPr>
              <w:t>，</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作用是分离完整药材饮片与碎料，碎料药材可集中回用至提取车间，提升药材利用率，不计入固废；完整药材饮片</w:t>
            </w:r>
            <w:r>
              <w:rPr>
                <w:rFonts w:hint="eastAsia" w:cs="Times New Roman"/>
                <w:b w:val="0"/>
                <w:bCs/>
                <w:color w:val="000000" w:themeColor="text1"/>
                <w:sz w:val="24"/>
                <w:szCs w:val="24"/>
                <w:highlight w:val="none"/>
                <w:lang w:val="en-US" w:eastAsia="zh-CN"/>
                <w14:textFill>
                  <w14:solidFill>
                    <w14:schemeClr w14:val="tx1"/>
                  </w14:solidFill>
                </w14:textFill>
              </w:rPr>
              <w:t>直接为经典名方3药材。项目在</w:t>
            </w:r>
            <w:r>
              <w:rPr>
                <w:rFonts w:hint="default" w:cs="Times New Roman" w:asciiTheme="minorEastAsia" w:hAnsiTheme="minorEastAsia"/>
                <w:color w:val="000000" w:themeColor="text1"/>
                <w:sz w:val="24"/>
                <w:highlight w:val="none"/>
                <w14:textFill>
                  <w14:solidFill>
                    <w14:schemeClr w14:val="tx1"/>
                  </w14:solidFill>
                </w14:textFill>
              </w:rPr>
              <w:t>筛选机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上方设置</w:t>
            </w:r>
            <w:r>
              <w:rPr>
                <w:rFonts w:hint="eastAsia"/>
                <w:color w:val="000000" w:themeColor="text1"/>
                <w:sz w:val="24"/>
                <w:szCs w:val="24"/>
                <w:highlight w:val="none"/>
                <w:lang w:val="en-US" w:eastAsia="zh-CN"/>
                <w14:textFill>
                  <w14:solidFill>
                    <w14:schemeClr w14:val="tx1"/>
                  </w14:solidFill>
                </w14:textFill>
              </w:rPr>
              <w:t>上吸式</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集气罩，</w:t>
            </w:r>
            <w:r>
              <w:rPr>
                <w:rFonts w:hint="eastAsia"/>
                <w:color w:val="000000" w:themeColor="text1"/>
                <w:sz w:val="24"/>
                <w:szCs w:val="24"/>
                <w:highlight w:val="none"/>
                <w:lang w:val="en-US" w:eastAsia="zh-CN"/>
                <w14:textFill>
                  <w14:solidFill>
                    <w14:schemeClr w14:val="tx1"/>
                  </w14:solidFill>
                </w14:textFill>
              </w:rPr>
              <w:t>经</w:t>
            </w:r>
            <w:r>
              <w:rPr>
                <w:rFonts w:hint="eastAsia" w:eastAsia="宋体"/>
                <w:color w:val="000000" w:themeColor="text1"/>
                <w:sz w:val="24"/>
                <w:szCs w:val="24"/>
                <w:highlight w:val="none"/>
                <w:lang w:eastAsia="zh-CN"/>
                <w14:textFill>
                  <w14:solidFill>
                    <w14:schemeClr w14:val="tx1"/>
                  </w14:solidFill>
                </w14:textFill>
              </w:rPr>
              <w:t>布袋除尘器（TA0</w:t>
            </w:r>
            <w:r>
              <w:rPr>
                <w:rFonts w:hint="eastAsia"/>
                <w:color w:val="000000" w:themeColor="text1"/>
                <w:sz w:val="24"/>
                <w:szCs w:val="24"/>
                <w:highlight w:val="none"/>
                <w:lang w:val="en-US" w:eastAsia="zh-CN"/>
                <w14:textFill>
                  <w14:solidFill>
                    <w14:schemeClr w14:val="tx1"/>
                  </w14:solidFill>
                </w14:textFill>
              </w:rPr>
              <w:t>25</w:t>
            </w:r>
            <w:r>
              <w:rPr>
                <w:rFonts w:hint="eastAsia" w:eastAsia="宋体"/>
                <w:color w:val="000000" w:themeColor="text1"/>
                <w:sz w:val="24"/>
                <w:szCs w:val="24"/>
                <w:highlight w:val="none"/>
                <w:lang w:eastAsia="zh-CN"/>
                <w14:textFill>
                  <w14:solidFill>
                    <w14:schemeClr w14:val="tx1"/>
                  </w14:solidFill>
                </w14:textFill>
              </w:rPr>
              <w:t>）处理后由</w:t>
            </w:r>
            <w:r>
              <w:rPr>
                <w:rFonts w:hint="eastAsia" w:eastAsia="宋体"/>
                <w:color w:val="000000" w:themeColor="text1"/>
                <w:sz w:val="24"/>
                <w:szCs w:val="24"/>
                <w:highlight w:val="none"/>
                <w:lang w:val="en-US" w:eastAsia="zh-CN"/>
                <w14:textFill>
                  <w14:solidFill>
                    <w14:schemeClr w14:val="tx1"/>
                  </w14:solidFill>
                </w14:textFill>
              </w:rPr>
              <w:t>不低于</w:t>
            </w:r>
            <w:r>
              <w:rPr>
                <w:rFonts w:hint="eastAsia" w:eastAsia="宋体"/>
                <w:color w:val="000000" w:themeColor="text1"/>
                <w:sz w:val="24"/>
                <w:szCs w:val="24"/>
                <w:highlight w:val="none"/>
                <w:lang w:eastAsia="zh-CN"/>
                <w14:textFill>
                  <w14:solidFill>
                    <w14:schemeClr w14:val="tx1"/>
                  </w14:solidFill>
                </w14:textFill>
              </w:rPr>
              <w:t>15m高的排气筒（DA0</w:t>
            </w:r>
            <w:r>
              <w:rPr>
                <w:rFonts w:hint="eastAsia"/>
                <w:color w:val="000000" w:themeColor="text1"/>
                <w:sz w:val="24"/>
                <w:szCs w:val="24"/>
                <w:highlight w:val="none"/>
                <w:lang w:val="en-US" w:eastAsia="zh-CN"/>
                <w14:textFill>
                  <w14:solidFill>
                    <w14:schemeClr w14:val="tx1"/>
                  </w14:solidFill>
                </w14:textFill>
              </w:rPr>
              <w:t>16</w:t>
            </w:r>
            <w:r>
              <w:rPr>
                <w:rFonts w:hint="eastAsia" w:eastAsia="宋体"/>
                <w:color w:val="000000" w:themeColor="text1"/>
                <w:sz w:val="24"/>
                <w:szCs w:val="24"/>
                <w:highlight w:val="none"/>
                <w:lang w:eastAsia="zh-CN"/>
                <w14:textFill>
                  <w14:solidFill>
                    <w14:schemeClr w14:val="tx1"/>
                  </w14:solidFill>
                </w14:textFill>
              </w:rPr>
              <w:t>）排放，</w:t>
            </w:r>
            <w:r>
              <w:rPr>
                <w:rFonts w:hint="eastAsia" w:cs="Times New Roman"/>
                <w:b w:val="0"/>
                <w:bCs/>
                <w:color w:val="000000" w:themeColor="text1"/>
                <w:sz w:val="24"/>
                <w:szCs w:val="24"/>
                <w:highlight w:val="none"/>
                <w:lang w:val="en-US" w:eastAsia="zh-CN"/>
                <w14:textFill>
                  <w14:solidFill>
                    <w14:schemeClr w14:val="tx1"/>
                  </w14:solidFill>
                </w14:textFill>
              </w:rPr>
              <w:t>此过程</w:t>
            </w:r>
            <w:r>
              <w:rPr>
                <w:rFonts w:hint="eastAsia"/>
                <w:color w:val="000000" w:themeColor="text1"/>
                <w:sz w:val="24"/>
                <w:szCs w:val="24"/>
                <w:highlight w:val="none"/>
                <w:lang w:val="en-US" w:eastAsia="zh-CN"/>
                <w14:textFill>
                  <w14:solidFill>
                    <w14:schemeClr w14:val="tx1"/>
                  </w14:solidFill>
                </w14:textFill>
              </w:rPr>
              <w:t>产生的污染物主要为G3（颗粒物）、N（设备噪声）</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p>
          <w:p w14:paraId="3C0A5136">
            <w:pPr>
              <w:keepNext/>
              <w:keepLines w:val="0"/>
              <w:suppressLineNumbers w:val="0"/>
              <w:spacing w:before="0" w:beforeAutospacing="0" w:after="0" w:afterAutospacing="0" w:line="360" w:lineRule="auto"/>
              <w:ind w:left="0" w:right="0" w:firstLine="482" w:firstLineChars="200"/>
              <w:outlineLvl w:val="0"/>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⑥检验</w:t>
            </w:r>
            <w:r>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经典名方3药材经采用后进行检验，检验合格后成品入库。此过程</w:t>
            </w:r>
            <w:r>
              <w:rPr>
                <w:rFonts w:hint="eastAsia"/>
                <w:color w:val="000000" w:themeColor="text1"/>
                <w:sz w:val="24"/>
                <w:szCs w:val="24"/>
                <w:highlight w:val="none"/>
                <w:lang w:val="en-US" w:eastAsia="zh-CN"/>
                <w14:textFill>
                  <w14:solidFill>
                    <w14:schemeClr w14:val="tx1"/>
                  </w14:solidFill>
                </w14:textFill>
              </w:rPr>
              <w:t>产生的污染物主要为S2（</w:t>
            </w:r>
            <w:r>
              <w:rPr>
                <w:rFonts w:hint="eastAsia" w:cs="Times New Roman"/>
                <w:color w:val="000000" w:themeColor="text1"/>
                <w:sz w:val="24"/>
                <w:szCs w:val="24"/>
                <w:highlight w:val="none"/>
                <w:lang w:val="en-US" w:eastAsia="zh-CN"/>
                <w14:textFill>
                  <w14:solidFill>
                    <w14:schemeClr w14:val="tx1"/>
                  </w14:solidFill>
                </w14:textFill>
              </w:rPr>
              <w:t>化学检验废液、废化学试剂瓶、废弃薄层板、废试药</w:t>
            </w:r>
            <w:r>
              <w:rPr>
                <w:rFonts w:hint="eastAsia"/>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p>
          <w:p w14:paraId="45B8A6CA">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jc w:val="left"/>
              <w:textAlignment w:val="auto"/>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pPr>
            <w:r>
              <w:rPr>
                <w:rFonts w:hint="eastAsia" w:cs="Times New Roman"/>
                <w:b/>
                <w:bCs/>
                <w:color w:val="000000" w:themeColor="text1"/>
                <w:kern w:val="0"/>
                <w:sz w:val="24"/>
                <w:szCs w:val="24"/>
                <w:highlight w:val="none"/>
                <w:lang w:eastAsia="zh-CN" w:bidi="en-US"/>
                <w14:textFill>
                  <w14:solidFill>
                    <w14:schemeClr w14:val="tx1"/>
                  </w14:solidFill>
                </w14:textFill>
              </w:rPr>
              <w:t>（</w:t>
            </w:r>
            <w:r>
              <w:rPr>
                <w:rFonts w:hint="eastAsia" w:cs="Times New Roman"/>
                <w:b/>
                <w:bCs/>
                <w:color w:val="000000" w:themeColor="text1"/>
                <w:kern w:val="0"/>
                <w:sz w:val="24"/>
                <w:szCs w:val="24"/>
                <w:highlight w:val="none"/>
                <w:lang w:val="en-US" w:eastAsia="zh-CN" w:bidi="en-US"/>
                <w14:textFill>
                  <w14:solidFill>
                    <w14:schemeClr w14:val="tx1"/>
                  </w14:solidFill>
                </w14:textFill>
              </w:rPr>
              <w:t>2</w:t>
            </w:r>
            <w:r>
              <w:rPr>
                <w:rFonts w:hint="eastAsia" w:cs="Times New Roman"/>
                <w:b/>
                <w:bCs/>
                <w:color w:val="000000" w:themeColor="text1"/>
                <w:kern w:val="0"/>
                <w:sz w:val="24"/>
                <w:szCs w:val="24"/>
                <w:highlight w:val="none"/>
                <w:lang w:eastAsia="zh-CN" w:bidi="en-US"/>
                <w14:textFill>
                  <w14:solidFill>
                    <w14:schemeClr w14:val="tx1"/>
                  </w14:solidFill>
                </w14:textFill>
              </w:rPr>
              <w:t>）</w:t>
            </w:r>
            <w:r>
              <w:rPr>
                <w:rFonts w:hint="eastAsia" w:cs="Times New Roman"/>
                <w:b/>
                <w:bCs/>
                <w:color w:val="000000" w:themeColor="text1"/>
                <w:sz w:val="24"/>
                <w:szCs w:val="24"/>
                <w:highlight w:val="none"/>
                <w:lang w:val="en-US" w:eastAsia="zh-CN"/>
                <w14:textFill>
                  <w14:solidFill>
                    <w14:schemeClr w14:val="tx1"/>
                  </w14:solidFill>
                </w14:textFill>
              </w:rPr>
              <w:t>经典名方3炮制</w:t>
            </w: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产污环节一览表如下表所示</w:t>
            </w:r>
            <w:r>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t>：</w:t>
            </w:r>
          </w:p>
          <w:p w14:paraId="3118EBF3">
            <w:pPr>
              <w:keepNext w:val="0"/>
              <w:keepLines w:val="0"/>
              <w:pageBreakBefore w:val="0"/>
              <w:widowControl w:val="0"/>
              <w:numPr>
                <w:ilvl w:val="0"/>
                <w:numId w:val="5"/>
              </w:numPr>
              <w:suppressLineNumbers w:val="0"/>
              <w:kinsoku/>
              <w:wordWrap/>
              <w:overflowPunct/>
              <w:topLinePunct w:val="0"/>
              <w:autoSpaceDE/>
              <w:autoSpaceDN/>
              <w:bidi w:val="0"/>
              <w:adjustRightInd/>
              <w:snapToGrid w:val="0"/>
              <w:spacing w:before="157" w:beforeLines="50" w:beforeAutospacing="0" w:after="0" w:afterLines="0" w:afterAutospacing="0"/>
              <w:ind w:left="0" w:leftChars="0" w:right="0" w:rightChars="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 xml:space="preserve">  </w:t>
            </w:r>
            <w:r>
              <w:rPr>
                <w:rFonts w:hint="eastAsia" w:cs="Times New Roman"/>
                <w:b/>
                <w:bCs/>
                <w:color w:val="000000" w:themeColor="text1"/>
                <w:kern w:val="2"/>
                <w:sz w:val="21"/>
                <w:szCs w:val="21"/>
                <w:highlight w:val="none"/>
                <w:lang w:val="en-US" w:eastAsia="zh-CN" w:bidi="ar-SA"/>
                <w14:textFill>
                  <w14:solidFill>
                    <w14:schemeClr w14:val="tx1"/>
                  </w14:solidFill>
                </w14:textFill>
              </w:rPr>
              <w:t>经典名方3</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炮制产污环节一览表</w:t>
            </w:r>
          </w:p>
          <w:tbl>
            <w:tblPr>
              <w:tblStyle w:val="36"/>
              <w:tblW w:w="4993"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57"/>
              <w:gridCol w:w="884"/>
              <w:gridCol w:w="1421"/>
              <w:gridCol w:w="1642"/>
              <w:gridCol w:w="3333"/>
            </w:tblGrid>
            <w:tr w14:paraId="22C78C1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tcBorders>
                    <w:tl2br w:val="nil"/>
                    <w:tr2bl w:val="nil"/>
                  </w:tcBorders>
                  <w:noWrap w:val="0"/>
                  <w:vAlign w:val="center"/>
                </w:tcPr>
                <w:p w14:paraId="39A37B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类别</w:t>
                  </w:r>
                </w:p>
              </w:tc>
              <w:tc>
                <w:tcPr>
                  <w:tcW w:w="549" w:type="pct"/>
                  <w:tcBorders>
                    <w:tl2br w:val="nil"/>
                    <w:tr2bl w:val="nil"/>
                  </w:tcBorders>
                  <w:noWrap w:val="0"/>
                  <w:vAlign w:val="center"/>
                </w:tcPr>
                <w:p w14:paraId="63F035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编号</w:t>
                  </w:r>
                </w:p>
              </w:tc>
              <w:tc>
                <w:tcPr>
                  <w:tcW w:w="884" w:type="pct"/>
                  <w:tcBorders>
                    <w:tl2br w:val="nil"/>
                    <w:tr2bl w:val="nil"/>
                  </w:tcBorders>
                  <w:noWrap w:val="0"/>
                  <w:vAlign w:val="center"/>
                </w:tcPr>
                <w:p w14:paraId="665158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污染源</w:t>
                  </w:r>
                </w:p>
              </w:tc>
              <w:tc>
                <w:tcPr>
                  <w:tcW w:w="1021" w:type="pct"/>
                  <w:tcBorders>
                    <w:tl2br w:val="nil"/>
                    <w:tr2bl w:val="nil"/>
                  </w:tcBorders>
                  <w:noWrap w:val="0"/>
                  <w:vAlign w:val="center"/>
                </w:tcPr>
                <w:p w14:paraId="0D9A8F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主要污染</w:t>
                  </w:r>
                </w:p>
                <w:p w14:paraId="409475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因子</w:t>
                  </w:r>
                </w:p>
              </w:tc>
              <w:tc>
                <w:tcPr>
                  <w:tcW w:w="2073" w:type="pct"/>
                  <w:tcBorders>
                    <w:tl2br w:val="nil"/>
                    <w:tr2bl w:val="nil"/>
                  </w:tcBorders>
                  <w:noWrap w:val="0"/>
                  <w:vAlign w:val="center"/>
                </w:tcPr>
                <w:p w14:paraId="4B6358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治理措施</w:t>
                  </w:r>
                </w:p>
              </w:tc>
            </w:tr>
            <w:tr w14:paraId="1D559C1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70" w:type="pct"/>
                  <w:vMerge w:val="restart"/>
                  <w:tcBorders>
                    <w:tl2br w:val="nil"/>
                    <w:tr2bl w:val="nil"/>
                  </w:tcBorders>
                  <w:noWrap w:val="0"/>
                  <w:vAlign w:val="center"/>
                </w:tcPr>
                <w:p w14:paraId="43B6AA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废气</w:t>
                  </w:r>
                </w:p>
              </w:tc>
              <w:tc>
                <w:tcPr>
                  <w:tcW w:w="549" w:type="pct"/>
                  <w:tcBorders>
                    <w:tl2br w:val="nil"/>
                    <w:tr2bl w:val="nil"/>
                  </w:tcBorders>
                  <w:noWrap w:val="0"/>
                  <w:vAlign w:val="center"/>
                </w:tcPr>
                <w:p w14:paraId="293B2A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G1</w:t>
                  </w:r>
                </w:p>
              </w:tc>
              <w:tc>
                <w:tcPr>
                  <w:tcW w:w="884" w:type="pct"/>
                  <w:tcBorders>
                    <w:tl2br w:val="nil"/>
                    <w:tr2bl w:val="nil"/>
                  </w:tcBorders>
                  <w:noWrap w:val="0"/>
                  <w:vAlign w:val="center"/>
                </w:tcPr>
                <w:p w14:paraId="51279E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软化废气</w:t>
                  </w:r>
                </w:p>
              </w:tc>
              <w:tc>
                <w:tcPr>
                  <w:tcW w:w="1021" w:type="pct"/>
                  <w:tcBorders>
                    <w:tl2br w:val="nil"/>
                    <w:tr2bl w:val="nil"/>
                  </w:tcBorders>
                  <w:noWrap w:val="0"/>
                  <w:vAlign w:val="center"/>
                </w:tcPr>
                <w:p w14:paraId="1A7853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臭气浓度</w:t>
                  </w:r>
                </w:p>
              </w:tc>
              <w:tc>
                <w:tcPr>
                  <w:tcW w:w="2073" w:type="pct"/>
                  <w:tcBorders>
                    <w:tl2br w:val="nil"/>
                    <w:tr2bl w:val="nil"/>
                  </w:tcBorders>
                  <w:noWrap w:val="0"/>
                  <w:vAlign w:val="center"/>
                </w:tcPr>
                <w:p w14:paraId="2B73A84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设备密闭+泄压排气管道与车间整体排风连接，产生的水蒸气和少量中药异味（臭气浓度）无组织排放</w:t>
                  </w:r>
                </w:p>
              </w:tc>
            </w:tr>
            <w:tr w14:paraId="381F8D0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70" w:type="pct"/>
                  <w:vMerge w:val="continue"/>
                  <w:tcBorders>
                    <w:tl2br w:val="nil"/>
                    <w:tr2bl w:val="nil"/>
                  </w:tcBorders>
                  <w:noWrap w:val="0"/>
                  <w:vAlign w:val="center"/>
                </w:tcPr>
                <w:p w14:paraId="7B17C9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49" w:type="pct"/>
                  <w:tcBorders>
                    <w:tl2br w:val="nil"/>
                    <w:tr2bl w:val="nil"/>
                  </w:tcBorders>
                  <w:noWrap w:val="0"/>
                  <w:vAlign w:val="center"/>
                </w:tcPr>
                <w:p w14:paraId="09A287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G2</w:t>
                  </w:r>
                </w:p>
              </w:tc>
              <w:tc>
                <w:tcPr>
                  <w:tcW w:w="884" w:type="pct"/>
                  <w:tcBorders>
                    <w:tl2br w:val="nil"/>
                    <w:tr2bl w:val="nil"/>
                  </w:tcBorders>
                  <w:noWrap w:val="0"/>
                  <w:vAlign w:val="center"/>
                </w:tcPr>
                <w:p w14:paraId="2E9810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切制废气</w:t>
                  </w:r>
                </w:p>
              </w:tc>
              <w:tc>
                <w:tcPr>
                  <w:tcW w:w="1021" w:type="pct"/>
                  <w:tcBorders>
                    <w:tl2br w:val="nil"/>
                    <w:tr2bl w:val="nil"/>
                  </w:tcBorders>
                  <w:noWrap w:val="0"/>
                  <w:vAlign w:val="center"/>
                </w:tcPr>
                <w:p w14:paraId="1F9163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2073" w:type="pct"/>
                  <w:tcBorders>
                    <w:tl2br w:val="nil"/>
                    <w:tr2bl w:val="nil"/>
                  </w:tcBorders>
                  <w:noWrap w:val="0"/>
                  <w:vAlign w:val="center"/>
                </w:tcPr>
                <w:p w14:paraId="0045EF06">
                  <w:pPr>
                    <w:keepNext w:val="0"/>
                    <w:keepLines w:val="0"/>
                    <w:suppressLineNumbers w:val="0"/>
                    <w:spacing w:before="0" w:beforeAutospacing="0" w:after="0" w:afterAutospacing="0"/>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上吸式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集气罩+布袋除尘器（TA0</w:t>
                  </w:r>
                  <w:r>
                    <w:rPr>
                      <w:rFonts w:hint="eastAsia"/>
                      <w:color w:val="000000" w:themeColor="text1"/>
                      <w:sz w:val="21"/>
                      <w:szCs w:val="21"/>
                      <w:highlight w:val="none"/>
                      <w:lang w:val="en-US" w:eastAsia="zh-CN"/>
                      <w14:textFill>
                        <w14:solidFill>
                          <w14:schemeClr w14:val="tx1"/>
                        </w14:solidFill>
                      </w14:textFill>
                    </w:rPr>
                    <w:t>25</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）处理后由不低于15m高的排气筒（DA0</w:t>
                  </w:r>
                  <w:r>
                    <w:rPr>
                      <w:rFonts w:hint="eastAsia"/>
                      <w:color w:val="000000" w:themeColor="text1"/>
                      <w:sz w:val="21"/>
                      <w:szCs w:val="21"/>
                      <w:highlight w:val="none"/>
                      <w:lang w:val="en-US" w:eastAsia="zh-CN"/>
                      <w14:textFill>
                        <w14:solidFill>
                          <w14:schemeClr w14:val="tx1"/>
                        </w14:solidFill>
                      </w14:textFill>
                    </w:rPr>
                    <w:t>16</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）排放</w:t>
                  </w:r>
                </w:p>
              </w:tc>
            </w:tr>
            <w:tr w14:paraId="2951901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vMerge w:val="continue"/>
                  <w:tcBorders>
                    <w:tl2br w:val="nil"/>
                    <w:tr2bl w:val="nil"/>
                  </w:tcBorders>
                  <w:noWrap w:val="0"/>
                  <w:vAlign w:val="center"/>
                </w:tcPr>
                <w:p w14:paraId="7667A7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49" w:type="pct"/>
                  <w:tcBorders>
                    <w:tl2br w:val="nil"/>
                    <w:tr2bl w:val="nil"/>
                  </w:tcBorders>
                  <w:noWrap w:val="0"/>
                  <w:vAlign w:val="center"/>
                </w:tcPr>
                <w:p w14:paraId="704D7F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G3</w:t>
                  </w:r>
                </w:p>
              </w:tc>
              <w:tc>
                <w:tcPr>
                  <w:tcW w:w="884" w:type="pct"/>
                  <w:tcBorders>
                    <w:tl2br w:val="nil"/>
                    <w:tr2bl w:val="nil"/>
                  </w:tcBorders>
                  <w:noWrap w:val="0"/>
                  <w:vAlign w:val="center"/>
                </w:tcPr>
                <w:p w14:paraId="014D86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干燥废气</w:t>
                  </w:r>
                </w:p>
              </w:tc>
              <w:tc>
                <w:tcPr>
                  <w:tcW w:w="1021" w:type="pct"/>
                  <w:tcBorders>
                    <w:tl2br w:val="nil"/>
                    <w:tr2bl w:val="nil"/>
                  </w:tcBorders>
                  <w:noWrap w:val="0"/>
                  <w:vAlign w:val="center"/>
                </w:tcPr>
                <w:p w14:paraId="6F79AC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臭气浓度</w:t>
                  </w:r>
                </w:p>
              </w:tc>
              <w:tc>
                <w:tcPr>
                  <w:tcW w:w="2073" w:type="pct"/>
                  <w:tcBorders>
                    <w:tl2br w:val="nil"/>
                    <w:tr2bl w:val="nil"/>
                  </w:tcBorders>
                  <w:noWrap w:val="0"/>
                  <w:vAlign w:val="center"/>
                </w:tcPr>
                <w:p w14:paraId="02F9A2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上吸式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集气罩+集气管道与车间整体排风连接，产生的水蒸气和少量中药异味（臭气浓度）无组织排放</w:t>
                  </w:r>
                </w:p>
              </w:tc>
            </w:tr>
            <w:tr w14:paraId="1F2C3FF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vMerge w:val="continue"/>
                  <w:tcBorders>
                    <w:tl2br w:val="nil"/>
                    <w:tr2bl w:val="nil"/>
                  </w:tcBorders>
                  <w:noWrap w:val="0"/>
                  <w:vAlign w:val="center"/>
                </w:tcPr>
                <w:p w14:paraId="200936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49" w:type="pct"/>
                  <w:tcBorders>
                    <w:tl2br w:val="nil"/>
                    <w:tr2bl w:val="nil"/>
                  </w:tcBorders>
                  <w:noWrap w:val="0"/>
                  <w:vAlign w:val="center"/>
                </w:tcPr>
                <w:p w14:paraId="01F1CC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w:t>
                  </w:r>
                  <w:r>
                    <w:rPr>
                      <w:rFonts w:hint="eastAsia" w:eastAsia="宋体" w:cs="Times New Roman"/>
                      <w:color w:val="000000" w:themeColor="text1"/>
                      <w:sz w:val="21"/>
                      <w:szCs w:val="21"/>
                      <w:highlight w:val="none"/>
                      <w:lang w:val="en-US" w:eastAsia="zh-CN"/>
                      <w14:textFill>
                        <w14:solidFill>
                          <w14:schemeClr w14:val="tx1"/>
                        </w14:solidFill>
                      </w14:textFill>
                    </w:rPr>
                    <w:t>4</w:t>
                  </w:r>
                </w:p>
              </w:tc>
              <w:tc>
                <w:tcPr>
                  <w:tcW w:w="884" w:type="pct"/>
                  <w:tcBorders>
                    <w:tl2br w:val="nil"/>
                    <w:tr2bl w:val="nil"/>
                  </w:tcBorders>
                  <w:noWrap w:val="0"/>
                  <w:vAlign w:val="center"/>
                </w:tcPr>
                <w:p w14:paraId="4D4158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筛选废气</w:t>
                  </w:r>
                </w:p>
              </w:tc>
              <w:tc>
                <w:tcPr>
                  <w:tcW w:w="1021" w:type="pct"/>
                  <w:tcBorders>
                    <w:tl2br w:val="nil"/>
                    <w:tr2bl w:val="nil"/>
                  </w:tcBorders>
                  <w:noWrap w:val="0"/>
                  <w:vAlign w:val="center"/>
                </w:tcPr>
                <w:p w14:paraId="419DE6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2073" w:type="pct"/>
                  <w:tcBorders>
                    <w:tl2br w:val="nil"/>
                    <w:tr2bl w:val="nil"/>
                  </w:tcBorders>
                  <w:noWrap w:val="0"/>
                  <w:vAlign w:val="center"/>
                </w:tcPr>
                <w:p w14:paraId="63F912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上吸式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集气罩+布袋除尘器（TA0</w:t>
                  </w:r>
                  <w:r>
                    <w:rPr>
                      <w:rFonts w:hint="eastAsia"/>
                      <w:color w:val="000000" w:themeColor="text1"/>
                      <w:sz w:val="21"/>
                      <w:szCs w:val="21"/>
                      <w:highlight w:val="none"/>
                      <w:lang w:val="en-US" w:eastAsia="zh-CN"/>
                      <w14:textFill>
                        <w14:solidFill>
                          <w14:schemeClr w14:val="tx1"/>
                        </w14:solidFill>
                      </w14:textFill>
                    </w:rPr>
                    <w:t>25</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）处理后由不低于15m高的排气筒（DA0</w:t>
                  </w:r>
                  <w:r>
                    <w:rPr>
                      <w:rFonts w:hint="eastAsia"/>
                      <w:color w:val="000000" w:themeColor="text1"/>
                      <w:sz w:val="21"/>
                      <w:szCs w:val="21"/>
                      <w:highlight w:val="none"/>
                      <w:lang w:val="en-US" w:eastAsia="zh-CN"/>
                      <w14:textFill>
                        <w14:solidFill>
                          <w14:schemeClr w14:val="tx1"/>
                        </w14:solidFill>
                      </w14:textFill>
                    </w:rPr>
                    <w:t>16</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）排放</w:t>
                  </w:r>
                </w:p>
              </w:tc>
            </w:tr>
            <w:tr w14:paraId="4CB54B2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tcBorders>
                    <w:tl2br w:val="nil"/>
                    <w:tr2bl w:val="nil"/>
                  </w:tcBorders>
                  <w:noWrap w:val="0"/>
                  <w:vAlign w:val="center"/>
                </w:tcPr>
                <w:p w14:paraId="6A982C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废水</w:t>
                  </w:r>
                </w:p>
              </w:tc>
              <w:tc>
                <w:tcPr>
                  <w:tcW w:w="549" w:type="pct"/>
                  <w:tcBorders>
                    <w:tl2br w:val="nil"/>
                    <w:tr2bl w:val="nil"/>
                  </w:tcBorders>
                  <w:noWrap w:val="0"/>
                  <w:vAlign w:val="center"/>
                </w:tcPr>
                <w:p w14:paraId="5FE23D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W1</w:t>
                  </w:r>
                  <w:r>
                    <w:rPr>
                      <w:rFonts w:hint="eastAsia"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w:t>
                  </w:r>
                </w:p>
              </w:tc>
              <w:tc>
                <w:tcPr>
                  <w:tcW w:w="884" w:type="pct"/>
                  <w:tcBorders>
                    <w:tl2br w:val="nil"/>
                    <w:tr2bl w:val="nil"/>
                  </w:tcBorders>
                  <w:noWrap w:val="0"/>
                  <w:vAlign w:val="center"/>
                </w:tcPr>
                <w:p w14:paraId="3D2D15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废水</w:t>
                  </w:r>
                </w:p>
              </w:tc>
              <w:tc>
                <w:tcPr>
                  <w:tcW w:w="1021" w:type="pct"/>
                  <w:tcBorders>
                    <w:tl2br w:val="nil"/>
                    <w:tr2bl w:val="nil"/>
                  </w:tcBorders>
                  <w:noWrap w:val="0"/>
                  <w:vAlign w:val="center"/>
                </w:tcPr>
                <w:p w14:paraId="396D12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pH值、动植物油、总有机碳</w:t>
                  </w:r>
                  <w:r>
                    <w:rPr>
                      <w:rFonts w:hint="eastAsia" w:eastAsia="宋体" w:cs="Times New Roman"/>
                      <w:color w:val="000000" w:themeColor="text1"/>
                      <w:sz w:val="21"/>
                      <w:szCs w:val="21"/>
                      <w:highlight w:val="none"/>
                      <w:lang w:val="en-US" w:eastAsia="zh-CN"/>
                      <w14:textFill>
                        <w14:solidFill>
                          <w14:schemeClr w14:val="tx1"/>
                        </w14:solidFill>
                      </w14:textFill>
                    </w:rPr>
                    <w:t>、色度、悬浮物、五日生化需氧量、化学需氧量、氨氮、总氮、总磷、总氰化物</w:t>
                  </w:r>
                </w:p>
              </w:tc>
              <w:tc>
                <w:tcPr>
                  <w:tcW w:w="2073" w:type="pct"/>
                  <w:tcBorders>
                    <w:tl2br w:val="nil"/>
                    <w:tr2bl w:val="nil"/>
                  </w:tcBorders>
                  <w:noWrap w:val="0"/>
                  <w:vAlign w:val="center"/>
                </w:tcPr>
                <w:p w14:paraId="10DF16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kern w:val="0"/>
                      <w:sz w:val="21"/>
                      <w:szCs w:val="21"/>
                      <w:highlight w:val="none"/>
                      <w:u w:val="none"/>
                      <w:lang w:val="en-US" w:eastAsia="zh-CN"/>
                      <w14:textFill>
                        <w14:solidFill>
                          <w14:schemeClr w14:val="tx1"/>
                        </w14:solidFill>
                      </w14:textFill>
                    </w:rPr>
                  </w:pPr>
                  <w:r>
                    <w:rPr>
                      <w:rFonts w:hint="eastAsia" w:ascii="Times New Roman" w:hAnsi="Times New Roman" w:eastAsia="新宋体" w:cs="Times New Roman"/>
                      <w:color w:val="000000" w:themeColor="text1"/>
                      <w:sz w:val="21"/>
                      <w:szCs w:val="21"/>
                      <w:highlight w:val="none"/>
                      <w:lang w:eastAsia="zh-CN"/>
                      <w14:textFill>
                        <w14:solidFill>
                          <w14:schemeClr w14:val="tx1"/>
                        </w14:solidFill>
                      </w14:textFill>
                    </w:rPr>
                    <w:t>废水进入厂内污水处理站进行处理，处理达标后，排入厂区污水管网后排入高新区市政管网最终排入</w:t>
                  </w:r>
                  <w:r>
                    <w:rPr>
                      <w:rFonts w:hint="eastAsia" w:cs="Times New Roman"/>
                      <w:color w:val="000000" w:themeColor="text1"/>
                      <w:sz w:val="21"/>
                      <w:szCs w:val="21"/>
                      <w:highlight w:val="none"/>
                      <w:lang w:eastAsia="zh-CN"/>
                      <w14:textFill>
                        <w14:solidFill>
                          <w14:schemeClr w14:val="tx1"/>
                        </w14:solidFill>
                      </w14:textFill>
                    </w:rPr>
                    <w:t>石桥子污水处理厂</w:t>
                  </w:r>
                  <w:r>
                    <w:rPr>
                      <w:rFonts w:hint="eastAsia" w:ascii="Times New Roman" w:hAnsi="Times New Roman" w:eastAsia="新宋体" w:cs="Times New Roman"/>
                      <w:color w:val="000000" w:themeColor="text1"/>
                      <w:sz w:val="21"/>
                      <w:szCs w:val="21"/>
                      <w:highlight w:val="none"/>
                      <w:lang w:eastAsia="zh-CN"/>
                      <w14:textFill>
                        <w14:solidFill>
                          <w14:schemeClr w14:val="tx1"/>
                        </w14:solidFill>
                      </w14:textFill>
                    </w:rPr>
                    <w:t>。</w:t>
                  </w:r>
                </w:p>
              </w:tc>
            </w:tr>
            <w:tr w14:paraId="5B12028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vMerge w:val="restart"/>
                  <w:tcBorders>
                    <w:tl2br w:val="nil"/>
                    <w:tr2bl w:val="nil"/>
                  </w:tcBorders>
                  <w:noWrap w:val="0"/>
                  <w:vAlign w:val="center"/>
                </w:tcPr>
                <w:p w14:paraId="5295E5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固废</w:t>
                  </w:r>
                </w:p>
              </w:tc>
              <w:tc>
                <w:tcPr>
                  <w:tcW w:w="549" w:type="pct"/>
                  <w:tcBorders>
                    <w:tl2br w:val="nil"/>
                    <w:tr2bl w:val="nil"/>
                  </w:tcBorders>
                  <w:noWrap w:val="0"/>
                  <w:vAlign w:val="center"/>
                </w:tcPr>
                <w:p w14:paraId="0904A7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S1</w:t>
                  </w:r>
                </w:p>
              </w:tc>
              <w:tc>
                <w:tcPr>
                  <w:tcW w:w="884" w:type="pct"/>
                  <w:tcBorders>
                    <w:tl2br w:val="nil"/>
                    <w:tr2bl w:val="nil"/>
                  </w:tcBorders>
                  <w:noWrap w:val="0"/>
                  <w:vAlign w:val="center"/>
                </w:tcPr>
                <w:p w14:paraId="60E4D1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净制</w:t>
                  </w:r>
                </w:p>
              </w:tc>
              <w:tc>
                <w:tcPr>
                  <w:tcW w:w="1021" w:type="pct"/>
                  <w:tcBorders>
                    <w:tl2br w:val="nil"/>
                    <w:tr2bl w:val="nil"/>
                  </w:tcBorders>
                  <w:noWrap w:val="0"/>
                  <w:vAlign w:val="center"/>
                </w:tcPr>
                <w:p w14:paraId="17F380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分拣废渣</w:t>
                  </w:r>
                </w:p>
              </w:tc>
              <w:tc>
                <w:tcPr>
                  <w:tcW w:w="2073" w:type="pct"/>
                  <w:tcBorders>
                    <w:tl2br w:val="nil"/>
                    <w:tr2bl w:val="nil"/>
                  </w:tcBorders>
                  <w:noWrap w:val="0"/>
                  <w:vAlign w:val="center"/>
                </w:tcPr>
                <w:p w14:paraId="00BE3B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u w:val="none"/>
                      <w:lang w:val="en-US" w:eastAsia="zh-CN"/>
                      <w14:textFill>
                        <w14:solidFill>
                          <w14:schemeClr w14:val="tx1"/>
                        </w14:solidFill>
                      </w14:textFill>
                    </w:rPr>
                    <w:t>集中收集后暂存于一般固废暂存区，交由有利用、处置能力的企业依法依规进行利用处置。</w:t>
                  </w:r>
                </w:p>
              </w:tc>
            </w:tr>
            <w:tr w14:paraId="0050992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vMerge w:val="continue"/>
                  <w:tcBorders>
                    <w:tl2br w:val="nil"/>
                    <w:tr2bl w:val="nil"/>
                  </w:tcBorders>
                  <w:noWrap w:val="0"/>
                  <w:vAlign w:val="center"/>
                </w:tcPr>
                <w:p w14:paraId="2ECC1E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49" w:type="pct"/>
                  <w:tcBorders>
                    <w:tl2br w:val="nil"/>
                    <w:tr2bl w:val="nil"/>
                  </w:tcBorders>
                  <w:noWrap w:val="0"/>
                  <w:vAlign w:val="center"/>
                </w:tcPr>
                <w:p w14:paraId="481DCE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w:t>
                  </w:r>
                  <w:r>
                    <w:rPr>
                      <w:rFonts w:hint="eastAsia" w:cs="Times New Roman"/>
                      <w:color w:val="000000" w:themeColor="text1"/>
                      <w:sz w:val="21"/>
                      <w:szCs w:val="21"/>
                      <w:highlight w:val="none"/>
                      <w:lang w:val="en-US" w:eastAsia="zh-CN"/>
                      <w14:textFill>
                        <w14:solidFill>
                          <w14:schemeClr w14:val="tx1"/>
                        </w14:solidFill>
                      </w14:textFill>
                    </w:rPr>
                    <w:t>2</w:t>
                  </w:r>
                </w:p>
              </w:tc>
              <w:tc>
                <w:tcPr>
                  <w:tcW w:w="884" w:type="pct"/>
                  <w:tcBorders>
                    <w:tl2br w:val="nil"/>
                    <w:tr2bl w:val="nil"/>
                  </w:tcBorders>
                  <w:noWrap w:val="0"/>
                  <w:vAlign w:val="center"/>
                </w:tcPr>
                <w:p w14:paraId="7AB3FA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检验</w:t>
                  </w:r>
                </w:p>
              </w:tc>
              <w:tc>
                <w:tcPr>
                  <w:tcW w:w="1021" w:type="pct"/>
                  <w:tcBorders>
                    <w:tl2br w:val="nil"/>
                    <w:tr2bl w:val="nil"/>
                  </w:tcBorders>
                  <w:noWrap w:val="0"/>
                  <w:vAlign w:val="center"/>
                </w:tcPr>
                <w:p w14:paraId="685DB6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化学检验废液</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cs="Times New Roman"/>
                      <w:b w:val="0"/>
                      <w:bCs w:val="0"/>
                      <w:color w:val="000000" w:themeColor="text1"/>
                      <w:sz w:val="21"/>
                      <w:szCs w:val="21"/>
                      <w:highlight w:val="none"/>
                      <w:lang w:eastAsia="zh-CN"/>
                      <w14:textFill>
                        <w14:solidFill>
                          <w14:schemeClr w14:val="tx1"/>
                        </w14:solidFill>
                      </w14:textFill>
                    </w:rPr>
                    <w:t>废化学试剂瓶</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、废弃薄层板</w:t>
                  </w:r>
                  <w:r>
                    <w:rPr>
                      <w:rFonts w:hint="eastAsia" w:cs="Times New Roman"/>
                      <w:color w:val="000000" w:themeColor="text1"/>
                      <w:sz w:val="21"/>
                      <w:szCs w:val="21"/>
                      <w:highlight w:val="none"/>
                      <w:lang w:val="en-US" w:eastAsia="zh-CN"/>
                      <w14:textFill>
                        <w14:solidFill>
                          <w14:schemeClr w14:val="tx1"/>
                        </w14:solidFill>
                      </w14:textFill>
                    </w:rPr>
                    <w:t>、</w:t>
                  </w:r>
                  <w:r>
                    <w:rPr>
                      <w:rFonts w:hint="eastAsia"/>
                      <w:color w:val="000000" w:themeColor="text1"/>
                      <w:highlight w:val="none"/>
                      <w:lang w:eastAsia="zh-CN"/>
                      <w14:textFill>
                        <w14:solidFill>
                          <w14:schemeClr w14:val="tx1"/>
                        </w14:solidFill>
                      </w14:textFill>
                    </w:rPr>
                    <w:t>废试药</w:t>
                  </w:r>
                </w:p>
              </w:tc>
              <w:tc>
                <w:tcPr>
                  <w:tcW w:w="2073" w:type="pct"/>
                  <w:tcBorders>
                    <w:tl2br w:val="nil"/>
                    <w:tr2bl w:val="nil"/>
                  </w:tcBorders>
                  <w:noWrap w:val="0"/>
                  <w:vAlign w:val="center"/>
                </w:tcPr>
                <w:p w14:paraId="4D295C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t>依托现有危废贮存</w:t>
                  </w:r>
                  <w:r>
                    <w:rPr>
                      <w:rFonts w:hint="eastAsia" w:eastAsia="宋体" w:cs="Times New Roman"/>
                      <w:color w:val="000000" w:themeColor="text1"/>
                      <w:sz w:val="21"/>
                      <w:szCs w:val="21"/>
                      <w:highlight w:val="none"/>
                      <w:u w:val="none"/>
                      <w:lang w:val="en-US" w:eastAsia="zh-CN"/>
                      <w14:textFill>
                        <w14:solidFill>
                          <w14:schemeClr w14:val="tx1"/>
                        </w14:solidFill>
                      </w14:textFill>
                    </w:rPr>
                    <w:t>库</w:t>
                  </w:r>
                  <w:r>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t>暂存，定期委托有资质单位处置。</w:t>
                  </w:r>
                </w:p>
              </w:tc>
            </w:tr>
            <w:tr w14:paraId="712BAAB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tcBorders>
                    <w:tl2br w:val="nil"/>
                    <w:tr2bl w:val="nil"/>
                  </w:tcBorders>
                  <w:noWrap w:val="0"/>
                  <w:vAlign w:val="center"/>
                </w:tcPr>
                <w:p w14:paraId="116BC1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噪声</w:t>
                  </w:r>
                </w:p>
              </w:tc>
              <w:tc>
                <w:tcPr>
                  <w:tcW w:w="549" w:type="pct"/>
                  <w:tcBorders>
                    <w:tl2br w:val="nil"/>
                    <w:tr2bl w:val="nil"/>
                  </w:tcBorders>
                  <w:noWrap w:val="0"/>
                  <w:vAlign w:val="center"/>
                </w:tcPr>
                <w:p w14:paraId="4E935A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N</w:t>
                  </w:r>
                </w:p>
              </w:tc>
              <w:tc>
                <w:tcPr>
                  <w:tcW w:w="1905" w:type="pct"/>
                  <w:gridSpan w:val="2"/>
                  <w:tcBorders>
                    <w:tl2br w:val="nil"/>
                    <w:tr2bl w:val="nil"/>
                  </w:tcBorders>
                  <w:noWrap w:val="0"/>
                  <w:vAlign w:val="center"/>
                </w:tcPr>
                <w:p w14:paraId="0181BE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各种设备运转噪声</w:t>
                  </w:r>
                </w:p>
              </w:tc>
              <w:tc>
                <w:tcPr>
                  <w:tcW w:w="2073" w:type="pct"/>
                  <w:tcBorders>
                    <w:tl2br w:val="nil"/>
                    <w:tr2bl w:val="nil"/>
                  </w:tcBorders>
                  <w:noWrap w:val="0"/>
                  <w:vAlign w:val="center"/>
                </w:tcPr>
                <w:p w14:paraId="7511F2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低噪声设备选型、基础减振、建筑隔声</w:t>
                  </w:r>
                </w:p>
              </w:tc>
            </w:tr>
          </w:tbl>
          <w:p w14:paraId="24DA7003">
            <w:pPr>
              <w:keepNext w:val="0"/>
              <w:keepLines w:val="0"/>
              <w:widowControl/>
              <w:suppressLineNumbers w:val="0"/>
              <w:adjustRightInd w:val="0"/>
              <w:snapToGrid w:val="0"/>
              <w:spacing w:before="93" w:beforeLines="30" w:beforeAutospacing="0" w:after="93" w:afterLines="30" w:afterAutospacing="0" w:line="360" w:lineRule="auto"/>
              <w:ind w:left="0" w:right="0"/>
              <w:jc w:val="left"/>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t>1.2.</w:t>
            </w:r>
            <w:r>
              <w:rPr>
                <w:rFonts w:hint="eastAsia" w:cs="Times New Roman"/>
                <w:b/>
                <w:bCs/>
                <w:color w:val="000000" w:themeColor="text1"/>
                <w:kern w:val="0"/>
                <w:sz w:val="24"/>
                <w:szCs w:val="24"/>
                <w:highlight w:val="none"/>
                <w:lang w:val="en-US" w:eastAsia="zh-CN" w:bidi="en-US"/>
                <w14:textFill>
                  <w14:solidFill>
                    <w14:schemeClr w14:val="tx1"/>
                  </w14:solidFill>
                </w14:textFill>
              </w:rPr>
              <w:t>4</w:t>
            </w:r>
            <w:r>
              <w:rPr>
                <w:rFonts w:hint="default"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t xml:space="preserve"> </w:t>
            </w:r>
            <w:r>
              <w:rPr>
                <w:rFonts w:hint="eastAsia" w:cs="Times New Roman"/>
                <w:b/>
                <w:bCs/>
                <w:color w:val="000000" w:themeColor="text1"/>
                <w:kern w:val="0"/>
                <w:sz w:val="24"/>
                <w:szCs w:val="24"/>
                <w:highlight w:val="none"/>
                <w:lang w:val="en-US" w:eastAsia="zh-CN" w:bidi="en-US"/>
                <w14:textFill>
                  <w14:solidFill>
                    <w14:schemeClr w14:val="tx1"/>
                  </w14:solidFill>
                </w14:textFill>
              </w:rPr>
              <w:t>经典名方4</w:t>
            </w:r>
            <w:r>
              <w:rPr>
                <w:rFonts w:hint="default"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t>炮制工艺</w:t>
            </w:r>
            <w:r>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t>流程简述：</w:t>
            </w:r>
          </w:p>
          <w:p w14:paraId="18223130">
            <w:pPr>
              <w:keepNext/>
              <w:keepLines w:val="0"/>
              <w:suppressLineNumbers w:val="0"/>
              <w:spacing w:before="0" w:beforeAutospacing="0" w:after="0" w:afterAutospacing="0" w:line="360" w:lineRule="auto"/>
              <w:ind w:left="0" w:right="0"/>
              <w:jc w:val="center"/>
              <w:outlineLvl w:val="0"/>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pP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drawing>
                <wp:inline distT="0" distB="0" distL="114300" distR="114300">
                  <wp:extent cx="5104130" cy="5055235"/>
                  <wp:effectExtent l="0" t="0" r="1270" b="12065"/>
                  <wp:docPr id="294" name="图片 29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图片 294" descr="2"/>
                          <pic:cNvPicPr>
                            <a:picLocks noChangeAspect="1"/>
                          </pic:cNvPicPr>
                        </pic:nvPicPr>
                        <pic:blipFill>
                          <a:blip r:embed="rId20"/>
                          <a:stretch>
                            <a:fillRect/>
                          </a:stretch>
                        </pic:blipFill>
                        <pic:spPr>
                          <a:xfrm>
                            <a:off x="0" y="0"/>
                            <a:ext cx="5104130" cy="5055235"/>
                          </a:xfrm>
                          <a:prstGeom prst="rect">
                            <a:avLst/>
                          </a:prstGeom>
                        </pic:spPr>
                      </pic:pic>
                    </a:graphicData>
                  </a:graphic>
                </wp:inline>
              </w:drawing>
            </w:r>
          </w:p>
          <w:p w14:paraId="033D0C9F">
            <w:pPr>
              <w:keepNext w:val="0"/>
              <w:keepLines w:val="0"/>
              <w:numPr>
                <w:ilvl w:val="0"/>
                <w:numId w:val="16"/>
              </w:numPr>
              <w:suppressLineNumbers w:val="0"/>
              <w:snapToGrid w:val="0"/>
              <w:spacing w:before="0" w:beforeLines="0" w:beforeAutospacing="0" w:after="0" w:afterLines="0" w:afterAutospacing="0"/>
              <w:ind w:left="0" w:leftChars="0" w:right="0" w:rightChars="0" w:firstLine="0" w:firstLineChars="0"/>
              <w:jc w:val="center"/>
              <w:rPr>
                <w:rFonts w:hint="eastAsia"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 xml:space="preserve">  经典名方4炮制工艺流程及产污节点图</w:t>
            </w:r>
          </w:p>
          <w:p w14:paraId="11CF49FE">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jc w:val="left"/>
              <w:textAlignment w:val="auto"/>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kern w:val="0"/>
                <w:sz w:val="24"/>
                <w:szCs w:val="24"/>
                <w:highlight w:val="none"/>
                <w:lang w:eastAsia="zh-CN" w:bidi="en-US"/>
                <w14:textFill>
                  <w14:solidFill>
                    <w14:schemeClr w14:val="tx1"/>
                  </w14:solidFill>
                </w14:textFill>
              </w:rPr>
              <w:t>（</w:t>
            </w:r>
            <w:r>
              <w:rPr>
                <w:rFonts w:hint="eastAsia" w:cs="Times New Roman"/>
                <w:b/>
                <w:bCs/>
                <w:color w:val="000000" w:themeColor="text1"/>
                <w:kern w:val="0"/>
                <w:sz w:val="24"/>
                <w:szCs w:val="24"/>
                <w:highlight w:val="none"/>
                <w:lang w:val="en-US" w:eastAsia="zh-CN" w:bidi="en-US"/>
                <w14:textFill>
                  <w14:solidFill>
                    <w14:schemeClr w14:val="tx1"/>
                  </w14:solidFill>
                </w14:textFill>
              </w:rPr>
              <w:t>1</w:t>
            </w:r>
            <w:r>
              <w:rPr>
                <w:rFonts w:hint="eastAsia" w:cs="Times New Roman"/>
                <w:b/>
                <w:bCs/>
                <w:color w:val="000000" w:themeColor="text1"/>
                <w:kern w:val="0"/>
                <w:sz w:val="24"/>
                <w:szCs w:val="24"/>
                <w:highlight w:val="none"/>
                <w:lang w:eastAsia="zh-CN" w:bidi="en-US"/>
                <w14:textFill>
                  <w14:solidFill>
                    <w14:schemeClr w14:val="tx1"/>
                  </w14:solidFill>
                </w14:textFill>
              </w:rPr>
              <w:t>）</w:t>
            </w:r>
            <w:r>
              <w:rPr>
                <w:rFonts w:hint="eastAsia" w:cs="Times New Roman"/>
                <w:b/>
                <w:bCs/>
                <w:color w:val="000000" w:themeColor="text1"/>
                <w:kern w:val="0"/>
                <w:sz w:val="24"/>
                <w:szCs w:val="24"/>
                <w:highlight w:val="none"/>
                <w:lang w:val="en-US" w:eastAsia="zh-CN" w:bidi="en-US"/>
                <w14:textFill>
                  <w14:solidFill>
                    <w14:schemeClr w14:val="tx1"/>
                  </w14:solidFill>
                </w14:textFill>
              </w:rPr>
              <w:t>经典名方4</w:t>
            </w:r>
            <w:r>
              <w:rPr>
                <w:rFonts w:hint="default"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t>炮制</w:t>
            </w:r>
            <w:r>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t>工艺流程简述：</w:t>
            </w:r>
          </w:p>
          <w:p w14:paraId="695636C5">
            <w:pPr>
              <w:keepNext/>
              <w:keepLines w:val="0"/>
              <w:suppressLineNumbers w:val="0"/>
              <w:spacing w:before="0" w:beforeAutospacing="0" w:after="0" w:afterAutospacing="0" w:line="360" w:lineRule="auto"/>
              <w:ind w:left="0" w:right="0" w:firstLine="482" w:firstLineChars="200"/>
              <w:outlineLvl w:val="0"/>
              <w:rPr>
                <w:rFonts w:hint="eastAsia"/>
                <w:color w:val="000000" w:themeColor="text1"/>
                <w:sz w:val="24"/>
                <w:szCs w:val="24"/>
                <w:highlight w:val="none"/>
                <w:lang w:val="en-US"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①净制</w:t>
            </w:r>
            <w:r>
              <w:rPr>
                <w:rFonts w:hint="eastAsia"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将经典名方4的药材进行人工分拣，除去</w:t>
            </w:r>
            <w:r>
              <w:rPr>
                <w:rFonts w:hint="eastAsia" w:cs="Times New Roman" w:asciiTheme="minorEastAsia" w:hAnsiTheme="minorEastAsia"/>
                <w:color w:val="000000" w:themeColor="text1"/>
                <w:sz w:val="24"/>
                <w:highlight w:val="none"/>
                <w14:textFill>
                  <w14:solidFill>
                    <w14:schemeClr w14:val="tx1"/>
                  </w14:solidFill>
                </w14:textFill>
              </w:rPr>
              <w:t>根茎</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或杂质等，利用洗药机进行清洗，清洗采用软化水，清洗后的</w:t>
            </w:r>
            <w:r>
              <w:rPr>
                <w:rFonts w:hint="eastAsia" w:cs="Times New Roman"/>
                <w:b w:val="0"/>
                <w:bCs/>
                <w:color w:val="000000" w:themeColor="text1"/>
                <w:sz w:val="24"/>
                <w:szCs w:val="24"/>
                <w:highlight w:val="none"/>
                <w:lang w:val="en-US" w:eastAsia="zh-CN"/>
                <w14:textFill>
                  <w14:solidFill>
                    <w14:schemeClr w14:val="tx1"/>
                  </w14:solidFill>
                </w14:textFill>
              </w:rPr>
              <w:t>药材按照药材特征分别进入拣选工序、炒制工序、软化工序、捣碎工序。此过程</w:t>
            </w:r>
            <w:r>
              <w:rPr>
                <w:rFonts w:hint="eastAsia"/>
                <w:color w:val="000000" w:themeColor="text1"/>
                <w:sz w:val="24"/>
                <w:szCs w:val="24"/>
                <w:highlight w:val="none"/>
                <w:lang w:val="en-US" w:eastAsia="zh-CN"/>
                <w14:textFill>
                  <w14:solidFill>
                    <w14:schemeClr w14:val="tx1"/>
                  </w14:solidFill>
                </w14:textFill>
              </w:rPr>
              <w:t>产生的污染物主要为S1（</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分拣废渣</w:t>
            </w:r>
            <w:r>
              <w:rPr>
                <w:rFonts w:hint="eastAsia"/>
                <w:color w:val="000000" w:themeColor="text1"/>
                <w:sz w:val="24"/>
                <w:szCs w:val="24"/>
                <w:highlight w:val="none"/>
                <w:lang w:val="en-US" w:eastAsia="zh-CN"/>
                <w14:textFill>
                  <w14:solidFill>
                    <w14:schemeClr w14:val="tx1"/>
                  </w14:solidFill>
                </w14:textFill>
              </w:rPr>
              <w:t>）、W1（</w:t>
            </w:r>
            <w:r>
              <w:rPr>
                <w:rFonts w:hint="default" w:ascii="Times New Roman" w:hAnsi="Times New Roman" w:eastAsia="新宋体" w:cs="Times New Roman"/>
                <w:color w:val="000000" w:themeColor="text1"/>
                <w:sz w:val="24"/>
                <w:szCs w:val="24"/>
                <w:highlight w:val="none"/>
                <w:lang w:bidi="ar-SA"/>
                <w14:textFill>
                  <w14:solidFill>
                    <w14:schemeClr w14:val="tx1"/>
                  </w14:solidFill>
                </w14:textFill>
              </w:rPr>
              <w:t>废水</w:t>
            </w:r>
            <w:r>
              <w:rPr>
                <w:rFonts w:hint="eastAsia"/>
                <w:color w:val="000000" w:themeColor="text1"/>
                <w:sz w:val="24"/>
                <w:szCs w:val="24"/>
                <w:highlight w:val="none"/>
                <w:lang w:val="en-US" w:eastAsia="zh-CN"/>
                <w14:textFill>
                  <w14:solidFill>
                    <w14:schemeClr w14:val="tx1"/>
                  </w14:solidFill>
                </w14:textFill>
              </w:rPr>
              <w:t>）、N（设备噪声）。</w:t>
            </w:r>
          </w:p>
          <w:p w14:paraId="1948997B">
            <w:pPr>
              <w:keepNext/>
              <w:keepLines w:val="0"/>
              <w:suppressLineNumbers w:val="0"/>
              <w:spacing w:before="0" w:beforeAutospacing="0" w:after="0" w:afterAutospacing="0" w:line="360" w:lineRule="auto"/>
              <w:ind w:left="0" w:right="0" w:firstLine="482" w:firstLineChars="200"/>
              <w:outlineLvl w:val="0"/>
              <w:rPr>
                <w:rFonts w:hint="default" w:eastAsia="宋体"/>
                <w:color w:val="000000" w:themeColor="text1"/>
                <w:sz w:val="24"/>
                <w:szCs w:val="24"/>
                <w:highlight w:val="none"/>
                <w:lang w:val="en-US" w:eastAsia="zh-CN"/>
                <w14:textFill>
                  <w14:solidFill>
                    <w14:schemeClr w14:val="tx1"/>
                  </w14:solidFill>
                </w14:textFill>
              </w:rPr>
            </w:pPr>
            <w:r>
              <w:rPr>
                <w:rFonts w:hint="eastAsia" w:cs="Times New Roman"/>
                <w:b/>
                <w:bCs w:val="0"/>
                <w:color w:val="000000" w:themeColor="text1"/>
                <w:sz w:val="24"/>
                <w:szCs w:val="24"/>
                <w:highlight w:val="none"/>
                <w:u w:val="none"/>
                <w:lang w:val="en-US" w:eastAsia="zh-CN"/>
                <w14:textFill>
                  <w14:solidFill>
                    <w14:schemeClr w14:val="tx1"/>
                  </w14:solidFill>
                </w14:textFill>
              </w:rPr>
              <w:t>②</w:t>
            </w:r>
            <w:r>
              <w:rPr>
                <w:rFonts w:hint="eastAsia"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拣选</w:t>
            </w:r>
            <w:r>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t>：</w:t>
            </w:r>
            <w:r>
              <w:rPr>
                <w:rFonts w:hint="eastAsia" w:eastAsia="宋体" w:cs="Times New Roman" w:asciiTheme="minorEastAsia" w:hAnsiTheme="minorEastAsia"/>
                <w:color w:val="000000" w:themeColor="text1"/>
                <w:sz w:val="24"/>
                <w:highlight w:val="none"/>
                <w:lang w:val="en-US" w:eastAsia="zh-CN"/>
                <w14:textFill>
                  <w14:solidFill>
                    <w14:schemeClr w14:val="tx1"/>
                  </w14:solidFill>
                </w14:textFill>
              </w:rPr>
              <w:t>采用</w:t>
            </w:r>
            <w:r>
              <w:rPr>
                <w:rFonts w:hint="eastAsia" w:cs="Times New Roman" w:asciiTheme="minorEastAsia" w:hAnsiTheme="minorEastAsia"/>
                <w:color w:val="000000" w:themeColor="text1"/>
                <w:sz w:val="24"/>
                <w:highlight w:val="none"/>
                <w14:textFill>
                  <w14:solidFill>
                    <w14:schemeClr w14:val="tx1"/>
                  </w14:solidFill>
                </w14:textFill>
              </w:rPr>
              <w:t>拣选机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对净制后的</w:t>
            </w:r>
            <w:r>
              <w:rPr>
                <w:rFonts w:hint="eastAsia" w:cs="Times New Roman"/>
                <w:b w:val="0"/>
                <w:bCs/>
                <w:color w:val="000000" w:themeColor="text1"/>
                <w:sz w:val="24"/>
                <w:szCs w:val="24"/>
                <w:highlight w:val="none"/>
                <w:lang w:val="en-US" w:eastAsia="zh-CN"/>
                <w14:textFill>
                  <w14:solidFill>
                    <w14:schemeClr w14:val="tx1"/>
                  </w14:solidFill>
                </w14:textFill>
              </w:rPr>
              <w:t>药材进行拣选，作用是剔除不合格药材原料，保证成品质量，拣选后的药材进入软化工序。此过程</w:t>
            </w:r>
            <w:r>
              <w:rPr>
                <w:rFonts w:hint="eastAsia"/>
                <w:color w:val="000000" w:themeColor="text1"/>
                <w:sz w:val="24"/>
                <w:szCs w:val="24"/>
                <w:highlight w:val="none"/>
                <w:lang w:val="en-US" w:eastAsia="zh-CN"/>
                <w14:textFill>
                  <w14:solidFill>
                    <w14:schemeClr w14:val="tx1"/>
                  </w14:solidFill>
                </w14:textFill>
              </w:rPr>
              <w:t>产生的污染物主要为S2（</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分拣废渣</w:t>
            </w:r>
            <w:r>
              <w:rPr>
                <w:rFonts w:hint="eastAsia"/>
                <w:color w:val="000000" w:themeColor="text1"/>
                <w:sz w:val="24"/>
                <w:szCs w:val="24"/>
                <w:highlight w:val="none"/>
                <w:lang w:val="en-US" w:eastAsia="zh-CN"/>
                <w14:textFill>
                  <w14:solidFill>
                    <w14:schemeClr w14:val="tx1"/>
                  </w14:solidFill>
                </w14:textFill>
              </w:rPr>
              <w:t>）、N（设备噪声）。</w:t>
            </w:r>
          </w:p>
          <w:p w14:paraId="7409E189">
            <w:pPr>
              <w:keepNext/>
              <w:keepLines w:val="0"/>
              <w:suppressLineNumbers w:val="0"/>
              <w:spacing w:before="0" w:beforeAutospacing="0" w:after="0" w:afterAutospacing="0" w:line="360" w:lineRule="auto"/>
              <w:ind w:left="0" w:right="0" w:firstLine="482" w:firstLineChars="200"/>
              <w:outlineLvl w:val="0"/>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pPr>
            <w:r>
              <w:rPr>
                <w:rFonts w:hint="eastAsia" w:cs="Times New Roman"/>
                <w:b/>
                <w:bCs w:val="0"/>
                <w:color w:val="000000" w:themeColor="text1"/>
                <w:sz w:val="24"/>
                <w:szCs w:val="24"/>
                <w:highlight w:val="none"/>
                <w:u w:val="none"/>
                <w:lang w:val="en-US" w:eastAsia="zh-CN"/>
                <w14:textFill>
                  <w14:solidFill>
                    <w14:schemeClr w14:val="tx1"/>
                  </w14:solidFill>
                </w14:textFill>
              </w:rPr>
              <w:t>③</w:t>
            </w:r>
            <w:r>
              <w:rPr>
                <w:rFonts w:hint="eastAsia"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软化</w:t>
            </w:r>
            <w:r>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蒸润一体机</w:t>
            </w:r>
            <w:r>
              <w:rPr>
                <w:rFonts w:hint="eastAsia" w:cs="Times New Roman"/>
                <w:b w:val="0"/>
                <w:bCs/>
                <w:color w:val="000000" w:themeColor="text1"/>
                <w:sz w:val="24"/>
                <w:szCs w:val="24"/>
                <w:highlight w:val="none"/>
                <w:lang w:val="en-US" w:eastAsia="zh-CN"/>
                <w14:textFill>
                  <w14:solidFill>
                    <w14:schemeClr w14:val="tx1"/>
                  </w14:solidFill>
                </w14:textFill>
              </w:rPr>
              <w:t>是电加热软化水产生蒸汽，</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采用蒸润一体机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对药材</w:t>
            </w:r>
            <w:r>
              <w:rPr>
                <w:rFonts w:hint="eastAsia" w:cs="Times New Roman"/>
                <w:b w:val="0"/>
                <w:bCs/>
                <w:color w:val="000000" w:themeColor="text1"/>
                <w:sz w:val="24"/>
                <w:szCs w:val="24"/>
                <w:highlight w:val="none"/>
                <w:lang w:val="en-US" w:eastAsia="zh-CN"/>
                <w14:textFill>
                  <w14:solidFill>
                    <w14:schemeClr w14:val="tx1"/>
                  </w14:solidFill>
                </w14:textFill>
              </w:rPr>
              <w:t>进行软化润透，作用是方便切制、降低粉尘产生量、保住药性，减少有效成分流失等作用，软化后的</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药材</w:t>
            </w:r>
            <w:r>
              <w:rPr>
                <w:rFonts w:hint="eastAsia" w:cs="Times New Roman"/>
                <w:b w:val="0"/>
                <w:bCs/>
                <w:color w:val="000000" w:themeColor="text1"/>
                <w:sz w:val="24"/>
                <w:szCs w:val="24"/>
                <w:highlight w:val="none"/>
                <w:lang w:val="en-US" w:eastAsia="zh-CN"/>
                <w14:textFill>
                  <w14:solidFill>
                    <w14:schemeClr w14:val="tx1"/>
                  </w14:solidFill>
                </w14:textFill>
              </w:rPr>
              <w:t>按照药材特征分别进入切制工序、炒制工序。项目</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蒸润一体机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密闭，泄压排气管道与车间整体排风连接，产生的水蒸气和少量中药异味（臭气浓度）无组织排放</w:t>
            </w:r>
            <w:r>
              <w:rPr>
                <w:rFonts w:hint="eastAsia" w:eastAsia="宋体"/>
                <w:color w:val="000000" w:themeColor="text1"/>
                <w:sz w:val="24"/>
                <w:szCs w:val="24"/>
                <w:highlight w:val="none"/>
                <w:lang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此过程</w:t>
            </w:r>
            <w:r>
              <w:rPr>
                <w:rFonts w:hint="eastAsia"/>
                <w:color w:val="000000" w:themeColor="text1"/>
                <w:sz w:val="24"/>
                <w:szCs w:val="24"/>
                <w:highlight w:val="none"/>
                <w:lang w:val="en-US" w:eastAsia="zh-CN"/>
                <w14:textFill>
                  <w14:solidFill>
                    <w14:schemeClr w14:val="tx1"/>
                  </w14:solidFill>
                </w14:textFill>
              </w:rPr>
              <w:t>产生的污染物主要为G1（臭气浓度）、W2（</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废水</w:t>
            </w:r>
            <w:r>
              <w:rPr>
                <w:rFonts w:hint="eastAsia"/>
                <w:color w:val="000000" w:themeColor="text1"/>
                <w:sz w:val="24"/>
                <w:szCs w:val="24"/>
                <w:highlight w:val="none"/>
                <w:lang w:val="en-US" w:eastAsia="zh-CN"/>
                <w14:textFill>
                  <w14:solidFill>
                    <w14:schemeClr w14:val="tx1"/>
                  </w14:solidFill>
                </w14:textFill>
              </w:rPr>
              <w:t>）、N（设备噪声）。</w:t>
            </w:r>
          </w:p>
          <w:p w14:paraId="5790A887">
            <w:pPr>
              <w:keepNext/>
              <w:keepLines w:val="0"/>
              <w:suppressLineNumbers w:val="0"/>
              <w:spacing w:before="0" w:beforeAutospacing="0" w:after="0" w:afterAutospacing="0" w:line="360" w:lineRule="auto"/>
              <w:ind w:left="0" w:right="0" w:firstLine="482" w:firstLineChars="200"/>
              <w:outlineLvl w:val="0"/>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④切制</w:t>
            </w:r>
            <w:r>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采用</w:t>
            </w:r>
            <w:r>
              <w:rPr>
                <w:rFonts w:hint="eastAsia" w:cs="Times New Roman" w:asciiTheme="minorEastAsia" w:hAnsiTheme="minorEastAsia"/>
                <w:color w:val="000000" w:themeColor="text1"/>
                <w:sz w:val="24"/>
                <w:highlight w:val="none"/>
                <w14:textFill>
                  <w14:solidFill>
                    <w14:schemeClr w14:val="tx1"/>
                  </w14:solidFill>
                </w14:textFill>
              </w:rPr>
              <w:t>切药机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对</w:t>
            </w:r>
            <w:r>
              <w:rPr>
                <w:rFonts w:hint="eastAsia" w:cs="Times New Roman"/>
                <w:b w:val="0"/>
                <w:bCs/>
                <w:color w:val="000000" w:themeColor="text1"/>
                <w:sz w:val="24"/>
                <w:szCs w:val="24"/>
                <w:highlight w:val="none"/>
                <w:lang w:val="en-US" w:eastAsia="zh-CN"/>
                <w14:textFill>
                  <w14:solidFill>
                    <w14:schemeClr w14:val="tx1"/>
                  </w14:solidFill>
                </w14:textFill>
              </w:rPr>
              <w:t>软化后的药材</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进行切制，切制过程产生</w:t>
            </w:r>
            <w:r>
              <w:rPr>
                <w:rFonts w:hint="eastAsia" w:cs="Times New Roman"/>
                <w:b w:val="0"/>
                <w:bCs/>
                <w:color w:val="000000" w:themeColor="text1"/>
                <w:sz w:val="24"/>
                <w:szCs w:val="24"/>
                <w:highlight w:val="none"/>
                <w:lang w:val="en-US" w:eastAsia="zh-CN"/>
                <w14:textFill>
                  <w14:solidFill>
                    <w14:schemeClr w14:val="tx1"/>
                  </w14:solidFill>
                </w14:textFill>
              </w:rPr>
              <w:t>少量</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粉尘</w:t>
            </w:r>
            <w:r>
              <w:rPr>
                <w:rFonts w:hint="eastAsia" w:cs="Times New Roman"/>
                <w:b w:val="0"/>
                <w:bCs/>
                <w:color w:val="000000" w:themeColor="text1"/>
                <w:sz w:val="24"/>
                <w:szCs w:val="24"/>
                <w:highlight w:val="none"/>
                <w:lang w:val="en-US" w:eastAsia="zh-CN"/>
                <w14:textFill>
                  <w14:solidFill>
                    <w14:schemeClr w14:val="tx1"/>
                  </w14:solidFill>
                </w14:textFill>
              </w:rPr>
              <w:t>，项目在</w:t>
            </w:r>
            <w:r>
              <w:rPr>
                <w:rFonts w:hint="eastAsia" w:cs="Times New Roman" w:asciiTheme="minorEastAsia" w:hAnsiTheme="minorEastAsia"/>
                <w:color w:val="000000" w:themeColor="text1"/>
                <w:sz w:val="24"/>
                <w:highlight w:val="none"/>
                <w14:textFill>
                  <w14:solidFill>
                    <w14:schemeClr w14:val="tx1"/>
                  </w14:solidFill>
                </w14:textFill>
              </w:rPr>
              <w:t>切药机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上方设置</w:t>
            </w:r>
            <w:r>
              <w:rPr>
                <w:rFonts w:hint="eastAsia"/>
                <w:color w:val="000000" w:themeColor="text1"/>
                <w:sz w:val="24"/>
                <w:szCs w:val="24"/>
                <w:highlight w:val="none"/>
                <w:lang w:val="en-US" w:eastAsia="zh-CN"/>
                <w14:textFill>
                  <w14:solidFill>
                    <w14:schemeClr w14:val="tx1"/>
                  </w14:solidFill>
                </w14:textFill>
              </w:rPr>
              <w:t>上吸式</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集气罩，</w:t>
            </w:r>
            <w:r>
              <w:rPr>
                <w:rFonts w:hint="eastAsia"/>
                <w:color w:val="000000" w:themeColor="text1"/>
                <w:sz w:val="24"/>
                <w:szCs w:val="24"/>
                <w:highlight w:val="none"/>
                <w:lang w:val="en-US" w:eastAsia="zh-CN"/>
                <w14:textFill>
                  <w14:solidFill>
                    <w14:schemeClr w14:val="tx1"/>
                  </w14:solidFill>
                </w14:textFill>
              </w:rPr>
              <w:t>经</w:t>
            </w:r>
            <w:r>
              <w:rPr>
                <w:rFonts w:hint="eastAsia" w:eastAsia="宋体"/>
                <w:color w:val="000000" w:themeColor="text1"/>
                <w:sz w:val="24"/>
                <w:szCs w:val="24"/>
                <w:highlight w:val="none"/>
                <w:lang w:eastAsia="zh-CN"/>
                <w14:textFill>
                  <w14:solidFill>
                    <w14:schemeClr w14:val="tx1"/>
                  </w14:solidFill>
                </w14:textFill>
              </w:rPr>
              <w:t>布袋除尘器（TA0</w:t>
            </w:r>
            <w:r>
              <w:rPr>
                <w:rFonts w:hint="eastAsia"/>
                <w:color w:val="000000" w:themeColor="text1"/>
                <w:sz w:val="24"/>
                <w:szCs w:val="24"/>
                <w:highlight w:val="none"/>
                <w:lang w:val="en-US" w:eastAsia="zh-CN"/>
                <w14:textFill>
                  <w14:solidFill>
                    <w14:schemeClr w14:val="tx1"/>
                  </w14:solidFill>
                </w14:textFill>
              </w:rPr>
              <w:t>25</w:t>
            </w:r>
            <w:r>
              <w:rPr>
                <w:rFonts w:hint="eastAsia" w:eastAsia="宋体"/>
                <w:color w:val="000000" w:themeColor="text1"/>
                <w:sz w:val="24"/>
                <w:szCs w:val="24"/>
                <w:highlight w:val="none"/>
                <w:lang w:eastAsia="zh-CN"/>
                <w14:textFill>
                  <w14:solidFill>
                    <w14:schemeClr w14:val="tx1"/>
                  </w14:solidFill>
                </w14:textFill>
              </w:rPr>
              <w:t>）处理后由</w:t>
            </w:r>
            <w:r>
              <w:rPr>
                <w:rFonts w:hint="eastAsia" w:eastAsia="宋体"/>
                <w:color w:val="000000" w:themeColor="text1"/>
                <w:sz w:val="24"/>
                <w:szCs w:val="24"/>
                <w:highlight w:val="none"/>
                <w:lang w:val="en-US" w:eastAsia="zh-CN"/>
                <w14:textFill>
                  <w14:solidFill>
                    <w14:schemeClr w14:val="tx1"/>
                  </w14:solidFill>
                </w14:textFill>
              </w:rPr>
              <w:t>不低于</w:t>
            </w:r>
            <w:r>
              <w:rPr>
                <w:rFonts w:hint="eastAsia" w:eastAsia="宋体"/>
                <w:color w:val="000000" w:themeColor="text1"/>
                <w:sz w:val="24"/>
                <w:szCs w:val="24"/>
                <w:highlight w:val="none"/>
                <w:lang w:eastAsia="zh-CN"/>
                <w14:textFill>
                  <w14:solidFill>
                    <w14:schemeClr w14:val="tx1"/>
                  </w14:solidFill>
                </w14:textFill>
              </w:rPr>
              <w:t>15m高的排气筒（DA0</w:t>
            </w:r>
            <w:r>
              <w:rPr>
                <w:rFonts w:hint="eastAsia"/>
                <w:color w:val="000000" w:themeColor="text1"/>
                <w:sz w:val="24"/>
                <w:szCs w:val="24"/>
                <w:highlight w:val="none"/>
                <w:lang w:val="en-US" w:eastAsia="zh-CN"/>
                <w14:textFill>
                  <w14:solidFill>
                    <w14:schemeClr w14:val="tx1"/>
                  </w14:solidFill>
                </w14:textFill>
              </w:rPr>
              <w:t>16</w:t>
            </w:r>
            <w:r>
              <w:rPr>
                <w:rFonts w:hint="eastAsia" w:eastAsia="宋体"/>
                <w:color w:val="000000" w:themeColor="text1"/>
                <w:sz w:val="24"/>
                <w:szCs w:val="24"/>
                <w:highlight w:val="none"/>
                <w:lang w:eastAsia="zh-CN"/>
                <w14:textFill>
                  <w14:solidFill>
                    <w14:schemeClr w14:val="tx1"/>
                  </w14:solidFill>
                </w14:textFill>
              </w:rPr>
              <w:t>）排放，</w:t>
            </w:r>
            <w:r>
              <w:rPr>
                <w:rFonts w:hint="eastAsia" w:cs="Times New Roman"/>
                <w:b w:val="0"/>
                <w:bCs/>
                <w:color w:val="000000" w:themeColor="text1"/>
                <w:sz w:val="24"/>
                <w:szCs w:val="24"/>
                <w:highlight w:val="none"/>
                <w:lang w:val="en-US" w:eastAsia="zh-CN"/>
                <w14:textFill>
                  <w14:solidFill>
                    <w14:schemeClr w14:val="tx1"/>
                  </w14:solidFill>
                </w14:textFill>
              </w:rPr>
              <w:t>此过程</w:t>
            </w:r>
            <w:r>
              <w:rPr>
                <w:rFonts w:hint="eastAsia"/>
                <w:color w:val="000000" w:themeColor="text1"/>
                <w:sz w:val="24"/>
                <w:szCs w:val="24"/>
                <w:highlight w:val="none"/>
                <w:lang w:val="en-US" w:eastAsia="zh-CN"/>
                <w14:textFill>
                  <w14:solidFill>
                    <w14:schemeClr w14:val="tx1"/>
                  </w14:solidFill>
                </w14:textFill>
              </w:rPr>
              <w:t>产生的污染物主要为G2（颗粒物）、N（设备噪声）</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p>
          <w:p w14:paraId="29696355">
            <w:pPr>
              <w:keepNext/>
              <w:keepLines w:val="0"/>
              <w:suppressLineNumbers w:val="0"/>
              <w:spacing w:before="0" w:beforeAutospacing="0" w:after="0" w:afterAutospacing="0" w:line="360" w:lineRule="auto"/>
              <w:ind w:left="0" w:right="0" w:firstLine="482" w:firstLineChars="200"/>
              <w:outlineLvl w:val="0"/>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④干燥</w:t>
            </w:r>
            <w:r>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t>：</w:t>
            </w:r>
            <w:r>
              <w:rPr>
                <w:rFonts w:hint="eastAsia" w:eastAsia="宋体" w:cs="Times New Roman" w:asciiTheme="minorEastAsia" w:hAnsiTheme="minorEastAsia"/>
                <w:color w:val="000000" w:themeColor="text1"/>
                <w:sz w:val="24"/>
                <w:highlight w:val="none"/>
                <w:lang w:val="en-US" w:eastAsia="zh-CN"/>
                <w14:textFill>
                  <w14:solidFill>
                    <w14:schemeClr w14:val="tx1"/>
                  </w14:solidFill>
                </w14:textFill>
              </w:rPr>
              <w:t>采用</w:t>
            </w:r>
            <w:r>
              <w:rPr>
                <w:rFonts w:hint="default" w:cs="Times New Roman" w:asciiTheme="minorEastAsia" w:hAnsiTheme="minorEastAsia"/>
                <w:color w:val="000000" w:themeColor="text1"/>
                <w:sz w:val="24"/>
                <w:highlight w:val="none"/>
                <w14:textFill>
                  <w14:solidFill>
                    <w14:schemeClr w14:val="tx1"/>
                  </w14:solidFill>
                </w14:textFill>
              </w:rPr>
              <w:t>敞开式烘箱</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对切制后的药材</w:t>
            </w:r>
            <w:r>
              <w:rPr>
                <w:rFonts w:hint="eastAsia" w:cs="Times New Roman"/>
                <w:b w:val="0"/>
                <w:bCs/>
                <w:color w:val="000000" w:themeColor="text1"/>
                <w:sz w:val="24"/>
                <w:szCs w:val="24"/>
                <w:highlight w:val="none"/>
                <w:lang w:val="en-US" w:eastAsia="zh-CN"/>
                <w14:textFill>
                  <w14:solidFill>
                    <w14:schemeClr w14:val="tx1"/>
                  </w14:solidFill>
                </w14:textFill>
              </w:rPr>
              <w:t>进行干燥，去除多余水分，干燥后的</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药材</w:t>
            </w:r>
            <w:r>
              <w:rPr>
                <w:rFonts w:hint="eastAsia" w:cs="Times New Roman"/>
                <w:b w:val="0"/>
                <w:bCs/>
                <w:color w:val="000000" w:themeColor="text1"/>
                <w:sz w:val="24"/>
                <w:szCs w:val="24"/>
                <w:highlight w:val="none"/>
                <w:lang w:val="en-US" w:eastAsia="zh-CN"/>
                <w14:textFill>
                  <w14:solidFill>
                    <w14:schemeClr w14:val="tx1"/>
                  </w14:solidFill>
                </w14:textFill>
              </w:rPr>
              <w:t>进入炒制工序。项目在</w:t>
            </w:r>
            <w:r>
              <w:rPr>
                <w:rFonts w:hint="default" w:cs="Times New Roman" w:asciiTheme="minorEastAsia" w:hAnsiTheme="minorEastAsia"/>
                <w:color w:val="000000" w:themeColor="text1"/>
                <w:sz w:val="24"/>
                <w:highlight w:val="none"/>
                <w14:textFill>
                  <w14:solidFill>
                    <w14:schemeClr w14:val="tx1"/>
                  </w14:solidFill>
                </w14:textFill>
              </w:rPr>
              <w:t>敞开式烘箱</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上方设置</w:t>
            </w:r>
            <w:r>
              <w:rPr>
                <w:rFonts w:hint="eastAsia"/>
                <w:color w:val="000000" w:themeColor="text1"/>
                <w:sz w:val="24"/>
                <w:szCs w:val="24"/>
                <w:highlight w:val="none"/>
                <w:lang w:val="en-US" w:eastAsia="zh-CN"/>
                <w14:textFill>
                  <w14:solidFill>
                    <w14:schemeClr w14:val="tx1"/>
                  </w14:solidFill>
                </w14:textFill>
              </w:rPr>
              <w:t>上吸式</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集气罩，</w:t>
            </w:r>
            <w:r>
              <w:rPr>
                <w:rFonts w:hint="eastAsia"/>
                <w:color w:val="000000" w:themeColor="text1"/>
                <w:sz w:val="24"/>
                <w:szCs w:val="24"/>
                <w:highlight w:val="none"/>
                <w:lang w:val="en-US" w:eastAsia="zh-CN"/>
                <w14:textFill>
                  <w14:solidFill>
                    <w14:schemeClr w14:val="tx1"/>
                  </w14:solidFill>
                </w14:textFill>
              </w:rPr>
              <w:t>集气</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管道与车间整体排风连接，产生的水蒸气和少量中药异味（臭气浓度）无组织排放</w:t>
            </w:r>
            <w:r>
              <w:rPr>
                <w:rFonts w:hint="eastAsia" w:eastAsia="宋体"/>
                <w:color w:val="000000" w:themeColor="text1"/>
                <w:sz w:val="24"/>
                <w:szCs w:val="24"/>
                <w:highlight w:val="none"/>
                <w:lang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此过程</w:t>
            </w:r>
            <w:r>
              <w:rPr>
                <w:rFonts w:hint="eastAsia"/>
                <w:color w:val="000000" w:themeColor="text1"/>
                <w:sz w:val="24"/>
                <w:szCs w:val="24"/>
                <w:highlight w:val="none"/>
                <w:lang w:val="en-US" w:eastAsia="zh-CN"/>
                <w14:textFill>
                  <w14:solidFill>
                    <w14:schemeClr w14:val="tx1"/>
                  </w14:solidFill>
                </w14:textFill>
              </w:rPr>
              <w:t>产生的污染物主要为G3（臭气浓度）、N（设备噪声）</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p>
          <w:p w14:paraId="1171E20D">
            <w:pPr>
              <w:keepNext/>
              <w:keepLines w:val="0"/>
              <w:suppressLineNumbers w:val="0"/>
              <w:spacing w:before="0" w:beforeAutospacing="0" w:after="0" w:afterAutospacing="0" w:line="360" w:lineRule="auto"/>
              <w:ind w:left="0" w:right="0" w:firstLine="482" w:firstLineChars="200"/>
              <w:outlineLvl w:val="0"/>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⑤炒制</w:t>
            </w:r>
            <w:r>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采用</w:t>
            </w:r>
            <w:r>
              <w:rPr>
                <w:rFonts w:hint="eastAsia" w:cs="Times New Roman" w:asciiTheme="minorEastAsia" w:hAnsiTheme="minorEastAsia"/>
                <w:color w:val="000000" w:themeColor="text1"/>
                <w:sz w:val="24"/>
                <w:highlight w:val="none"/>
                <w14:textFill>
                  <w14:solidFill>
                    <w14:schemeClr w14:val="tx1"/>
                  </w14:solidFill>
                </w14:textFill>
              </w:rPr>
              <w:t>炒药机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对</w:t>
            </w:r>
            <w:r>
              <w:rPr>
                <w:rFonts w:hint="eastAsia" w:cs="Times New Roman"/>
                <w:b w:val="0"/>
                <w:bCs/>
                <w:color w:val="000000" w:themeColor="text1"/>
                <w:sz w:val="24"/>
                <w:szCs w:val="24"/>
                <w:highlight w:val="none"/>
                <w:lang w:val="en-US" w:eastAsia="zh-CN"/>
                <w14:textFill>
                  <w14:solidFill>
                    <w14:schemeClr w14:val="tx1"/>
                  </w14:solidFill>
                </w14:textFill>
              </w:rPr>
              <w:t>干燥、净制、软化后的</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药材</w:t>
            </w:r>
            <w:r>
              <w:rPr>
                <w:rFonts w:hint="eastAsia" w:cs="Times New Roman"/>
                <w:b w:val="0"/>
                <w:bCs/>
                <w:color w:val="000000" w:themeColor="text1"/>
                <w:sz w:val="24"/>
                <w:szCs w:val="24"/>
                <w:highlight w:val="none"/>
                <w:lang w:val="en-US" w:eastAsia="zh-CN"/>
                <w14:textFill>
                  <w14:solidFill>
                    <w14:schemeClr w14:val="tx1"/>
                  </w14:solidFill>
                </w14:textFill>
              </w:rPr>
              <w:t>进行炒制，作用是缓和药性、降低毒副作用、增强疗效等作用。项目在</w:t>
            </w:r>
            <w:r>
              <w:rPr>
                <w:rFonts w:hint="eastAsia" w:cs="Times New Roman" w:asciiTheme="minorEastAsia" w:hAnsiTheme="minorEastAsia"/>
                <w:color w:val="000000" w:themeColor="text1"/>
                <w:sz w:val="24"/>
                <w:highlight w:val="none"/>
                <w14:textFill>
                  <w14:solidFill>
                    <w14:schemeClr w14:val="tx1"/>
                  </w14:solidFill>
                </w14:textFill>
              </w:rPr>
              <w:t>炒药机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上方设置</w:t>
            </w:r>
            <w:r>
              <w:rPr>
                <w:rFonts w:hint="eastAsia"/>
                <w:color w:val="000000" w:themeColor="text1"/>
                <w:sz w:val="24"/>
                <w:szCs w:val="24"/>
                <w:highlight w:val="none"/>
                <w:lang w:val="en-US" w:eastAsia="zh-CN"/>
                <w14:textFill>
                  <w14:solidFill>
                    <w14:schemeClr w14:val="tx1"/>
                  </w14:solidFill>
                </w14:textFill>
              </w:rPr>
              <w:t>上吸式</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集气罩，</w:t>
            </w:r>
            <w:r>
              <w:rPr>
                <w:rFonts w:hint="eastAsia"/>
                <w:color w:val="000000" w:themeColor="text1"/>
                <w:sz w:val="24"/>
                <w:szCs w:val="24"/>
                <w:highlight w:val="none"/>
                <w:lang w:val="en-US" w:eastAsia="zh-CN"/>
                <w14:textFill>
                  <w14:solidFill>
                    <w14:schemeClr w14:val="tx1"/>
                  </w14:solidFill>
                </w14:textFill>
              </w:rPr>
              <w:t>经</w:t>
            </w:r>
            <w:r>
              <w:rPr>
                <w:rFonts w:hint="eastAsia" w:eastAsia="宋体"/>
                <w:color w:val="000000" w:themeColor="text1"/>
                <w:sz w:val="24"/>
                <w:szCs w:val="24"/>
                <w:highlight w:val="none"/>
                <w:lang w:eastAsia="zh-CN"/>
                <w14:textFill>
                  <w14:solidFill>
                    <w14:schemeClr w14:val="tx1"/>
                  </w14:solidFill>
                </w14:textFill>
              </w:rPr>
              <w:t>布袋除尘器</w:t>
            </w:r>
            <w:r>
              <w:rPr>
                <w:rFonts w:hint="eastAsia"/>
                <w:color w:val="000000" w:themeColor="text1"/>
                <w:sz w:val="24"/>
                <w:szCs w:val="24"/>
                <w:highlight w:val="none"/>
                <w:lang w:val="en-US" w:eastAsia="zh-CN"/>
                <w14:textFill>
                  <w14:solidFill>
                    <w14:schemeClr w14:val="tx1"/>
                  </w14:solidFill>
                </w14:textFill>
              </w:rPr>
              <w:t>+二级活性炭吸附设施</w:t>
            </w:r>
            <w:r>
              <w:rPr>
                <w:rFonts w:hint="eastAsia" w:eastAsia="宋体"/>
                <w:color w:val="000000" w:themeColor="text1"/>
                <w:sz w:val="24"/>
                <w:szCs w:val="24"/>
                <w:highlight w:val="none"/>
                <w:lang w:eastAsia="zh-CN"/>
                <w14:textFill>
                  <w14:solidFill>
                    <w14:schemeClr w14:val="tx1"/>
                  </w14:solidFill>
                </w14:textFill>
              </w:rPr>
              <w:t>（TA0</w:t>
            </w:r>
            <w:r>
              <w:rPr>
                <w:rFonts w:hint="eastAsia"/>
                <w:color w:val="000000" w:themeColor="text1"/>
                <w:sz w:val="24"/>
                <w:szCs w:val="24"/>
                <w:highlight w:val="none"/>
                <w:lang w:val="en-US" w:eastAsia="zh-CN"/>
                <w14:textFill>
                  <w14:solidFill>
                    <w14:schemeClr w14:val="tx1"/>
                  </w14:solidFill>
                </w14:textFill>
              </w:rPr>
              <w:t>26</w:t>
            </w:r>
            <w:r>
              <w:rPr>
                <w:rFonts w:hint="eastAsia" w:eastAsia="宋体"/>
                <w:color w:val="000000" w:themeColor="text1"/>
                <w:sz w:val="24"/>
                <w:szCs w:val="24"/>
                <w:highlight w:val="none"/>
                <w:lang w:eastAsia="zh-CN"/>
                <w14:textFill>
                  <w14:solidFill>
                    <w14:schemeClr w14:val="tx1"/>
                  </w14:solidFill>
                </w14:textFill>
              </w:rPr>
              <w:t>）处理后由</w:t>
            </w:r>
            <w:r>
              <w:rPr>
                <w:rFonts w:hint="eastAsia" w:eastAsia="宋体"/>
                <w:color w:val="000000" w:themeColor="text1"/>
                <w:sz w:val="24"/>
                <w:szCs w:val="24"/>
                <w:highlight w:val="none"/>
                <w:lang w:val="en-US" w:eastAsia="zh-CN"/>
                <w14:textFill>
                  <w14:solidFill>
                    <w14:schemeClr w14:val="tx1"/>
                  </w14:solidFill>
                </w14:textFill>
              </w:rPr>
              <w:t>不低于</w:t>
            </w:r>
            <w:r>
              <w:rPr>
                <w:rFonts w:hint="eastAsia" w:eastAsia="宋体"/>
                <w:color w:val="000000" w:themeColor="text1"/>
                <w:sz w:val="24"/>
                <w:szCs w:val="24"/>
                <w:highlight w:val="none"/>
                <w:lang w:eastAsia="zh-CN"/>
                <w14:textFill>
                  <w14:solidFill>
                    <w14:schemeClr w14:val="tx1"/>
                  </w14:solidFill>
                </w14:textFill>
              </w:rPr>
              <w:t>15m高的排气筒（DA0</w:t>
            </w:r>
            <w:r>
              <w:rPr>
                <w:rFonts w:hint="eastAsia"/>
                <w:color w:val="000000" w:themeColor="text1"/>
                <w:sz w:val="24"/>
                <w:szCs w:val="24"/>
                <w:highlight w:val="none"/>
                <w:lang w:val="en-US" w:eastAsia="zh-CN"/>
                <w14:textFill>
                  <w14:solidFill>
                    <w14:schemeClr w14:val="tx1"/>
                  </w14:solidFill>
                </w14:textFill>
              </w:rPr>
              <w:t>16</w:t>
            </w:r>
            <w:r>
              <w:rPr>
                <w:rFonts w:hint="eastAsia" w:eastAsia="宋体"/>
                <w:color w:val="000000" w:themeColor="text1"/>
                <w:sz w:val="24"/>
                <w:szCs w:val="24"/>
                <w:highlight w:val="none"/>
                <w:lang w:eastAsia="zh-CN"/>
                <w14:textFill>
                  <w14:solidFill>
                    <w14:schemeClr w14:val="tx1"/>
                  </w14:solidFill>
                </w14:textFill>
              </w:rPr>
              <w:t>）排放，</w:t>
            </w:r>
            <w:r>
              <w:rPr>
                <w:rFonts w:hint="eastAsia" w:cs="Times New Roman"/>
                <w:b w:val="0"/>
                <w:bCs/>
                <w:color w:val="000000" w:themeColor="text1"/>
                <w:sz w:val="24"/>
                <w:szCs w:val="24"/>
                <w:highlight w:val="none"/>
                <w:lang w:val="en-US" w:eastAsia="zh-CN"/>
                <w14:textFill>
                  <w14:solidFill>
                    <w14:schemeClr w14:val="tx1"/>
                  </w14:solidFill>
                </w14:textFill>
              </w:rPr>
              <w:t>此过程</w:t>
            </w:r>
            <w:r>
              <w:rPr>
                <w:rFonts w:hint="eastAsia"/>
                <w:color w:val="000000" w:themeColor="text1"/>
                <w:sz w:val="24"/>
                <w:szCs w:val="24"/>
                <w:highlight w:val="none"/>
                <w:lang w:val="en-US" w:eastAsia="zh-CN"/>
                <w14:textFill>
                  <w14:solidFill>
                    <w14:schemeClr w14:val="tx1"/>
                  </w14:solidFill>
                </w14:textFill>
              </w:rPr>
              <w:t>产生的污染物主要为G4（颗粒物、臭气浓度）、N（设备噪声）</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p>
          <w:p w14:paraId="3923CA7E">
            <w:pPr>
              <w:keepNext/>
              <w:keepLines w:val="0"/>
              <w:suppressLineNumbers w:val="0"/>
              <w:spacing w:before="0" w:beforeAutospacing="0" w:after="0" w:afterAutospacing="0" w:line="360" w:lineRule="auto"/>
              <w:ind w:left="0" w:right="0" w:firstLine="482" w:firstLineChars="200"/>
              <w:outlineLvl w:val="0"/>
              <w:rPr>
                <w:rFonts w:hint="eastAsia"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⑥捣碎</w:t>
            </w:r>
            <w:r>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t>：</w:t>
            </w:r>
            <w:r>
              <w:rPr>
                <w:rFonts w:hint="eastAsia" w:eastAsia="宋体" w:cs="Times New Roman" w:asciiTheme="minorEastAsia" w:hAnsiTheme="minorEastAsia"/>
                <w:color w:val="000000" w:themeColor="text1"/>
                <w:sz w:val="24"/>
                <w:highlight w:val="none"/>
                <w:lang w:val="en-US" w:eastAsia="zh-CN"/>
                <w14:textFill>
                  <w14:solidFill>
                    <w14:schemeClr w14:val="tx1"/>
                  </w14:solidFill>
                </w14:textFill>
              </w:rPr>
              <w:t>采用</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对</w:t>
            </w:r>
            <w:r>
              <w:rPr>
                <w:rFonts w:hint="eastAsia" w:cs="Times New Roman" w:asciiTheme="minorEastAsia" w:hAnsiTheme="minorEastAsia"/>
                <w:color w:val="000000" w:themeColor="text1"/>
                <w:sz w:val="24"/>
                <w:highlight w:val="none"/>
                <w14:textFill>
                  <w14:solidFill>
                    <w14:schemeClr w14:val="tx1"/>
                  </w14:solidFill>
                </w14:textFill>
              </w:rPr>
              <w:t>辊式破碎机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对净制后的</w:t>
            </w:r>
            <w:r>
              <w:rPr>
                <w:rFonts w:hint="eastAsia" w:cs="Times New Roman"/>
                <w:b w:val="0"/>
                <w:bCs/>
                <w:color w:val="000000" w:themeColor="text1"/>
                <w:sz w:val="24"/>
                <w:szCs w:val="24"/>
                <w:highlight w:val="none"/>
                <w:lang w:val="en-US" w:eastAsia="zh-CN"/>
                <w14:textFill>
                  <w14:solidFill>
                    <w14:schemeClr w14:val="tx1"/>
                  </w14:solidFill>
                </w14:textFill>
              </w:rPr>
              <w:t>药材进行捣碎，捣碎</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过程产生</w:t>
            </w:r>
            <w:r>
              <w:rPr>
                <w:rFonts w:hint="eastAsia" w:cs="Times New Roman"/>
                <w:b w:val="0"/>
                <w:bCs/>
                <w:color w:val="000000" w:themeColor="text1"/>
                <w:sz w:val="24"/>
                <w:szCs w:val="24"/>
                <w:highlight w:val="none"/>
                <w:lang w:val="en-US" w:eastAsia="zh-CN"/>
                <w14:textFill>
                  <w14:solidFill>
                    <w14:schemeClr w14:val="tx1"/>
                  </w14:solidFill>
                </w14:textFill>
              </w:rPr>
              <w:t>少量</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粉尘</w:t>
            </w:r>
            <w:r>
              <w:rPr>
                <w:rFonts w:hint="eastAsia" w:cs="Times New Roman"/>
                <w:b w:val="0"/>
                <w:bCs/>
                <w:color w:val="000000" w:themeColor="text1"/>
                <w:sz w:val="24"/>
                <w:szCs w:val="24"/>
                <w:highlight w:val="none"/>
                <w:lang w:val="en-US" w:eastAsia="zh-CN"/>
                <w14:textFill>
                  <w14:solidFill>
                    <w14:schemeClr w14:val="tx1"/>
                  </w14:solidFill>
                </w14:textFill>
              </w:rPr>
              <w:t>，项目在对辊式破碎机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上方设置</w:t>
            </w:r>
            <w:r>
              <w:rPr>
                <w:rFonts w:hint="eastAsia"/>
                <w:color w:val="000000" w:themeColor="text1"/>
                <w:sz w:val="24"/>
                <w:szCs w:val="24"/>
                <w:highlight w:val="none"/>
                <w:lang w:val="en-US" w:eastAsia="zh-CN"/>
                <w14:textFill>
                  <w14:solidFill>
                    <w14:schemeClr w14:val="tx1"/>
                  </w14:solidFill>
                </w14:textFill>
              </w:rPr>
              <w:t>上吸式</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集气罩，</w:t>
            </w:r>
            <w:r>
              <w:rPr>
                <w:rFonts w:hint="eastAsia"/>
                <w:color w:val="000000" w:themeColor="text1"/>
                <w:sz w:val="24"/>
                <w:szCs w:val="24"/>
                <w:highlight w:val="none"/>
                <w:lang w:val="en-US" w:eastAsia="zh-CN"/>
                <w14:textFill>
                  <w14:solidFill>
                    <w14:schemeClr w14:val="tx1"/>
                  </w14:solidFill>
                </w14:textFill>
              </w:rPr>
              <w:t>经</w:t>
            </w:r>
            <w:r>
              <w:rPr>
                <w:rFonts w:hint="eastAsia" w:eastAsia="宋体"/>
                <w:color w:val="000000" w:themeColor="text1"/>
                <w:sz w:val="24"/>
                <w:szCs w:val="24"/>
                <w:highlight w:val="none"/>
                <w:lang w:eastAsia="zh-CN"/>
                <w14:textFill>
                  <w14:solidFill>
                    <w14:schemeClr w14:val="tx1"/>
                  </w14:solidFill>
                </w14:textFill>
              </w:rPr>
              <w:t>布袋除尘器（TA0</w:t>
            </w:r>
            <w:r>
              <w:rPr>
                <w:rFonts w:hint="eastAsia"/>
                <w:color w:val="000000" w:themeColor="text1"/>
                <w:sz w:val="24"/>
                <w:szCs w:val="24"/>
                <w:highlight w:val="none"/>
                <w:lang w:val="en-US" w:eastAsia="zh-CN"/>
                <w14:textFill>
                  <w14:solidFill>
                    <w14:schemeClr w14:val="tx1"/>
                  </w14:solidFill>
                </w14:textFill>
              </w:rPr>
              <w:t>25</w:t>
            </w:r>
            <w:r>
              <w:rPr>
                <w:rFonts w:hint="eastAsia" w:eastAsia="宋体"/>
                <w:color w:val="000000" w:themeColor="text1"/>
                <w:sz w:val="24"/>
                <w:szCs w:val="24"/>
                <w:highlight w:val="none"/>
                <w:lang w:eastAsia="zh-CN"/>
                <w14:textFill>
                  <w14:solidFill>
                    <w14:schemeClr w14:val="tx1"/>
                  </w14:solidFill>
                </w14:textFill>
              </w:rPr>
              <w:t>）处理后由</w:t>
            </w:r>
            <w:r>
              <w:rPr>
                <w:rFonts w:hint="eastAsia" w:eastAsia="宋体"/>
                <w:color w:val="000000" w:themeColor="text1"/>
                <w:sz w:val="24"/>
                <w:szCs w:val="24"/>
                <w:highlight w:val="none"/>
                <w:lang w:val="en-US" w:eastAsia="zh-CN"/>
                <w14:textFill>
                  <w14:solidFill>
                    <w14:schemeClr w14:val="tx1"/>
                  </w14:solidFill>
                </w14:textFill>
              </w:rPr>
              <w:t>不低于</w:t>
            </w:r>
            <w:r>
              <w:rPr>
                <w:rFonts w:hint="eastAsia" w:eastAsia="宋体"/>
                <w:color w:val="000000" w:themeColor="text1"/>
                <w:sz w:val="24"/>
                <w:szCs w:val="24"/>
                <w:highlight w:val="none"/>
                <w:lang w:eastAsia="zh-CN"/>
                <w14:textFill>
                  <w14:solidFill>
                    <w14:schemeClr w14:val="tx1"/>
                  </w14:solidFill>
                </w14:textFill>
              </w:rPr>
              <w:t>15m高的排气筒（DA0</w:t>
            </w:r>
            <w:r>
              <w:rPr>
                <w:rFonts w:hint="eastAsia"/>
                <w:color w:val="000000" w:themeColor="text1"/>
                <w:sz w:val="24"/>
                <w:szCs w:val="24"/>
                <w:highlight w:val="none"/>
                <w:lang w:val="en-US" w:eastAsia="zh-CN"/>
                <w14:textFill>
                  <w14:solidFill>
                    <w14:schemeClr w14:val="tx1"/>
                  </w14:solidFill>
                </w14:textFill>
              </w:rPr>
              <w:t>16</w:t>
            </w:r>
            <w:r>
              <w:rPr>
                <w:rFonts w:hint="eastAsia" w:eastAsia="宋体"/>
                <w:color w:val="000000" w:themeColor="text1"/>
                <w:sz w:val="24"/>
                <w:szCs w:val="24"/>
                <w:highlight w:val="none"/>
                <w:lang w:eastAsia="zh-CN"/>
                <w14:textFill>
                  <w14:solidFill>
                    <w14:schemeClr w14:val="tx1"/>
                  </w14:solidFill>
                </w14:textFill>
              </w:rPr>
              <w:t>）排放，</w:t>
            </w:r>
            <w:r>
              <w:rPr>
                <w:rFonts w:hint="eastAsia" w:cs="Times New Roman"/>
                <w:b w:val="0"/>
                <w:bCs/>
                <w:color w:val="000000" w:themeColor="text1"/>
                <w:sz w:val="24"/>
                <w:szCs w:val="24"/>
                <w:highlight w:val="none"/>
                <w:lang w:val="en-US" w:eastAsia="zh-CN"/>
                <w14:textFill>
                  <w14:solidFill>
                    <w14:schemeClr w14:val="tx1"/>
                  </w14:solidFill>
                </w14:textFill>
              </w:rPr>
              <w:t>此过程</w:t>
            </w:r>
            <w:r>
              <w:rPr>
                <w:rFonts w:hint="eastAsia"/>
                <w:color w:val="000000" w:themeColor="text1"/>
                <w:sz w:val="24"/>
                <w:szCs w:val="24"/>
                <w:highlight w:val="none"/>
                <w:lang w:val="en-US" w:eastAsia="zh-CN"/>
                <w14:textFill>
                  <w14:solidFill>
                    <w14:schemeClr w14:val="tx1"/>
                  </w14:solidFill>
                </w14:textFill>
              </w:rPr>
              <w:t>产生的污染物主要为G5（颗粒物）、N（设备噪声）</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p>
          <w:p w14:paraId="4620D8FC">
            <w:pPr>
              <w:keepNext/>
              <w:keepLines w:val="0"/>
              <w:suppressLineNumbers w:val="0"/>
              <w:spacing w:before="0" w:beforeAutospacing="0" w:after="0" w:afterAutospacing="0" w:line="360" w:lineRule="auto"/>
              <w:ind w:left="0" w:right="0" w:firstLine="482" w:firstLineChars="200"/>
              <w:outlineLvl w:val="0"/>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⑦筛选</w:t>
            </w:r>
            <w:r>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t>：</w:t>
            </w:r>
            <w:r>
              <w:rPr>
                <w:rFonts w:hint="eastAsia" w:eastAsia="宋体" w:cs="Times New Roman" w:asciiTheme="minorEastAsia" w:hAnsiTheme="minorEastAsia"/>
                <w:color w:val="000000" w:themeColor="text1"/>
                <w:sz w:val="24"/>
                <w:highlight w:val="none"/>
                <w:lang w:val="en-US" w:eastAsia="zh-CN"/>
                <w14:textFill>
                  <w14:solidFill>
                    <w14:schemeClr w14:val="tx1"/>
                  </w14:solidFill>
                </w14:textFill>
              </w:rPr>
              <w:t>采用</w:t>
            </w:r>
            <w:r>
              <w:rPr>
                <w:rFonts w:hint="default" w:cs="Times New Roman" w:asciiTheme="minorEastAsia" w:hAnsiTheme="minorEastAsia"/>
                <w:color w:val="000000" w:themeColor="text1"/>
                <w:sz w:val="24"/>
                <w:highlight w:val="none"/>
                <w14:textFill>
                  <w14:solidFill>
                    <w14:schemeClr w14:val="tx1"/>
                  </w14:solidFill>
                </w14:textFill>
              </w:rPr>
              <w:t>筛选机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对</w:t>
            </w:r>
            <w:r>
              <w:rPr>
                <w:rFonts w:hint="eastAsia" w:cs="Times New Roman"/>
                <w:b w:val="0"/>
                <w:bCs/>
                <w:color w:val="000000" w:themeColor="text1"/>
                <w:sz w:val="24"/>
                <w:szCs w:val="24"/>
                <w:highlight w:val="none"/>
                <w:lang w:val="en-US" w:eastAsia="zh-CN"/>
                <w14:textFill>
                  <w14:solidFill>
                    <w14:schemeClr w14:val="tx1"/>
                  </w14:solidFill>
                </w14:textFill>
              </w:rPr>
              <w:t>炒制和捣碎后的</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药材进行</w:t>
            </w:r>
            <w:r>
              <w:rPr>
                <w:rFonts w:hint="default" w:cs="Times New Roman" w:asciiTheme="minorEastAsia" w:hAnsiTheme="minorEastAsia"/>
                <w:color w:val="000000" w:themeColor="text1"/>
                <w:sz w:val="24"/>
                <w:highlight w:val="none"/>
                <w14:textFill>
                  <w14:solidFill>
                    <w14:schemeClr w14:val="tx1"/>
                  </w14:solidFill>
                </w14:textFill>
              </w:rPr>
              <w:t>筛选</w:t>
            </w:r>
            <w:r>
              <w:rPr>
                <w:rFonts w:hint="eastAsia" w:cs="Times New Roman" w:asciiTheme="minorEastAsia" w:hAnsiTheme="minorEastAsia"/>
                <w:color w:val="000000" w:themeColor="text1"/>
                <w:sz w:val="24"/>
                <w:highlight w:val="none"/>
                <w:lang w:eastAsia="zh-CN"/>
                <w14:textFill>
                  <w14:solidFill>
                    <w14:schemeClr w14:val="tx1"/>
                  </w14:solidFill>
                </w14:textFill>
              </w:rPr>
              <w:t>，</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作用是分离完整药材饮片与碎料，碎料药材可集中回用至提取车间，提升药材利用率，不计入固废；完整药材饮片</w:t>
            </w:r>
            <w:r>
              <w:rPr>
                <w:rFonts w:hint="eastAsia" w:cs="Times New Roman"/>
                <w:b w:val="0"/>
                <w:bCs/>
                <w:color w:val="000000" w:themeColor="text1"/>
                <w:sz w:val="24"/>
                <w:szCs w:val="24"/>
                <w:highlight w:val="none"/>
                <w:lang w:val="en-US" w:eastAsia="zh-CN"/>
                <w14:textFill>
                  <w14:solidFill>
                    <w14:schemeClr w14:val="tx1"/>
                  </w14:solidFill>
                </w14:textFill>
              </w:rPr>
              <w:t>直接为经典名方4药材。项目在</w:t>
            </w:r>
            <w:r>
              <w:rPr>
                <w:rFonts w:hint="default" w:cs="Times New Roman" w:asciiTheme="minorEastAsia" w:hAnsiTheme="minorEastAsia"/>
                <w:color w:val="000000" w:themeColor="text1"/>
                <w:sz w:val="24"/>
                <w:highlight w:val="none"/>
                <w14:textFill>
                  <w14:solidFill>
                    <w14:schemeClr w14:val="tx1"/>
                  </w14:solidFill>
                </w14:textFill>
              </w:rPr>
              <w:t>筛选机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上方设置</w:t>
            </w:r>
            <w:r>
              <w:rPr>
                <w:rFonts w:hint="eastAsia"/>
                <w:color w:val="000000" w:themeColor="text1"/>
                <w:sz w:val="24"/>
                <w:szCs w:val="24"/>
                <w:highlight w:val="none"/>
                <w:lang w:val="en-US" w:eastAsia="zh-CN"/>
                <w14:textFill>
                  <w14:solidFill>
                    <w14:schemeClr w14:val="tx1"/>
                  </w14:solidFill>
                </w14:textFill>
              </w:rPr>
              <w:t>上吸式</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集气罩，</w:t>
            </w:r>
            <w:r>
              <w:rPr>
                <w:rFonts w:hint="eastAsia"/>
                <w:color w:val="000000" w:themeColor="text1"/>
                <w:sz w:val="24"/>
                <w:szCs w:val="24"/>
                <w:highlight w:val="none"/>
                <w:lang w:val="en-US" w:eastAsia="zh-CN"/>
                <w14:textFill>
                  <w14:solidFill>
                    <w14:schemeClr w14:val="tx1"/>
                  </w14:solidFill>
                </w14:textFill>
              </w:rPr>
              <w:t>经</w:t>
            </w:r>
            <w:r>
              <w:rPr>
                <w:rFonts w:hint="eastAsia" w:eastAsia="宋体"/>
                <w:color w:val="000000" w:themeColor="text1"/>
                <w:sz w:val="24"/>
                <w:szCs w:val="24"/>
                <w:highlight w:val="none"/>
                <w:lang w:eastAsia="zh-CN"/>
                <w14:textFill>
                  <w14:solidFill>
                    <w14:schemeClr w14:val="tx1"/>
                  </w14:solidFill>
                </w14:textFill>
              </w:rPr>
              <w:t>布袋除尘器（TA0</w:t>
            </w:r>
            <w:r>
              <w:rPr>
                <w:rFonts w:hint="eastAsia"/>
                <w:color w:val="000000" w:themeColor="text1"/>
                <w:sz w:val="24"/>
                <w:szCs w:val="24"/>
                <w:highlight w:val="none"/>
                <w:lang w:val="en-US" w:eastAsia="zh-CN"/>
                <w14:textFill>
                  <w14:solidFill>
                    <w14:schemeClr w14:val="tx1"/>
                  </w14:solidFill>
                </w14:textFill>
              </w:rPr>
              <w:t>25</w:t>
            </w:r>
            <w:r>
              <w:rPr>
                <w:rFonts w:hint="eastAsia" w:eastAsia="宋体"/>
                <w:color w:val="000000" w:themeColor="text1"/>
                <w:sz w:val="24"/>
                <w:szCs w:val="24"/>
                <w:highlight w:val="none"/>
                <w:lang w:eastAsia="zh-CN"/>
                <w14:textFill>
                  <w14:solidFill>
                    <w14:schemeClr w14:val="tx1"/>
                  </w14:solidFill>
                </w14:textFill>
              </w:rPr>
              <w:t>）处理后由</w:t>
            </w:r>
            <w:r>
              <w:rPr>
                <w:rFonts w:hint="eastAsia" w:eastAsia="宋体"/>
                <w:color w:val="000000" w:themeColor="text1"/>
                <w:sz w:val="24"/>
                <w:szCs w:val="24"/>
                <w:highlight w:val="none"/>
                <w:lang w:val="en-US" w:eastAsia="zh-CN"/>
                <w14:textFill>
                  <w14:solidFill>
                    <w14:schemeClr w14:val="tx1"/>
                  </w14:solidFill>
                </w14:textFill>
              </w:rPr>
              <w:t>不低于</w:t>
            </w:r>
            <w:r>
              <w:rPr>
                <w:rFonts w:hint="eastAsia" w:eastAsia="宋体"/>
                <w:color w:val="000000" w:themeColor="text1"/>
                <w:sz w:val="24"/>
                <w:szCs w:val="24"/>
                <w:highlight w:val="none"/>
                <w:lang w:eastAsia="zh-CN"/>
                <w14:textFill>
                  <w14:solidFill>
                    <w14:schemeClr w14:val="tx1"/>
                  </w14:solidFill>
                </w14:textFill>
              </w:rPr>
              <w:t>15m高的排气筒（DA0</w:t>
            </w:r>
            <w:r>
              <w:rPr>
                <w:rFonts w:hint="eastAsia"/>
                <w:color w:val="000000" w:themeColor="text1"/>
                <w:sz w:val="24"/>
                <w:szCs w:val="24"/>
                <w:highlight w:val="none"/>
                <w:lang w:val="en-US" w:eastAsia="zh-CN"/>
                <w14:textFill>
                  <w14:solidFill>
                    <w14:schemeClr w14:val="tx1"/>
                  </w14:solidFill>
                </w14:textFill>
              </w:rPr>
              <w:t>16</w:t>
            </w:r>
            <w:r>
              <w:rPr>
                <w:rFonts w:hint="eastAsia" w:eastAsia="宋体"/>
                <w:color w:val="000000" w:themeColor="text1"/>
                <w:sz w:val="24"/>
                <w:szCs w:val="24"/>
                <w:highlight w:val="none"/>
                <w:lang w:eastAsia="zh-CN"/>
                <w14:textFill>
                  <w14:solidFill>
                    <w14:schemeClr w14:val="tx1"/>
                  </w14:solidFill>
                </w14:textFill>
              </w:rPr>
              <w:t>）排放，</w:t>
            </w:r>
            <w:r>
              <w:rPr>
                <w:rFonts w:hint="eastAsia" w:cs="Times New Roman"/>
                <w:b w:val="0"/>
                <w:bCs/>
                <w:color w:val="000000" w:themeColor="text1"/>
                <w:sz w:val="24"/>
                <w:szCs w:val="24"/>
                <w:highlight w:val="none"/>
                <w:lang w:val="en-US" w:eastAsia="zh-CN"/>
                <w14:textFill>
                  <w14:solidFill>
                    <w14:schemeClr w14:val="tx1"/>
                  </w14:solidFill>
                </w14:textFill>
              </w:rPr>
              <w:t>此过程</w:t>
            </w:r>
            <w:r>
              <w:rPr>
                <w:rFonts w:hint="eastAsia"/>
                <w:color w:val="000000" w:themeColor="text1"/>
                <w:sz w:val="24"/>
                <w:szCs w:val="24"/>
                <w:highlight w:val="none"/>
                <w:lang w:val="en-US" w:eastAsia="zh-CN"/>
                <w14:textFill>
                  <w14:solidFill>
                    <w14:schemeClr w14:val="tx1"/>
                  </w14:solidFill>
                </w14:textFill>
              </w:rPr>
              <w:t>产生的污染物主要为G6（颗粒物）、N（设备噪声）</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p>
          <w:p w14:paraId="3FDB07B2">
            <w:pPr>
              <w:keepNext/>
              <w:keepLines w:val="0"/>
              <w:suppressLineNumbers w:val="0"/>
              <w:spacing w:before="0" w:beforeAutospacing="0" w:after="0" w:afterAutospacing="0" w:line="360" w:lineRule="auto"/>
              <w:ind w:left="0" w:right="0" w:firstLine="482" w:firstLineChars="200"/>
              <w:outlineLvl w:val="0"/>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⑧</w:t>
            </w:r>
            <w:r>
              <w:rPr>
                <w:rFonts w:hint="eastAsia" w:cs="Times New Roman"/>
                <w:b/>
                <w:bCs w:val="0"/>
                <w:color w:val="000000" w:themeColor="text1"/>
                <w:sz w:val="24"/>
                <w:szCs w:val="24"/>
                <w:highlight w:val="none"/>
                <w:lang w:val="en-US" w:eastAsia="zh-CN"/>
                <w14:textFill>
                  <w14:solidFill>
                    <w14:schemeClr w14:val="tx1"/>
                  </w14:solidFill>
                </w14:textFill>
              </w:rPr>
              <w:t>检验</w:t>
            </w:r>
            <w:r>
              <w:rPr>
                <w:rFonts w:hint="eastAsia"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经典名方4药材</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经采样后进行</w:t>
            </w:r>
            <w:r>
              <w:rPr>
                <w:rFonts w:hint="eastAsia" w:cs="Times New Roman"/>
                <w:b w:val="0"/>
                <w:bCs/>
                <w:color w:val="000000" w:themeColor="text1"/>
                <w:sz w:val="24"/>
                <w:szCs w:val="24"/>
                <w:highlight w:val="none"/>
                <w:lang w:val="en-US" w:eastAsia="zh-CN"/>
                <w14:textFill>
                  <w14:solidFill>
                    <w14:schemeClr w14:val="tx1"/>
                  </w14:solidFill>
                </w14:textFill>
              </w:rPr>
              <w:t>检验</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检验</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合格后成品入库。此过程产生的污染物主要为S3（</w:t>
            </w:r>
            <w:r>
              <w:rPr>
                <w:rFonts w:hint="eastAsia" w:cs="Times New Roman"/>
                <w:b w:val="0"/>
                <w:bCs/>
                <w:color w:val="000000" w:themeColor="text1"/>
                <w:sz w:val="24"/>
                <w:szCs w:val="24"/>
                <w:highlight w:val="none"/>
                <w:lang w:val="en-US" w:eastAsia="zh-CN"/>
                <w14:textFill>
                  <w14:solidFill>
                    <w14:schemeClr w14:val="tx1"/>
                  </w14:solidFill>
                </w14:textFill>
              </w:rPr>
              <w:t>化学检验废液</w:t>
            </w:r>
            <w:r>
              <w:rPr>
                <w:rFonts w:hint="eastAsia" w:cs="Times New Roman"/>
                <w:color w:val="000000" w:themeColor="text1"/>
                <w:sz w:val="24"/>
                <w:szCs w:val="24"/>
                <w:highlight w:val="none"/>
                <w:lang w:val="en-US" w:eastAsia="zh-CN"/>
                <w14:textFill>
                  <w14:solidFill>
                    <w14:schemeClr w14:val="tx1"/>
                  </w14:solidFill>
                </w14:textFill>
              </w:rPr>
              <w:t>、废化学试剂瓶、废弃薄层板、废试药</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w:t>
            </w:r>
          </w:p>
          <w:p w14:paraId="61F25B7C">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jc w:val="left"/>
              <w:textAlignment w:val="auto"/>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pPr>
            <w:r>
              <w:rPr>
                <w:rFonts w:hint="eastAsia" w:cs="Times New Roman"/>
                <w:b/>
                <w:bCs/>
                <w:color w:val="000000" w:themeColor="text1"/>
                <w:kern w:val="0"/>
                <w:sz w:val="24"/>
                <w:szCs w:val="24"/>
                <w:highlight w:val="none"/>
                <w:lang w:eastAsia="zh-CN" w:bidi="en-US"/>
                <w14:textFill>
                  <w14:solidFill>
                    <w14:schemeClr w14:val="tx1"/>
                  </w14:solidFill>
                </w14:textFill>
              </w:rPr>
              <w:t>（</w:t>
            </w:r>
            <w:r>
              <w:rPr>
                <w:rFonts w:hint="eastAsia" w:cs="Times New Roman"/>
                <w:b/>
                <w:bCs/>
                <w:color w:val="000000" w:themeColor="text1"/>
                <w:kern w:val="0"/>
                <w:sz w:val="24"/>
                <w:szCs w:val="24"/>
                <w:highlight w:val="none"/>
                <w:lang w:val="en-US" w:eastAsia="zh-CN" w:bidi="en-US"/>
                <w14:textFill>
                  <w14:solidFill>
                    <w14:schemeClr w14:val="tx1"/>
                  </w14:solidFill>
                </w14:textFill>
              </w:rPr>
              <w:t>2</w:t>
            </w:r>
            <w:r>
              <w:rPr>
                <w:rFonts w:hint="eastAsia" w:cs="Times New Roman"/>
                <w:b/>
                <w:bCs/>
                <w:color w:val="000000" w:themeColor="text1"/>
                <w:kern w:val="0"/>
                <w:sz w:val="24"/>
                <w:szCs w:val="24"/>
                <w:highlight w:val="none"/>
                <w:lang w:eastAsia="zh-CN" w:bidi="en-US"/>
                <w14:textFill>
                  <w14:solidFill>
                    <w14:schemeClr w14:val="tx1"/>
                  </w14:solidFill>
                </w14:textFill>
              </w:rPr>
              <w:t>）</w:t>
            </w:r>
            <w:r>
              <w:rPr>
                <w:rFonts w:hint="eastAsia" w:cs="Times New Roman"/>
                <w:b/>
                <w:bCs/>
                <w:color w:val="000000" w:themeColor="text1"/>
                <w:kern w:val="0"/>
                <w:sz w:val="24"/>
                <w:szCs w:val="24"/>
                <w:highlight w:val="none"/>
                <w:lang w:val="en-US" w:eastAsia="zh-CN" w:bidi="en-US"/>
                <w14:textFill>
                  <w14:solidFill>
                    <w14:schemeClr w14:val="tx1"/>
                  </w14:solidFill>
                </w14:textFill>
              </w:rPr>
              <w:t>经典名方4</w:t>
            </w:r>
            <w:r>
              <w:rPr>
                <w:rFonts w:hint="default"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t>炮制</w:t>
            </w: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产污环节一览表如下表所示</w:t>
            </w:r>
            <w:r>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t>：</w:t>
            </w:r>
          </w:p>
          <w:p w14:paraId="6C2E1E13">
            <w:pPr>
              <w:keepNext w:val="0"/>
              <w:keepLines w:val="0"/>
              <w:pageBreakBefore w:val="0"/>
              <w:widowControl w:val="0"/>
              <w:numPr>
                <w:ilvl w:val="0"/>
                <w:numId w:val="5"/>
              </w:numPr>
              <w:suppressLineNumbers w:val="0"/>
              <w:kinsoku/>
              <w:wordWrap/>
              <w:overflowPunct/>
              <w:topLinePunct w:val="0"/>
              <w:autoSpaceDE/>
              <w:autoSpaceDN/>
              <w:bidi w:val="0"/>
              <w:adjustRightInd/>
              <w:snapToGrid w:val="0"/>
              <w:spacing w:before="157" w:beforeLines="50" w:beforeAutospacing="0" w:after="0" w:afterLines="0" w:afterAutospacing="0"/>
              <w:ind w:left="0" w:leftChars="0" w:right="0" w:rightChars="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 xml:space="preserve">  </w:t>
            </w:r>
            <w:r>
              <w:rPr>
                <w:rFonts w:hint="eastAsia" w:cs="Times New Roman"/>
                <w:b/>
                <w:bCs/>
                <w:color w:val="000000" w:themeColor="text1"/>
                <w:kern w:val="2"/>
                <w:sz w:val="21"/>
                <w:szCs w:val="21"/>
                <w:highlight w:val="none"/>
                <w:lang w:val="en-US" w:eastAsia="zh-CN" w:bidi="ar-SA"/>
                <w14:textFill>
                  <w14:solidFill>
                    <w14:schemeClr w14:val="tx1"/>
                  </w14:solidFill>
                </w14:textFill>
              </w:rPr>
              <w:t>经典名方4</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炮制产污环节一览表</w:t>
            </w:r>
          </w:p>
          <w:tbl>
            <w:tblPr>
              <w:tblStyle w:val="36"/>
              <w:tblW w:w="4993"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57"/>
              <w:gridCol w:w="884"/>
              <w:gridCol w:w="1080"/>
              <w:gridCol w:w="2010"/>
              <w:gridCol w:w="3306"/>
            </w:tblGrid>
            <w:tr w14:paraId="2399EC8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tcBorders>
                    <w:tl2br w:val="nil"/>
                    <w:tr2bl w:val="nil"/>
                  </w:tcBorders>
                  <w:noWrap w:val="0"/>
                  <w:vAlign w:val="center"/>
                </w:tcPr>
                <w:p w14:paraId="6FB2CA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类别</w:t>
                  </w:r>
                </w:p>
              </w:tc>
              <w:tc>
                <w:tcPr>
                  <w:tcW w:w="549" w:type="pct"/>
                  <w:tcBorders>
                    <w:tl2br w:val="nil"/>
                    <w:tr2bl w:val="nil"/>
                  </w:tcBorders>
                  <w:noWrap w:val="0"/>
                  <w:vAlign w:val="center"/>
                </w:tcPr>
                <w:p w14:paraId="2042E4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编号</w:t>
                  </w:r>
                </w:p>
              </w:tc>
              <w:tc>
                <w:tcPr>
                  <w:tcW w:w="671" w:type="pct"/>
                  <w:tcBorders>
                    <w:tl2br w:val="nil"/>
                    <w:tr2bl w:val="nil"/>
                  </w:tcBorders>
                  <w:noWrap w:val="0"/>
                  <w:vAlign w:val="center"/>
                </w:tcPr>
                <w:p w14:paraId="141C82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污染源</w:t>
                  </w:r>
                </w:p>
              </w:tc>
              <w:tc>
                <w:tcPr>
                  <w:tcW w:w="1250" w:type="pct"/>
                  <w:tcBorders>
                    <w:tl2br w:val="nil"/>
                    <w:tr2bl w:val="nil"/>
                  </w:tcBorders>
                  <w:noWrap w:val="0"/>
                  <w:vAlign w:val="center"/>
                </w:tcPr>
                <w:p w14:paraId="3F3F95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主要污染</w:t>
                  </w:r>
                </w:p>
                <w:p w14:paraId="7E7C52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因子</w:t>
                  </w:r>
                </w:p>
              </w:tc>
              <w:tc>
                <w:tcPr>
                  <w:tcW w:w="2056" w:type="pct"/>
                  <w:tcBorders>
                    <w:tl2br w:val="nil"/>
                    <w:tr2bl w:val="nil"/>
                  </w:tcBorders>
                  <w:noWrap w:val="0"/>
                  <w:vAlign w:val="center"/>
                </w:tcPr>
                <w:p w14:paraId="1AB911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治理措施</w:t>
                  </w:r>
                </w:p>
              </w:tc>
            </w:tr>
            <w:tr w14:paraId="591A644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70" w:type="pct"/>
                  <w:vMerge w:val="restart"/>
                  <w:tcBorders>
                    <w:tl2br w:val="nil"/>
                    <w:tr2bl w:val="nil"/>
                  </w:tcBorders>
                  <w:noWrap w:val="0"/>
                  <w:vAlign w:val="center"/>
                </w:tcPr>
                <w:p w14:paraId="5AC902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废气</w:t>
                  </w:r>
                </w:p>
              </w:tc>
              <w:tc>
                <w:tcPr>
                  <w:tcW w:w="549" w:type="pct"/>
                  <w:tcBorders>
                    <w:tl2br w:val="nil"/>
                    <w:tr2bl w:val="nil"/>
                  </w:tcBorders>
                  <w:noWrap w:val="0"/>
                  <w:vAlign w:val="center"/>
                </w:tcPr>
                <w:p w14:paraId="3BD444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G1</w:t>
                  </w:r>
                </w:p>
              </w:tc>
              <w:tc>
                <w:tcPr>
                  <w:tcW w:w="671" w:type="pct"/>
                  <w:tcBorders>
                    <w:tl2br w:val="nil"/>
                    <w:tr2bl w:val="nil"/>
                  </w:tcBorders>
                  <w:noWrap w:val="0"/>
                  <w:vAlign w:val="center"/>
                </w:tcPr>
                <w:p w14:paraId="07BB3F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软化废气</w:t>
                  </w:r>
                </w:p>
              </w:tc>
              <w:tc>
                <w:tcPr>
                  <w:tcW w:w="1250" w:type="pct"/>
                  <w:tcBorders>
                    <w:tl2br w:val="nil"/>
                    <w:tr2bl w:val="nil"/>
                  </w:tcBorders>
                  <w:noWrap w:val="0"/>
                  <w:vAlign w:val="center"/>
                </w:tcPr>
                <w:p w14:paraId="2C3A13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臭气浓度</w:t>
                  </w:r>
                </w:p>
              </w:tc>
              <w:tc>
                <w:tcPr>
                  <w:tcW w:w="2056" w:type="pct"/>
                  <w:tcBorders>
                    <w:tl2br w:val="nil"/>
                    <w:tr2bl w:val="nil"/>
                  </w:tcBorders>
                  <w:noWrap w:val="0"/>
                  <w:vAlign w:val="center"/>
                </w:tcPr>
                <w:p w14:paraId="064197E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设备密闭+泄压排气管道与车间整体排风连接，产生的水蒸气和少量中药异味（臭气浓度）无组织排放</w:t>
                  </w:r>
                </w:p>
              </w:tc>
            </w:tr>
            <w:tr w14:paraId="45FCBF6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70" w:type="pct"/>
                  <w:vMerge w:val="continue"/>
                  <w:tcBorders>
                    <w:tl2br w:val="nil"/>
                    <w:tr2bl w:val="nil"/>
                  </w:tcBorders>
                  <w:noWrap w:val="0"/>
                  <w:vAlign w:val="center"/>
                </w:tcPr>
                <w:p w14:paraId="34FFE0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49" w:type="pct"/>
                  <w:tcBorders>
                    <w:tl2br w:val="nil"/>
                    <w:tr2bl w:val="nil"/>
                  </w:tcBorders>
                  <w:noWrap w:val="0"/>
                  <w:vAlign w:val="center"/>
                </w:tcPr>
                <w:p w14:paraId="4178D2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G2</w:t>
                  </w:r>
                </w:p>
              </w:tc>
              <w:tc>
                <w:tcPr>
                  <w:tcW w:w="671" w:type="pct"/>
                  <w:tcBorders>
                    <w:tl2br w:val="nil"/>
                    <w:tr2bl w:val="nil"/>
                  </w:tcBorders>
                  <w:noWrap w:val="0"/>
                  <w:vAlign w:val="center"/>
                </w:tcPr>
                <w:p w14:paraId="3411F1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切制废气</w:t>
                  </w:r>
                </w:p>
              </w:tc>
              <w:tc>
                <w:tcPr>
                  <w:tcW w:w="1250" w:type="pct"/>
                  <w:tcBorders>
                    <w:tl2br w:val="nil"/>
                    <w:tr2bl w:val="nil"/>
                  </w:tcBorders>
                  <w:noWrap w:val="0"/>
                  <w:vAlign w:val="center"/>
                </w:tcPr>
                <w:p w14:paraId="5DFBDA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2056" w:type="pct"/>
                  <w:tcBorders>
                    <w:tl2br w:val="nil"/>
                    <w:tr2bl w:val="nil"/>
                  </w:tcBorders>
                  <w:noWrap w:val="0"/>
                  <w:vAlign w:val="center"/>
                </w:tcPr>
                <w:p w14:paraId="3C2F9F8C">
                  <w:pPr>
                    <w:keepNext w:val="0"/>
                    <w:keepLines w:val="0"/>
                    <w:suppressLineNumbers w:val="0"/>
                    <w:spacing w:before="0" w:beforeAutospacing="0" w:after="0" w:afterAutospacing="0"/>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上吸式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集气罩+布袋除尘器（TA0</w:t>
                  </w:r>
                  <w:r>
                    <w:rPr>
                      <w:rFonts w:hint="eastAsia"/>
                      <w:color w:val="000000" w:themeColor="text1"/>
                      <w:sz w:val="21"/>
                      <w:szCs w:val="21"/>
                      <w:highlight w:val="none"/>
                      <w:lang w:val="en-US" w:eastAsia="zh-CN"/>
                      <w14:textFill>
                        <w14:solidFill>
                          <w14:schemeClr w14:val="tx1"/>
                        </w14:solidFill>
                      </w14:textFill>
                    </w:rPr>
                    <w:t>25</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）处理后由不低于15m高的排气筒（DA0</w:t>
                  </w:r>
                  <w:r>
                    <w:rPr>
                      <w:rFonts w:hint="eastAsia"/>
                      <w:color w:val="000000" w:themeColor="text1"/>
                      <w:sz w:val="21"/>
                      <w:szCs w:val="21"/>
                      <w:highlight w:val="none"/>
                      <w:lang w:val="en-US" w:eastAsia="zh-CN"/>
                      <w14:textFill>
                        <w14:solidFill>
                          <w14:schemeClr w14:val="tx1"/>
                        </w14:solidFill>
                      </w14:textFill>
                    </w:rPr>
                    <w:t>16</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）排放</w:t>
                  </w:r>
                </w:p>
              </w:tc>
            </w:tr>
            <w:tr w14:paraId="46B73C5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vMerge w:val="continue"/>
                  <w:tcBorders>
                    <w:tl2br w:val="nil"/>
                    <w:tr2bl w:val="nil"/>
                  </w:tcBorders>
                  <w:noWrap w:val="0"/>
                  <w:vAlign w:val="center"/>
                </w:tcPr>
                <w:p w14:paraId="5D173B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49" w:type="pct"/>
                  <w:tcBorders>
                    <w:tl2br w:val="nil"/>
                    <w:tr2bl w:val="nil"/>
                  </w:tcBorders>
                  <w:noWrap w:val="0"/>
                  <w:vAlign w:val="center"/>
                </w:tcPr>
                <w:p w14:paraId="34178D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w:t>
                  </w:r>
                  <w:r>
                    <w:rPr>
                      <w:rFonts w:hint="eastAsia" w:cs="Times New Roman"/>
                      <w:color w:val="000000" w:themeColor="text1"/>
                      <w:sz w:val="21"/>
                      <w:szCs w:val="21"/>
                      <w:highlight w:val="none"/>
                      <w:lang w:val="en-US" w:eastAsia="zh-CN"/>
                      <w14:textFill>
                        <w14:solidFill>
                          <w14:schemeClr w14:val="tx1"/>
                        </w14:solidFill>
                      </w14:textFill>
                    </w:rPr>
                    <w:t>3</w:t>
                  </w:r>
                </w:p>
              </w:tc>
              <w:tc>
                <w:tcPr>
                  <w:tcW w:w="671" w:type="pct"/>
                  <w:tcBorders>
                    <w:tl2br w:val="nil"/>
                    <w:tr2bl w:val="nil"/>
                  </w:tcBorders>
                  <w:noWrap w:val="0"/>
                  <w:vAlign w:val="center"/>
                </w:tcPr>
                <w:p w14:paraId="773D29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干燥废气</w:t>
                  </w:r>
                </w:p>
              </w:tc>
              <w:tc>
                <w:tcPr>
                  <w:tcW w:w="1250" w:type="pct"/>
                  <w:tcBorders>
                    <w:tl2br w:val="nil"/>
                    <w:tr2bl w:val="nil"/>
                  </w:tcBorders>
                  <w:noWrap w:val="0"/>
                  <w:vAlign w:val="center"/>
                </w:tcPr>
                <w:p w14:paraId="5E82A1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臭气浓度</w:t>
                  </w:r>
                </w:p>
              </w:tc>
              <w:tc>
                <w:tcPr>
                  <w:tcW w:w="2056" w:type="pct"/>
                  <w:tcBorders>
                    <w:tl2br w:val="nil"/>
                    <w:tr2bl w:val="nil"/>
                  </w:tcBorders>
                  <w:noWrap w:val="0"/>
                  <w:vAlign w:val="center"/>
                </w:tcPr>
                <w:p w14:paraId="730878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上吸式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集气罩+集气管道与车间整体排风连接，产生的水蒸气和少量中药异味（臭气浓度）无组织排放</w:t>
                  </w:r>
                </w:p>
              </w:tc>
            </w:tr>
            <w:tr w14:paraId="5144AB6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470" w:type="pct"/>
                  <w:vMerge w:val="continue"/>
                  <w:tcBorders>
                    <w:tl2br w:val="nil"/>
                    <w:tr2bl w:val="nil"/>
                  </w:tcBorders>
                  <w:noWrap w:val="0"/>
                  <w:vAlign w:val="center"/>
                </w:tcPr>
                <w:p w14:paraId="61110E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49" w:type="pct"/>
                  <w:tcBorders>
                    <w:tl2br w:val="nil"/>
                    <w:tr2bl w:val="nil"/>
                  </w:tcBorders>
                  <w:noWrap w:val="0"/>
                  <w:vAlign w:val="center"/>
                </w:tcPr>
                <w:p w14:paraId="4503D2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w:t>
                  </w:r>
                  <w:r>
                    <w:rPr>
                      <w:rFonts w:hint="eastAsia" w:cs="Times New Roman"/>
                      <w:color w:val="000000" w:themeColor="text1"/>
                      <w:sz w:val="21"/>
                      <w:szCs w:val="21"/>
                      <w:highlight w:val="none"/>
                      <w:lang w:val="en-US" w:eastAsia="zh-CN"/>
                      <w14:textFill>
                        <w14:solidFill>
                          <w14:schemeClr w14:val="tx1"/>
                        </w14:solidFill>
                      </w14:textFill>
                    </w:rPr>
                    <w:t>4</w:t>
                  </w:r>
                </w:p>
              </w:tc>
              <w:tc>
                <w:tcPr>
                  <w:tcW w:w="671" w:type="pct"/>
                  <w:tcBorders>
                    <w:tl2br w:val="nil"/>
                    <w:tr2bl w:val="nil"/>
                  </w:tcBorders>
                  <w:noWrap w:val="0"/>
                  <w:vAlign w:val="center"/>
                </w:tcPr>
                <w:p w14:paraId="6202CD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炒制废气</w:t>
                  </w:r>
                </w:p>
              </w:tc>
              <w:tc>
                <w:tcPr>
                  <w:tcW w:w="1250" w:type="pct"/>
                  <w:tcBorders>
                    <w:tl2br w:val="nil"/>
                    <w:tr2bl w:val="nil"/>
                  </w:tcBorders>
                  <w:noWrap w:val="0"/>
                  <w:vAlign w:val="center"/>
                </w:tcPr>
                <w:p w14:paraId="51BAC6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颗粒物、臭气浓度</w:t>
                  </w:r>
                </w:p>
              </w:tc>
              <w:tc>
                <w:tcPr>
                  <w:tcW w:w="2056" w:type="pct"/>
                  <w:tcBorders>
                    <w:tl2br w:val="nil"/>
                    <w:tr2bl w:val="nil"/>
                  </w:tcBorders>
                  <w:noWrap w:val="0"/>
                  <w:vAlign w:val="center"/>
                </w:tcPr>
                <w:p w14:paraId="017399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上吸式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集气罩+布袋除尘器</w:t>
                  </w:r>
                  <w:r>
                    <w:rPr>
                      <w:rFonts w:hint="eastAsia"/>
                      <w:color w:val="000000" w:themeColor="text1"/>
                      <w:sz w:val="21"/>
                      <w:szCs w:val="21"/>
                      <w:highlight w:val="none"/>
                      <w:lang w:val="en-US" w:eastAsia="zh-CN"/>
                      <w14:textFill>
                        <w14:solidFill>
                          <w14:schemeClr w14:val="tx1"/>
                        </w14:solidFill>
                      </w14:textFill>
                    </w:rPr>
                    <w:t>+二级活性炭吸附设施</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（TA0</w:t>
                  </w:r>
                  <w:r>
                    <w:rPr>
                      <w:rFonts w:hint="eastAsia"/>
                      <w:color w:val="000000" w:themeColor="text1"/>
                      <w:sz w:val="24"/>
                      <w:szCs w:val="24"/>
                      <w:highlight w:val="none"/>
                      <w:lang w:val="en-US" w:eastAsia="zh-CN"/>
                      <w14:textFill>
                        <w14:solidFill>
                          <w14:schemeClr w14:val="tx1"/>
                        </w14:solidFill>
                      </w14:textFill>
                    </w:rPr>
                    <w:t>26</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）处理后由不低于15m高的排气筒（DA0</w:t>
                  </w:r>
                  <w:r>
                    <w:rPr>
                      <w:rFonts w:hint="eastAsia"/>
                      <w:color w:val="000000" w:themeColor="text1"/>
                      <w:sz w:val="21"/>
                      <w:szCs w:val="21"/>
                      <w:highlight w:val="none"/>
                      <w:lang w:val="en-US" w:eastAsia="zh-CN"/>
                      <w14:textFill>
                        <w14:solidFill>
                          <w14:schemeClr w14:val="tx1"/>
                        </w14:solidFill>
                      </w14:textFill>
                    </w:rPr>
                    <w:t>16</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）排放</w:t>
                  </w:r>
                </w:p>
              </w:tc>
            </w:tr>
            <w:tr w14:paraId="6DB479F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470" w:type="pct"/>
                  <w:vMerge w:val="continue"/>
                  <w:tcBorders>
                    <w:tl2br w:val="nil"/>
                    <w:tr2bl w:val="nil"/>
                  </w:tcBorders>
                  <w:noWrap w:val="0"/>
                  <w:vAlign w:val="center"/>
                </w:tcPr>
                <w:p w14:paraId="656023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49" w:type="pct"/>
                  <w:tcBorders>
                    <w:tl2br w:val="nil"/>
                    <w:tr2bl w:val="nil"/>
                  </w:tcBorders>
                  <w:noWrap w:val="0"/>
                  <w:vAlign w:val="center"/>
                </w:tcPr>
                <w:p w14:paraId="38522E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w:t>
                  </w:r>
                  <w:r>
                    <w:rPr>
                      <w:rFonts w:hint="eastAsia" w:cs="Times New Roman"/>
                      <w:color w:val="000000" w:themeColor="text1"/>
                      <w:sz w:val="21"/>
                      <w:szCs w:val="21"/>
                      <w:highlight w:val="none"/>
                      <w:lang w:val="en-US" w:eastAsia="zh-CN"/>
                      <w14:textFill>
                        <w14:solidFill>
                          <w14:schemeClr w14:val="tx1"/>
                        </w14:solidFill>
                      </w14:textFill>
                    </w:rPr>
                    <w:t>5</w:t>
                  </w:r>
                </w:p>
              </w:tc>
              <w:tc>
                <w:tcPr>
                  <w:tcW w:w="671" w:type="pct"/>
                  <w:tcBorders>
                    <w:tl2br w:val="nil"/>
                    <w:tr2bl w:val="nil"/>
                  </w:tcBorders>
                  <w:noWrap w:val="0"/>
                  <w:vAlign w:val="center"/>
                </w:tcPr>
                <w:p w14:paraId="4049A1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捣碎</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废气</w:t>
                  </w:r>
                </w:p>
              </w:tc>
              <w:tc>
                <w:tcPr>
                  <w:tcW w:w="1250" w:type="pct"/>
                  <w:tcBorders>
                    <w:tl2br w:val="nil"/>
                    <w:tr2bl w:val="nil"/>
                  </w:tcBorders>
                  <w:noWrap w:val="0"/>
                  <w:vAlign w:val="center"/>
                </w:tcPr>
                <w:p w14:paraId="66D9DB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2056" w:type="pct"/>
                  <w:vMerge w:val="restart"/>
                  <w:tcBorders>
                    <w:tl2br w:val="nil"/>
                    <w:tr2bl w:val="nil"/>
                  </w:tcBorders>
                  <w:noWrap w:val="0"/>
                  <w:vAlign w:val="center"/>
                </w:tcPr>
                <w:p w14:paraId="132789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上吸式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集气罩+布袋除尘器（TA0</w:t>
                  </w:r>
                  <w:r>
                    <w:rPr>
                      <w:rFonts w:hint="eastAsia"/>
                      <w:color w:val="000000" w:themeColor="text1"/>
                      <w:sz w:val="21"/>
                      <w:szCs w:val="21"/>
                      <w:highlight w:val="none"/>
                      <w:lang w:val="en-US" w:eastAsia="zh-CN"/>
                      <w14:textFill>
                        <w14:solidFill>
                          <w14:schemeClr w14:val="tx1"/>
                        </w14:solidFill>
                      </w14:textFill>
                    </w:rPr>
                    <w:t>25</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）处理后由不低于15m高的排气筒（DA0</w:t>
                  </w:r>
                  <w:r>
                    <w:rPr>
                      <w:rFonts w:hint="eastAsia"/>
                      <w:color w:val="000000" w:themeColor="text1"/>
                      <w:sz w:val="21"/>
                      <w:szCs w:val="21"/>
                      <w:highlight w:val="none"/>
                      <w:lang w:val="en-US" w:eastAsia="zh-CN"/>
                      <w14:textFill>
                        <w14:solidFill>
                          <w14:schemeClr w14:val="tx1"/>
                        </w14:solidFill>
                      </w14:textFill>
                    </w:rPr>
                    <w:t>16</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）排放</w:t>
                  </w:r>
                </w:p>
              </w:tc>
            </w:tr>
            <w:tr w14:paraId="0D770FE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470" w:type="pct"/>
                  <w:vMerge w:val="continue"/>
                  <w:tcBorders>
                    <w:tl2br w:val="nil"/>
                    <w:tr2bl w:val="nil"/>
                  </w:tcBorders>
                  <w:noWrap w:val="0"/>
                  <w:vAlign w:val="center"/>
                </w:tcPr>
                <w:p w14:paraId="5AF21E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49" w:type="pct"/>
                  <w:tcBorders>
                    <w:tl2br w:val="nil"/>
                    <w:tr2bl w:val="nil"/>
                  </w:tcBorders>
                  <w:noWrap w:val="0"/>
                  <w:vAlign w:val="center"/>
                </w:tcPr>
                <w:p w14:paraId="6752CA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w:t>
                  </w:r>
                  <w:r>
                    <w:rPr>
                      <w:rFonts w:hint="eastAsia" w:cs="Times New Roman"/>
                      <w:color w:val="000000" w:themeColor="text1"/>
                      <w:sz w:val="21"/>
                      <w:szCs w:val="21"/>
                      <w:highlight w:val="none"/>
                      <w:lang w:val="en-US" w:eastAsia="zh-CN"/>
                      <w14:textFill>
                        <w14:solidFill>
                          <w14:schemeClr w14:val="tx1"/>
                        </w14:solidFill>
                      </w14:textFill>
                    </w:rPr>
                    <w:t>6</w:t>
                  </w:r>
                </w:p>
              </w:tc>
              <w:tc>
                <w:tcPr>
                  <w:tcW w:w="671" w:type="pct"/>
                  <w:tcBorders>
                    <w:tl2br w:val="nil"/>
                    <w:tr2bl w:val="nil"/>
                  </w:tcBorders>
                  <w:noWrap w:val="0"/>
                  <w:vAlign w:val="center"/>
                </w:tcPr>
                <w:p w14:paraId="1DDF56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筛选废气</w:t>
                  </w:r>
                </w:p>
              </w:tc>
              <w:tc>
                <w:tcPr>
                  <w:tcW w:w="1250" w:type="pct"/>
                  <w:tcBorders>
                    <w:tl2br w:val="nil"/>
                    <w:tr2bl w:val="nil"/>
                  </w:tcBorders>
                  <w:noWrap w:val="0"/>
                  <w:vAlign w:val="center"/>
                </w:tcPr>
                <w:p w14:paraId="2746DC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2056" w:type="pct"/>
                  <w:vMerge w:val="continue"/>
                  <w:tcBorders>
                    <w:tl2br w:val="nil"/>
                    <w:tr2bl w:val="nil"/>
                  </w:tcBorders>
                  <w:noWrap w:val="0"/>
                  <w:vAlign w:val="center"/>
                </w:tcPr>
                <w:p w14:paraId="653227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1FF48B3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tcBorders>
                    <w:tl2br w:val="nil"/>
                    <w:tr2bl w:val="nil"/>
                  </w:tcBorders>
                  <w:noWrap w:val="0"/>
                  <w:vAlign w:val="center"/>
                </w:tcPr>
                <w:p w14:paraId="0E0BEB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废水</w:t>
                  </w:r>
                </w:p>
              </w:tc>
              <w:tc>
                <w:tcPr>
                  <w:tcW w:w="549" w:type="pct"/>
                  <w:tcBorders>
                    <w:tl2br w:val="nil"/>
                    <w:tr2bl w:val="nil"/>
                  </w:tcBorders>
                  <w:noWrap w:val="0"/>
                  <w:vAlign w:val="center"/>
                </w:tcPr>
                <w:p w14:paraId="103491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W1</w:t>
                  </w:r>
                  <w:r>
                    <w:rPr>
                      <w:rFonts w:hint="eastAsia"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w:t>
                  </w:r>
                </w:p>
              </w:tc>
              <w:tc>
                <w:tcPr>
                  <w:tcW w:w="671" w:type="pct"/>
                  <w:tcBorders>
                    <w:tl2br w:val="nil"/>
                    <w:tr2bl w:val="nil"/>
                  </w:tcBorders>
                  <w:noWrap w:val="0"/>
                  <w:vAlign w:val="center"/>
                </w:tcPr>
                <w:p w14:paraId="2EBFA8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废水</w:t>
                  </w:r>
                </w:p>
              </w:tc>
              <w:tc>
                <w:tcPr>
                  <w:tcW w:w="1250" w:type="pct"/>
                  <w:tcBorders>
                    <w:tl2br w:val="nil"/>
                    <w:tr2bl w:val="nil"/>
                  </w:tcBorders>
                  <w:noWrap w:val="0"/>
                  <w:vAlign w:val="center"/>
                </w:tcPr>
                <w:p w14:paraId="2BC4D9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pH值、动植物油、总有机碳</w:t>
                  </w:r>
                  <w:r>
                    <w:rPr>
                      <w:rFonts w:hint="eastAsia" w:eastAsia="宋体" w:cs="Times New Roman"/>
                      <w:color w:val="000000" w:themeColor="text1"/>
                      <w:sz w:val="21"/>
                      <w:szCs w:val="21"/>
                      <w:highlight w:val="none"/>
                      <w:lang w:val="en-US" w:eastAsia="zh-CN"/>
                      <w14:textFill>
                        <w14:solidFill>
                          <w14:schemeClr w14:val="tx1"/>
                        </w14:solidFill>
                      </w14:textFill>
                    </w:rPr>
                    <w:t>、色度、悬浮物、五日生化需氧量、化学需氧量、氨氮、总氮、总磷、总氰化物</w:t>
                  </w:r>
                </w:p>
              </w:tc>
              <w:tc>
                <w:tcPr>
                  <w:tcW w:w="2056" w:type="pct"/>
                  <w:tcBorders>
                    <w:tl2br w:val="nil"/>
                    <w:tr2bl w:val="nil"/>
                  </w:tcBorders>
                  <w:noWrap w:val="0"/>
                  <w:vAlign w:val="center"/>
                </w:tcPr>
                <w:p w14:paraId="2B9F5D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kern w:val="0"/>
                      <w:sz w:val="21"/>
                      <w:szCs w:val="21"/>
                      <w:highlight w:val="none"/>
                      <w:u w:val="none"/>
                      <w:lang w:val="en-US" w:eastAsia="zh-CN"/>
                      <w14:textFill>
                        <w14:solidFill>
                          <w14:schemeClr w14:val="tx1"/>
                        </w14:solidFill>
                      </w14:textFill>
                    </w:rPr>
                  </w:pPr>
                  <w:r>
                    <w:rPr>
                      <w:rFonts w:hint="eastAsia" w:ascii="Times New Roman" w:hAnsi="Times New Roman" w:eastAsia="新宋体" w:cs="Times New Roman"/>
                      <w:color w:val="000000" w:themeColor="text1"/>
                      <w:sz w:val="21"/>
                      <w:szCs w:val="21"/>
                      <w:highlight w:val="none"/>
                      <w:lang w:eastAsia="zh-CN"/>
                      <w14:textFill>
                        <w14:solidFill>
                          <w14:schemeClr w14:val="tx1"/>
                        </w14:solidFill>
                      </w14:textFill>
                    </w:rPr>
                    <w:t>废水进入厂内污水处理站进行处理，处理达标后，排入厂区污水管网后排入高新区市政管网最终排入</w:t>
                  </w:r>
                  <w:r>
                    <w:rPr>
                      <w:rFonts w:hint="eastAsia" w:cs="Times New Roman"/>
                      <w:color w:val="000000" w:themeColor="text1"/>
                      <w:sz w:val="21"/>
                      <w:szCs w:val="21"/>
                      <w:highlight w:val="none"/>
                      <w:lang w:eastAsia="zh-CN"/>
                      <w14:textFill>
                        <w14:solidFill>
                          <w14:schemeClr w14:val="tx1"/>
                        </w14:solidFill>
                      </w14:textFill>
                    </w:rPr>
                    <w:t>石桥子污水处理厂</w:t>
                  </w:r>
                  <w:r>
                    <w:rPr>
                      <w:rFonts w:hint="eastAsia" w:ascii="Times New Roman" w:hAnsi="Times New Roman" w:eastAsia="新宋体" w:cs="Times New Roman"/>
                      <w:color w:val="000000" w:themeColor="text1"/>
                      <w:sz w:val="21"/>
                      <w:szCs w:val="21"/>
                      <w:highlight w:val="none"/>
                      <w:lang w:eastAsia="zh-CN"/>
                      <w14:textFill>
                        <w14:solidFill>
                          <w14:schemeClr w14:val="tx1"/>
                        </w14:solidFill>
                      </w14:textFill>
                    </w:rPr>
                    <w:t>。</w:t>
                  </w:r>
                </w:p>
              </w:tc>
            </w:tr>
            <w:tr w14:paraId="00D6B5D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vMerge w:val="restart"/>
                  <w:tcBorders>
                    <w:tl2br w:val="nil"/>
                    <w:tr2bl w:val="nil"/>
                  </w:tcBorders>
                  <w:noWrap w:val="0"/>
                  <w:vAlign w:val="center"/>
                </w:tcPr>
                <w:p w14:paraId="5140CA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固废</w:t>
                  </w:r>
                </w:p>
              </w:tc>
              <w:tc>
                <w:tcPr>
                  <w:tcW w:w="549" w:type="pct"/>
                  <w:tcBorders>
                    <w:tl2br w:val="nil"/>
                    <w:tr2bl w:val="nil"/>
                  </w:tcBorders>
                  <w:noWrap w:val="0"/>
                  <w:vAlign w:val="center"/>
                </w:tcPr>
                <w:p w14:paraId="1E2EA7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S1</w:t>
                  </w:r>
                </w:p>
              </w:tc>
              <w:tc>
                <w:tcPr>
                  <w:tcW w:w="671" w:type="pct"/>
                  <w:tcBorders>
                    <w:tl2br w:val="nil"/>
                    <w:tr2bl w:val="nil"/>
                  </w:tcBorders>
                  <w:noWrap w:val="0"/>
                  <w:vAlign w:val="center"/>
                </w:tcPr>
                <w:p w14:paraId="5CAF2B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净制</w:t>
                  </w:r>
                </w:p>
              </w:tc>
              <w:tc>
                <w:tcPr>
                  <w:tcW w:w="1250" w:type="pct"/>
                  <w:vMerge w:val="restart"/>
                  <w:tcBorders>
                    <w:tl2br w:val="nil"/>
                    <w:tr2bl w:val="nil"/>
                  </w:tcBorders>
                  <w:noWrap w:val="0"/>
                  <w:vAlign w:val="center"/>
                </w:tcPr>
                <w:p w14:paraId="2C3ADA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分拣废渣</w:t>
                  </w:r>
                </w:p>
              </w:tc>
              <w:tc>
                <w:tcPr>
                  <w:tcW w:w="2056" w:type="pct"/>
                  <w:vMerge w:val="restart"/>
                  <w:tcBorders>
                    <w:tl2br w:val="nil"/>
                    <w:tr2bl w:val="nil"/>
                  </w:tcBorders>
                  <w:noWrap w:val="0"/>
                  <w:vAlign w:val="center"/>
                </w:tcPr>
                <w:p w14:paraId="575358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u w:val="none"/>
                      <w:lang w:val="en-US" w:eastAsia="zh-CN"/>
                      <w14:textFill>
                        <w14:solidFill>
                          <w14:schemeClr w14:val="tx1"/>
                        </w14:solidFill>
                      </w14:textFill>
                    </w:rPr>
                    <w:t>集中收集后暂存于一般固废暂存区，交由有利用、处置能力的企业依法依规进行利用处置。</w:t>
                  </w:r>
                </w:p>
              </w:tc>
            </w:tr>
            <w:tr w14:paraId="48623FE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vMerge w:val="continue"/>
                  <w:tcBorders>
                    <w:tl2br w:val="nil"/>
                    <w:tr2bl w:val="nil"/>
                  </w:tcBorders>
                  <w:noWrap w:val="0"/>
                  <w:vAlign w:val="center"/>
                </w:tcPr>
                <w:p w14:paraId="520251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49" w:type="pct"/>
                  <w:tcBorders>
                    <w:tl2br w:val="nil"/>
                    <w:tr2bl w:val="nil"/>
                  </w:tcBorders>
                  <w:noWrap w:val="0"/>
                  <w:vAlign w:val="center"/>
                </w:tcPr>
                <w:p w14:paraId="16A83E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w:t>
                  </w:r>
                  <w:r>
                    <w:rPr>
                      <w:rFonts w:hint="eastAsia" w:cs="Times New Roman"/>
                      <w:color w:val="000000" w:themeColor="text1"/>
                      <w:sz w:val="21"/>
                      <w:szCs w:val="21"/>
                      <w:highlight w:val="none"/>
                      <w:lang w:val="en-US" w:eastAsia="zh-CN"/>
                      <w14:textFill>
                        <w14:solidFill>
                          <w14:schemeClr w14:val="tx1"/>
                        </w14:solidFill>
                      </w14:textFill>
                    </w:rPr>
                    <w:t>2</w:t>
                  </w:r>
                </w:p>
              </w:tc>
              <w:tc>
                <w:tcPr>
                  <w:tcW w:w="671" w:type="pct"/>
                  <w:tcBorders>
                    <w:tl2br w:val="nil"/>
                    <w:tr2bl w:val="nil"/>
                  </w:tcBorders>
                  <w:noWrap w:val="0"/>
                  <w:vAlign w:val="center"/>
                </w:tcPr>
                <w:p w14:paraId="6F449F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拣选</w:t>
                  </w:r>
                </w:p>
              </w:tc>
              <w:tc>
                <w:tcPr>
                  <w:tcW w:w="1250" w:type="pct"/>
                  <w:vMerge w:val="continue"/>
                  <w:tcBorders>
                    <w:tl2br w:val="nil"/>
                    <w:tr2bl w:val="nil"/>
                  </w:tcBorders>
                  <w:noWrap w:val="0"/>
                  <w:vAlign w:val="center"/>
                </w:tcPr>
                <w:p w14:paraId="6F0D31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056" w:type="pct"/>
                  <w:vMerge w:val="continue"/>
                  <w:tcBorders>
                    <w:tl2br w:val="nil"/>
                    <w:tr2bl w:val="nil"/>
                  </w:tcBorders>
                  <w:noWrap w:val="0"/>
                  <w:vAlign w:val="center"/>
                </w:tcPr>
                <w:p w14:paraId="2F1DE6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pPr>
                </w:p>
              </w:tc>
            </w:tr>
            <w:tr w14:paraId="7AF9E5D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vMerge w:val="continue"/>
                  <w:tcBorders>
                    <w:tl2br w:val="nil"/>
                    <w:tr2bl w:val="nil"/>
                  </w:tcBorders>
                  <w:noWrap w:val="0"/>
                  <w:vAlign w:val="center"/>
                </w:tcPr>
                <w:p w14:paraId="5E325E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49" w:type="pct"/>
                  <w:tcBorders>
                    <w:tl2br w:val="nil"/>
                    <w:tr2bl w:val="nil"/>
                  </w:tcBorders>
                  <w:noWrap w:val="0"/>
                  <w:vAlign w:val="center"/>
                </w:tcPr>
                <w:p w14:paraId="1A3A7F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w:t>
                  </w:r>
                </w:p>
              </w:tc>
              <w:tc>
                <w:tcPr>
                  <w:tcW w:w="671" w:type="pct"/>
                  <w:tcBorders>
                    <w:tl2br w:val="nil"/>
                    <w:tr2bl w:val="nil"/>
                  </w:tcBorders>
                  <w:noWrap w:val="0"/>
                  <w:vAlign w:val="center"/>
                </w:tcPr>
                <w:p w14:paraId="7E6919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z w:val="24"/>
                      <w:szCs w:val="24"/>
                      <w:highlight w:val="none"/>
                      <w:lang w:val="en-US" w:eastAsia="zh-CN"/>
                      <w14:textFill>
                        <w14:solidFill>
                          <w14:schemeClr w14:val="tx1"/>
                        </w14:solidFill>
                      </w14:textFill>
                    </w:rPr>
                    <w:t>检验</w:t>
                  </w:r>
                </w:p>
              </w:tc>
              <w:tc>
                <w:tcPr>
                  <w:tcW w:w="1250" w:type="pct"/>
                  <w:tcBorders>
                    <w:tl2br w:val="nil"/>
                    <w:tr2bl w:val="nil"/>
                  </w:tcBorders>
                  <w:noWrap w:val="0"/>
                  <w:vAlign w:val="center"/>
                </w:tcPr>
                <w:p w14:paraId="46A441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化学检验废液</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cs="Times New Roman"/>
                      <w:b w:val="0"/>
                      <w:bCs w:val="0"/>
                      <w:color w:val="000000" w:themeColor="text1"/>
                      <w:sz w:val="21"/>
                      <w:szCs w:val="21"/>
                      <w:highlight w:val="none"/>
                      <w:lang w:eastAsia="zh-CN"/>
                      <w14:textFill>
                        <w14:solidFill>
                          <w14:schemeClr w14:val="tx1"/>
                        </w14:solidFill>
                      </w14:textFill>
                    </w:rPr>
                    <w:t>废化学试剂瓶</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、废弃薄层板</w:t>
                  </w:r>
                  <w:r>
                    <w:rPr>
                      <w:rFonts w:hint="default"/>
                      <w:color w:val="000000" w:themeColor="text1"/>
                      <w:highlight w:val="none"/>
                      <w14:textFill>
                        <w14:solidFill>
                          <w14:schemeClr w14:val="tx1"/>
                        </w14:solidFill>
                      </w14:textFill>
                    </w:rPr>
                    <w:t>、</w:t>
                  </w:r>
                  <w:r>
                    <w:rPr>
                      <w:rFonts w:hint="eastAsia"/>
                      <w:color w:val="000000" w:themeColor="text1"/>
                      <w:highlight w:val="none"/>
                      <w:lang w:eastAsia="zh-CN"/>
                      <w14:textFill>
                        <w14:solidFill>
                          <w14:schemeClr w14:val="tx1"/>
                        </w14:solidFill>
                      </w14:textFill>
                    </w:rPr>
                    <w:t>废试药</w:t>
                  </w:r>
                </w:p>
              </w:tc>
              <w:tc>
                <w:tcPr>
                  <w:tcW w:w="2056" w:type="pct"/>
                  <w:tcBorders>
                    <w:tl2br w:val="nil"/>
                    <w:tr2bl w:val="nil"/>
                  </w:tcBorders>
                  <w:noWrap w:val="0"/>
                  <w:vAlign w:val="center"/>
                </w:tcPr>
                <w:p w14:paraId="46048D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t>依托现有危废贮存</w:t>
                  </w:r>
                  <w:r>
                    <w:rPr>
                      <w:rFonts w:hint="eastAsia" w:eastAsia="宋体" w:cs="Times New Roman"/>
                      <w:color w:val="000000" w:themeColor="text1"/>
                      <w:sz w:val="21"/>
                      <w:szCs w:val="21"/>
                      <w:highlight w:val="none"/>
                      <w:u w:val="none"/>
                      <w:lang w:val="en-US" w:eastAsia="zh-CN"/>
                      <w14:textFill>
                        <w14:solidFill>
                          <w14:schemeClr w14:val="tx1"/>
                        </w14:solidFill>
                      </w14:textFill>
                    </w:rPr>
                    <w:t>库</w:t>
                  </w:r>
                  <w:r>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t>暂存，定期委托有资质单位处置。</w:t>
                  </w:r>
                </w:p>
              </w:tc>
            </w:tr>
            <w:tr w14:paraId="0F8D281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tcBorders>
                    <w:tl2br w:val="nil"/>
                    <w:tr2bl w:val="nil"/>
                  </w:tcBorders>
                  <w:noWrap w:val="0"/>
                  <w:vAlign w:val="center"/>
                </w:tcPr>
                <w:p w14:paraId="2A45EF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噪声</w:t>
                  </w:r>
                </w:p>
              </w:tc>
              <w:tc>
                <w:tcPr>
                  <w:tcW w:w="549" w:type="pct"/>
                  <w:tcBorders>
                    <w:tl2br w:val="nil"/>
                    <w:tr2bl w:val="nil"/>
                  </w:tcBorders>
                  <w:noWrap w:val="0"/>
                  <w:vAlign w:val="center"/>
                </w:tcPr>
                <w:p w14:paraId="3B1D80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N</w:t>
                  </w:r>
                </w:p>
              </w:tc>
              <w:tc>
                <w:tcPr>
                  <w:tcW w:w="1922" w:type="pct"/>
                  <w:gridSpan w:val="2"/>
                  <w:tcBorders>
                    <w:tl2br w:val="nil"/>
                    <w:tr2bl w:val="nil"/>
                  </w:tcBorders>
                  <w:noWrap w:val="0"/>
                  <w:vAlign w:val="center"/>
                </w:tcPr>
                <w:p w14:paraId="6B4781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各种设备运转噪声</w:t>
                  </w:r>
                </w:p>
              </w:tc>
              <w:tc>
                <w:tcPr>
                  <w:tcW w:w="2056" w:type="pct"/>
                  <w:tcBorders>
                    <w:tl2br w:val="nil"/>
                    <w:tr2bl w:val="nil"/>
                  </w:tcBorders>
                  <w:noWrap w:val="0"/>
                  <w:vAlign w:val="center"/>
                </w:tcPr>
                <w:p w14:paraId="7D1B68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低噪声设备选型、基础减振、建筑隔声</w:t>
                  </w:r>
                </w:p>
              </w:tc>
            </w:tr>
          </w:tbl>
          <w:p w14:paraId="1FBAC57D">
            <w:pPr>
              <w:keepNext w:val="0"/>
              <w:keepLines w:val="0"/>
              <w:widowControl/>
              <w:suppressLineNumbers w:val="0"/>
              <w:adjustRightInd w:val="0"/>
              <w:snapToGrid w:val="0"/>
              <w:spacing w:before="93" w:beforeLines="30" w:beforeAutospacing="0" w:after="93" w:afterLines="30" w:afterAutospacing="0" w:line="360" w:lineRule="auto"/>
              <w:ind w:left="0" w:right="0"/>
              <w:jc w:val="left"/>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t>1.2.</w:t>
            </w:r>
            <w:r>
              <w:rPr>
                <w:rFonts w:hint="eastAsia" w:cs="Times New Roman"/>
                <w:b/>
                <w:bCs/>
                <w:color w:val="000000" w:themeColor="text1"/>
                <w:kern w:val="0"/>
                <w:sz w:val="24"/>
                <w:szCs w:val="24"/>
                <w:highlight w:val="none"/>
                <w:lang w:val="en-US" w:eastAsia="zh-CN" w:bidi="en-US"/>
                <w14:textFill>
                  <w14:solidFill>
                    <w14:schemeClr w14:val="tx1"/>
                  </w14:solidFill>
                </w14:textFill>
              </w:rPr>
              <w:t>5</w:t>
            </w:r>
            <w:r>
              <w:rPr>
                <w:rFonts w:hint="default"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t xml:space="preserve"> 其他中药材炮制工艺</w:t>
            </w:r>
            <w:r>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t>流程简述：</w:t>
            </w:r>
          </w:p>
          <w:p w14:paraId="50D44A76">
            <w:pPr>
              <w:keepNext w:val="0"/>
              <w:keepLines w:val="0"/>
              <w:widowControl/>
              <w:suppressLineNumbers w:val="0"/>
              <w:adjustRightInd w:val="0"/>
              <w:snapToGrid w:val="0"/>
              <w:spacing w:before="0" w:beforeAutospacing="0" w:after="0" w:afterAutospacing="0" w:line="360" w:lineRule="auto"/>
              <w:ind w:left="0" w:right="0"/>
              <w:jc w:val="left"/>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t>工艺流程简述：</w:t>
            </w:r>
          </w:p>
          <w:p w14:paraId="7BF05C68">
            <w:pPr>
              <w:keepNext/>
              <w:keepLines w:val="0"/>
              <w:suppressLineNumbers w:val="0"/>
              <w:spacing w:before="0" w:beforeAutospacing="0" w:after="0" w:afterAutospacing="0" w:line="360" w:lineRule="auto"/>
              <w:ind w:left="0" w:right="0" w:firstLine="480" w:firstLineChars="200"/>
              <w:outlineLvl w:val="0"/>
              <w:rPr>
                <w:rFonts w:hint="eastAsia"/>
                <w:color w:val="000000" w:themeColor="text1"/>
                <w:sz w:val="24"/>
                <w:szCs w:val="24"/>
                <w:highlight w:val="none"/>
                <w:lang w:val="en-US" w:eastAsia="zh-CN"/>
                <w14:textFill>
                  <w14:solidFill>
                    <w14:schemeClr w14:val="tx1"/>
                  </w14:solidFill>
                </w14:textFill>
              </w:rPr>
            </w:pPr>
          </w:p>
          <w:p w14:paraId="01DB2B3F">
            <w:pPr>
              <w:keepNext/>
              <w:keepLines w:val="0"/>
              <w:suppressLineNumbers w:val="0"/>
              <w:spacing w:before="0" w:beforeAutospacing="0" w:after="0" w:afterAutospacing="0" w:line="360" w:lineRule="auto"/>
              <w:ind w:left="0" w:right="0" w:firstLine="480" w:firstLineChars="200"/>
              <w:outlineLvl w:val="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利用以上经典名方药材相近的工艺开展其他中药材的拣选、净制、润制、蒸制、切制、炒制、压扁、捣碎、搓碎、打碎、粉碎等炮制工作，产污节点图参考以上工艺流程图，产污环节一览表如下表所示。</w:t>
            </w:r>
          </w:p>
          <w:p w14:paraId="52046B64">
            <w:pPr>
              <w:keepNext w:val="0"/>
              <w:keepLines w:val="0"/>
              <w:pageBreakBefore w:val="0"/>
              <w:widowControl w:val="0"/>
              <w:numPr>
                <w:ilvl w:val="0"/>
                <w:numId w:val="5"/>
              </w:numPr>
              <w:suppressLineNumbers w:val="0"/>
              <w:kinsoku/>
              <w:wordWrap/>
              <w:overflowPunct/>
              <w:topLinePunct w:val="0"/>
              <w:autoSpaceDE/>
              <w:autoSpaceDN/>
              <w:bidi w:val="0"/>
              <w:adjustRightInd/>
              <w:snapToGrid w:val="0"/>
              <w:spacing w:before="157" w:beforeLines="50" w:beforeAutospacing="0" w:after="0" w:afterLines="0" w:afterAutospacing="0"/>
              <w:ind w:left="0" w:leftChars="0" w:right="0" w:rightChars="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 xml:space="preserve">  其他中药材炮制产污环节一览表</w:t>
            </w:r>
          </w:p>
          <w:tbl>
            <w:tblPr>
              <w:tblStyle w:val="36"/>
              <w:tblW w:w="4993"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57"/>
              <w:gridCol w:w="688"/>
              <w:gridCol w:w="1275"/>
              <w:gridCol w:w="1984"/>
              <w:gridCol w:w="3333"/>
            </w:tblGrid>
            <w:tr w14:paraId="4EEA1BD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tcBorders>
                    <w:tl2br w:val="nil"/>
                    <w:tr2bl w:val="nil"/>
                  </w:tcBorders>
                  <w:noWrap w:val="0"/>
                  <w:vAlign w:val="center"/>
                </w:tcPr>
                <w:p w14:paraId="129F7A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类别</w:t>
                  </w:r>
                </w:p>
              </w:tc>
              <w:tc>
                <w:tcPr>
                  <w:tcW w:w="428" w:type="pct"/>
                  <w:tcBorders>
                    <w:tl2br w:val="nil"/>
                    <w:tr2bl w:val="nil"/>
                  </w:tcBorders>
                  <w:noWrap w:val="0"/>
                  <w:vAlign w:val="center"/>
                </w:tcPr>
                <w:p w14:paraId="4EC602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编号</w:t>
                  </w:r>
                </w:p>
              </w:tc>
              <w:tc>
                <w:tcPr>
                  <w:tcW w:w="793" w:type="pct"/>
                  <w:tcBorders>
                    <w:tl2br w:val="nil"/>
                    <w:tr2bl w:val="nil"/>
                  </w:tcBorders>
                  <w:noWrap w:val="0"/>
                  <w:vAlign w:val="center"/>
                </w:tcPr>
                <w:p w14:paraId="71A567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污染源</w:t>
                  </w:r>
                </w:p>
              </w:tc>
              <w:tc>
                <w:tcPr>
                  <w:tcW w:w="1234" w:type="pct"/>
                  <w:tcBorders>
                    <w:tl2br w:val="nil"/>
                    <w:tr2bl w:val="nil"/>
                  </w:tcBorders>
                  <w:noWrap w:val="0"/>
                  <w:vAlign w:val="center"/>
                </w:tcPr>
                <w:p w14:paraId="743806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主要污染</w:t>
                  </w:r>
                </w:p>
                <w:p w14:paraId="7FC12F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因子</w:t>
                  </w:r>
                </w:p>
              </w:tc>
              <w:tc>
                <w:tcPr>
                  <w:tcW w:w="2073" w:type="pct"/>
                  <w:tcBorders>
                    <w:tl2br w:val="nil"/>
                    <w:tr2bl w:val="nil"/>
                  </w:tcBorders>
                  <w:noWrap w:val="0"/>
                  <w:vAlign w:val="center"/>
                </w:tcPr>
                <w:p w14:paraId="4C9E85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治理措施</w:t>
                  </w:r>
                </w:p>
              </w:tc>
            </w:tr>
            <w:tr w14:paraId="2B336C0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70" w:type="pct"/>
                  <w:vMerge w:val="restart"/>
                  <w:tcBorders>
                    <w:tl2br w:val="nil"/>
                    <w:tr2bl w:val="nil"/>
                  </w:tcBorders>
                  <w:noWrap w:val="0"/>
                  <w:vAlign w:val="center"/>
                </w:tcPr>
                <w:p w14:paraId="75AA95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废气</w:t>
                  </w:r>
                </w:p>
              </w:tc>
              <w:tc>
                <w:tcPr>
                  <w:tcW w:w="428" w:type="pct"/>
                  <w:tcBorders>
                    <w:tl2br w:val="nil"/>
                    <w:tr2bl w:val="nil"/>
                  </w:tcBorders>
                  <w:noWrap w:val="0"/>
                  <w:vAlign w:val="center"/>
                </w:tcPr>
                <w:p w14:paraId="6F379D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G1</w:t>
                  </w:r>
                </w:p>
              </w:tc>
              <w:tc>
                <w:tcPr>
                  <w:tcW w:w="793" w:type="pct"/>
                  <w:tcBorders>
                    <w:tl2br w:val="nil"/>
                    <w:tr2bl w:val="nil"/>
                  </w:tcBorders>
                  <w:noWrap w:val="0"/>
                  <w:vAlign w:val="center"/>
                </w:tcPr>
                <w:p w14:paraId="3B9AA1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软化废气</w:t>
                  </w:r>
                </w:p>
              </w:tc>
              <w:tc>
                <w:tcPr>
                  <w:tcW w:w="1234" w:type="pct"/>
                  <w:tcBorders>
                    <w:tl2br w:val="nil"/>
                    <w:tr2bl w:val="nil"/>
                  </w:tcBorders>
                  <w:noWrap w:val="0"/>
                  <w:vAlign w:val="center"/>
                </w:tcPr>
                <w:p w14:paraId="5C5998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臭气浓度</w:t>
                  </w:r>
                </w:p>
              </w:tc>
              <w:tc>
                <w:tcPr>
                  <w:tcW w:w="2073" w:type="pct"/>
                  <w:tcBorders>
                    <w:tl2br w:val="nil"/>
                    <w:tr2bl w:val="nil"/>
                  </w:tcBorders>
                  <w:noWrap w:val="0"/>
                  <w:vAlign w:val="center"/>
                </w:tcPr>
                <w:p w14:paraId="7F77F4A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设备密闭+泄压排气管道与车间整体排风连接，产生的水蒸气和少量中药异味（臭气浓度）无组织排放</w:t>
                  </w:r>
                </w:p>
              </w:tc>
            </w:tr>
            <w:tr w14:paraId="5C0F8F9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70" w:type="pct"/>
                  <w:vMerge w:val="continue"/>
                  <w:tcBorders>
                    <w:tl2br w:val="nil"/>
                    <w:tr2bl w:val="nil"/>
                  </w:tcBorders>
                  <w:noWrap w:val="0"/>
                  <w:vAlign w:val="center"/>
                </w:tcPr>
                <w:p w14:paraId="7E90C8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28" w:type="pct"/>
                  <w:tcBorders>
                    <w:tl2br w:val="nil"/>
                    <w:tr2bl w:val="nil"/>
                  </w:tcBorders>
                  <w:noWrap w:val="0"/>
                  <w:vAlign w:val="center"/>
                </w:tcPr>
                <w:p w14:paraId="0A40F8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G2</w:t>
                  </w:r>
                </w:p>
              </w:tc>
              <w:tc>
                <w:tcPr>
                  <w:tcW w:w="793" w:type="pct"/>
                  <w:tcBorders>
                    <w:tl2br w:val="nil"/>
                    <w:tr2bl w:val="nil"/>
                  </w:tcBorders>
                  <w:noWrap w:val="0"/>
                  <w:vAlign w:val="center"/>
                </w:tcPr>
                <w:p w14:paraId="26D69C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切制废气</w:t>
                  </w:r>
                </w:p>
              </w:tc>
              <w:tc>
                <w:tcPr>
                  <w:tcW w:w="1234" w:type="pct"/>
                  <w:tcBorders>
                    <w:tl2br w:val="nil"/>
                    <w:tr2bl w:val="nil"/>
                  </w:tcBorders>
                  <w:noWrap w:val="0"/>
                  <w:vAlign w:val="center"/>
                </w:tcPr>
                <w:p w14:paraId="0C6FD9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2073" w:type="pct"/>
                  <w:vMerge w:val="restart"/>
                  <w:tcBorders>
                    <w:tl2br w:val="nil"/>
                    <w:tr2bl w:val="nil"/>
                  </w:tcBorders>
                  <w:noWrap w:val="0"/>
                  <w:vAlign w:val="center"/>
                </w:tcPr>
                <w:p w14:paraId="3182788D">
                  <w:pPr>
                    <w:keepNext w:val="0"/>
                    <w:keepLines w:val="0"/>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上吸式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集气罩+布袋除尘器（TA0</w:t>
                  </w:r>
                  <w:r>
                    <w:rPr>
                      <w:rFonts w:hint="eastAsia"/>
                      <w:color w:val="000000" w:themeColor="text1"/>
                      <w:sz w:val="21"/>
                      <w:szCs w:val="21"/>
                      <w:highlight w:val="none"/>
                      <w:lang w:val="en-US" w:eastAsia="zh-CN"/>
                      <w14:textFill>
                        <w14:solidFill>
                          <w14:schemeClr w14:val="tx1"/>
                        </w14:solidFill>
                      </w14:textFill>
                    </w:rPr>
                    <w:t>25</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）处理后由不低于15m高的排气筒（DA0</w:t>
                  </w:r>
                  <w:r>
                    <w:rPr>
                      <w:rFonts w:hint="eastAsia"/>
                      <w:color w:val="000000" w:themeColor="text1"/>
                      <w:sz w:val="21"/>
                      <w:szCs w:val="21"/>
                      <w:highlight w:val="none"/>
                      <w:lang w:val="en-US" w:eastAsia="zh-CN"/>
                      <w14:textFill>
                        <w14:solidFill>
                          <w14:schemeClr w14:val="tx1"/>
                        </w14:solidFill>
                      </w14:textFill>
                    </w:rPr>
                    <w:t>16</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）排放</w:t>
                  </w:r>
                </w:p>
              </w:tc>
            </w:tr>
            <w:tr w14:paraId="5C56D0D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70" w:type="pct"/>
                  <w:vMerge w:val="continue"/>
                  <w:tcBorders>
                    <w:tl2br w:val="nil"/>
                    <w:tr2bl w:val="nil"/>
                  </w:tcBorders>
                  <w:noWrap w:val="0"/>
                  <w:vAlign w:val="center"/>
                </w:tcPr>
                <w:p w14:paraId="24B7E9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28" w:type="pct"/>
                  <w:tcBorders>
                    <w:tl2br w:val="nil"/>
                    <w:tr2bl w:val="nil"/>
                  </w:tcBorders>
                  <w:noWrap w:val="0"/>
                  <w:vAlign w:val="center"/>
                </w:tcPr>
                <w:p w14:paraId="49BF9B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G3</w:t>
                  </w:r>
                </w:p>
              </w:tc>
              <w:tc>
                <w:tcPr>
                  <w:tcW w:w="793" w:type="pct"/>
                  <w:tcBorders>
                    <w:tl2br w:val="nil"/>
                    <w:tr2bl w:val="nil"/>
                  </w:tcBorders>
                  <w:noWrap w:val="0"/>
                  <w:vAlign w:val="center"/>
                </w:tcPr>
                <w:p w14:paraId="598730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压扁废气</w:t>
                  </w:r>
                </w:p>
              </w:tc>
              <w:tc>
                <w:tcPr>
                  <w:tcW w:w="1234" w:type="pct"/>
                  <w:tcBorders>
                    <w:tl2br w:val="nil"/>
                    <w:tr2bl w:val="nil"/>
                  </w:tcBorders>
                  <w:noWrap w:val="0"/>
                  <w:vAlign w:val="center"/>
                </w:tcPr>
                <w:p w14:paraId="4B2BBE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2073" w:type="pct"/>
                  <w:vMerge w:val="continue"/>
                  <w:tcBorders>
                    <w:tl2br w:val="nil"/>
                    <w:tr2bl w:val="nil"/>
                  </w:tcBorders>
                  <w:noWrap w:val="0"/>
                  <w:vAlign w:val="center"/>
                </w:tcPr>
                <w:p w14:paraId="50A280E6">
                  <w:pPr>
                    <w:keepNext w:val="0"/>
                    <w:keepLines w:val="0"/>
                    <w:suppressLineNumbers w:val="0"/>
                    <w:spacing w:before="0" w:beforeAutospacing="0" w:after="0" w:afterAutospacing="0"/>
                    <w:ind w:left="0" w:right="0"/>
                    <w:jc w:val="center"/>
                    <w:rPr>
                      <w:rFonts w:hint="eastAsia"/>
                      <w:color w:val="000000" w:themeColor="text1"/>
                      <w:sz w:val="21"/>
                      <w:szCs w:val="21"/>
                      <w:highlight w:val="none"/>
                      <w:lang w:val="en-US" w:eastAsia="zh-CN"/>
                      <w14:textFill>
                        <w14:solidFill>
                          <w14:schemeClr w14:val="tx1"/>
                        </w14:solidFill>
                      </w14:textFill>
                    </w:rPr>
                  </w:pPr>
                </w:p>
              </w:tc>
            </w:tr>
            <w:tr w14:paraId="06C6627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vMerge w:val="continue"/>
                  <w:tcBorders>
                    <w:tl2br w:val="nil"/>
                    <w:tr2bl w:val="nil"/>
                  </w:tcBorders>
                  <w:noWrap w:val="0"/>
                  <w:vAlign w:val="center"/>
                </w:tcPr>
                <w:p w14:paraId="352911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28" w:type="pct"/>
                  <w:tcBorders>
                    <w:tl2br w:val="nil"/>
                    <w:tr2bl w:val="nil"/>
                  </w:tcBorders>
                  <w:noWrap w:val="0"/>
                  <w:vAlign w:val="center"/>
                </w:tcPr>
                <w:p w14:paraId="282505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w:t>
                  </w:r>
                  <w:r>
                    <w:rPr>
                      <w:rFonts w:hint="eastAsia" w:cs="Times New Roman"/>
                      <w:color w:val="000000" w:themeColor="text1"/>
                      <w:sz w:val="21"/>
                      <w:szCs w:val="21"/>
                      <w:highlight w:val="none"/>
                      <w:lang w:val="en-US" w:eastAsia="zh-CN"/>
                      <w14:textFill>
                        <w14:solidFill>
                          <w14:schemeClr w14:val="tx1"/>
                        </w14:solidFill>
                      </w14:textFill>
                    </w:rPr>
                    <w:t>4</w:t>
                  </w:r>
                </w:p>
              </w:tc>
              <w:tc>
                <w:tcPr>
                  <w:tcW w:w="793" w:type="pct"/>
                  <w:tcBorders>
                    <w:tl2br w:val="nil"/>
                    <w:tr2bl w:val="nil"/>
                  </w:tcBorders>
                  <w:noWrap w:val="0"/>
                  <w:vAlign w:val="center"/>
                </w:tcPr>
                <w:p w14:paraId="73E46A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干燥废气</w:t>
                  </w:r>
                </w:p>
              </w:tc>
              <w:tc>
                <w:tcPr>
                  <w:tcW w:w="1234" w:type="pct"/>
                  <w:tcBorders>
                    <w:tl2br w:val="nil"/>
                    <w:tr2bl w:val="nil"/>
                  </w:tcBorders>
                  <w:noWrap w:val="0"/>
                  <w:vAlign w:val="center"/>
                </w:tcPr>
                <w:p w14:paraId="24C16E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臭气浓度</w:t>
                  </w:r>
                </w:p>
              </w:tc>
              <w:tc>
                <w:tcPr>
                  <w:tcW w:w="2073" w:type="pct"/>
                  <w:tcBorders>
                    <w:tl2br w:val="nil"/>
                    <w:tr2bl w:val="nil"/>
                  </w:tcBorders>
                  <w:noWrap w:val="0"/>
                  <w:vAlign w:val="center"/>
                </w:tcPr>
                <w:p w14:paraId="3DEEA0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上吸式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集气罩+集气管道与车间整体排风连接，产生的水蒸气和少量中药异味（臭气浓度）无组织排放</w:t>
                  </w:r>
                </w:p>
              </w:tc>
            </w:tr>
            <w:tr w14:paraId="7A096F5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vMerge w:val="continue"/>
                  <w:tcBorders>
                    <w:tl2br w:val="nil"/>
                    <w:tr2bl w:val="nil"/>
                  </w:tcBorders>
                  <w:noWrap w:val="0"/>
                  <w:vAlign w:val="center"/>
                </w:tcPr>
                <w:p w14:paraId="46388D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28" w:type="pct"/>
                  <w:tcBorders>
                    <w:tl2br w:val="nil"/>
                    <w:tr2bl w:val="nil"/>
                  </w:tcBorders>
                  <w:noWrap w:val="0"/>
                  <w:vAlign w:val="center"/>
                </w:tcPr>
                <w:p w14:paraId="6468F3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w:t>
                  </w:r>
                  <w:r>
                    <w:rPr>
                      <w:rFonts w:hint="eastAsia" w:cs="Times New Roman"/>
                      <w:color w:val="000000" w:themeColor="text1"/>
                      <w:sz w:val="21"/>
                      <w:szCs w:val="21"/>
                      <w:highlight w:val="none"/>
                      <w:lang w:val="en-US" w:eastAsia="zh-CN"/>
                      <w14:textFill>
                        <w14:solidFill>
                          <w14:schemeClr w14:val="tx1"/>
                        </w14:solidFill>
                      </w14:textFill>
                    </w:rPr>
                    <w:t>5</w:t>
                  </w:r>
                </w:p>
              </w:tc>
              <w:tc>
                <w:tcPr>
                  <w:tcW w:w="793" w:type="pct"/>
                  <w:tcBorders>
                    <w:tl2br w:val="nil"/>
                    <w:tr2bl w:val="nil"/>
                  </w:tcBorders>
                  <w:noWrap w:val="0"/>
                  <w:vAlign w:val="center"/>
                </w:tcPr>
                <w:p w14:paraId="67A373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炒制废气</w:t>
                  </w:r>
                </w:p>
              </w:tc>
              <w:tc>
                <w:tcPr>
                  <w:tcW w:w="1234" w:type="pct"/>
                  <w:tcBorders>
                    <w:tl2br w:val="nil"/>
                    <w:tr2bl w:val="nil"/>
                  </w:tcBorders>
                  <w:noWrap w:val="0"/>
                  <w:vAlign w:val="center"/>
                </w:tcPr>
                <w:p w14:paraId="1589BB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颗粒物、臭气浓度</w:t>
                  </w:r>
                </w:p>
              </w:tc>
              <w:tc>
                <w:tcPr>
                  <w:tcW w:w="2073" w:type="pct"/>
                  <w:tcBorders>
                    <w:tl2br w:val="nil"/>
                    <w:tr2bl w:val="nil"/>
                  </w:tcBorders>
                  <w:noWrap w:val="0"/>
                  <w:vAlign w:val="center"/>
                </w:tcPr>
                <w:p w14:paraId="277664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上吸式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集气罩+布袋除尘器</w:t>
                  </w:r>
                  <w:r>
                    <w:rPr>
                      <w:rFonts w:hint="eastAsia"/>
                      <w:color w:val="000000" w:themeColor="text1"/>
                      <w:sz w:val="21"/>
                      <w:szCs w:val="21"/>
                      <w:highlight w:val="none"/>
                      <w:lang w:val="en-US" w:eastAsia="zh-CN"/>
                      <w14:textFill>
                        <w14:solidFill>
                          <w14:schemeClr w14:val="tx1"/>
                        </w14:solidFill>
                      </w14:textFill>
                    </w:rPr>
                    <w:t>+二级活性炭吸附设施</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（TA0</w:t>
                  </w:r>
                  <w:r>
                    <w:rPr>
                      <w:rFonts w:hint="eastAsia"/>
                      <w:color w:val="000000" w:themeColor="text1"/>
                      <w:sz w:val="24"/>
                      <w:szCs w:val="24"/>
                      <w:highlight w:val="none"/>
                      <w:lang w:val="en-US" w:eastAsia="zh-CN"/>
                      <w14:textFill>
                        <w14:solidFill>
                          <w14:schemeClr w14:val="tx1"/>
                        </w14:solidFill>
                      </w14:textFill>
                    </w:rPr>
                    <w:t>26</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）处理后由不低于15m高的排气筒（DA0</w:t>
                  </w:r>
                  <w:r>
                    <w:rPr>
                      <w:rFonts w:hint="eastAsia"/>
                      <w:color w:val="000000" w:themeColor="text1"/>
                      <w:sz w:val="21"/>
                      <w:szCs w:val="21"/>
                      <w:highlight w:val="none"/>
                      <w:lang w:val="en-US" w:eastAsia="zh-CN"/>
                      <w14:textFill>
                        <w14:solidFill>
                          <w14:schemeClr w14:val="tx1"/>
                        </w14:solidFill>
                      </w14:textFill>
                    </w:rPr>
                    <w:t>16</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）排放</w:t>
                  </w:r>
                </w:p>
              </w:tc>
            </w:tr>
            <w:tr w14:paraId="215ECB3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vMerge w:val="continue"/>
                  <w:tcBorders>
                    <w:tl2br w:val="nil"/>
                    <w:tr2bl w:val="nil"/>
                  </w:tcBorders>
                  <w:noWrap w:val="0"/>
                  <w:vAlign w:val="center"/>
                </w:tcPr>
                <w:p w14:paraId="477762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28" w:type="pct"/>
                  <w:tcBorders>
                    <w:tl2br w:val="nil"/>
                    <w:tr2bl w:val="nil"/>
                  </w:tcBorders>
                  <w:noWrap w:val="0"/>
                  <w:vAlign w:val="center"/>
                </w:tcPr>
                <w:p w14:paraId="2B78F9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w:t>
                  </w:r>
                  <w:r>
                    <w:rPr>
                      <w:rFonts w:hint="eastAsia" w:cs="Times New Roman"/>
                      <w:color w:val="000000" w:themeColor="text1"/>
                      <w:sz w:val="21"/>
                      <w:szCs w:val="21"/>
                      <w:highlight w:val="none"/>
                      <w:lang w:val="en-US" w:eastAsia="zh-CN"/>
                      <w14:textFill>
                        <w14:solidFill>
                          <w14:schemeClr w14:val="tx1"/>
                        </w14:solidFill>
                      </w14:textFill>
                    </w:rPr>
                    <w:t>6</w:t>
                  </w:r>
                </w:p>
              </w:tc>
              <w:tc>
                <w:tcPr>
                  <w:tcW w:w="793" w:type="pct"/>
                  <w:tcBorders>
                    <w:tl2br w:val="nil"/>
                    <w:tr2bl w:val="nil"/>
                  </w:tcBorders>
                  <w:noWrap w:val="0"/>
                  <w:vAlign w:val="center"/>
                </w:tcPr>
                <w:p w14:paraId="6020DE2A">
                  <w:pPr>
                    <w:pStyle w:val="115"/>
                    <w:keepNext w:val="0"/>
                    <w:keepLines w:val="0"/>
                    <w:pageBreakBefore w:val="0"/>
                    <w:widowControl w:val="0"/>
                    <w:suppressLineNumbers w:val="0"/>
                    <w:tabs>
                      <w:tab w:val="clear" w:pos="3480"/>
                    </w:tabs>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eastAsia="宋体" w:cs="Times New Roman"/>
                      <w:color w:val="000000" w:themeColor="text1"/>
                      <w:sz w:val="21"/>
                      <w:szCs w:val="21"/>
                      <w:highlight w:val="none"/>
                      <w:lang w:val="en-US" w:eastAsia="zh-CN"/>
                      <w14:textFill>
                        <w14:solidFill>
                          <w14:schemeClr w14:val="tx1"/>
                        </w14:solidFill>
                      </w14:textFill>
                    </w:rPr>
                  </w:pP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搓碎废气</w:t>
                  </w:r>
                </w:p>
              </w:tc>
              <w:tc>
                <w:tcPr>
                  <w:tcW w:w="1234" w:type="pct"/>
                  <w:tcBorders>
                    <w:tl2br w:val="nil"/>
                    <w:tr2bl w:val="nil"/>
                  </w:tcBorders>
                  <w:noWrap w:val="0"/>
                  <w:vAlign w:val="center"/>
                </w:tcPr>
                <w:p w14:paraId="22EF2B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2073" w:type="pct"/>
                  <w:vMerge w:val="restart"/>
                  <w:tcBorders>
                    <w:tl2br w:val="nil"/>
                    <w:tr2bl w:val="nil"/>
                  </w:tcBorders>
                  <w:noWrap w:val="0"/>
                  <w:vAlign w:val="center"/>
                </w:tcPr>
                <w:p w14:paraId="2266BF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上吸式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集气罩+布袋除尘器（TA0</w:t>
                  </w:r>
                  <w:r>
                    <w:rPr>
                      <w:rFonts w:hint="eastAsia"/>
                      <w:color w:val="000000" w:themeColor="text1"/>
                      <w:sz w:val="21"/>
                      <w:szCs w:val="21"/>
                      <w:highlight w:val="none"/>
                      <w:lang w:val="en-US" w:eastAsia="zh-CN"/>
                      <w14:textFill>
                        <w14:solidFill>
                          <w14:schemeClr w14:val="tx1"/>
                        </w14:solidFill>
                      </w14:textFill>
                    </w:rPr>
                    <w:t>25</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）处理后由不低于15m高的排气筒（DA0</w:t>
                  </w:r>
                  <w:r>
                    <w:rPr>
                      <w:rFonts w:hint="eastAsia"/>
                      <w:color w:val="000000" w:themeColor="text1"/>
                      <w:sz w:val="21"/>
                      <w:szCs w:val="21"/>
                      <w:highlight w:val="none"/>
                      <w:lang w:val="en-US" w:eastAsia="zh-CN"/>
                      <w14:textFill>
                        <w14:solidFill>
                          <w14:schemeClr w14:val="tx1"/>
                        </w14:solidFill>
                      </w14:textFill>
                    </w:rPr>
                    <w:t>16</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）排放</w:t>
                  </w:r>
                </w:p>
              </w:tc>
            </w:tr>
            <w:tr w14:paraId="538DB4C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vMerge w:val="continue"/>
                  <w:tcBorders>
                    <w:tl2br w:val="nil"/>
                    <w:tr2bl w:val="nil"/>
                  </w:tcBorders>
                  <w:noWrap w:val="0"/>
                  <w:vAlign w:val="center"/>
                </w:tcPr>
                <w:p w14:paraId="3F6A39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28" w:type="pct"/>
                  <w:tcBorders>
                    <w:tl2br w:val="nil"/>
                    <w:tr2bl w:val="nil"/>
                  </w:tcBorders>
                  <w:noWrap w:val="0"/>
                  <w:vAlign w:val="center"/>
                </w:tcPr>
                <w:p w14:paraId="2B5358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w:t>
                  </w:r>
                  <w:r>
                    <w:rPr>
                      <w:rFonts w:hint="eastAsia" w:cs="Times New Roman"/>
                      <w:color w:val="000000" w:themeColor="text1"/>
                      <w:sz w:val="21"/>
                      <w:szCs w:val="21"/>
                      <w:highlight w:val="none"/>
                      <w:lang w:val="en-US" w:eastAsia="zh-CN"/>
                      <w14:textFill>
                        <w14:solidFill>
                          <w14:schemeClr w14:val="tx1"/>
                        </w14:solidFill>
                      </w14:textFill>
                    </w:rPr>
                    <w:t>7</w:t>
                  </w:r>
                </w:p>
              </w:tc>
              <w:tc>
                <w:tcPr>
                  <w:tcW w:w="793" w:type="pct"/>
                  <w:tcBorders>
                    <w:tl2br w:val="nil"/>
                    <w:tr2bl w:val="nil"/>
                  </w:tcBorders>
                  <w:noWrap w:val="0"/>
                  <w:vAlign w:val="center"/>
                </w:tcPr>
                <w:p w14:paraId="0E27CF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捣碎</w:t>
                  </w:r>
                  <w:r>
                    <w:rPr>
                      <w:rFonts w:hint="eastAsia" w:ascii="宋体" w:hAnsi="宋体" w:eastAsia="宋体" w:cs="Times New Roman"/>
                      <w:color w:val="000000" w:themeColor="text1"/>
                      <w:sz w:val="21"/>
                      <w:szCs w:val="21"/>
                      <w:highlight w:val="none"/>
                      <w:lang w:val="en-US" w:eastAsia="zh-CN"/>
                      <w14:textFill>
                        <w14:solidFill>
                          <w14:schemeClr w14:val="tx1"/>
                        </w14:solidFill>
                      </w14:textFill>
                    </w:rPr>
                    <w:t>废气</w:t>
                  </w:r>
                </w:p>
              </w:tc>
              <w:tc>
                <w:tcPr>
                  <w:tcW w:w="1234" w:type="pct"/>
                  <w:tcBorders>
                    <w:tl2br w:val="nil"/>
                    <w:tr2bl w:val="nil"/>
                  </w:tcBorders>
                  <w:noWrap w:val="0"/>
                  <w:vAlign w:val="center"/>
                </w:tcPr>
                <w:p w14:paraId="043D17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2073" w:type="pct"/>
                  <w:vMerge w:val="continue"/>
                  <w:tcBorders>
                    <w:tl2br w:val="nil"/>
                    <w:tr2bl w:val="nil"/>
                  </w:tcBorders>
                  <w:noWrap w:val="0"/>
                  <w:vAlign w:val="center"/>
                </w:tcPr>
                <w:p w14:paraId="03855C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color w:val="000000" w:themeColor="text1"/>
                      <w:sz w:val="21"/>
                      <w:szCs w:val="21"/>
                      <w:highlight w:val="none"/>
                      <w:lang w:val="en-US" w:eastAsia="zh-CN"/>
                      <w14:textFill>
                        <w14:solidFill>
                          <w14:schemeClr w14:val="tx1"/>
                        </w14:solidFill>
                      </w14:textFill>
                    </w:rPr>
                  </w:pPr>
                </w:p>
              </w:tc>
            </w:tr>
            <w:tr w14:paraId="15F6646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0" w:type="pct"/>
                  <w:vMerge w:val="continue"/>
                  <w:tcBorders>
                    <w:tl2br w:val="nil"/>
                    <w:tr2bl w:val="nil"/>
                  </w:tcBorders>
                  <w:noWrap w:val="0"/>
                  <w:vAlign w:val="center"/>
                </w:tcPr>
                <w:p w14:paraId="618370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28" w:type="pct"/>
                  <w:tcBorders>
                    <w:tl2br w:val="nil"/>
                    <w:tr2bl w:val="nil"/>
                  </w:tcBorders>
                  <w:noWrap w:val="0"/>
                  <w:vAlign w:val="center"/>
                </w:tcPr>
                <w:p w14:paraId="78CDCE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w:t>
                  </w:r>
                  <w:r>
                    <w:rPr>
                      <w:rFonts w:hint="eastAsia" w:cs="Times New Roman"/>
                      <w:color w:val="000000" w:themeColor="text1"/>
                      <w:sz w:val="21"/>
                      <w:szCs w:val="21"/>
                      <w:highlight w:val="none"/>
                      <w:lang w:val="en-US" w:eastAsia="zh-CN"/>
                      <w14:textFill>
                        <w14:solidFill>
                          <w14:schemeClr w14:val="tx1"/>
                        </w14:solidFill>
                      </w14:textFill>
                    </w:rPr>
                    <w:t>8</w:t>
                  </w:r>
                </w:p>
              </w:tc>
              <w:tc>
                <w:tcPr>
                  <w:tcW w:w="793" w:type="pct"/>
                  <w:tcBorders>
                    <w:tl2br w:val="nil"/>
                    <w:tr2bl w:val="nil"/>
                  </w:tcBorders>
                  <w:noWrap w:val="0"/>
                  <w:vAlign w:val="center"/>
                </w:tcPr>
                <w:p w14:paraId="3EF3AE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筛选废气</w:t>
                  </w:r>
                </w:p>
              </w:tc>
              <w:tc>
                <w:tcPr>
                  <w:tcW w:w="1234" w:type="pct"/>
                  <w:tcBorders>
                    <w:tl2br w:val="nil"/>
                    <w:tr2bl w:val="nil"/>
                  </w:tcBorders>
                  <w:noWrap w:val="0"/>
                  <w:vAlign w:val="center"/>
                </w:tcPr>
                <w:p w14:paraId="3400B9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2073" w:type="pct"/>
                  <w:vMerge w:val="continue"/>
                  <w:tcBorders>
                    <w:tl2br w:val="nil"/>
                    <w:tr2bl w:val="nil"/>
                  </w:tcBorders>
                  <w:noWrap w:val="0"/>
                  <w:vAlign w:val="center"/>
                </w:tcPr>
                <w:p w14:paraId="7EC3D2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40BD115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0" w:type="pct"/>
                  <w:vMerge w:val="continue"/>
                  <w:tcBorders>
                    <w:tl2br w:val="nil"/>
                    <w:tr2bl w:val="nil"/>
                  </w:tcBorders>
                  <w:noWrap w:val="0"/>
                  <w:vAlign w:val="center"/>
                </w:tcPr>
                <w:p w14:paraId="09D409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28" w:type="pct"/>
                  <w:tcBorders>
                    <w:tl2br w:val="nil"/>
                    <w:tr2bl w:val="nil"/>
                  </w:tcBorders>
                  <w:noWrap w:val="0"/>
                  <w:vAlign w:val="center"/>
                </w:tcPr>
                <w:p w14:paraId="78A1A3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w:t>
                  </w:r>
                  <w:r>
                    <w:rPr>
                      <w:rFonts w:hint="eastAsia" w:cs="Times New Roman"/>
                      <w:color w:val="000000" w:themeColor="text1"/>
                      <w:sz w:val="21"/>
                      <w:szCs w:val="21"/>
                      <w:highlight w:val="none"/>
                      <w:lang w:val="en-US" w:eastAsia="zh-CN"/>
                      <w14:textFill>
                        <w14:solidFill>
                          <w14:schemeClr w14:val="tx1"/>
                        </w14:solidFill>
                      </w14:textFill>
                    </w:rPr>
                    <w:t>9</w:t>
                  </w:r>
                </w:p>
              </w:tc>
              <w:tc>
                <w:tcPr>
                  <w:tcW w:w="793" w:type="pct"/>
                  <w:tcBorders>
                    <w:tl2br w:val="nil"/>
                    <w:tr2bl w:val="nil"/>
                  </w:tcBorders>
                  <w:noWrap w:val="0"/>
                  <w:vAlign w:val="center"/>
                </w:tcPr>
                <w:p w14:paraId="67D572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打碎废气</w:t>
                  </w:r>
                </w:p>
              </w:tc>
              <w:tc>
                <w:tcPr>
                  <w:tcW w:w="1234" w:type="pct"/>
                  <w:tcBorders>
                    <w:tl2br w:val="nil"/>
                    <w:tr2bl w:val="nil"/>
                  </w:tcBorders>
                  <w:noWrap w:val="0"/>
                  <w:vAlign w:val="center"/>
                </w:tcPr>
                <w:p w14:paraId="613252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2073" w:type="pct"/>
                  <w:vMerge w:val="restart"/>
                  <w:tcBorders>
                    <w:tl2br w:val="nil"/>
                    <w:tr2bl w:val="nil"/>
                  </w:tcBorders>
                  <w:noWrap w:val="0"/>
                  <w:vAlign w:val="center"/>
                </w:tcPr>
                <w:p w14:paraId="031FB8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上吸式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集气罩+布袋除尘器（TA00</w:t>
                  </w:r>
                  <w:r>
                    <w:rPr>
                      <w:rFonts w:hint="eastAsia"/>
                      <w:color w:val="000000" w:themeColor="text1"/>
                      <w:sz w:val="21"/>
                      <w:szCs w:val="21"/>
                      <w:highlight w:val="none"/>
                      <w:lang w:val="en-US" w:eastAsia="zh-CN"/>
                      <w14:textFill>
                        <w14:solidFill>
                          <w14:schemeClr w14:val="tx1"/>
                        </w14:solidFill>
                      </w14:textFill>
                    </w:rPr>
                    <w:t>2</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）处理后由不低于15m</w:t>
                  </w:r>
                  <w:r>
                    <w:rPr>
                      <w:rFonts w:hint="eastAsia"/>
                      <w:color w:val="000000" w:themeColor="text1"/>
                      <w:sz w:val="21"/>
                      <w:szCs w:val="21"/>
                      <w:highlight w:val="none"/>
                      <w:lang w:val="en-US" w:eastAsia="zh-CN"/>
                      <w14:textFill>
                        <w14:solidFill>
                          <w14:schemeClr w14:val="tx1"/>
                        </w14:solidFill>
                      </w14:textFill>
                    </w:rPr>
                    <w:t>高</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的排气筒（DA0</w:t>
                  </w:r>
                  <w:r>
                    <w:rPr>
                      <w:rFonts w:hint="eastAsia"/>
                      <w:color w:val="000000" w:themeColor="text1"/>
                      <w:sz w:val="21"/>
                      <w:szCs w:val="21"/>
                      <w:highlight w:val="none"/>
                      <w:lang w:val="en-US" w:eastAsia="zh-CN"/>
                      <w14:textFill>
                        <w14:solidFill>
                          <w14:schemeClr w14:val="tx1"/>
                        </w14:solidFill>
                      </w14:textFill>
                    </w:rPr>
                    <w:t>02</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）排放</w:t>
                  </w:r>
                </w:p>
              </w:tc>
            </w:tr>
            <w:tr w14:paraId="05EDCC0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0" w:type="pct"/>
                  <w:vMerge w:val="continue"/>
                  <w:tcBorders>
                    <w:tl2br w:val="nil"/>
                    <w:tr2bl w:val="nil"/>
                  </w:tcBorders>
                  <w:noWrap w:val="0"/>
                  <w:vAlign w:val="center"/>
                </w:tcPr>
                <w:p w14:paraId="30EABA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28" w:type="pct"/>
                  <w:tcBorders>
                    <w:tl2br w:val="nil"/>
                    <w:tr2bl w:val="nil"/>
                  </w:tcBorders>
                  <w:noWrap w:val="0"/>
                  <w:vAlign w:val="center"/>
                </w:tcPr>
                <w:p w14:paraId="3387AB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w:t>
                  </w:r>
                  <w:r>
                    <w:rPr>
                      <w:rFonts w:hint="eastAsia" w:cs="Times New Roman"/>
                      <w:color w:val="000000" w:themeColor="text1"/>
                      <w:sz w:val="21"/>
                      <w:szCs w:val="21"/>
                      <w:highlight w:val="none"/>
                      <w:lang w:val="en-US" w:eastAsia="zh-CN"/>
                      <w14:textFill>
                        <w14:solidFill>
                          <w14:schemeClr w14:val="tx1"/>
                        </w14:solidFill>
                      </w14:textFill>
                    </w:rPr>
                    <w:t>10</w:t>
                  </w:r>
                </w:p>
              </w:tc>
              <w:tc>
                <w:tcPr>
                  <w:tcW w:w="793" w:type="pct"/>
                  <w:tcBorders>
                    <w:tl2br w:val="nil"/>
                    <w:tr2bl w:val="nil"/>
                  </w:tcBorders>
                  <w:noWrap w:val="0"/>
                  <w:vAlign w:val="center"/>
                </w:tcPr>
                <w:p w14:paraId="1A08F0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除杂废气</w:t>
                  </w:r>
                </w:p>
              </w:tc>
              <w:tc>
                <w:tcPr>
                  <w:tcW w:w="1234" w:type="pct"/>
                  <w:tcBorders>
                    <w:tl2br w:val="nil"/>
                    <w:tr2bl w:val="nil"/>
                  </w:tcBorders>
                  <w:noWrap w:val="0"/>
                  <w:vAlign w:val="center"/>
                </w:tcPr>
                <w:p w14:paraId="1C4EDD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2073" w:type="pct"/>
                  <w:vMerge w:val="continue"/>
                  <w:tcBorders>
                    <w:tl2br w:val="nil"/>
                    <w:tr2bl w:val="nil"/>
                  </w:tcBorders>
                  <w:noWrap w:val="0"/>
                  <w:vAlign w:val="center"/>
                </w:tcPr>
                <w:p w14:paraId="2BE128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0EC4D8A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0" w:type="pct"/>
                  <w:vMerge w:val="continue"/>
                  <w:tcBorders>
                    <w:tl2br w:val="nil"/>
                    <w:tr2bl w:val="nil"/>
                  </w:tcBorders>
                  <w:noWrap w:val="0"/>
                  <w:vAlign w:val="center"/>
                </w:tcPr>
                <w:p w14:paraId="4C3287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28" w:type="pct"/>
                  <w:tcBorders>
                    <w:tl2br w:val="nil"/>
                    <w:tr2bl w:val="nil"/>
                  </w:tcBorders>
                  <w:noWrap w:val="0"/>
                  <w:vAlign w:val="center"/>
                </w:tcPr>
                <w:p w14:paraId="11DF3F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w:t>
                  </w:r>
                  <w:r>
                    <w:rPr>
                      <w:rFonts w:hint="eastAsia" w:cs="Times New Roman"/>
                      <w:color w:val="000000" w:themeColor="text1"/>
                      <w:sz w:val="21"/>
                      <w:szCs w:val="21"/>
                      <w:highlight w:val="none"/>
                      <w:lang w:val="en-US" w:eastAsia="zh-CN"/>
                      <w14:textFill>
                        <w14:solidFill>
                          <w14:schemeClr w14:val="tx1"/>
                        </w14:solidFill>
                      </w14:textFill>
                    </w:rPr>
                    <w:t>11</w:t>
                  </w:r>
                </w:p>
              </w:tc>
              <w:tc>
                <w:tcPr>
                  <w:tcW w:w="793" w:type="pct"/>
                  <w:tcBorders>
                    <w:tl2br w:val="nil"/>
                    <w:tr2bl w:val="nil"/>
                  </w:tcBorders>
                  <w:noWrap w:val="0"/>
                  <w:vAlign w:val="center"/>
                </w:tcPr>
                <w:p w14:paraId="68BE0A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粉碎废气</w:t>
                  </w:r>
                </w:p>
              </w:tc>
              <w:tc>
                <w:tcPr>
                  <w:tcW w:w="1234" w:type="pct"/>
                  <w:tcBorders>
                    <w:tl2br w:val="nil"/>
                    <w:tr2bl w:val="nil"/>
                  </w:tcBorders>
                  <w:noWrap w:val="0"/>
                  <w:vAlign w:val="center"/>
                </w:tcPr>
                <w:p w14:paraId="61D3EC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2073" w:type="pct"/>
                  <w:vMerge w:val="continue"/>
                  <w:tcBorders>
                    <w:tl2br w:val="nil"/>
                    <w:tr2bl w:val="nil"/>
                  </w:tcBorders>
                  <w:noWrap w:val="0"/>
                  <w:vAlign w:val="center"/>
                </w:tcPr>
                <w:p w14:paraId="5667B8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3A3A1F1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tcBorders>
                    <w:tl2br w:val="nil"/>
                    <w:tr2bl w:val="nil"/>
                  </w:tcBorders>
                  <w:noWrap w:val="0"/>
                  <w:vAlign w:val="center"/>
                </w:tcPr>
                <w:p w14:paraId="344F71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废水</w:t>
                  </w:r>
                </w:p>
              </w:tc>
              <w:tc>
                <w:tcPr>
                  <w:tcW w:w="428" w:type="pct"/>
                  <w:tcBorders>
                    <w:tl2br w:val="nil"/>
                    <w:tr2bl w:val="nil"/>
                  </w:tcBorders>
                  <w:noWrap w:val="0"/>
                  <w:vAlign w:val="center"/>
                </w:tcPr>
                <w:p w14:paraId="750EF3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W1</w:t>
                  </w:r>
                  <w:r>
                    <w:rPr>
                      <w:rFonts w:hint="eastAsia"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w:t>
                  </w:r>
                </w:p>
              </w:tc>
              <w:tc>
                <w:tcPr>
                  <w:tcW w:w="793" w:type="pct"/>
                  <w:tcBorders>
                    <w:tl2br w:val="nil"/>
                    <w:tr2bl w:val="nil"/>
                  </w:tcBorders>
                  <w:noWrap w:val="0"/>
                  <w:vAlign w:val="center"/>
                </w:tcPr>
                <w:p w14:paraId="13CA00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废水</w:t>
                  </w:r>
                </w:p>
              </w:tc>
              <w:tc>
                <w:tcPr>
                  <w:tcW w:w="1234" w:type="pct"/>
                  <w:tcBorders>
                    <w:tl2br w:val="nil"/>
                    <w:tr2bl w:val="nil"/>
                  </w:tcBorders>
                  <w:noWrap w:val="0"/>
                  <w:vAlign w:val="center"/>
                </w:tcPr>
                <w:p w14:paraId="379BB8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pH值、动植物油、总有机碳</w:t>
                  </w:r>
                  <w:r>
                    <w:rPr>
                      <w:rFonts w:hint="eastAsia" w:eastAsia="宋体" w:cs="Times New Roman"/>
                      <w:color w:val="000000" w:themeColor="text1"/>
                      <w:sz w:val="21"/>
                      <w:szCs w:val="21"/>
                      <w:highlight w:val="none"/>
                      <w:lang w:val="en-US" w:eastAsia="zh-CN"/>
                      <w14:textFill>
                        <w14:solidFill>
                          <w14:schemeClr w14:val="tx1"/>
                        </w14:solidFill>
                      </w14:textFill>
                    </w:rPr>
                    <w:t>、色度、悬浮物、五日生化需氧量、化学需氧量、氨氮、总氮、总磷、总氰化物</w:t>
                  </w:r>
                </w:p>
              </w:tc>
              <w:tc>
                <w:tcPr>
                  <w:tcW w:w="2073" w:type="pct"/>
                  <w:tcBorders>
                    <w:tl2br w:val="nil"/>
                    <w:tr2bl w:val="nil"/>
                  </w:tcBorders>
                  <w:noWrap w:val="0"/>
                  <w:vAlign w:val="center"/>
                </w:tcPr>
                <w:p w14:paraId="4CB25F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kern w:val="0"/>
                      <w:sz w:val="21"/>
                      <w:szCs w:val="21"/>
                      <w:highlight w:val="none"/>
                      <w:u w:val="none"/>
                      <w:lang w:val="en-US" w:eastAsia="zh-CN"/>
                      <w14:textFill>
                        <w14:solidFill>
                          <w14:schemeClr w14:val="tx1"/>
                        </w14:solidFill>
                      </w14:textFill>
                    </w:rPr>
                  </w:pPr>
                  <w:r>
                    <w:rPr>
                      <w:rFonts w:hint="eastAsia" w:ascii="Times New Roman" w:hAnsi="Times New Roman" w:eastAsia="新宋体" w:cs="Times New Roman"/>
                      <w:color w:val="000000" w:themeColor="text1"/>
                      <w:sz w:val="21"/>
                      <w:szCs w:val="21"/>
                      <w:highlight w:val="none"/>
                      <w:lang w:eastAsia="zh-CN"/>
                      <w14:textFill>
                        <w14:solidFill>
                          <w14:schemeClr w14:val="tx1"/>
                        </w14:solidFill>
                      </w14:textFill>
                    </w:rPr>
                    <w:t>废水进入厂内污水处理站进行处理，处理达标后，排入厂区污水管网后排入高新区市政管网最终排入</w:t>
                  </w:r>
                  <w:r>
                    <w:rPr>
                      <w:rFonts w:hint="eastAsia" w:cs="Times New Roman"/>
                      <w:color w:val="000000" w:themeColor="text1"/>
                      <w:sz w:val="21"/>
                      <w:szCs w:val="21"/>
                      <w:highlight w:val="none"/>
                      <w:lang w:eastAsia="zh-CN"/>
                      <w14:textFill>
                        <w14:solidFill>
                          <w14:schemeClr w14:val="tx1"/>
                        </w14:solidFill>
                      </w14:textFill>
                    </w:rPr>
                    <w:t>石桥子污水处理厂</w:t>
                  </w:r>
                  <w:r>
                    <w:rPr>
                      <w:rFonts w:hint="eastAsia" w:ascii="Times New Roman" w:hAnsi="Times New Roman" w:eastAsia="新宋体" w:cs="Times New Roman"/>
                      <w:color w:val="000000" w:themeColor="text1"/>
                      <w:sz w:val="21"/>
                      <w:szCs w:val="21"/>
                      <w:highlight w:val="none"/>
                      <w:lang w:eastAsia="zh-CN"/>
                      <w14:textFill>
                        <w14:solidFill>
                          <w14:schemeClr w14:val="tx1"/>
                        </w14:solidFill>
                      </w14:textFill>
                    </w:rPr>
                    <w:t>。</w:t>
                  </w:r>
                </w:p>
              </w:tc>
            </w:tr>
            <w:tr w14:paraId="287780D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vMerge w:val="restart"/>
                  <w:tcBorders>
                    <w:tl2br w:val="nil"/>
                    <w:tr2bl w:val="nil"/>
                  </w:tcBorders>
                  <w:noWrap w:val="0"/>
                  <w:vAlign w:val="center"/>
                </w:tcPr>
                <w:p w14:paraId="032762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固废</w:t>
                  </w:r>
                </w:p>
              </w:tc>
              <w:tc>
                <w:tcPr>
                  <w:tcW w:w="428" w:type="pct"/>
                  <w:tcBorders>
                    <w:tl2br w:val="nil"/>
                    <w:tr2bl w:val="nil"/>
                  </w:tcBorders>
                  <w:noWrap w:val="0"/>
                  <w:vAlign w:val="center"/>
                </w:tcPr>
                <w:p w14:paraId="40ADAE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S1</w:t>
                  </w:r>
                </w:p>
              </w:tc>
              <w:tc>
                <w:tcPr>
                  <w:tcW w:w="793" w:type="pct"/>
                  <w:tcBorders>
                    <w:tl2br w:val="nil"/>
                    <w:tr2bl w:val="nil"/>
                  </w:tcBorders>
                  <w:noWrap w:val="0"/>
                  <w:vAlign w:val="center"/>
                </w:tcPr>
                <w:p w14:paraId="34FCD6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净制</w:t>
                  </w:r>
                </w:p>
              </w:tc>
              <w:tc>
                <w:tcPr>
                  <w:tcW w:w="1234" w:type="pct"/>
                  <w:vMerge w:val="restart"/>
                  <w:tcBorders>
                    <w:tl2br w:val="nil"/>
                    <w:tr2bl w:val="nil"/>
                  </w:tcBorders>
                  <w:noWrap w:val="0"/>
                  <w:vAlign w:val="center"/>
                </w:tcPr>
                <w:p w14:paraId="2A31D5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分拣废渣</w:t>
                  </w:r>
                </w:p>
              </w:tc>
              <w:tc>
                <w:tcPr>
                  <w:tcW w:w="2073" w:type="pct"/>
                  <w:vMerge w:val="restart"/>
                  <w:tcBorders>
                    <w:tl2br w:val="nil"/>
                    <w:tr2bl w:val="nil"/>
                  </w:tcBorders>
                  <w:noWrap w:val="0"/>
                  <w:vAlign w:val="center"/>
                </w:tcPr>
                <w:p w14:paraId="655664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u w:val="none"/>
                      <w:lang w:val="en-US" w:eastAsia="zh-CN"/>
                      <w14:textFill>
                        <w14:solidFill>
                          <w14:schemeClr w14:val="tx1"/>
                        </w14:solidFill>
                      </w14:textFill>
                    </w:rPr>
                    <w:t>集中收集后暂存于一般固废暂存区，交由有利用、处置能力的企业依法依规进行利用处置。</w:t>
                  </w:r>
                </w:p>
              </w:tc>
            </w:tr>
            <w:tr w14:paraId="33807F6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vMerge w:val="continue"/>
                  <w:tcBorders>
                    <w:tl2br w:val="nil"/>
                    <w:tr2bl w:val="nil"/>
                  </w:tcBorders>
                  <w:noWrap w:val="0"/>
                  <w:vAlign w:val="center"/>
                </w:tcPr>
                <w:p w14:paraId="0AA847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28" w:type="pct"/>
                  <w:tcBorders>
                    <w:tl2br w:val="nil"/>
                    <w:tr2bl w:val="nil"/>
                  </w:tcBorders>
                  <w:noWrap w:val="0"/>
                  <w:vAlign w:val="center"/>
                </w:tcPr>
                <w:p w14:paraId="1C4ADC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w:t>
                  </w:r>
                  <w:r>
                    <w:rPr>
                      <w:rFonts w:hint="eastAsia" w:cs="Times New Roman"/>
                      <w:color w:val="000000" w:themeColor="text1"/>
                      <w:sz w:val="21"/>
                      <w:szCs w:val="21"/>
                      <w:highlight w:val="none"/>
                      <w:lang w:val="en-US" w:eastAsia="zh-CN"/>
                      <w14:textFill>
                        <w14:solidFill>
                          <w14:schemeClr w14:val="tx1"/>
                        </w14:solidFill>
                      </w14:textFill>
                    </w:rPr>
                    <w:t>2</w:t>
                  </w:r>
                </w:p>
              </w:tc>
              <w:tc>
                <w:tcPr>
                  <w:tcW w:w="793" w:type="pct"/>
                  <w:tcBorders>
                    <w:tl2br w:val="nil"/>
                    <w:tr2bl w:val="nil"/>
                  </w:tcBorders>
                  <w:noWrap w:val="0"/>
                  <w:vAlign w:val="center"/>
                </w:tcPr>
                <w:p w14:paraId="5ABB0A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拣选</w:t>
                  </w:r>
                </w:p>
              </w:tc>
              <w:tc>
                <w:tcPr>
                  <w:tcW w:w="1234" w:type="pct"/>
                  <w:vMerge w:val="continue"/>
                  <w:tcBorders>
                    <w:tl2br w:val="nil"/>
                    <w:tr2bl w:val="nil"/>
                  </w:tcBorders>
                  <w:noWrap w:val="0"/>
                  <w:vAlign w:val="center"/>
                </w:tcPr>
                <w:p w14:paraId="60312A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073" w:type="pct"/>
                  <w:vMerge w:val="continue"/>
                  <w:tcBorders>
                    <w:tl2br w:val="nil"/>
                    <w:tr2bl w:val="nil"/>
                  </w:tcBorders>
                  <w:noWrap w:val="0"/>
                  <w:vAlign w:val="center"/>
                </w:tcPr>
                <w:p w14:paraId="3C0784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pPr>
                </w:p>
              </w:tc>
            </w:tr>
            <w:tr w14:paraId="7D7A83E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vMerge w:val="continue"/>
                  <w:tcBorders>
                    <w:tl2br w:val="nil"/>
                    <w:tr2bl w:val="nil"/>
                  </w:tcBorders>
                  <w:noWrap w:val="0"/>
                  <w:vAlign w:val="center"/>
                </w:tcPr>
                <w:p w14:paraId="5D0A0C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28" w:type="pct"/>
                  <w:tcBorders>
                    <w:tl2br w:val="nil"/>
                    <w:tr2bl w:val="nil"/>
                  </w:tcBorders>
                  <w:noWrap w:val="0"/>
                  <w:vAlign w:val="center"/>
                </w:tcPr>
                <w:p w14:paraId="294741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w:t>
                  </w:r>
                  <w:r>
                    <w:rPr>
                      <w:rFonts w:hint="eastAsia" w:cs="Times New Roman"/>
                      <w:color w:val="000000" w:themeColor="text1"/>
                      <w:sz w:val="21"/>
                      <w:szCs w:val="21"/>
                      <w:highlight w:val="none"/>
                      <w:lang w:val="en-US" w:eastAsia="zh-CN"/>
                      <w14:textFill>
                        <w14:solidFill>
                          <w14:schemeClr w14:val="tx1"/>
                        </w14:solidFill>
                      </w14:textFill>
                    </w:rPr>
                    <w:t>2</w:t>
                  </w:r>
                </w:p>
              </w:tc>
              <w:tc>
                <w:tcPr>
                  <w:tcW w:w="793" w:type="pct"/>
                  <w:tcBorders>
                    <w:tl2br w:val="nil"/>
                    <w:tr2bl w:val="nil"/>
                  </w:tcBorders>
                  <w:noWrap w:val="0"/>
                  <w:vAlign w:val="center"/>
                </w:tcPr>
                <w:p w14:paraId="3BF5A6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检验</w:t>
                  </w:r>
                </w:p>
              </w:tc>
              <w:tc>
                <w:tcPr>
                  <w:tcW w:w="1234" w:type="pct"/>
                  <w:tcBorders>
                    <w:tl2br w:val="nil"/>
                    <w:tr2bl w:val="nil"/>
                  </w:tcBorders>
                  <w:noWrap w:val="0"/>
                  <w:vAlign w:val="center"/>
                </w:tcPr>
                <w:p w14:paraId="5E36DB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化学检验废液</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cs="Times New Roman"/>
                      <w:b w:val="0"/>
                      <w:bCs w:val="0"/>
                      <w:color w:val="000000" w:themeColor="text1"/>
                      <w:sz w:val="21"/>
                      <w:szCs w:val="21"/>
                      <w:highlight w:val="none"/>
                      <w:lang w:eastAsia="zh-CN"/>
                      <w14:textFill>
                        <w14:solidFill>
                          <w14:schemeClr w14:val="tx1"/>
                        </w14:solidFill>
                      </w14:textFill>
                    </w:rPr>
                    <w:t>废化学试剂瓶</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、废弃薄层板</w:t>
                  </w:r>
                  <w:r>
                    <w:rPr>
                      <w:rFonts w:hint="default"/>
                      <w:color w:val="000000" w:themeColor="text1"/>
                      <w:highlight w:val="none"/>
                      <w14:textFill>
                        <w14:solidFill>
                          <w14:schemeClr w14:val="tx1"/>
                        </w14:solidFill>
                      </w14:textFill>
                    </w:rPr>
                    <w:t>、</w:t>
                  </w:r>
                  <w:r>
                    <w:rPr>
                      <w:rFonts w:hint="eastAsia"/>
                      <w:color w:val="000000" w:themeColor="text1"/>
                      <w:highlight w:val="none"/>
                      <w:lang w:eastAsia="zh-CN"/>
                      <w14:textFill>
                        <w14:solidFill>
                          <w14:schemeClr w14:val="tx1"/>
                        </w14:solidFill>
                      </w14:textFill>
                    </w:rPr>
                    <w:t>废试药</w:t>
                  </w:r>
                </w:p>
              </w:tc>
              <w:tc>
                <w:tcPr>
                  <w:tcW w:w="2073" w:type="pct"/>
                  <w:tcBorders>
                    <w:tl2br w:val="nil"/>
                    <w:tr2bl w:val="nil"/>
                  </w:tcBorders>
                  <w:noWrap w:val="0"/>
                  <w:vAlign w:val="center"/>
                </w:tcPr>
                <w:p w14:paraId="76DABF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t>依托现有危废贮存</w:t>
                  </w:r>
                  <w:r>
                    <w:rPr>
                      <w:rFonts w:hint="eastAsia" w:eastAsia="宋体" w:cs="Times New Roman"/>
                      <w:color w:val="000000" w:themeColor="text1"/>
                      <w:sz w:val="21"/>
                      <w:szCs w:val="21"/>
                      <w:highlight w:val="none"/>
                      <w:u w:val="none"/>
                      <w:lang w:val="en-US" w:eastAsia="zh-CN"/>
                      <w14:textFill>
                        <w14:solidFill>
                          <w14:schemeClr w14:val="tx1"/>
                        </w14:solidFill>
                      </w14:textFill>
                    </w:rPr>
                    <w:t>库</w:t>
                  </w:r>
                  <w:r>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t>暂存，定期委托有资质单位处置。</w:t>
                  </w:r>
                </w:p>
              </w:tc>
            </w:tr>
            <w:tr w14:paraId="448D49F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tcBorders>
                    <w:tl2br w:val="nil"/>
                    <w:tr2bl w:val="nil"/>
                  </w:tcBorders>
                  <w:noWrap w:val="0"/>
                  <w:vAlign w:val="center"/>
                </w:tcPr>
                <w:p w14:paraId="5F9A25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噪声</w:t>
                  </w:r>
                </w:p>
              </w:tc>
              <w:tc>
                <w:tcPr>
                  <w:tcW w:w="428" w:type="pct"/>
                  <w:tcBorders>
                    <w:tl2br w:val="nil"/>
                    <w:tr2bl w:val="nil"/>
                  </w:tcBorders>
                  <w:noWrap w:val="0"/>
                  <w:vAlign w:val="center"/>
                </w:tcPr>
                <w:p w14:paraId="06A60D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N</w:t>
                  </w:r>
                </w:p>
              </w:tc>
              <w:tc>
                <w:tcPr>
                  <w:tcW w:w="2027" w:type="pct"/>
                  <w:gridSpan w:val="2"/>
                  <w:tcBorders>
                    <w:tl2br w:val="nil"/>
                    <w:tr2bl w:val="nil"/>
                  </w:tcBorders>
                  <w:noWrap w:val="0"/>
                  <w:vAlign w:val="center"/>
                </w:tcPr>
                <w:p w14:paraId="19B2CD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各种设备运转噪声</w:t>
                  </w:r>
                </w:p>
              </w:tc>
              <w:tc>
                <w:tcPr>
                  <w:tcW w:w="2073" w:type="pct"/>
                  <w:tcBorders>
                    <w:tl2br w:val="nil"/>
                    <w:tr2bl w:val="nil"/>
                  </w:tcBorders>
                  <w:noWrap w:val="0"/>
                  <w:vAlign w:val="center"/>
                </w:tcPr>
                <w:p w14:paraId="6B9BFC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低噪声设备选型、基础减振、建筑隔声</w:t>
                  </w:r>
                </w:p>
              </w:tc>
            </w:tr>
          </w:tbl>
          <w:p w14:paraId="19646DF3">
            <w:pPr>
              <w:keepNext w:val="0"/>
              <w:keepLines w:val="0"/>
              <w:widowControl/>
              <w:suppressLineNumbers w:val="0"/>
              <w:adjustRightInd w:val="0"/>
              <w:snapToGrid w:val="0"/>
              <w:spacing w:before="93" w:beforeLines="30" w:beforeAutospacing="0" w:after="93" w:afterLines="30" w:afterAutospacing="0" w:line="360" w:lineRule="auto"/>
              <w:ind w:left="0" w:right="0"/>
              <w:jc w:val="left"/>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t>1.2.</w:t>
            </w:r>
            <w:r>
              <w:rPr>
                <w:rFonts w:hint="eastAsia" w:cs="Times New Roman"/>
                <w:b/>
                <w:bCs/>
                <w:color w:val="000000" w:themeColor="text1"/>
                <w:kern w:val="0"/>
                <w:sz w:val="24"/>
                <w:szCs w:val="24"/>
                <w:highlight w:val="none"/>
                <w:lang w:val="en-US" w:eastAsia="zh-CN" w:bidi="en-US"/>
                <w14:textFill>
                  <w14:solidFill>
                    <w14:schemeClr w14:val="tx1"/>
                  </w14:solidFill>
                </w14:textFill>
              </w:rPr>
              <w:t>6</w:t>
            </w:r>
            <w:r>
              <w:rPr>
                <w:rFonts w:hint="default"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t xml:space="preserve"> </w:t>
            </w:r>
            <w:r>
              <w:rPr>
                <w:rFonts w:hint="eastAsia"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t>创新制剂车间</w:t>
            </w:r>
            <w:r>
              <w:rPr>
                <w:rFonts w:hint="default"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t>工艺</w:t>
            </w:r>
            <w:r>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t>流程简述：</w:t>
            </w:r>
          </w:p>
          <w:p w14:paraId="23B34BB6">
            <w:pPr>
              <w:keepNext w:val="0"/>
              <w:keepLines w:val="0"/>
              <w:widowControl/>
              <w:suppressLineNumbers w:val="0"/>
              <w:adjustRightInd w:val="0"/>
              <w:snapToGrid w:val="0"/>
              <w:spacing w:before="93" w:beforeLines="30" w:beforeAutospacing="0" w:after="93" w:afterLines="30" w:afterAutospacing="0" w:line="360" w:lineRule="auto"/>
              <w:ind w:left="0" w:right="0"/>
              <w:jc w:val="center"/>
              <w:rPr>
                <w:rFonts w:hint="eastAsia"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pPr>
            <w:r>
              <w:rPr>
                <w:rFonts w:hint="eastAsia"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drawing>
                <wp:inline distT="0" distB="0" distL="114300" distR="114300">
                  <wp:extent cx="4867275" cy="7277100"/>
                  <wp:effectExtent l="0" t="0" r="9525" b="0"/>
                  <wp:docPr id="339" name="图片 33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图片 339" descr="3"/>
                          <pic:cNvPicPr>
                            <a:picLocks noChangeAspect="1"/>
                          </pic:cNvPicPr>
                        </pic:nvPicPr>
                        <pic:blipFill>
                          <a:blip r:embed="rId21"/>
                          <a:stretch>
                            <a:fillRect/>
                          </a:stretch>
                        </pic:blipFill>
                        <pic:spPr>
                          <a:xfrm>
                            <a:off x="0" y="0"/>
                            <a:ext cx="4867275" cy="7277100"/>
                          </a:xfrm>
                          <a:prstGeom prst="rect">
                            <a:avLst/>
                          </a:prstGeom>
                        </pic:spPr>
                      </pic:pic>
                    </a:graphicData>
                  </a:graphic>
                </wp:inline>
              </w:drawing>
            </w:r>
          </w:p>
          <w:p w14:paraId="2DE9861E">
            <w:pPr>
              <w:keepNext w:val="0"/>
              <w:keepLines w:val="0"/>
              <w:numPr>
                <w:ilvl w:val="0"/>
                <w:numId w:val="16"/>
              </w:numPr>
              <w:suppressLineNumbers w:val="0"/>
              <w:snapToGrid w:val="0"/>
              <w:spacing w:before="0" w:beforeLines="0" w:beforeAutospacing="0" w:after="0" w:afterLines="0" w:afterAutospacing="0"/>
              <w:ind w:left="0" w:leftChars="0" w:right="0" w:rightChars="0" w:firstLine="0" w:firstLineChars="0"/>
              <w:jc w:val="center"/>
              <w:rPr>
                <w:rFonts w:hint="eastAsia"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 xml:space="preserve">  </w:t>
            </w:r>
            <w:r>
              <w:rPr>
                <w:rFonts w:hint="eastAsia"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t>创新制剂车间</w:t>
            </w:r>
            <w:r>
              <w:rPr>
                <w:rFonts w:hint="eastAsia" w:cs="Times New Roman"/>
                <w:b/>
                <w:bCs/>
                <w:color w:val="000000" w:themeColor="text1"/>
                <w:sz w:val="24"/>
                <w:szCs w:val="24"/>
                <w:highlight w:val="none"/>
                <w:lang w:val="en-US" w:eastAsia="zh-CN"/>
                <w14:textFill>
                  <w14:solidFill>
                    <w14:schemeClr w14:val="tx1"/>
                  </w14:solidFill>
                </w14:textFill>
              </w:rPr>
              <w:t>工艺流程及产污节点图</w:t>
            </w:r>
          </w:p>
          <w:p w14:paraId="7D7B4905">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jc w:val="left"/>
              <w:textAlignment w:val="auto"/>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kern w:val="0"/>
                <w:sz w:val="24"/>
                <w:szCs w:val="24"/>
                <w:highlight w:val="none"/>
                <w:lang w:eastAsia="zh-CN" w:bidi="en-US"/>
                <w14:textFill>
                  <w14:solidFill>
                    <w14:schemeClr w14:val="tx1"/>
                  </w14:solidFill>
                </w14:textFill>
              </w:rPr>
              <w:t>（</w:t>
            </w:r>
            <w:r>
              <w:rPr>
                <w:rFonts w:hint="eastAsia" w:cs="Times New Roman"/>
                <w:b/>
                <w:bCs/>
                <w:color w:val="000000" w:themeColor="text1"/>
                <w:kern w:val="0"/>
                <w:sz w:val="24"/>
                <w:szCs w:val="24"/>
                <w:highlight w:val="none"/>
                <w:lang w:val="en-US" w:eastAsia="zh-CN" w:bidi="en-US"/>
                <w14:textFill>
                  <w14:solidFill>
                    <w14:schemeClr w14:val="tx1"/>
                  </w14:solidFill>
                </w14:textFill>
              </w:rPr>
              <w:t>1</w:t>
            </w:r>
            <w:r>
              <w:rPr>
                <w:rFonts w:hint="eastAsia" w:cs="Times New Roman"/>
                <w:b/>
                <w:bCs/>
                <w:color w:val="000000" w:themeColor="text1"/>
                <w:kern w:val="0"/>
                <w:sz w:val="24"/>
                <w:szCs w:val="24"/>
                <w:highlight w:val="none"/>
                <w:lang w:eastAsia="zh-CN" w:bidi="en-US"/>
                <w14:textFill>
                  <w14:solidFill>
                    <w14:schemeClr w14:val="tx1"/>
                  </w14:solidFill>
                </w14:textFill>
              </w:rPr>
              <w:t>）</w:t>
            </w:r>
            <w:r>
              <w:rPr>
                <w:rFonts w:hint="eastAsia"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t>创新制剂车间</w:t>
            </w:r>
            <w:r>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t>工艺流程简述：</w:t>
            </w:r>
          </w:p>
          <w:p w14:paraId="1492D474">
            <w:pPr>
              <w:keepNext/>
              <w:keepLines w:val="0"/>
              <w:suppressLineNumbers w:val="0"/>
              <w:spacing w:before="0" w:beforeAutospacing="0" w:after="0" w:afterAutospacing="0" w:line="360" w:lineRule="auto"/>
              <w:ind w:left="0" w:right="0" w:firstLine="482" w:firstLineChars="200"/>
              <w:outlineLvl w:val="0"/>
              <w:rPr>
                <w:rFonts w:hint="eastAsia"/>
                <w:color w:val="000000" w:themeColor="text1"/>
                <w:sz w:val="24"/>
                <w:szCs w:val="24"/>
                <w:highlight w:val="none"/>
                <w:lang w:val="en-US"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①称量配料</w:t>
            </w:r>
            <w:r>
              <w:rPr>
                <w:rFonts w:hint="eastAsia"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w:t>
            </w:r>
            <w:r>
              <w:rPr>
                <w:rFonts w:hint="eastAsia" w:eastAsia="宋体" w:cs="Times New Roman" w:asciiTheme="minorEastAsia" w:hAnsiTheme="minorEastAsia"/>
                <w:color w:val="000000" w:themeColor="text1"/>
                <w:sz w:val="24"/>
                <w:highlight w:val="none"/>
                <w:lang w:val="en-US" w:eastAsia="zh-CN"/>
                <w14:textFill>
                  <w14:solidFill>
                    <w14:schemeClr w14:val="tx1"/>
                  </w14:solidFill>
                </w14:textFill>
              </w:rPr>
              <w:t>根据产品配方将参百灵药膏、表实感冒药膏、暑湿感冒药膏、散痈解毒药膏、经典名方药膏、气滞胃痛药膏、阴虚胃痛药膏、寒湿痹药膏、尪痹药膏、蔗糖、糊精、玉米粉</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和软化水</w:t>
            </w:r>
            <w:r>
              <w:rPr>
                <w:rFonts w:hint="eastAsia" w:eastAsia="宋体" w:cs="Times New Roman" w:asciiTheme="minorEastAsia" w:hAnsiTheme="minorEastAsia"/>
                <w:color w:val="000000" w:themeColor="text1"/>
                <w:sz w:val="24"/>
                <w:highlight w:val="none"/>
                <w:lang w:val="en-US" w:eastAsia="zh-CN"/>
                <w14:textFill>
                  <w14:solidFill>
                    <w14:schemeClr w14:val="tx1"/>
                  </w14:solidFill>
                </w14:textFill>
              </w:rPr>
              <w:t>进行称量配料，称量配料过程中产生的粉尘经负压称量室集气系统收集后，</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与车间空调排风系统连接，产生的少量粉尘无组织排放，</w:t>
            </w:r>
            <w:r>
              <w:rPr>
                <w:rFonts w:hint="eastAsia" w:cs="Times New Roman"/>
                <w:b w:val="0"/>
                <w:bCs/>
                <w:color w:val="000000" w:themeColor="text1"/>
                <w:sz w:val="24"/>
                <w:szCs w:val="24"/>
                <w:highlight w:val="none"/>
                <w:lang w:val="en-US" w:eastAsia="zh-CN"/>
                <w14:textFill>
                  <w14:solidFill>
                    <w14:schemeClr w14:val="tx1"/>
                  </w14:solidFill>
                </w14:textFill>
              </w:rPr>
              <w:t>此过程</w:t>
            </w:r>
            <w:r>
              <w:rPr>
                <w:rFonts w:hint="eastAsia"/>
                <w:color w:val="000000" w:themeColor="text1"/>
                <w:sz w:val="24"/>
                <w:szCs w:val="24"/>
                <w:highlight w:val="none"/>
                <w:lang w:val="en-US" w:eastAsia="zh-CN"/>
                <w14:textFill>
                  <w14:solidFill>
                    <w14:schemeClr w14:val="tx1"/>
                  </w14:solidFill>
                </w14:textFill>
              </w:rPr>
              <w:t>产生的污染物主要为G1（</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颗粒物</w:t>
            </w:r>
            <w:r>
              <w:rPr>
                <w:rFonts w:hint="eastAsia"/>
                <w:color w:val="000000" w:themeColor="text1"/>
                <w:sz w:val="24"/>
                <w:szCs w:val="24"/>
                <w:highlight w:val="none"/>
                <w:lang w:val="en-US" w:eastAsia="zh-CN"/>
                <w14:textFill>
                  <w14:solidFill>
                    <w14:schemeClr w14:val="tx1"/>
                  </w14:solidFill>
                </w14:textFill>
              </w:rPr>
              <w:t>）、N（设备噪声）。</w:t>
            </w:r>
          </w:p>
          <w:p w14:paraId="6042E1AE">
            <w:pPr>
              <w:keepNext/>
              <w:keepLines w:val="0"/>
              <w:suppressLineNumbers w:val="0"/>
              <w:spacing w:before="0" w:beforeAutospacing="0" w:after="0" w:afterAutospacing="0" w:line="360" w:lineRule="auto"/>
              <w:ind w:left="0" w:right="0" w:firstLine="482" w:firstLineChars="200"/>
              <w:outlineLvl w:val="0"/>
              <w:rPr>
                <w:rFonts w:hint="eastAsia"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②制粒：</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采用</w:t>
            </w:r>
            <w:r>
              <w:rPr>
                <w:rFonts w:hint="eastAsia" w:cs="Times New Roman"/>
                <w:b w:val="0"/>
                <w:bCs/>
                <w:color w:val="000000" w:themeColor="text1"/>
                <w:sz w:val="24"/>
                <w:szCs w:val="24"/>
                <w:highlight w:val="none"/>
                <w:lang w:val="en-US" w:eastAsia="zh-CN"/>
                <w14:textFill>
                  <w14:solidFill>
                    <w14:schemeClr w14:val="tx1"/>
                  </w14:solidFill>
                </w14:textFill>
              </w:rPr>
              <w:t>干法</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制粒机进行制粒，制粒后进入选粒工序，项目制粒机</w:t>
            </w:r>
            <w:r>
              <w:rPr>
                <w:rFonts w:hint="eastAsia" w:cs="Times New Roman"/>
                <w:b w:val="0"/>
                <w:bCs/>
                <w:color w:val="000000" w:themeColor="text1"/>
                <w:sz w:val="24"/>
                <w:szCs w:val="24"/>
                <w:highlight w:val="none"/>
                <w:lang w:val="en-US" w:eastAsia="zh-CN"/>
                <w14:textFill>
                  <w14:solidFill>
                    <w14:schemeClr w14:val="tx1"/>
                  </w14:solidFill>
                </w14:textFill>
              </w:rPr>
              <w:t>为密闭结构，</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制粒机</w:t>
            </w:r>
            <w:r>
              <w:rPr>
                <w:rFonts w:hint="eastAsia" w:cs="Times New Roman"/>
                <w:b w:val="0"/>
                <w:bCs/>
                <w:color w:val="000000" w:themeColor="text1"/>
                <w:sz w:val="24"/>
                <w:szCs w:val="24"/>
                <w:highlight w:val="none"/>
                <w:lang w:val="en-US" w:eastAsia="zh-CN"/>
                <w14:textFill>
                  <w14:solidFill>
                    <w14:schemeClr w14:val="tx1"/>
                  </w14:solidFill>
                </w14:textFill>
              </w:rPr>
              <w:t>进料口为负压进料，出料口与</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整粒机</w:t>
            </w:r>
            <w:r>
              <w:rPr>
                <w:rFonts w:hint="eastAsia" w:cs="Times New Roman"/>
                <w:b w:val="0"/>
                <w:bCs/>
                <w:color w:val="000000" w:themeColor="text1"/>
                <w:sz w:val="24"/>
                <w:szCs w:val="24"/>
                <w:highlight w:val="none"/>
                <w:lang w:val="en-US" w:eastAsia="zh-CN"/>
                <w14:textFill>
                  <w14:solidFill>
                    <w14:schemeClr w14:val="tx1"/>
                  </w14:solidFill>
                </w14:textFill>
              </w:rPr>
              <w:t>由密闭管道连接，</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制粒</w:t>
            </w:r>
            <w:r>
              <w:rPr>
                <w:rFonts w:hint="eastAsia" w:cs="Times New Roman"/>
                <w:b w:val="0"/>
                <w:bCs/>
                <w:color w:val="000000" w:themeColor="text1"/>
                <w:sz w:val="24"/>
                <w:szCs w:val="24"/>
                <w:highlight w:val="none"/>
                <w:lang w:val="en-US" w:eastAsia="zh-CN"/>
                <w14:textFill>
                  <w14:solidFill>
                    <w14:schemeClr w14:val="tx1"/>
                  </w14:solidFill>
                </w14:textFill>
              </w:rPr>
              <w:t>产生的粉尘经呼吸口处捕集袋除尘后，与集气系统连接，</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经</w:t>
            </w:r>
            <w:r>
              <w:rPr>
                <w:rFonts w:hint="eastAsia" w:cs="Times New Roman"/>
                <w:b w:val="0"/>
                <w:bCs/>
                <w:color w:val="000000" w:themeColor="text1"/>
                <w:sz w:val="24"/>
                <w:szCs w:val="24"/>
                <w:highlight w:val="none"/>
                <w:lang w:val="en-US" w:eastAsia="zh-CN"/>
                <w14:textFill>
                  <w14:solidFill>
                    <w14:schemeClr w14:val="tx1"/>
                  </w14:solidFill>
                </w14:textFill>
              </w:rPr>
              <w:t>旋风除尘器</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（TA02</w:t>
            </w:r>
            <w:r>
              <w:rPr>
                <w:rFonts w:hint="eastAsia" w:cs="Times New Roman"/>
                <w:b w:val="0"/>
                <w:bCs/>
                <w:color w:val="000000" w:themeColor="text1"/>
                <w:sz w:val="24"/>
                <w:szCs w:val="24"/>
                <w:highlight w:val="none"/>
                <w:lang w:val="en-US" w:eastAsia="zh-CN"/>
                <w14:textFill>
                  <w14:solidFill>
                    <w14:schemeClr w14:val="tx1"/>
                  </w14:solidFill>
                </w14:textFill>
              </w:rPr>
              <w:t>7</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）处理后由不低于15m高的排气筒（DA005）排放，此过程产生的污染物主要为G</w:t>
            </w:r>
            <w:r>
              <w:rPr>
                <w:rFonts w:hint="eastAsia" w:cs="Times New Roman"/>
                <w:b w:val="0"/>
                <w:bCs/>
                <w:color w:val="000000" w:themeColor="text1"/>
                <w:sz w:val="24"/>
                <w:szCs w:val="24"/>
                <w:highlight w:val="none"/>
                <w:lang w:val="en-US" w:eastAsia="zh-CN"/>
                <w14:textFill>
                  <w14:solidFill>
                    <w14:schemeClr w14:val="tx1"/>
                  </w14:solidFill>
                </w14:textFill>
              </w:rPr>
              <w:t>2</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（颗粒物）、S</w:t>
            </w:r>
            <w:r>
              <w:rPr>
                <w:rFonts w:hint="eastAsia" w:cs="Times New Roman"/>
                <w:b w:val="0"/>
                <w:bCs/>
                <w:color w:val="000000" w:themeColor="text1"/>
                <w:sz w:val="24"/>
                <w:szCs w:val="24"/>
                <w:highlight w:val="none"/>
                <w:lang w:val="en-US" w:eastAsia="zh-CN"/>
                <w14:textFill>
                  <w14:solidFill>
                    <w14:schemeClr w14:val="tx1"/>
                  </w14:solidFill>
                </w14:textFill>
              </w:rPr>
              <w:t>1</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废捕集袋</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N（设备噪声）。</w:t>
            </w:r>
          </w:p>
          <w:p w14:paraId="0A1DC149">
            <w:pPr>
              <w:keepNext/>
              <w:keepLines w:val="0"/>
              <w:suppressLineNumbers w:val="0"/>
              <w:spacing w:before="0" w:beforeAutospacing="0" w:after="0" w:afterAutospacing="0" w:line="360" w:lineRule="auto"/>
              <w:ind w:left="0" w:right="0" w:firstLine="482" w:firstLineChars="200"/>
              <w:outlineLvl w:val="0"/>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pPr>
            <w:r>
              <w:rPr>
                <w:rFonts w:hint="eastAsia" w:cs="Times New Roman"/>
                <w:b/>
                <w:bCs w:val="0"/>
                <w:color w:val="000000" w:themeColor="text1"/>
                <w:sz w:val="24"/>
                <w:szCs w:val="24"/>
                <w:highlight w:val="none"/>
                <w:u w:val="none"/>
                <w:lang w:val="en-US" w:eastAsia="zh-CN"/>
                <w14:textFill>
                  <w14:solidFill>
                    <w14:schemeClr w14:val="tx1"/>
                  </w14:solidFill>
                </w14:textFill>
              </w:rPr>
              <w:t>③</w:t>
            </w:r>
            <w:r>
              <w:rPr>
                <w:rFonts w:hint="eastAsia"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选粒</w:t>
            </w:r>
            <w:r>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采用整粒机对制粒后的结块颗粒进行打散，通过固定规格筛网进行筛分分级，粒径合格颗粒进入总混工序，粒径不合格颗粒进入粉碎工序。项目整粒机</w:t>
            </w:r>
            <w:r>
              <w:rPr>
                <w:rFonts w:hint="eastAsia" w:cs="Times New Roman"/>
                <w:b w:val="0"/>
                <w:bCs/>
                <w:color w:val="000000" w:themeColor="text1"/>
                <w:sz w:val="24"/>
                <w:szCs w:val="24"/>
                <w:highlight w:val="none"/>
                <w:lang w:val="en-US" w:eastAsia="zh-CN"/>
                <w14:textFill>
                  <w14:solidFill>
                    <w14:schemeClr w14:val="tx1"/>
                  </w14:solidFill>
                </w14:textFill>
              </w:rPr>
              <w:t>为密闭结构，</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整粒机</w:t>
            </w:r>
            <w:r>
              <w:rPr>
                <w:rFonts w:hint="eastAsia" w:cs="Times New Roman"/>
                <w:b w:val="0"/>
                <w:bCs/>
                <w:color w:val="000000" w:themeColor="text1"/>
                <w:sz w:val="24"/>
                <w:szCs w:val="24"/>
                <w:highlight w:val="none"/>
                <w:lang w:val="en-US" w:eastAsia="zh-CN"/>
                <w14:textFill>
                  <w14:solidFill>
                    <w14:schemeClr w14:val="tx1"/>
                  </w14:solidFill>
                </w14:textFill>
              </w:rPr>
              <w:t>进料口为负压进料，出料口与</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总混</w:t>
            </w:r>
            <w:r>
              <w:rPr>
                <w:rFonts w:hint="eastAsia" w:cs="Times New Roman"/>
                <w:b w:val="0"/>
                <w:bCs/>
                <w:color w:val="000000" w:themeColor="text1"/>
                <w:sz w:val="24"/>
                <w:szCs w:val="24"/>
                <w:highlight w:val="none"/>
                <w:lang w:val="en-US" w:eastAsia="zh-CN"/>
                <w14:textFill>
                  <w14:solidFill>
                    <w14:schemeClr w14:val="tx1"/>
                  </w14:solidFill>
                </w14:textFill>
              </w:rPr>
              <w:t>机和</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粉碎</w:t>
            </w:r>
            <w:r>
              <w:rPr>
                <w:rFonts w:hint="eastAsia" w:cs="Times New Roman"/>
                <w:b w:val="0"/>
                <w:bCs/>
                <w:color w:val="000000" w:themeColor="text1"/>
                <w:sz w:val="24"/>
                <w:szCs w:val="24"/>
                <w:highlight w:val="none"/>
                <w:lang w:val="en-US" w:eastAsia="zh-CN"/>
                <w14:textFill>
                  <w14:solidFill>
                    <w14:schemeClr w14:val="tx1"/>
                  </w14:solidFill>
                </w14:textFill>
              </w:rPr>
              <w:t>机由密闭管道连接，</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整粒机</w:t>
            </w:r>
            <w:r>
              <w:rPr>
                <w:rFonts w:hint="eastAsia" w:cs="Times New Roman"/>
                <w:b w:val="0"/>
                <w:bCs/>
                <w:color w:val="000000" w:themeColor="text1"/>
                <w:sz w:val="24"/>
                <w:szCs w:val="24"/>
                <w:highlight w:val="none"/>
                <w:lang w:val="en-US" w:eastAsia="zh-CN"/>
                <w14:textFill>
                  <w14:solidFill>
                    <w14:schemeClr w14:val="tx1"/>
                  </w14:solidFill>
                </w14:textFill>
              </w:rPr>
              <w:t>产生的粉尘经呼吸口处捕集袋除尘后，通过空调排放系统无组织排放，</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此过程产生的污染物主要为G</w:t>
            </w:r>
            <w:r>
              <w:rPr>
                <w:rFonts w:hint="eastAsia" w:cs="Times New Roman"/>
                <w:b w:val="0"/>
                <w:bCs/>
                <w:color w:val="000000" w:themeColor="text1"/>
                <w:sz w:val="24"/>
                <w:szCs w:val="24"/>
                <w:highlight w:val="none"/>
                <w:lang w:val="en-US" w:eastAsia="zh-CN"/>
                <w14:textFill>
                  <w14:solidFill>
                    <w14:schemeClr w14:val="tx1"/>
                  </w14:solidFill>
                </w14:textFill>
              </w:rPr>
              <w:t>3</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颗粒物</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S</w:t>
            </w:r>
            <w:r>
              <w:rPr>
                <w:rFonts w:hint="eastAsia" w:cs="Times New Roman"/>
                <w:b w:val="0"/>
                <w:bCs/>
                <w:color w:val="000000" w:themeColor="text1"/>
                <w:sz w:val="24"/>
                <w:szCs w:val="24"/>
                <w:highlight w:val="none"/>
                <w:lang w:val="en-US" w:eastAsia="zh-CN"/>
                <w14:textFill>
                  <w14:solidFill>
                    <w14:schemeClr w14:val="tx1"/>
                  </w14:solidFill>
                </w14:textFill>
              </w:rPr>
              <w:t>2</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废捕集袋</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N（设备噪声）。</w:t>
            </w:r>
          </w:p>
          <w:p w14:paraId="4D683695">
            <w:pPr>
              <w:keepNext/>
              <w:keepLines w:val="0"/>
              <w:suppressLineNumbers w:val="0"/>
              <w:spacing w:before="0" w:beforeAutospacing="0" w:after="0" w:afterAutospacing="0" w:line="360" w:lineRule="auto"/>
              <w:ind w:left="0" w:right="0" w:firstLine="482" w:firstLineChars="200"/>
              <w:outlineLvl w:val="0"/>
              <w:rPr>
                <w:rFonts w:hint="eastAsia"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④粉碎</w:t>
            </w:r>
            <w:r>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采用粉碎机对粒径不合格颗粒进行粉碎，粉碎后的物料回用到称量配料工序重新利用，</w:t>
            </w:r>
            <w:r>
              <w:rPr>
                <w:rFonts w:hint="eastAsia" w:cs="Times New Roman"/>
                <w:b w:val="0"/>
                <w:bCs/>
                <w:color w:val="000000" w:themeColor="text1"/>
                <w:sz w:val="24"/>
                <w:szCs w:val="24"/>
                <w:highlight w:val="none"/>
                <w:lang w:val="en-US" w:eastAsia="zh-CN"/>
                <w14:textFill>
                  <w14:solidFill>
                    <w14:schemeClr w14:val="tx1"/>
                  </w14:solidFill>
                </w14:textFill>
              </w:rPr>
              <w:t>项目</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粉碎机</w:t>
            </w:r>
            <w:r>
              <w:rPr>
                <w:rFonts w:hint="eastAsia" w:cs="Times New Roman"/>
                <w:b w:val="0"/>
                <w:bCs/>
                <w:color w:val="000000" w:themeColor="text1"/>
                <w:sz w:val="24"/>
                <w:szCs w:val="24"/>
                <w:highlight w:val="none"/>
                <w:lang w:val="en-US" w:eastAsia="zh-CN"/>
                <w14:textFill>
                  <w14:solidFill>
                    <w14:schemeClr w14:val="tx1"/>
                  </w14:solidFill>
                </w14:textFill>
              </w:rPr>
              <w:t>为密闭结构，</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粉碎机</w:t>
            </w:r>
            <w:r>
              <w:rPr>
                <w:rFonts w:hint="eastAsia" w:cs="Times New Roman"/>
                <w:b w:val="0"/>
                <w:bCs/>
                <w:color w:val="000000" w:themeColor="text1"/>
                <w:sz w:val="24"/>
                <w:szCs w:val="24"/>
                <w:highlight w:val="none"/>
                <w:lang w:val="en-US" w:eastAsia="zh-CN"/>
                <w14:textFill>
                  <w14:solidFill>
                    <w14:schemeClr w14:val="tx1"/>
                  </w14:solidFill>
                </w14:textFill>
              </w:rPr>
              <w:t>进料口为负压进料，</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粉碎</w:t>
            </w:r>
            <w:r>
              <w:rPr>
                <w:rFonts w:hint="eastAsia" w:cs="Times New Roman"/>
                <w:b w:val="0"/>
                <w:bCs/>
                <w:color w:val="000000" w:themeColor="text1"/>
                <w:sz w:val="24"/>
                <w:szCs w:val="24"/>
                <w:highlight w:val="none"/>
                <w:lang w:val="en-US" w:eastAsia="zh-CN"/>
                <w14:textFill>
                  <w14:solidFill>
                    <w14:schemeClr w14:val="tx1"/>
                  </w14:solidFill>
                </w14:textFill>
              </w:rPr>
              <w:t>产生的粉尘经呼吸口处捕集袋除尘后，通过空调排放系统无组织排放</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，此过程产生的污染物主要为G</w:t>
            </w:r>
            <w:r>
              <w:rPr>
                <w:rFonts w:hint="eastAsia" w:cs="Times New Roman"/>
                <w:b w:val="0"/>
                <w:bCs/>
                <w:color w:val="000000" w:themeColor="text1"/>
                <w:sz w:val="24"/>
                <w:szCs w:val="24"/>
                <w:highlight w:val="none"/>
                <w:lang w:val="en-US" w:eastAsia="zh-CN"/>
                <w14:textFill>
                  <w14:solidFill>
                    <w14:schemeClr w14:val="tx1"/>
                  </w14:solidFill>
                </w14:textFill>
              </w:rPr>
              <w:t>5</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（颗粒物）、S</w:t>
            </w:r>
            <w:r>
              <w:rPr>
                <w:rFonts w:hint="eastAsia" w:cs="Times New Roman"/>
                <w:b w:val="0"/>
                <w:bCs/>
                <w:color w:val="000000" w:themeColor="text1"/>
                <w:sz w:val="24"/>
                <w:szCs w:val="24"/>
                <w:highlight w:val="none"/>
                <w:lang w:val="en-US" w:eastAsia="zh-CN"/>
                <w14:textFill>
                  <w14:solidFill>
                    <w14:schemeClr w14:val="tx1"/>
                  </w14:solidFill>
                </w14:textFill>
              </w:rPr>
              <w:t>5</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废捕集袋</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N（设备噪声）。</w:t>
            </w:r>
          </w:p>
          <w:p w14:paraId="4B3EF53E">
            <w:pPr>
              <w:keepNext/>
              <w:keepLines w:val="0"/>
              <w:suppressLineNumbers w:val="0"/>
              <w:spacing w:before="0" w:beforeAutospacing="0" w:after="0" w:afterAutospacing="0" w:line="360" w:lineRule="auto"/>
              <w:ind w:left="0" w:right="0" w:firstLine="482" w:firstLineChars="200"/>
              <w:outlineLvl w:val="0"/>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④总混</w:t>
            </w:r>
            <w:r>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t>：</w:t>
            </w:r>
            <w:r>
              <w:rPr>
                <w:rFonts w:hint="eastAsia" w:eastAsia="宋体" w:cs="Times New Roman" w:asciiTheme="minorEastAsia" w:hAnsiTheme="minorEastAsia"/>
                <w:color w:val="000000" w:themeColor="text1"/>
                <w:sz w:val="24"/>
                <w:highlight w:val="none"/>
                <w:lang w:val="en-US" w:eastAsia="zh-CN"/>
                <w14:textFill>
                  <w14:solidFill>
                    <w14:schemeClr w14:val="tx1"/>
                  </w14:solidFill>
                </w14:textFill>
              </w:rPr>
              <w:t>采用三维运动混合机把</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不同批次颗粒、辅料充分混匀，为后续颗粒内包、压片、胶囊填充做准备。项目</w:t>
            </w:r>
            <w:r>
              <w:rPr>
                <w:rFonts w:hint="eastAsia" w:eastAsia="宋体" w:cs="Times New Roman" w:asciiTheme="minorEastAsia" w:hAnsiTheme="minorEastAsia"/>
                <w:color w:val="000000" w:themeColor="text1"/>
                <w:sz w:val="24"/>
                <w:highlight w:val="none"/>
                <w:lang w:val="en-US" w:eastAsia="zh-CN"/>
                <w14:textFill>
                  <w14:solidFill>
                    <w14:schemeClr w14:val="tx1"/>
                  </w14:solidFill>
                </w14:textFill>
              </w:rPr>
              <w:t>混合机</w:t>
            </w:r>
            <w:r>
              <w:rPr>
                <w:rFonts w:hint="eastAsia" w:cs="Times New Roman"/>
                <w:b w:val="0"/>
                <w:bCs/>
                <w:color w:val="000000" w:themeColor="text1"/>
                <w:sz w:val="24"/>
                <w:szCs w:val="24"/>
                <w:highlight w:val="none"/>
                <w:lang w:val="en-US" w:eastAsia="zh-CN"/>
                <w14:textFill>
                  <w14:solidFill>
                    <w14:schemeClr w14:val="tx1"/>
                  </w14:solidFill>
                </w14:textFill>
              </w:rPr>
              <w:t>为密闭结构，</w:t>
            </w:r>
            <w:r>
              <w:rPr>
                <w:rFonts w:hint="eastAsia" w:eastAsia="宋体" w:cs="Times New Roman" w:asciiTheme="minorEastAsia" w:hAnsiTheme="minorEastAsia"/>
                <w:color w:val="000000" w:themeColor="text1"/>
                <w:sz w:val="24"/>
                <w:highlight w:val="none"/>
                <w:lang w:val="en-US" w:eastAsia="zh-CN"/>
                <w14:textFill>
                  <w14:solidFill>
                    <w14:schemeClr w14:val="tx1"/>
                  </w14:solidFill>
                </w14:textFill>
              </w:rPr>
              <w:t>混合机</w:t>
            </w:r>
            <w:r>
              <w:rPr>
                <w:rFonts w:hint="eastAsia" w:cs="Times New Roman"/>
                <w:b w:val="0"/>
                <w:bCs/>
                <w:color w:val="000000" w:themeColor="text1"/>
                <w:sz w:val="24"/>
                <w:szCs w:val="24"/>
                <w:highlight w:val="none"/>
                <w:lang w:val="en-US" w:eastAsia="zh-CN"/>
                <w14:textFill>
                  <w14:solidFill>
                    <w14:schemeClr w14:val="tx1"/>
                  </w14:solidFill>
                </w14:textFill>
              </w:rPr>
              <w:t>进料口为负压进料，出料口与颗粒包装机、压片机系统和硬胶囊充填机由密闭管道连接，总混产生的粉尘经呼吸口处捕集袋除尘后，通过空调排放系统无组织排放</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，此过程产生的污染物主要为G</w:t>
            </w:r>
            <w:r>
              <w:rPr>
                <w:rFonts w:hint="eastAsia" w:cs="Times New Roman"/>
                <w:b w:val="0"/>
                <w:bCs/>
                <w:color w:val="000000" w:themeColor="text1"/>
                <w:sz w:val="24"/>
                <w:szCs w:val="24"/>
                <w:highlight w:val="none"/>
                <w:lang w:val="en-US" w:eastAsia="zh-CN"/>
                <w14:textFill>
                  <w14:solidFill>
                    <w14:schemeClr w14:val="tx1"/>
                  </w14:solidFill>
                </w14:textFill>
              </w:rPr>
              <w:t>4</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（颗粒物）、S</w:t>
            </w:r>
            <w:r>
              <w:rPr>
                <w:rFonts w:hint="eastAsia" w:cs="Times New Roman"/>
                <w:b w:val="0"/>
                <w:bCs/>
                <w:color w:val="000000" w:themeColor="text1"/>
                <w:sz w:val="24"/>
                <w:szCs w:val="24"/>
                <w:highlight w:val="none"/>
                <w:lang w:val="en-US" w:eastAsia="zh-CN"/>
                <w14:textFill>
                  <w14:solidFill>
                    <w14:schemeClr w14:val="tx1"/>
                  </w14:solidFill>
                </w14:textFill>
              </w:rPr>
              <w:t>3</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废捕集袋</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N（设备噪声）。</w:t>
            </w:r>
          </w:p>
          <w:p w14:paraId="7BB34BA8">
            <w:pPr>
              <w:keepNext/>
              <w:keepLines w:val="0"/>
              <w:suppressLineNumbers w:val="0"/>
              <w:spacing w:before="0" w:beforeAutospacing="0" w:after="0" w:afterAutospacing="0" w:line="360" w:lineRule="auto"/>
              <w:ind w:left="0" w:right="0" w:firstLine="482" w:firstLineChars="200"/>
              <w:outlineLvl w:val="0"/>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⑤</w:t>
            </w:r>
            <w:r>
              <w:rPr>
                <w:rFonts w:hint="eastAsia"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检验：</w:t>
            </w:r>
            <w:r>
              <w:rPr>
                <w:rFonts w:hint="eastAsia" w:cs="Times New Roman"/>
                <w:b w:val="0"/>
                <w:bCs/>
                <w:color w:val="000000" w:themeColor="text1"/>
                <w:sz w:val="24"/>
                <w:szCs w:val="24"/>
                <w:highlight w:val="none"/>
                <w:lang w:val="en-US" w:eastAsia="zh-CN"/>
                <w14:textFill>
                  <w14:solidFill>
                    <w14:schemeClr w14:val="tx1"/>
                  </w14:solidFill>
                </w14:textFill>
              </w:rPr>
              <w:t>总混后的物料</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经采样后进行检验，检验合格后进入颗粒内包、压片、胶囊填充工序。此过程产生的污染物主要为S</w:t>
            </w:r>
            <w:r>
              <w:rPr>
                <w:rFonts w:hint="eastAsia" w:cs="Times New Roman"/>
                <w:b w:val="0"/>
                <w:bCs/>
                <w:color w:val="000000" w:themeColor="text1"/>
                <w:sz w:val="24"/>
                <w:szCs w:val="24"/>
                <w:highlight w:val="none"/>
                <w:lang w:val="en-US" w:eastAsia="zh-CN"/>
                <w14:textFill>
                  <w14:solidFill>
                    <w14:schemeClr w14:val="tx1"/>
                  </w14:solidFill>
                </w14:textFill>
              </w:rPr>
              <w:t>4</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化学检验废液、废化学试剂瓶、废弃薄层板、废试药</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w:t>
            </w:r>
          </w:p>
          <w:p w14:paraId="042686BE">
            <w:pPr>
              <w:keepNext/>
              <w:keepLines w:val="0"/>
              <w:suppressLineNumbers w:val="0"/>
              <w:spacing w:before="0" w:beforeAutospacing="0" w:after="0" w:afterAutospacing="0" w:line="360" w:lineRule="auto"/>
              <w:ind w:left="0" w:right="0" w:firstLine="482" w:firstLineChars="200"/>
              <w:outlineLvl w:val="0"/>
              <w:rPr>
                <w:rFonts w:hint="default" w:cs="Times New Roman"/>
                <w:b w:val="0"/>
                <w:bCs/>
                <w:color w:val="000000" w:themeColor="text1"/>
                <w:sz w:val="24"/>
                <w:szCs w:val="24"/>
                <w:highlight w:val="none"/>
                <w:lang w:val="en-US"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⑥颗粒内包</w:t>
            </w:r>
            <w:r>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采用颗粒包装机</w:t>
            </w:r>
            <w:r>
              <w:rPr>
                <w:rFonts w:hint="eastAsia" w:eastAsia="宋体" w:cs="Times New Roman"/>
                <w:b w:val="0"/>
                <w:bCs/>
                <w:color w:val="000000" w:themeColor="text1"/>
                <w:sz w:val="24"/>
                <w:szCs w:val="24"/>
                <w:highlight w:val="none"/>
                <w:lang w:val="en-US" w:eastAsia="zh-CN"/>
                <w14:textFill>
                  <w14:solidFill>
                    <w14:schemeClr w14:val="tx1"/>
                  </w14:solidFill>
                </w14:textFill>
              </w:rPr>
              <w:t>对</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检验合格后的颗粒</w:t>
            </w:r>
            <w:r>
              <w:rPr>
                <w:rFonts w:hint="eastAsia" w:cs="Times New Roman"/>
                <w:b w:val="0"/>
                <w:bCs/>
                <w:color w:val="000000" w:themeColor="text1"/>
                <w:sz w:val="24"/>
                <w:szCs w:val="24"/>
                <w:highlight w:val="none"/>
                <w:lang w:val="en-US" w:eastAsia="zh-CN"/>
                <w14:textFill>
                  <w14:solidFill>
                    <w14:schemeClr w14:val="tx1"/>
                  </w14:solidFill>
                </w14:textFill>
              </w:rPr>
              <w:t>进行颗粒包装，作用是隔绝空气、水汽，防止颗粒吸潮结块、霉变失效、隔绝灰尘、蚊虫、微生物、分装成单次服用规格，方便患者服用等作用。</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项目颗粒包装机</w:t>
            </w:r>
            <w:r>
              <w:rPr>
                <w:rFonts w:hint="eastAsia" w:cs="Times New Roman"/>
                <w:b w:val="0"/>
                <w:bCs/>
                <w:color w:val="000000" w:themeColor="text1"/>
                <w:sz w:val="24"/>
                <w:szCs w:val="24"/>
                <w:highlight w:val="none"/>
                <w:lang w:val="en-US" w:eastAsia="zh-CN"/>
                <w14:textFill>
                  <w14:solidFill>
                    <w14:schemeClr w14:val="tx1"/>
                  </w14:solidFill>
                </w14:textFill>
              </w:rPr>
              <w:t>为密闭结构，</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颗粒包装机</w:t>
            </w:r>
            <w:r>
              <w:rPr>
                <w:rFonts w:hint="eastAsia" w:cs="Times New Roman"/>
                <w:b w:val="0"/>
                <w:bCs/>
                <w:color w:val="000000" w:themeColor="text1"/>
                <w:sz w:val="24"/>
                <w:szCs w:val="24"/>
                <w:highlight w:val="none"/>
                <w:lang w:val="en-US" w:eastAsia="zh-CN"/>
                <w14:textFill>
                  <w14:solidFill>
                    <w14:schemeClr w14:val="tx1"/>
                  </w14:solidFill>
                </w14:textFill>
              </w:rPr>
              <w:t>进料口为负压进料，</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颗粒包装</w:t>
            </w:r>
            <w:r>
              <w:rPr>
                <w:rFonts w:hint="eastAsia" w:cs="Times New Roman"/>
                <w:b w:val="0"/>
                <w:bCs/>
                <w:color w:val="000000" w:themeColor="text1"/>
                <w:sz w:val="24"/>
                <w:szCs w:val="24"/>
                <w:highlight w:val="none"/>
                <w:lang w:val="en-US" w:eastAsia="zh-CN"/>
                <w14:textFill>
                  <w14:solidFill>
                    <w14:schemeClr w14:val="tx1"/>
                  </w14:solidFill>
                </w14:textFill>
              </w:rPr>
              <w:t>产生的粉尘经呼吸口处捕集袋除尘后，通过空调排放系统无组织排放</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此过程</w:t>
            </w:r>
            <w:r>
              <w:rPr>
                <w:rFonts w:hint="eastAsia"/>
                <w:color w:val="000000" w:themeColor="text1"/>
                <w:sz w:val="24"/>
                <w:szCs w:val="24"/>
                <w:highlight w:val="none"/>
                <w:lang w:val="en-US" w:eastAsia="zh-CN"/>
                <w14:textFill>
                  <w14:solidFill>
                    <w14:schemeClr w14:val="tx1"/>
                  </w14:solidFill>
                </w14:textFill>
              </w:rPr>
              <w:t>产生的污染物主要为</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G</w:t>
            </w:r>
            <w:r>
              <w:rPr>
                <w:rFonts w:hint="eastAsia" w:eastAsia="宋体" w:cs="Times New Roman"/>
                <w:b w:val="0"/>
                <w:bCs/>
                <w:color w:val="000000" w:themeColor="text1"/>
                <w:sz w:val="24"/>
                <w:szCs w:val="24"/>
                <w:highlight w:val="none"/>
                <w:lang w:val="en-US" w:eastAsia="zh-CN"/>
                <w14:textFill>
                  <w14:solidFill>
                    <w14:schemeClr w14:val="tx1"/>
                  </w14:solidFill>
                </w14:textFill>
              </w:rPr>
              <w:t>6</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（颗粒物）、S</w:t>
            </w:r>
            <w:r>
              <w:rPr>
                <w:rFonts w:hint="eastAsia" w:cs="Times New Roman"/>
                <w:b w:val="0"/>
                <w:bCs/>
                <w:color w:val="000000" w:themeColor="text1"/>
                <w:sz w:val="24"/>
                <w:szCs w:val="24"/>
                <w:highlight w:val="none"/>
                <w:lang w:val="en-US" w:eastAsia="zh-CN"/>
                <w14:textFill>
                  <w14:solidFill>
                    <w14:schemeClr w14:val="tx1"/>
                  </w14:solidFill>
                </w14:textFill>
              </w:rPr>
              <w:t>6</w:t>
            </w:r>
            <w:r>
              <w:rPr>
                <w:rFonts w:hint="eastAsia"/>
                <w:color w:val="000000" w:themeColor="text1"/>
                <w:sz w:val="24"/>
                <w:szCs w:val="24"/>
                <w:highlight w:val="none"/>
                <w:lang w:val="en-US" w:eastAsia="zh-CN"/>
                <w14:textFill>
                  <w14:solidFill>
                    <w14:schemeClr w14:val="tx1"/>
                  </w14:solidFill>
                </w14:textFill>
              </w:rPr>
              <w:t>（废包装材料）、</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S</w:t>
            </w:r>
            <w:r>
              <w:rPr>
                <w:rFonts w:hint="eastAsia" w:cs="Times New Roman"/>
                <w:b w:val="0"/>
                <w:bCs/>
                <w:color w:val="000000" w:themeColor="text1"/>
                <w:sz w:val="24"/>
                <w:szCs w:val="24"/>
                <w:highlight w:val="none"/>
                <w:lang w:val="en-US" w:eastAsia="zh-CN"/>
                <w14:textFill>
                  <w14:solidFill>
                    <w14:schemeClr w14:val="tx1"/>
                  </w14:solidFill>
                </w14:textFill>
              </w:rPr>
              <w:t>7</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废捕集袋</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N（设备噪声）</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p>
          <w:p w14:paraId="14E16A67">
            <w:pPr>
              <w:keepNext/>
              <w:keepLines w:val="0"/>
              <w:suppressLineNumbers w:val="0"/>
              <w:spacing w:before="0" w:beforeAutospacing="0" w:after="0" w:afterAutospacing="0" w:line="360" w:lineRule="auto"/>
              <w:ind w:left="0" w:right="0" w:firstLine="482" w:firstLineChars="200"/>
              <w:outlineLvl w:val="0"/>
              <w:rPr>
                <w:rFonts w:hint="eastAsia" w:cs="Times New Roman"/>
                <w:b w:val="0"/>
                <w:bCs/>
                <w:color w:val="000000" w:themeColor="text1"/>
                <w:sz w:val="24"/>
                <w:szCs w:val="24"/>
                <w:highlight w:val="none"/>
                <w:lang w:val="en-US"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⑦压片、包衣</w:t>
            </w:r>
            <w:r>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t>：</w:t>
            </w:r>
            <w:r>
              <w:rPr>
                <w:rFonts w:hint="eastAsia" w:eastAsia="宋体" w:cs="Times New Roman" w:asciiTheme="minorEastAsia" w:hAnsiTheme="minorEastAsia"/>
                <w:color w:val="000000" w:themeColor="text1"/>
                <w:sz w:val="24"/>
                <w:highlight w:val="none"/>
                <w:lang w:val="en-US" w:eastAsia="zh-CN"/>
                <w14:textFill>
                  <w14:solidFill>
                    <w14:schemeClr w14:val="tx1"/>
                  </w14:solidFill>
                </w14:textFill>
              </w:rPr>
              <w:t>采用压片机</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和包衣机</w:t>
            </w:r>
            <w:r>
              <w:rPr>
                <w:rFonts w:hint="eastAsia" w:eastAsia="宋体" w:cs="Times New Roman"/>
                <w:b w:val="0"/>
                <w:bCs/>
                <w:color w:val="000000" w:themeColor="text1"/>
                <w:sz w:val="24"/>
                <w:szCs w:val="24"/>
                <w:highlight w:val="none"/>
                <w:lang w:val="en-US" w:eastAsia="zh-CN"/>
                <w14:textFill>
                  <w14:solidFill>
                    <w14:schemeClr w14:val="tx1"/>
                  </w14:solidFill>
                </w14:textFill>
              </w:rPr>
              <w:t>对</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检验合格后的颗粒</w:t>
            </w:r>
            <w:r>
              <w:rPr>
                <w:rFonts w:hint="eastAsia" w:cs="Times New Roman"/>
                <w:b w:val="0"/>
                <w:bCs/>
                <w:color w:val="000000" w:themeColor="text1"/>
                <w:sz w:val="24"/>
                <w:szCs w:val="24"/>
                <w:highlight w:val="none"/>
                <w:lang w:val="en-US" w:eastAsia="zh-CN"/>
                <w14:textFill>
                  <w14:solidFill>
                    <w14:schemeClr w14:val="tx1"/>
                  </w14:solidFill>
                </w14:textFill>
              </w:rPr>
              <w:t>进行压片和包衣，作用是成型规整、服用便捷、剂量统一、口服、吞服方便、掩盖药材不良气味等，</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项目</w:t>
            </w:r>
            <w:r>
              <w:rPr>
                <w:rFonts w:hint="eastAsia" w:cs="Times New Roman"/>
                <w:b w:val="0"/>
                <w:bCs/>
                <w:color w:val="000000" w:themeColor="text1"/>
                <w:sz w:val="24"/>
                <w:szCs w:val="24"/>
                <w:highlight w:val="none"/>
                <w:lang w:val="en-US" w:eastAsia="zh-CN"/>
                <w14:textFill>
                  <w14:solidFill>
                    <w14:schemeClr w14:val="tx1"/>
                  </w14:solidFill>
                </w14:textFill>
              </w:rPr>
              <w:t>压片机为密闭结构，压片机进料口为负压进料，出料口与</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包衣机</w:t>
            </w:r>
            <w:r>
              <w:rPr>
                <w:rFonts w:hint="eastAsia" w:cs="Times New Roman"/>
                <w:b w:val="0"/>
                <w:bCs/>
                <w:color w:val="000000" w:themeColor="text1"/>
                <w:sz w:val="24"/>
                <w:szCs w:val="24"/>
                <w:highlight w:val="none"/>
                <w:lang w:val="en-US" w:eastAsia="zh-CN"/>
                <w14:textFill>
                  <w14:solidFill>
                    <w14:schemeClr w14:val="tx1"/>
                  </w14:solidFill>
                </w14:textFill>
              </w:rPr>
              <w:t>由密闭管道连接，压片产生的粉尘经呼吸口处捕集袋除尘后，通过空调排放系统无组织排放；</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包衣机</w:t>
            </w:r>
            <w:r>
              <w:rPr>
                <w:rFonts w:hint="eastAsia" w:cs="Times New Roman"/>
                <w:b w:val="0"/>
                <w:bCs/>
                <w:color w:val="000000" w:themeColor="text1"/>
                <w:sz w:val="24"/>
                <w:szCs w:val="24"/>
                <w:highlight w:val="none"/>
                <w:lang w:val="en-US" w:eastAsia="zh-CN"/>
                <w14:textFill>
                  <w14:solidFill>
                    <w14:schemeClr w14:val="tx1"/>
                  </w14:solidFill>
                </w14:textFill>
              </w:rPr>
              <w:t>为密闭结构，</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包衣机</w:t>
            </w:r>
            <w:r>
              <w:rPr>
                <w:rFonts w:hint="eastAsia" w:cs="Times New Roman"/>
                <w:b w:val="0"/>
                <w:bCs/>
                <w:color w:val="000000" w:themeColor="text1"/>
                <w:sz w:val="24"/>
                <w:szCs w:val="24"/>
                <w:highlight w:val="none"/>
                <w:lang w:val="en-US" w:eastAsia="zh-CN"/>
                <w14:textFill>
                  <w14:solidFill>
                    <w14:schemeClr w14:val="tx1"/>
                  </w14:solidFill>
                </w14:textFill>
              </w:rPr>
              <w:t>进料口为负压进料，出料口与泡罩包装机由密闭管道连接，</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包衣</w:t>
            </w:r>
            <w:r>
              <w:rPr>
                <w:rFonts w:hint="eastAsia" w:cs="Times New Roman"/>
                <w:b w:val="0"/>
                <w:bCs/>
                <w:color w:val="000000" w:themeColor="text1"/>
                <w:sz w:val="24"/>
                <w:szCs w:val="24"/>
                <w:highlight w:val="none"/>
                <w:lang w:val="en-US" w:eastAsia="zh-CN"/>
                <w14:textFill>
                  <w14:solidFill>
                    <w14:schemeClr w14:val="tx1"/>
                  </w14:solidFill>
                </w14:textFill>
              </w:rPr>
              <w:t>产生的粉尘经呼吸口处捕集袋除尘后，与集气系统连接，</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经</w:t>
            </w:r>
            <w:r>
              <w:rPr>
                <w:rFonts w:hint="eastAsia" w:cs="Times New Roman"/>
                <w:b w:val="0"/>
                <w:bCs/>
                <w:color w:val="000000" w:themeColor="text1"/>
                <w:sz w:val="24"/>
                <w:szCs w:val="24"/>
                <w:highlight w:val="none"/>
                <w:lang w:val="en-US" w:eastAsia="zh-CN"/>
                <w14:textFill>
                  <w14:solidFill>
                    <w14:schemeClr w14:val="tx1"/>
                  </w14:solidFill>
                </w14:textFill>
              </w:rPr>
              <w:t>旋风除尘器</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（TA02</w:t>
            </w:r>
            <w:r>
              <w:rPr>
                <w:rFonts w:hint="eastAsia" w:cs="Times New Roman"/>
                <w:b w:val="0"/>
                <w:bCs/>
                <w:color w:val="000000" w:themeColor="text1"/>
                <w:sz w:val="24"/>
                <w:szCs w:val="24"/>
                <w:highlight w:val="none"/>
                <w:lang w:val="en-US" w:eastAsia="zh-CN"/>
                <w14:textFill>
                  <w14:solidFill>
                    <w14:schemeClr w14:val="tx1"/>
                  </w14:solidFill>
                </w14:textFill>
              </w:rPr>
              <w:t>7</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）处理后由不低于15m高的排气筒（DA005）排放，</w:t>
            </w:r>
            <w:r>
              <w:rPr>
                <w:rFonts w:hint="eastAsia" w:cs="Times New Roman"/>
                <w:b w:val="0"/>
                <w:bCs/>
                <w:color w:val="000000" w:themeColor="text1"/>
                <w:sz w:val="24"/>
                <w:szCs w:val="24"/>
                <w:highlight w:val="none"/>
                <w:lang w:val="en-US" w:eastAsia="zh-CN"/>
                <w14:textFill>
                  <w14:solidFill>
                    <w14:schemeClr w14:val="tx1"/>
                  </w14:solidFill>
                </w14:textFill>
              </w:rPr>
              <w:t>此过程</w:t>
            </w:r>
            <w:r>
              <w:rPr>
                <w:rFonts w:hint="eastAsia"/>
                <w:color w:val="000000" w:themeColor="text1"/>
                <w:sz w:val="24"/>
                <w:szCs w:val="24"/>
                <w:highlight w:val="none"/>
                <w:lang w:val="en-US" w:eastAsia="zh-CN"/>
                <w14:textFill>
                  <w14:solidFill>
                    <w14:schemeClr w14:val="tx1"/>
                  </w14:solidFill>
                </w14:textFill>
              </w:rPr>
              <w:t>产生的污染物主要为</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G</w:t>
            </w:r>
            <w:r>
              <w:rPr>
                <w:rFonts w:hint="eastAsia" w:eastAsia="宋体" w:cs="Times New Roman"/>
                <w:b w:val="0"/>
                <w:bCs/>
                <w:color w:val="000000" w:themeColor="text1"/>
                <w:sz w:val="24"/>
                <w:szCs w:val="24"/>
                <w:highlight w:val="none"/>
                <w:lang w:val="en-US" w:eastAsia="zh-CN"/>
                <w14:textFill>
                  <w14:solidFill>
                    <w14:schemeClr w14:val="tx1"/>
                  </w14:solidFill>
                </w14:textFill>
              </w:rPr>
              <w:t>7</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（颗粒物）、G</w:t>
            </w:r>
            <w:r>
              <w:rPr>
                <w:rFonts w:hint="eastAsia" w:eastAsia="宋体" w:cs="Times New Roman"/>
                <w:b w:val="0"/>
                <w:bCs/>
                <w:color w:val="000000" w:themeColor="text1"/>
                <w:sz w:val="24"/>
                <w:szCs w:val="24"/>
                <w:highlight w:val="none"/>
                <w:lang w:val="en-US" w:eastAsia="zh-CN"/>
                <w14:textFill>
                  <w14:solidFill>
                    <w14:schemeClr w14:val="tx1"/>
                  </w14:solidFill>
                </w14:textFill>
              </w:rPr>
              <w:t>8</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（颗粒物）</w:t>
            </w:r>
            <w:r>
              <w:rPr>
                <w:rFonts w:hint="eastAsia"/>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S</w:t>
            </w:r>
            <w:r>
              <w:rPr>
                <w:rFonts w:hint="eastAsia" w:cs="Times New Roman"/>
                <w:b w:val="0"/>
                <w:bCs/>
                <w:color w:val="000000" w:themeColor="text1"/>
                <w:sz w:val="24"/>
                <w:szCs w:val="24"/>
                <w:highlight w:val="none"/>
                <w:lang w:val="en-US" w:eastAsia="zh-CN"/>
                <w14:textFill>
                  <w14:solidFill>
                    <w14:schemeClr w14:val="tx1"/>
                  </w14:solidFill>
                </w14:textFill>
              </w:rPr>
              <w:t>8</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废捕集袋</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S</w:t>
            </w:r>
            <w:r>
              <w:rPr>
                <w:rFonts w:hint="eastAsia" w:cs="Times New Roman"/>
                <w:b w:val="0"/>
                <w:bCs/>
                <w:color w:val="000000" w:themeColor="text1"/>
                <w:sz w:val="24"/>
                <w:szCs w:val="24"/>
                <w:highlight w:val="none"/>
                <w:lang w:val="en-US" w:eastAsia="zh-CN"/>
                <w14:textFill>
                  <w14:solidFill>
                    <w14:schemeClr w14:val="tx1"/>
                  </w14:solidFill>
                </w14:textFill>
              </w:rPr>
              <w:t>9</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废捕集袋</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N（设备噪声）</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p>
          <w:p w14:paraId="16B4E57A">
            <w:pPr>
              <w:keepNext/>
              <w:keepLines w:val="0"/>
              <w:suppressLineNumbers w:val="0"/>
              <w:spacing w:before="0" w:beforeAutospacing="0" w:after="0" w:afterAutospacing="0" w:line="360" w:lineRule="auto"/>
              <w:ind w:left="0" w:right="0" w:firstLine="482" w:firstLineChars="200"/>
              <w:outlineLvl w:val="0"/>
              <w:rPr>
                <w:rFonts w:hint="default" w:eastAsia="宋体" w:cs="Times New Roman" w:asciiTheme="minorEastAsia" w:hAnsiTheme="minorEastAsia"/>
                <w:color w:val="000000" w:themeColor="text1"/>
                <w:sz w:val="24"/>
                <w:highlight w:val="none"/>
                <w:lang w:val="en-US"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⑧胶囊填充</w:t>
            </w:r>
            <w:r>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t>：</w:t>
            </w:r>
            <w:r>
              <w:rPr>
                <w:rFonts w:hint="eastAsia" w:eastAsia="宋体" w:cs="Times New Roman" w:asciiTheme="minorEastAsia" w:hAnsiTheme="minorEastAsia"/>
                <w:color w:val="000000" w:themeColor="text1"/>
                <w:sz w:val="24"/>
                <w:highlight w:val="none"/>
                <w:lang w:val="en-US" w:eastAsia="zh-CN"/>
                <w14:textFill>
                  <w14:solidFill>
                    <w14:schemeClr w14:val="tx1"/>
                  </w14:solidFill>
                </w14:textFill>
              </w:rPr>
              <w:t>采用硬胶囊充填机</w:t>
            </w:r>
            <w:r>
              <w:rPr>
                <w:rFonts w:hint="eastAsia" w:eastAsia="宋体" w:cs="Times New Roman"/>
                <w:b w:val="0"/>
                <w:bCs/>
                <w:color w:val="000000" w:themeColor="text1"/>
                <w:sz w:val="24"/>
                <w:szCs w:val="24"/>
                <w:highlight w:val="none"/>
                <w:lang w:val="en-US" w:eastAsia="zh-CN"/>
                <w14:textFill>
                  <w14:solidFill>
                    <w14:schemeClr w14:val="tx1"/>
                  </w14:solidFill>
                </w14:textFill>
              </w:rPr>
              <w:t>对</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检验合格后的颗粒</w:t>
            </w:r>
            <w:r>
              <w:rPr>
                <w:rFonts w:hint="eastAsia" w:cs="Times New Roman"/>
                <w:b w:val="0"/>
                <w:bCs/>
                <w:color w:val="000000" w:themeColor="text1"/>
                <w:sz w:val="24"/>
                <w:szCs w:val="24"/>
                <w:highlight w:val="none"/>
                <w:lang w:val="en-US" w:eastAsia="zh-CN"/>
                <w14:textFill>
                  <w14:solidFill>
                    <w14:schemeClr w14:val="tx1"/>
                  </w14:solidFill>
                </w14:textFill>
              </w:rPr>
              <w:t>进行胶囊填充，作用是精准定量给药、屏蔽中药苦涩、腥臭味，降低服药反胃感、控制药物释放部位等作用，</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项目</w:t>
            </w:r>
            <w:r>
              <w:rPr>
                <w:rFonts w:hint="eastAsia" w:eastAsia="宋体" w:cs="Times New Roman" w:asciiTheme="minorEastAsia" w:hAnsiTheme="minorEastAsia"/>
                <w:color w:val="000000" w:themeColor="text1"/>
                <w:sz w:val="24"/>
                <w:highlight w:val="none"/>
                <w:lang w:val="en-US" w:eastAsia="zh-CN"/>
                <w14:textFill>
                  <w14:solidFill>
                    <w14:schemeClr w14:val="tx1"/>
                  </w14:solidFill>
                </w14:textFill>
              </w:rPr>
              <w:t>硬胶囊充填机</w:t>
            </w:r>
            <w:r>
              <w:rPr>
                <w:rFonts w:hint="eastAsia" w:cs="Times New Roman"/>
                <w:b w:val="0"/>
                <w:bCs/>
                <w:color w:val="000000" w:themeColor="text1"/>
                <w:sz w:val="24"/>
                <w:szCs w:val="24"/>
                <w:highlight w:val="none"/>
                <w:lang w:val="en-US" w:eastAsia="zh-CN"/>
                <w14:textFill>
                  <w14:solidFill>
                    <w14:schemeClr w14:val="tx1"/>
                  </w14:solidFill>
                </w14:textFill>
              </w:rPr>
              <w:t>为密闭结构，</w:t>
            </w:r>
            <w:r>
              <w:rPr>
                <w:rFonts w:hint="eastAsia" w:eastAsia="宋体" w:cs="Times New Roman" w:asciiTheme="minorEastAsia" w:hAnsiTheme="minorEastAsia"/>
                <w:color w:val="000000" w:themeColor="text1"/>
                <w:sz w:val="24"/>
                <w:highlight w:val="none"/>
                <w:lang w:val="en-US" w:eastAsia="zh-CN"/>
                <w14:textFill>
                  <w14:solidFill>
                    <w14:schemeClr w14:val="tx1"/>
                  </w14:solidFill>
                </w14:textFill>
              </w:rPr>
              <w:t>硬胶囊充填机</w:t>
            </w:r>
            <w:r>
              <w:rPr>
                <w:rFonts w:hint="eastAsia" w:cs="Times New Roman"/>
                <w:b w:val="0"/>
                <w:bCs/>
                <w:color w:val="000000" w:themeColor="text1"/>
                <w:sz w:val="24"/>
                <w:szCs w:val="24"/>
                <w:highlight w:val="none"/>
                <w:lang w:val="en-US" w:eastAsia="zh-CN"/>
                <w14:textFill>
                  <w14:solidFill>
                    <w14:schemeClr w14:val="tx1"/>
                  </w14:solidFill>
                </w14:textFill>
              </w:rPr>
              <w:t>进料口为负压进料，出料口与泡罩包装机由密闭管道连接，</w:t>
            </w:r>
            <w:r>
              <w:rPr>
                <w:rFonts w:hint="eastAsia" w:eastAsia="宋体" w:cs="Times New Roman" w:asciiTheme="minorEastAsia" w:hAnsiTheme="minorEastAsia"/>
                <w:color w:val="000000" w:themeColor="text1"/>
                <w:sz w:val="24"/>
                <w:highlight w:val="none"/>
                <w:lang w:val="en-US" w:eastAsia="zh-CN"/>
                <w14:textFill>
                  <w14:solidFill>
                    <w14:schemeClr w14:val="tx1"/>
                  </w14:solidFill>
                </w14:textFill>
              </w:rPr>
              <w:t>胶囊充填</w:t>
            </w:r>
            <w:r>
              <w:rPr>
                <w:rFonts w:hint="eastAsia" w:cs="Times New Roman"/>
                <w:b w:val="0"/>
                <w:bCs/>
                <w:color w:val="000000" w:themeColor="text1"/>
                <w:sz w:val="24"/>
                <w:szCs w:val="24"/>
                <w:highlight w:val="none"/>
                <w:lang w:val="en-US" w:eastAsia="zh-CN"/>
                <w14:textFill>
                  <w14:solidFill>
                    <w14:schemeClr w14:val="tx1"/>
                  </w14:solidFill>
                </w14:textFill>
              </w:rPr>
              <w:t>产生的粉尘经呼吸口处捕集袋除尘后，通过空调排放系统无组织排放</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此过程</w:t>
            </w:r>
            <w:r>
              <w:rPr>
                <w:rFonts w:hint="eastAsia"/>
                <w:color w:val="000000" w:themeColor="text1"/>
                <w:sz w:val="24"/>
                <w:szCs w:val="24"/>
                <w:highlight w:val="none"/>
                <w:lang w:val="en-US" w:eastAsia="zh-CN"/>
                <w14:textFill>
                  <w14:solidFill>
                    <w14:schemeClr w14:val="tx1"/>
                  </w14:solidFill>
                </w14:textFill>
              </w:rPr>
              <w:t>产生的污染物主要为</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G</w:t>
            </w:r>
            <w:r>
              <w:rPr>
                <w:rFonts w:hint="eastAsia" w:eastAsia="宋体" w:cs="Times New Roman"/>
                <w:b w:val="0"/>
                <w:bCs/>
                <w:color w:val="000000" w:themeColor="text1"/>
                <w:sz w:val="24"/>
                <w:szCs w:val="24"/>
                <w:highlight w:val="none"/>
                <w:lang w:val="en-US" w:eastAsia="zh-CN"/>
                <w14:textFill>
                  <w14:solidFill>
                    <w14:schemeClr w14:val="tx1"/>
                  </w14:solidFill>
                </w14:textFill>
              </w:rPr>
              <w:t>9</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（颗粒物）、S</w:t>
            </w:r>
            <w:r>
              <w:rPr>
                <w:rFonts w:hint="eastAsia" w:cs="Times New Roman"/>
                <w:b w:val="0"/>
                <w:bCs/>
                <w:color w:val="000000" w:themeColor="text1"/>
                <w:sz w:val="24"/>
                <w:szCs w:val="24"/>
                <w:highlight w:val="none"/>
                <w:lang w:val="en-US" w:eastAsia="zh-CN"/>
                <w14:textFill>
                  <w14:solidFill>
                    <w14:schemeClr w14:val="tx1"/>
                  </w14:solidFill>
                </w14:textFill>
              </w:rPr>
              <w:t>10</w:t>
            </w:r>
            <w:r>
              <w:rPr>
                <w:rFonts w:hint="eastAsia"/>
                <w:color w:val="000000" w:themeColor="text1"/>
                <w:sz w:val="24"/>
                <w:szCs w:val="24"/>
                <w:highlight w:val="none"/>
                <w:lang w:val="en-US" w:eastAsia="zh-CN"/>
                <w14:textFill>
                  <w14:solidFill>
                    <w14:schemeClr w14:val="tx1"/>
                  </w14:solidFill>
                </w14:textFill>
              </w:rPr>
              <w:t>（废胶囊材料）、</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S</w:t>
            </w:r>
            <w:r>
              <w:rPr>
                <w:rFonts w:hint="eastAsia" w:cs="Times New Roman"/>
                <w:b w:val="0"/>
                <w:bCs/>
                <w:color w:val="000000" w:themeColor="text1"/>
                <w:sz w:val="24"/>
                <w:szCs w:val="24"/>
                <w:highlight w:val="none"/>
                <w:lang w:val="en-US" w:eastAsia="zh-CN"/>
                <w14:textFill>
                  <w14:solidFill>
                    <w14:schemeClr w14:val="tx1"/>
                  </w14:solidFill>
                </w14:textFill>
              </w:rPr>
              <w:t>11</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废捕集袋</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N（设备噪声）</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p>
          <w:p w14:paraId="14E0FF4F">
            <w:pPr>
              <w:keepNext/>
              <w:keepLines w:val="0"/>
              <w:suppressLineNumbers w:val="0"/>
              <w:spacing w:before="0" w:beforeAutospacing="0" w:after="0" w:afterAutospacing="0" w:line="360" w:lineRule="auto"/>
              <w:ind w:left="0" w:right="0" w:firstLine="482" w:firstLineChars="200"/>
              <w:outlineLvl w:val="0"/>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cs="Times New Roman"/>
                <w:b/>
                <w:bCs w:val="0"/>
                <w:color w:val="000000" w:themeColor="text1"/>
                <w:sz w:val="24"/>
                <w:szCs w:val="24"/>
                <w:highlight w:val="none"/>
                <w:lang w:val="en-US" w:eastAsia="zh-CN"/>
                <w14:textFill>
                  <w14:solidFill>
                    <w14:schemeClr w14:val="tx1"/>
                  </w14:solidFill>
                </w14:textFill>
              </w:rPr>
              <w:t>⑨泡罩包装、枕式包装</w:t>
            </w:r>
            <w:r>
              <w:rPr>
                <w:rFonts w:hint="default" w:ascii="Times New Roman" w:hAnsi="Times New Roman" w:eastAsia="宋体" w:cs="Times New Roman"/>
                <w:b/>
                <w:bCs w:val="0"/>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采用泡罩包装机和枕式包装机对填充好的胶囊进行第一次和第二次内包装，包装过程中使用PVC硬片加热</w:t>
            </w:r>
            <w:r>
              <w:rPr>
                <w:rFonts w:hint="eastAsia" w:cs="Times New Roman"/>
                <w:color w:val="000000" w:themeColor="text1"/>
                <w:sz w:val="24"/>
                <w:highlight w:val="none"/>
                <w:lang w:val="en-US" w:eastAsia="zh-CN"/>
                <w14:textFill>
                  <w14:solidFill>
                    <w14:schemeClr w14:val="tx1"/>
                  </w14:solidFill>
                </w14:textFill>
              </w:rPr>
              <w:t>进行热封，</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温度控制在120~150℃，不发生化学分解，只产生微量非甲烷总烃，项目使用PVC硬片量较少，所以废气无组织排放。</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此过程</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产生的污染物主要为</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G10（</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非甲烷总烃</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）、G11（</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非甲烷总烃</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）、S</w:t>
            </w:r>
            <w:r>
              <w:rPr>
                <w:rFonts w:hint="eastAsia" w:cs="Times New Roman"/>
                <w:b w:val="0"/>
                <w:bCs/>
                <w:color w:val="000000" w:themeColor="text1"/>
                <w:sz w:val="24"/>
                <w:szCs w:val="24"/>
                <w:highlight w:val="none"/>
                <w:lang w:val="en-US" w:eastAsia="zh-CN"/>
                <w14:textFill>
                  <w14:solidFill>
                    <w14:schemeClr w14:val="tx1"/>
                  </w14:solidFill>
                </w14:textFill>
              </w:rPr>
              <w:t>12</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（废包装材料）、</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S</w:t>
            </w:r>
            <w:r>
              <w:rPr>
                <w:rFonts w:hint="eastAsia" w:cs="Times New Roman"/>
                <w:b w:val="0"/>
                <w:bCs/>
                <w:color w:val="000000" w:themeColor="text1"/>
                <w:sz w:val="24"/>
                <w:szCs w:val="24"/>
                <w:highlight w:val="none"/>
                <w:lang w:val="en-US" w:eastAsia="zh-CN"/>
                <w14:textFill>
                  <w14:solidFill>
                    <w14:schemeClr w14:val="tx1"/>
                  </w14:solidFill>
                </w14:textFill>
              </w:rPr>
              <w:t>13</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（废包装材料）、N（设备噪声）</w:t>
            </w:r>
            <w:r>
              <w:rPr>
                <w:rFonts w:hint="default"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p>
          <w:p w14:paraId="4CA6B95C">
            <w:pPr>
              <w:keepNext/>
              <w:keepLines w:val="0"/>
              <w:suppressLineNumbers w:val="0"/>
              <w:spacing w:before="0" w:beforeAutospacing="0" w:after="0" w:afterAutospacing="0" w:line="360" w:lineRule="auto"/>
              <w:ind w:left="0" w:right="0" w:firstLine="482" w:firstLineChars="200"/>
              <w:outlineLvl w:val="0"/>
              <w:rPr>
                <w:rFonts w:hint="default" w:eastAsia="宋体" w:cs="Times New Roman" w:asciiTheme="minorEastAsia" w:hAnsiTheme="minorEastAsia"/>
                <w:color w:val="000000" w:themeColor="text1"/>
                <w:sz w:val="24"/>
                <w:highlight w:val="none"/>
                <w:lang w:val="en-US"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⑩检验、外包装、成品检验</w:t>
            </w:r>
            <w:r>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t>：</w:t>
            </w:r>
            <w:r>
              <w:rPr>
                <w:rFonts w:hint="eastAsia" w:eastAsia="宋体" w:cs="Times New Roman"/>
                <w:b w:val="0"/>
                <w:bCs/>
                <w:color w:val="000000" w:themeColor="text1"/>
                <w:sz w:val="24"/>
                <w:szCs w:val="24"/>
                <w:highlight w:val="none"/>
                <w:lang w:val="en-US" w:eastAsia="zh-CN"/>
                <w14:textFill>
                  <w14:solidFill>
                    <w14:schemeClr w14:val="tx1"/>
                  </w14:solidFill>
                </w14:textFill>
              </w:rPr>
              <w:t>内包装经检验合格后进行外包装，外包装经检验合格后存放于中间站。</w:t>
            </w:r>
            <w:r>
              <w:rPr>
                <w:rFonts w:hint="eastAsia" w:cs="Times New Roman"/>
                <w:b w:val="0"/>
                <w:bCs/>
                <w:color w:val="000000" w:themeColor="text1"/>
                <w:sz w:val="24"/>
                <w:szCs w:val="24"/>
                <w:highlight w:val="none"/>
                <w:lang w:val="en-US" w:eastAsia="zh-CN"/>
                <w14:textFill>
                  <w14:solidFill>
                    <w14:schemeClr w14:val="tx1"/>
                  </w14:solidFill>
                </w14:textFill>
              </w:rPr>
              <w:t>此过程</w:t>
            </w:r>
            <w:r>
              <w:rPr>
                <w:rFonts w:hint="eastAsia"/>
                <w:color w:val="000000" w:themeColor="text1"/>
                <w:sz w:val="24"/>
                <w:szCs w:val="24"/>
                <w:highlight w:val="none"/>
                <w:lang w:val="en-US" w:eastAsia="zh-CN"/>
                <w14:textFill>
                  <w14:solidFill>
                    <w14:schemeClr w14:val="tx1"/>
                  </w14:solidFill>
                </w14:textFill>
              </w:rPr>
              <w:t>产生的污染物主要为</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S</w:t>
            </w:r>
            <w:r>
              <w:rPr>
                <w:rFonts w:hint="eastAsia" w:cs="Times New Roman"/>
                <w:b w:val="0"/>
                <w:bCs/>
                <w:color w:val="000000" w:themeColor="text1"/>
                <w:sz w:val="24"/>
                <w:szCs w:val="24"/>
                <w:highlight w:val="none"/>
                <w:lang w:val="en-US" w:eastAsia="zh-CN"/>
                <w14:textFill>
                  <w14:solidFill>
                    <w14:schemeClr w14:val="tx1"/>
                  </w14:solidFill>
                </w14:textFill>
              </w:rPr>
              <w:t>14</w:t>
            </w:r>
            <w:r>
              <w:rPr>
                <w:rFonts w:hint="eastAsia"/>
                <w:color w:val="000000" w:themeColor="text1"/>
                <w:sz w:val="24"/>
                <w:szCs w:val="24"/>
                <w:highlight w:val="none"/>
                <w:lang w:val="en-US" w:eastAsia="zh-CN"/>
                <w14:textFill>
                  <w14:solidFill>
                    <w14:schemeClr w14:val="tx1"/>
                  </w14:solidFill>
                </w14:textFill>
              </w:rPr>
              <w:t>（废包装材料）、N（设备噪声）</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p>
          <w:p w14:paraId="7061BB0E">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jc w:val="left"/>
              <w:textAlignment w:val="auto"/>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pPr>
            <w:r>
              <w:rPr>
                <w:rFonts w:hint="eastAsia" w:cs="Times New Roman"/>
                <w:b/>
                <w:bCs/>
                <w:color w:val="000000" w:themeColor="text1"/>
                <w:kern w:val="0"/>
                <w:sz w:val="24"/>
                <w:szCs w:val="24"/>
                <w:highlight w:val="none"/>
                <w:lang w:val="en-US" w:eastAsia="zh-CN" w:bidi="en-US"/>
                <w14:textFill>
                  <w14:solidFill>
                    <w14:schemeClr w14:val="tx1"/>
                  </w14:solidFill>
                </w14:textFill>
              </w:rPr>
              <w:t>（2）</w:t>
            </w:r>
            <w:r>
              <w:rPr>
                <w:rFonts w:hint="eastAsia"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t>创新制剂车间</w:t>
            </w: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产污环节一览表如下表所示</w:t>
            </w:r>
            <w:r>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t>：</w:t>
            </w:r>
          </w:p>
          <w:p w14:paraId="394289DC">
            <w:pPr>
              <w:keepNext w:val="0"/>
              <w:keepLines w:val="0"/>
              <w:pageBreakBefore w:val="0"/>
              <w:widowControl w:val="0"/>
              <w:numPr>
                <w:ilvl w:val="0"/>
                <w:numId w:val="5"/>
              </w:numPr>
              <w:suppressLineNumbers w:val="0"/>
              <w:kinsoku/>
              <w:wordWrap/>
              <w:overflowPunct/>
              <w:topLinePunct w:val="0"/>
              <w:autoSpaceDE/>
              <w:autoSpaceDN/>
              <w:bidi w:val="0"/>
              <w:adjustRightInd/>
              <w:snapToGrid w:val="0"/>
              <w:spacing w:before="157" w:beforeLines="50" w:beforeAutospacing="0" w:after="0" w:afterLines="0" w:afterAutospacing="0"/>
              <w:ind w:left="0" w:leftChars="0" w:right="0" w:rightChars="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 xml:space="preserve">  创新制剂车间产污环节一览表</w:t>
            </w:r>
          </w:p>
          <w:tbl>
            <w:tblPr>
              <w:tblStyle w:val="36"/>
              <w:tblW w:w="4993"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8"/>
              <w:gridCol w:w="1097"/>
              <w:gridCol w:w="1665"/>
              <w:gridCol w:w="1650"/>
              <w:gridCol w:w="2947"/>
            </w:tblGrid>
            <w:tr w14:paraId="1BF9404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tcBorders>
                    <w:tl2br w:val="nil"/>
                    <w:tr2bl w:val="nil"/>
                  </w:tcBorders>
                  <w:noWrap w:val="0"/>
                  <w:vAlign w:val="center"/>
                </w:tcPr>
                <w:p w14:paraId="0DB779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类别</w:t>
                  </w:r>
                </w:p>
              </w:tc>
              <w:tc>
                <w:tcPr>
                  <w:tcW w:w="682" w:type="pct"/>
                  <w:tcBorders>
                    <w:tl2br w:val="nil"/>
                    <w:tr2bl w:val="nil"/>
                  </w:tcBorders>
                  <w:noWrap w:val="0"/>
                  <w:vAlign w:val="center"/>
                </w:tcPr>
                <w:p w14:paraId="46EBF1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编号</w:t>
                  </w:r>
                </w:p>
              </w:tc>
              <w:tc>
                <w:tcPr>
                  <w:tcW w:w="1035" w:type="pct"/>
                  <w:tcBorders>
                    <w:tl2br w:val="nil"/>
                    <w:tr2bl w:val="nil"/>
                  </w:tcBorders>
                  <w:noWrap w:val="0"/>
                  <w:vAlign w:val="center"/>
                </w:tcPr>
                <w:p w14:paraId="7F4D57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污染源</w:t>
                  </w:r>
                </w:p>
              </w:tc>
              <w:tc>
                <w:tcPr>
                  <w:tcW w:w="1026" w:type="pct"/>
                  <w:tcBorders>
                    <w:tl2br w:val="nil"/>
                    <w:tr2bl w:val="nil"/>
                  </w:tcBorders>
                  <w:noWrap w:val="0"/>
                  <w:vAlign w:val="center"/>
                </w:tcPr>
                <w:p w14:paraId="62A82E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主要污染</w:t>
                  </w:r>
                </w:p>
                <w:p w14:paraId="72E680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因子</w:t>
                  </w:r>
                </w:p>
              </w:tc>
              <w:tc>
                <w:tcPr>
                  <w:tcW w:w="1833" w:type="pct"/>
                  <w:tcBorders>
                    <w:tl2br w:val="nil"/>
                    <w:tr2bl w:val="nil"/>
                  </w:tcBorders>
                  <w:noWrap w:val="0"/>
                  <w:vAlign w:val="center"/>
                </w:tcPr>
                <w:p w14:paraId="3A6FB2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治理措施</w:t>
                  </w:r>
                </w:p>
              </w:tc>
            </w:tr>
            <w:tr w14:paraId="08C1A93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21" w:type="pct"/>
                  <w:vMerge w:val="restart"/>
                  <w:tcBorders>
                    <w:tl2br w:val="nil"/>
                    <w:tr2bl w:val="nil"/>
                  </w:tcBorders>
                  <w:noWrap w:val="0"/>
                  <w:vAlign w:val="center"/>
                </w:tcPr>
                <w:p w14:paraId="1919FE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废气</w:t>
                  </w:r>
                </w:p>
              </w:tc>
              <w:tc>
                <w:tcPr>
                  <w:tcW w:w="682" w:type="pct"/>
                  <w:tcBorders>
                    <w:tl2br w:val="nil"/>
                    <w:tr2bl w:val="nil"/>
                  </w:tcBorders>
                  <w:noWrap w:val="0"/>
                  <w:vAlign w:val="center"/>
                </w:tcPr>
                <w:p w14:paraId="203783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G1</w:t>
                  </w:r>
                </w:p>
              </w:tc>
              <w:tc>
                <w:tcPr>
                  <w:tcW w:w="1035" w:type="pct"/>
                  <w:tcBorders>
                    <w:tl2br w:val="nil"/>
                    <w:tr2bl w:val="nil"/>
                  </w:tcBorders>
                  <w:noWrap w:val="0"/>
                  <w:vAlign w:val="center"/>
                </w:tcPr>
                <w:p w14:paraId="2175F7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 w:val="21"/>
                      <w:szCs w:val="21"/>
                      <w:highlight w:val="none"/>
                      <w:lang w:val="en-US" w:eastAsia="zh-CN"/>
                      <w14:textFill>
                        <w14:solidFill>
                          <w14:schemeClr w14:val="tx1"/>
                        </w14:solidFill>
                      </w14:textFill>
                    </w:rPr>
                    <w:t>称量配料废气</w:t>
                  </w:r>
                </w:p>
              </w:tc>
              <w:tc>
                <w:tcPr>
                  <w:tcW w:w="1026" w:type="pct"/>
                  <w:tcBorders>
                    <w:tl2br w:val="nil"/>
                    <w:tr2bl w:val="nil"/>
                  </w:tcBorders>
                  <w:noWrap w:val="0"/>
                  <w:vAlign w:val="center"/>
                </w:tcPr>
                <w:p w14:paraId="2C5B44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asciiTheme="minorEastAsia" w:hAnsiTheme="minorEastAsia"/>
                      <w:color w:val="000000" w:themeColor="text1"/>
                      <w:sz w:val="21"/>
                      <w:szCs w:val="21"/>
                      <w:highlight w:val="none"/>
                      <w:lang w:val="en-US" w:eastAsia="zh-CN"/>
                      <w14:textFill>
                        <w14:solidFill>
                          <w14:schemeClr w14:val="tx1"/>
                        </w14:solidFill>
                      </w14:textFill>
                    </w:rPr>
                    <w:t>颗粒物</w:t>
                  </w:r>
                </w:p>
              </w:tc>
              <w:tc>
                <w:tcPr>
                  <w:tcW w:w="1833" w:type="pct"/>
                  <w:tcBorders>
                    <w:tl2br w:val="nil"/>
                    <w:tr2bl w:val="nil"/>
                  </w:tcBorders>
                  <w:noWrap w:val="0"/>
                  <w:vAlign w:val="center"/>
                </w:tcPr>
                <w:p w14:paraId="516E76F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负压称量室集气系统收集后，与车间空调排风系统连接，产生的少量粉尘无组织排放</w:t>
                  </w:r>
                </w:p>
              </w:tc>
            </w:tr>
            <w:tr w14:paraId="068E2C9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continue"/>
                  <w:tcBorders>
                    <w:tl2br w:val="nil"/>
                    <w:tr2bl w:val="nil"/>
                  </w:tcBorders>
                  <w:noWrap w:val="0"/>
                  <w:vAlign w:val="center"/>
                </w:tcPr>
                <w:p w14:paraId="23E5FE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82" w:type="pct"/>
                  <w:tcBorders>
                    <w:tl2br w:val="nil"/>
                    <w:tr2bl w:val="nil"/>
                  </w:tcBorders>
                  <w:noWrap w:val="0"/>
                  <w:vAlign w:val="center"/>
                </w:tcPr>
                <w:p w14:paraId="37828D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w:t>
                  </w:r>
                  <w:r>
                    <w:rPr>
                      <w:rFonts w:hint="eastAsia" w:cs="Times New Roman"/>
                      <w:color w:val="000000" w:themeColor="text1"/>
                      <w:sz w:val="21"/>
                      <w:szCs w:val="21"/>
                      <w:highlight w:val="none"/>
                      <w:lang w:val="en-US" w:eastAsia="zh-CN"/>
                      <w14:textFill>
                        <w14:solidFill>
                          <w14:schemeClr w14:val="tx1"/>
                        </w14:solidFill>
                      </w14:textFill>
                    </w:rPr>
                    <w:t>2</w:t>
                  </w:r>
                </w:p>
              </w:tc>
              <w:tc>
                <w:tcPr>
                  <w:tcW w:w="1035" w:type="pct"/>
                  <w:tcBorders>
                    <w:tl2br w:val="nil"/>
                    <w:tr2bl w:val="nil"/>
                  </w:tcBorders>
                  <w:noWrap w:val="0"/>
                  <w:vAlign w:val="center"/>
                </w:tcPr>
                <w:p w14:paraId="0BB501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制粒</w:t>
                  </w:r>
                  <w:r>
                    <w:rPr>
                      <w:rFonts w:hint="eastAsia" w:eastAsia="宋体" w:cs="Times New Roman"/>
                      <w:b w:val="0"/>
                      <w:bCs/>
                      <w:color w:val="000000" w:themeColor="text1"/>
                      <w:sz w:val="21"/>
                      <w:szCs w:val="21"/>
                      <w:highlight w:val="none"/>
                      <w:lang w:val="en-US" w:eastAsia="zh-CN"/>
                      <w14:textFill>
                        <w14:solidFill>
                          <w14:schemeClr w14:val="tx1"/>
                        </w14:solidFill>
                      </w14:textFill>
                    </w:rPr>
                    <w:t>废气</w:t>
                  </w:r>
                </w:p>
              </w:tc>
              <w:tc>
                <w:tcPr>
                  <w:tcW w:w="1026" w:type="pct"/>
                  <w:tcBorders>
                    <w:tl2br w:val="nil"/>
                    <w:tr2bl w:val="nil"/>
                  </w:tcBorders>
                  <w:noWrap w:val="0"/>
                  <w:vAlign w:val="center"/>
                </w:tcPr>
                <w:p w14:paraId="5B386E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1833" w:type="pct"/>
                  <w:tcBorders>
                    <w:tl2br w:val="nil"/>
                    <w:tr2bl w:val="nil"/>
                  </w:tcBorders>
                  <w:noWrap w:val="0"/>
                  <w:vAlign w:val="center"/>
                </w:tcPr>
                <w:p w14:paraId="63F14C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olor w:val="000000" w:themeColor="text1"/>
                      <w:sz w:val="21"/>
                      <w:szCs w:val="21"/>
                      <w:highlight w:val="none"/>
                      <w:lang w:val="en-US" w:eastAsia="zh-CN"/>
                      <w14:textFill>
                        <w14:solidFill>
                          <w14:schemeClr w14:val="tx1"/>
                        </w14:solidFill>
                      </w14:textFill>
                    </w:rPr>
                    <w:t>密闭结构+负压进料+出口密闭管道连接+</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呼吸口处捕集袋除尘+</w:t>
                  </w:r>
                  <w:r>
                    <w:rPr>
                      <w:rFonts w:hint="eastAsia" w:eastAsia="宋体"/>
                      <w:color w:val="000000" w:themeColor="text1"/>
                      <w:sz w:val="21"/>
                      <w:szCs w:val="21"/>
                      <w:highlight w:val="none"/>
                      <w:lang w:val="en-US" w:eastAsia="zh-CN"/>
                      <w14:textFill>
                        <w14:solidFill>
                          <w14:schemeClr w14:val="tx1"/>
                        </w14:solidFill>
                      </w14:textFill>
                    </w:rPr>
                    <w:t>旋风</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除尘器（TA0</w:t>
                  </w:r>
                  <w:r>
                    <w:rPr>
                      <w:rFonts w:hint="eastAsia"/>
                      <w:color w:val="000000" w:themeColor="text1"/>
                      <w:sz w:val="21"/>
                      <w:szCs w:val="21"/>
                      <w:highlight w:val="none"/>
                      <w:lang w:val="en-US" w:eastAsia="zh-CN"/>
                      <w14:textFill>
                        <w14:solidFill>
                          <w14:schemeClr w14:val="tx1"/>
                        </w14:solidFill>
                      </w14:textFill>
                    </w:rPr>
                    <w:t>27</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）处理后由不低于15m高的排气筒（DA00</w:t>
                  </w:r>
                  <w:r>
                    <w:rPr>
                      <w:rFonts w:hint="eastAsia"/>
                      <w:color w:val="000000" w:themeColor="text1"/>
                      <w:sz w:val="21"/>
                      <w:szCs w:val="21"/>
                      <w:highlight w:val="none"/>
                      <w:lang w:val="en-US" w:eastAsia="zh-CN"/>
                      <w14:textFill>
                        <w14:solidFill>
                          <w14:schemeClr w14:val="tx1"/>
                        </w14:solidFill>
                      </w14:textFill>
                    </w:rPr>
                    <w:t>5</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）排放</w:t>
                  </w:r>
                </w:p>
              </w:tc>
            </w:tr>
            <w:tr w14:paraId="0FA6AB3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continue"/>
                  <w:tcBorders>
                    <w:tl2br w:val="nil"/>
                    <w:tr2bl w:val="nil"/>
                  </w:tcBorders>
                  <w:noWrap w:val="0"/>
                  <w:vAlign w:val="center"/>
                </w:tcPr>
                <w:p w14:paraId="7DBE8E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82" w:type="pct"/>
                  <w:tcBorders>
                    <w:tl2br w:val="nil"/>
                    <w:tr2bl w:val="nil"/>
                  </w:tcBorders>
                  <w:noWrap w:val="0"/>
                  <w:vAlign w:val="center"/>
                </w:tcPr>
                <w:p w14:paraId="063095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w:t>
                  </w:r>
                  <w:r>
                    <w:rPr>
                      <w:rFonts w:hint="eastAsia" w:cs="Times New Roman"/>
                      <w:color w:val="000000" w:themeColor="text1"/>
                      <w:sz w:val="21"/>
                      <w:szCs w:val="21"/>
                      <w:highlight w:val="none"/>
                      <w:lang w:val="en-US" w:eastAsia="zh-CN"/>
                      <w14:textFill>
                        <w14:solidFill>
                          <w14:schemeClr w14:val="tx1"/>
                        </w14:solidFill>
                      </w14:textFill>
                    </w:rPr>
                    <w:t>3</w:t>
                  </w:r>
                </w:p>
              </w:tc>
              <w:tc>
                <w:tcPr>
                  <w:tcW w:w="1035" w:type="pct"/>
                  <w:tcBorders>
                    <w:tl2br w:val="nil"/>
                    <w:tr2bl w:val="nil"/>
                  </w:tcBorders>
                  <w:noWrap w:val="0"/>
                  <w:vAlign w:val="center"/>
                </w:tcPr>
                <w:p w14:paraId="7270BF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选粒废气</w:t>
                  </w:r>
                </w:p>
              </w:tc>
              <w:tc>
                <w:tcPr>
                  <w:tcW w:w="1026" w:type="pct"/>
                  <w:tcBorders>
                    <w:tl2br w:val="nil"/>
                    <w:tr2bl w:val="nil"/>
                  </w:tcBorders>
                  <w:noWrap w:val="0"/>
                  <w:vAlign w:val="center"/>
                </w:tcPr>
                <w:p w14:paraId="422B9D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颗粒物</w:t>
                  </w:r>
                </w:p>
              </w:tc>
              <w:tc>
                <w:tcPr>
                  <w:tcW w:w="1833" w:type="pct"/>
                  <w:vMerge w:val="restart"/>
                  <w:tcBorders>
                    <w:tl2br w:val="nil"/>
                    <w:tr2bl w:val="nil"/>
                  </w:tcBorders>
                  <w:noWrap w:val="0"/>
                  <w:vAlign w:val="center"/>
                </w:tcPr>
                <w:p w14:paraId="48AD36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olor w:val="000000" w:themeColor="text1"/>
                      <w:sz w:val="21"/>
                      <w:szCs w:val="21"/>
                      <w:highlight w:val="none"/>
                      <w:lang w:val="en-US" w:eastAsia="zh-CN"/>
                      <w14:textFill>
                        <w14:solidFill>
                          <w14:schemeClr w14:val="tx1"/>
                        </w14:solidFill>
                      </w14:textFill>
                    </w:rPr>
                    <w:t>密闭结构+负压进料+</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呼吸口处捕集袋除尘+通过空调排放系统无组织排放</w:t>
                  </w:r>
                </w:p>
              </w:tc>
            </w:tr>
            <w:tr w14:paraId="23424EE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continue"/>
                  <w:tcBorders>
                    <w:tl2br w:val="nil"/>
                    <w:tr2bl w:val="nil"/>
                  </w:tcBorders>
                  <w:noWrap w:val="0"/>
                  <w:vAlign w:val="center"/>
                </w:tcPr>
                <w:p w14:paraId="398C8C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82" w:type="pct"/>
                  <w:tcBorders>
                    <w:tl2br w:val="nil"/>
                    <w:tr2bl w:val="nil"/>
                  </w:tcBorders>
                  <w:noWrap w:val="0"/>
                  <w:vAlign w:val="center"/>
                </w:tcPr>
                <w:p w14:paraId="4FD437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w:t>
                  </w:r>
                  <w:r>
                    <w:rPr>
                      <w:rFonts w:hint="eastAsia" w:cs="Times New Roman"/>
                      <w:color w:val="000000" w:themeColor="text1"/>
                      <w:sz w:val="21"/>
                      <w:szCs w:val="21"/>
                      <w:highlight w:val="none"/>
                      <w:lang w:val="en-US" w:eastAsia="zh-CN"/>
                      <w14:textFill>
                        <w14:solidFill>
                          <w14:schemeClr w14:val="tx1"/>
                        </w14:solidFill>
                      </w14:textFill>
                    </w:rPr>
                    <w:t>4</w:t>
                  </w:r>
                </w:p>
              </w:tc>
              <w:tc>
                <w:tcPr>
                  <w:tcW w:w="1035" w:type="pct"/>
                  <w:tcBorders>
                    <w:tl2br w:val="nil"/>
                    <w:tr2bl w:val="nil"/>
                  </w:tcBorders>
                  <w:noWrap w:val="0"/>
                  <w:vAlign w:val="center"/>
                </w:tcPr>
                <w:p w14:paraId="6BDDD1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总混废气</w:t>
                  </w:r>
                </w:p>
              </w:tc>
              <w:tc>
                <w:tcPr>
                  <w:tcW w:w="1026" w:type="pct"/>
                  <w:tcBorders>
                    <w:tl2br w:val="nil"/>
                    <w:tr2bl w:val="nil"/>
                  </w:tcBorders>
                  <w:noWrap w:val="0"/>
                  <w:vAlign w:val="center"/>
                </w:tcPr>
                <w:p w14:paraId="6FA46F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1833" w:type="pct"/>
                  <w:vMerge w:val="continue"/>
                  <w:tcBorders>
                    <w:tl2br w:val="nil"/>
                    <w:tr2bl w:val="nil"/>
                  </w:tcBorders>
                  <w:noWrap w:val="0"/>
                  <w:vAlign w:val="center"/>
                </w:tcPr>
                <w:p w14:paraId="771C53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color w:val="000000" w:themeColor="text1"/>
                      <w:sz w:val="21"/>
                      <w:szCs w:val="21"/>
                      <w:highlight w:val="none"/>
                      <w:lang w:val="en-US" w:eastAsia="zh-CN"/>
                      <w14:textFill>
                        <w14:solidFill>
                          <w14:schemeClr w14:val="tx1"/>
                        </w14:solidFill>
                      </w14:textFill>
                    </w:rPr>
                  </w:pPr>
                </w:p>
              </w:tc>
            </w:tr>
            <w:tr w14:paraId="624C5E8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continue"/>
                  <w:tcBorders>
                    <w:tl2br w:val="nil"/>
                    <w:tr2bl w:val="nil"/>
                  </w:tcBorders>
                  <w:noWrap w:val="0"/>
                  <w:vAlign w:val="center"/>
                </w:tcPr>
                <w:p w14:paraId="1D69EE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82" w:type="pct"/>
                  <w:tcBorders>
                    <w:tl2br w:val="nil"/>
                    <w:tr2bl w:val="nil"/>
                  </w:tcBorders>
                  <w:shd w:val="clear" w:color="auto" w:fill="auto"/>
                  <w:noWrap w:val="0"/>
                  <w:vAlign w:val="center"/>
                </w:tcPr>
                <w:p w14:paraId="7E6BB4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w:t>
                  </w:r>
                  <w:r>
                    <w:rPr>
                      <w:rFonts w:hint="eastAsia" w:eastAsia="宋体" w:cs="Times New Roman"/>
                      <w:color w:val="000000" w:themeColor="text1"/>
                      <w:sz w:val="21"/>
                      <w:szCs w:val="21"/>
                      <w:highlight w:val="none"/>
                      <w:lang w:val="en-US" w:eastAsia="zh-CN"/>
                      <w14:textFill>
                        <w14:solidFill>
                          <w14:schemeClr w14:val="tx1"/>
                        </w14:solidFill>
                      </w14:textFill>
                    </w:rPr>
                    <w:t>5</w:t>
                  </w:r>
                </w:p>
              </w:tc>
              <w:tc>
                <w:tcPr>
                  <w:tcW w:w="1035" w:type="pct"/>
                  <w:tcBorders>
                    <w:tl2br w:val="nil"/>
                    <w:tr2bl w:val="nil"/>
                  </w:tcBorders>
                  <w:shd w:val="clear" w:color="auto" w:fill="auto"/>
                  <w:noWrap w:val="0"/>
                  <w:vAlign w:val="center"/>
                </w:tcPr>
                <w:p w14:paraId="1404FF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eastAsia="宋体" w:cs="Times New Roman"/>
                      <w:b w:val="0"/>
                      <w:bCs/>
                      <w:color w:val="000000" w:themeColor="text1"/>
                      <w:sz w:val="21"/>
                      <w:szCs w:val="21"/>
                      <w:highlight w:val="none"/>
                      <w:lang w:val="en-US" w:eastAsia="zh-CN"/>
                      <w14:textFill>
                        <w14:solidFill>
                          <w14:schemeClr w14:val="tx1"/>
                        </w14:solidFill>
                      </w14:textFill>
                    </w:rPr>
                    <w:t>粉碎废气</w:t>
                  </w:r>
                </w:p>
              </w:tc>
              <w:tc>
                <w:tcPr>
                  <w:tcW w:w="1026" w:type="pct"/>
                  <w:tcBorders>
                    <w:tl2br w:val="nil"/>
                    <w:tr2bl w:val="nil"/>
                  </w:tcBorders>
                  <w:shd w:val="clear" w:color="auto" w:fill="auto"/>
                  <w:noWrap w:val="0"/>
                  <w:vAlign w:val="center"/>
                </w:tcPr>
                <w:p w14:paraId="65F5C8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asciiTheme="minorEastAsia" w:hAnsiTheme="minorEastAsia"/>
                      <w:color w:val="000000" w:themeColor="text1"/>
                      <w:sz w:val="21"/>
                      <w:szCs w:val="21"/>
                      <w:highlight w:val="none"/>
                      <w:lang w:val="en-US" w:eastAsia="zh-CN"/>
                      <w14:textFill>
                        <w14:solidFill>
                          <w14:schemeClr w14:val="tx1"/>
                        </w14:solidFill>
                      </w14:textFill>
                    </w:rPr>
                    <w:t>颗粒物</w:t>
                  </w:r>
                </w:p>
              </w:tc>
              <w:tc>
                <w:tcPr>
                  <w:tcW w:w="1833" w:type="pct"/>
                  <w:vMerge w:val="continue"/>
                  <w:tcBorders>
                    <w:tl2br w:val="nil"/>
                    <w:tr2bl w:val="nil"/>
                  </w:tcBorders>
                  <w:noWrap w:val="0"/>
                  <w:vAlign w:val="center"/>
                </w:tcPr>
                <w:p w14:paraId="6EEA28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color w:val="000000" w:themeColor="text1"/>
                      <w:sz w:val="21"/>
                      <w:szCs w:val="21"/>
                      <w:highlight w:val="none"/>
                      <w:lang w:val="en-US" w:eastAsia="zh-CN"/>
                      <w14:textFill>
                        <w14:solidFill>
                          <w14:schemeClr w14:val="tx1"/>
                        </w14:solidFill>
                      </w14:textFill>
                    </w:rPr>
                  </w:pPr>
                </w:p>
              </w:tc>
            </w:tr>
            <w:tr w14:paraId="46EA6FF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continue"/>
                  <w:tcBorders>
                    <w:tl2br w:val="nil"/>
                    <w:tr2bl w:val="nil"/>
                  </w:tcBorders>
                  <w:noWrap w:val="0"/>
                  <w:vAlign w:val="center"/>
                </w:tcPr>
                <w:p w14:paraId="0FA979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82" w:type="pct"/>
                  <w:tcBorders>
                    <w:tl2br w:val="nil"/>
                    <w:tr2bl w:val="nil"/>
                  </w:tcBorders>
                  <w:noWrap w:val="0"/>
                  <w:vAlign w:val="center"/>
                </w:tcPr>
                <w:p w14:paraId="3A6F84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w:t>
                  </w:r>
                  <w:r>
                    <w:rPr>
                      <w:rFonts w:hint="eastAsia" w:eastAsia="宋体" w:cs="Times New Roman"/>
                      <w:color w:val="000000" w:themeColor="text1"/>
                      <w:sz w:val="21"/>
                      <w:szCs w:val="21"/>
                      <w:highlight w:val="none"/>
                      <w:lang w:val="en-US" w:eastAsia="zh-CN"/>
                      <w14:textFill>
                        <w14:solidFill>
                          <w14:schemeClr w14:val="tx1"/>
                        </w14:solidFill>
                      </w14:textFill>
                    </w:rPr>
                    <w:t>6</w:t>
                  </w:r>
                </w:p>
              </w:tc>
              <w:tc>
                <w:tcPr>
                  <w:tcW w:w="1035" w:type="pct"/>
                  <w:tcBorders>
                    <w:tl2br w:val="nil"/>
                    <w:tr2bl w:val="nil"/>
                  </w:tcBorders>
                  <w:noWrap w:val="0"/>
                  <w:vAlign w:val="center"/>
                </w:tcPr>
                <w:p w14:paraId="11E204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颗粒内包废气</w:t>
                  </w:r>
                </w:p>
              </w:tc>
              <w:tc>
                <w:tcPr>
                  <w:tcW w:w="1026" w:type="pct"/>
                  <w:tcBorders>
                    <w:tl2br w:val="nil"/>
                    <w:tr2bl w:val="nil"/>
                  </w:tcBorders>
                  <w:noWrap w:val="0"/>
                  <w:vAlign w:val="center"/>
                </w:tcPr>
                <w:p w14:paraId="33A1C5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1833" w:type="pct"/>
                  <w:vMerge w:val="continue"/>
                  <w:tcBorders>
                    <w:tl2br w:val="nil"/>
                    <w:tr2bl w:val="nil"/>
                  </w:tcBorders>
                  <w:noWrap w:val="0"/>
                  <w:vAlign w:val="center"/>
                </w:tcPr>
                <w:p w14:paraId="7F8C1A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color w:val="000000" w:themeColor="text1"/>
                      <w:sz w:val="21"/>
                      <w:szCs w:val="21"/>
                      <w:highlight w:val="none"/>
                      <w:lang w:val="en-US" w:eastAsia="zh-CN"/>
                      <w14:textFill>
                        <w14:solidFill>
                          <w14:schemeClr w14:val="tx1"/>
                        </w14:solidFill>
                      </w14:textFill>
                    </w:rPr>
                  </w:pPr>
                </w:p>
              </w:tc>
            </w:tr>
            <w:tr w14:paraId="790E49C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continue"/>
                  <w:tcBorders>
                    <w:tl2br w:val="nil"/>
                    <w:tr2bl w:val="nil"/>
                  </w:tcBorders>
                  <w:noWrap w:val="0"/>
                  <w:vAlign w:val="center"/>
                </w:tcPr>
                <w:p w14:paraId="489BF4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82" w:type="pct"/>
                  <w:tcBorders>
                    <w:tl2br w:val="nil"/>
                    <w:tr2bl w:val="nil"/>
                  </w:tcBorders>
                  <w:noWrap w:val="0"/>
                  <w:vAlign w:val="center"/>
                </w:tcPr>
                <w:p w14:paraId="30EBBC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w:t>
                  </w:r>
                  <w:r>
                    <w:rPr>
                      <w:rFonts w:hint="eastAsia" w:eastAsia="宋体" w:cs="Times New Roman"/>
                      <w:color w:val="000000" w:themeColor="text1"/>
                      <w:sz w:val="21"/>
                      <w:szCs w:val="21"/>
                      <w:highlight w:val="none"/>
                      <w:lang w:val="en-US" w:eastAsia="zh-CN"/>
                      <w14:textFill>
                        <w14:solidFill>
                          <w14:schemeClr w14:val="tx1"/>
                        </w14:solidFill>
                      </w14:textFill>
                    </w:rPr>
                    <w:t>7</w:t>
                  </w:r>
                </w:p>
              </w:tc>
              <w:tc>
                <w:tcPr>
                  <w:tcW w:w="1035" w:type="pct"/>
                  <w:tcBorders>
                    <w:tl2br w:val="nil"/>
                    <w:tr2bl w:val="nil"/>
                  </w:tcBorders>
                  <w:noWrap w:val="0"/>
                  <w:vAlign w:val="center"/>
                </w:tcPr>
                <w:p w14:paraId="34968E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压片废气</w:t>
                  </w:r>
                </w:p>
              </w:tc>
              <w:tc>
                <w:tcPr>
                  <w:tcW w:w="1026" w:type="pct"/>
                  <w:tcBorders>
                    <w:tl2br w:val="nil"/>
                    <w:tr2bl w:val="nil"/>
                  </w:tcBorders>
                  <w:noWrap w:val="0"/>
                  <w:vAlign w:val="center"/>
                </w:tcPr>
                <w:p w14:paraId="722756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1833" w:type="pct"/>
                  <w:vMerge w:val="continue"/>
                  <w:tcBorders>
                    <w:tl2br w:val="nil"/>
                    <w:tr2bl w:val="nil"/>
                  </w:tcBorders>
                  <w:noWrap w:val="0"/>
                  <w:vAlign w:val="center"/>
                </w:tcPr>
                <w:p w14:paraId="1B07D8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color w:val="000000" w:themeColor="text1"/>
                      <w:sz w:val="21"/>
                      <w:szCs w:val="21"/>
                      <w:highlight w:val="none"/>
                      <w:lang w:val="en-US" w:eastAsia="zh-CN"/>
                      <w14:textFill>
                        <w14:solidFill>
                          <w14:schemeClr w14:val="tx1"/>
                        </w14:solidFill>
                      </w14:textFill>
                    </w:rPr>
                  </w:pPr>
                </w:p>
              </w:tc>
            </w:tr>
            <w:tr w14:paraId="1961B49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continue"/>
                  <w:tcBorders>
                    <w:tl2br w:val="nil"/>
                    <w:tr2bl w:val="nil"/>
                  </w:tcBorders>
                  <w:noWrap w:val="0"/>
                  <w:vAlign w:val="center"/>
                </w:tcPr>
                <w:p w14:paraId="0B58D1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82" w:type="pct"/>
                  <w:tcBorders>
                    <w:tl2br w:val="nil"/>
                    <w:tr2bl w:val="nil"/>
                  </w:tcBorders>
                  <w:noWrap w:val="0"/>
                  <w:vAlign w:val="center"/>
                </w:tcPr>
                <w:p w14:paraId="0AADDF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w:t>
                  </w:r>
                  <w:r>
                    <w:rPr>
                      <w:rFonts w:hint="eastAsia" w:eastAsia="宋体" w:cs="Times New Roman"/>
                      <w:color w:val="000000" w:themeColor="text1"/>
                      <w:sz w:val="21"/>
                      <w:szCs w:val="21"/>
                      <w:highlight w:val="none"/>
                      <w:lang w:val="en-US" w:eastAsia="zh-CN"/>
                      <w14:textFill>
                        <w14:solidFill>
                          <w14:schemeClr w14:val="tx1"/>
                        </w14:solidFill>
                      </w14:textFill>
                    </w:rPr>
                    <w:t>8</w:t>
                  </w:r>
                </w:p>
              </w:tc>
              <w:tc>
                <w:tcPr>
                  <w:tcW w:w="1035" w:type="pct"/>
                  <w:tcBorders>
                    <w:tl2br w:val="nil"/>
                    <w:tr2bl w:val="nil"/>
                  </w:tcBorders>
                  <w:noWrap w:val="0"/>
                  <w:vAlign w:val="center"/>
                </w:tcPr>
                <w:p w14:paraId="076145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包衣废气</w:t>
                  </w:r>
                </w:p>
              </w:tc>
              <w:tc>
                <w:tcPr>
                  <w:tcW w:w="1026" w:type="pct"/>
                  <w:tcBorders>
                    <w:tl2br w:val="nil"/>
                    <w:tr2bl w:val="nil"/>
                  </w:tcBorders>
                  <w:noWrap w:val="0"/>
                  <w:vAlign w:val="center"/>
                </w:tcPr>
                <w:p w14:paraId="5A314C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1833" w:type="pct"/>
                  <w:tcBorders>
                    <w:tl2br w:val="nil"/>
                    <w:tr2bl w:val="nil"/>
                  </w:tcBorders>
                  <w:noWrap w:val="0"/>
                  <w:vAlign w:val="center"/>
                </w:tcPr>
                <w:p w14:paraId="6BE19A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color w:val="000000" w:themeColor="text1"/>
                      <w:sz w:val="21"/>
                      <w:szCs w:val="21"/>
                      <w:highlight w:val="none"/>
                      <w:lang w:val="en-US" w:eastAsia="zh-CN"/>
                      <w14:textFill>
                        <w14:solidFill>
                          <w14:schemeClr w14:val="tx1"/>
                        </w14:solidFill>
                      </w14:textFill>
                    </w:rPr>
                  </w:pPr>
                  <w:r>
                    <w:rPr>
                      <w:rFonts w:hint="eastAsia" w:eastAsia="宋体"/>
                      <w:color w:val="000000" w:themeColor="text1"/>
                      <w:sz w:val="21"/>
                      <w:szCs w:val="21"/>
                      <w:highlight w:val="none"/>
                      <w:lang w:val="en-US" w:eastAsia="zh-CN"/>
                      <w14:textFill>
                        <w14:solidFill>
                          <w14:schemeClr w14:val="tx1"/>
                        </w14:solidFill>
                      </w14:textFill>
                    </w:rPr>
                    <w:t>密闭结构+负压进料+出口密闭管道连接+</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呼吸口处捕集袋除尘+</w:t>
                  </w:r>
                  <w:r>
                    <w:rPr>
                      <w:rFonts w:hint="eastAsia" w:eastAsia="宋体"/>
                      <w:color w:val="000000" w:themeColor="text1"/>
                      <w:sz w:val="21"/>
                      <w:szCs w:val="21"/>
                      <w:highlight w:val="none"/>
                      <w:lang w:val="en-US" w:eastAsia="zh-CN"/>
                      <w14:textFill>
                        <w14:solidFill>
                          <w14:schemeClr w14:val="tx1"/>
                        </w14:solidFill>
                      </w14:textFill>
                    </w:rPr>
                    <w:t>旋风</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除尘器（TA0</w:t>
                  </w:r>
                  <w:r>
                    <w:rPr>
                      <w:rFonts w:hint="eastAsia"/>
                      <w:color w:val="000000" w:themeColor="text1"/>
                      <w:sz w:val="21"/>
                      <w:szCs w:val="21"/>
                      <w:highlight w:val="none"/>
                      <w:lang w:val="en-US" w:eastAsia="zh-CN"/>
                      <w14:textFill>
                        <w14:solidFill>
                          <w14:schemeClr w14:val="tx1"/>
                        </w14:solidFill>
                      </w14:textFill>
                    </w:rPr>
                    <w:t>27</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）处理后由不低于15m高的排气筒（DA00</w:t>
                  </w:r>
                  <w:r>
                    <w:rPr>
                      <w:rFonts w:hint="eastAsia"/>
                      <w:color w:val="000000" w:themeColor="text1"/>
                      <w:sz w:val="21"/>
                      <w:szCs w:val="21"/>
                      <w:highlight w:val="none"/>
                      <w:lang w:val="en-US" w:eastAsia="zh-CN"/>
                      <w14:textFill>
                        <w14:solidFill>
                          <w14:schemeClr w14:val="tx1"/>
                        </w14:solidFill>
                      </w14:textFill>
                    </w:rPr>
                    <w:t>5</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）排放</w:t>
                  </w:r>
                </w:p>
              </w:tc>
            </w:tr>
            <w:tr w14:paraId="127ED14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continue"/>
                  <w:tcBorders>
                    <w:tl2br w:val="nil"/>
                    <w:tr2bl w:val="nil"/>
                  </w:tcBorders>
                  <w:noWrap w:val="0"/>
                  <w:vAlign w:val="center"/>
                </w:tcPr>
                <w:p w14:paraId="15BFC5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82" w:type="pct"/>
                  <w:tcBorders>
                    <w:tl2br w:val="nil"/>
                    <w:tr2bl w:val="nil"/>
                  </w:tcBorders>
                  <w:noWrap w:val="0"/>
                  <w:vAlign w:val="center"/>
                </w:tcPr>
                <w:p w14:paraId="0F2825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w:t>
                  </w:r>
                  <w:r>
                    <w:rPr>
                      <w:rFonts w:hint="eastAsia" w:eastAsia="宋体" w:cs="Times New Roman"/>
                      <w:color w:val="000000" w:themeColor="text1"/>
                      <w:sz w:val="21"/>
                      <w:szCs w:val="21"/>
                      <w:highlight w:val="none"/>
                      <w:lang w:val="en-US" w:eastAsia="zh-CN"/>
                      <w14:textFill>
                        <w14:solidFill>
                          <w14:schemeClr w14:val="tx1"/>
                        </w14:solidFill>
                      </w14:textFill>
                    </w:rPr>
                    <w:t>9</w:t>
                  </w:r>
                </w:p>
              </w:tc>
              <w:tc>
                <w:tcPr>
                  <w:tcW w:w="1035" w:type="pct"/>
                  <w:tcBorders>
                    <w:tl2br w:val="nil"/>
                    <w:tr2bl w:val="nil"/>
                  </w:tcBorders>
                  <w:noWrap w:val="0"/>
                  <w:vAlign w:val="center"/>
                </w:tcPr>
                <w:p w14:paraId="6AB73E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胶囊填充废气</w:t>
                  </w:r>
                </w:p>
              </w:tc>
              <w:tc>
                <w:tcPr>
                  <w:tcW w:w="1026" w:type="pct"/>
                  <w:tcBorders>
                    <w:tl2br w:val="nil"/>
                    <w:tr2bl w:val="nil"/>
                  </w:tcBorders>
                  <w:noWrap w:val="0"/>
                  <w:vAlign w:val="center"/>
                </w:tcPr>
                <w:p w14:paraId="65D7E9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1833" w:type="pct"/>
                  <w:tcBorders>
                    <w:tl2br w:val="nil"/>
                    <w:tr2bl w:val="nil"/>
                  </w:tcBorders>
                  <w:noWrap w:val="0"/>
                  <w:vAlign w:val="center"/>
                </w:tcPr>
                <w:p w14:paraId="7CA196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color w:val="000000" w:themeColor="text1"/>
                      <w:sz w:val="21"/>
                      <w:szCs w:val="21"/>
                      <w:highlight w:val="none"/>
                      <w:lang w:val="en-US" w:eastAsia="zh-CN"/>
                      <w14:textFill>
                        <w14:solidFill>
                          <w14:schemeClr w14:val="tx1"/>
                        </w14:solidFill>
                      </w14:textFill>
                    </w:rPr>
                  </w:pPr>
                  <w:r>
                    <w:rPr>
                      <w:rFonts w:hint="eastAsia" w:eastAsia="宋体"/>
                      <w:color w:val="000000" w:themeColor="text1"/>
                      <w:sz w:val="21"/>
                      <w:szCs w:val="21"/>
                      <w:highlight w:val="none"/>
                      <w:lang w:val="en-US" w:eastAsia="zh-CN"/>
                      <w14:textFill>
                        <w14:solidFill>
                          <w14:schemeClr w14:val="tx1"/>
                        </w14:solidFill>
                      </w14:textFill>
                    </w:rPr>
                    <w:t>密闭结构+负压进料+</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呼吸口处捕集袋除尘+通过空调排放系统无组织排放</w:t>
                  </w:r>
                </w:p>
              </w:tc>
            </w:tr>
            <w:tr w14:paraId="407C5EC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continue"/>
                  <w:tcBorders>
                    <w:tl2br w:val="nil"/>
                    <w:tr2bl w:val="nil"/>
                  </w:tcBorders>
                  <w:noWrap w:val="0"/>
                  <w:vAlign w:val="center"/>
                </w:tcPr>
                <w:p w14:paraId="230EB4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82" w:type="pct"/>
                  <w:tcBorders>
                    <w:tl2br w:val="nil"/>
                    <w:tr2bl w:val="nil"/>
                  </w:tcBorders>
                  <w:noWrap w:val="0"/>
                  <w:vAlign w:val="center"/>
                </w:tcPr>
                <w:p w14:paraId="7AB69D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w:t>
                  </w:r>
                  <w:r>
                    <w:rPr>
                      <w:rFonts w:hint="eastAsia" w:eastAsia="宋体" w:cs="Times New Roman"/>
                      <w:color w:val="000000" w:themeColor="text1"/>
                      <w:sz w:val="21"/>
                      <w:szCs w:val="21"/>
                      <w:highlight w:val="none"/>
                      <w:lang w:val="en-US" w:eastAsia="zh-CN"/>
                      <w14:textFill>
                        <w14:solidFill>
                          <w14:schemeClr w14:val="tx1"/>
                        </w14:solidFill>
                      </w14:textFill>
                    </w:rPr>
                    <w:t>10</w:t>
                  </w:r>
                </w:p>
              </w:tc>
              <w:tc>
                <w:tcPr>
                  <w:tcW w:w="1035" w:type="pct"/>
                  <w:tcBorders>
                    <w:tl2br w:val="nil"/>
                    <w:tr2bl w:val="nil"/>
                  </w:tcBorders>
                  <w:noWrap w:val="0"/>
                  <w:vAlign w:val="center"/>
                </w:tcPr>
                <w:p w14:paraId="3F6B4B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s="Times New Roman"/>
                      <w:b w:val="0"/>
                      <w:bCs/>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泡罩包装废气</w:t>
                  </w:r>
                </w:p>
              </w:tc>
              <w:tc>
                <w:tcPr>
                  <w:tcW w:w="1026" w:type="pct"/>
                  <w:tcBorders>
                    <w:tl2br w:val="nil"/>
                    <w:tr2bl w:val="nil"/>
                  </w:tcBorders>
                  <w:noWrap w:val="0"/>
                  <w:vAlign w:val="center"/>
                </w:tcPr>
                <w:p w14:paraId="6347BA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 w:val="21"/>
                      <w:szCs w:val="21"/>
                      <w:highlight w:val="none"/>
                      <w:lang w:val="en-US" w:eastAsia="zh-CN"/>
                      <w14:textFill>
                        <w14:solidFill>
                          <w14:schemeClr w14:val="tx1"/>
                        </w14:solidFill>
                      </w14:textFill>
                    </w:rPr>
                    <w:t>非甲烷总烃</w:t>
                  </w:r>
                </w:p>
              </w:tc>
              <w:tc>
                <w:tcPr>
                  <w:tcW w:w="1833" w:type="pct"/>
                  <w:vMerge w:val="restart"/>
                  <w:tcBorders>
                    <w:tl2br w:val="nil"/>
                    <w:tr2bl w:val="nil"/>
                  </w:tcBorders>
                  <w:noWrap w:val="0"/>
                  <w:vAlign w:val="center"/>
                </w:tcPr>
                <w:p w14:paraId="62C127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产生微量非甲烷总烃，项目使用PVC硬片量较少，所以废气无组织排放</w:t>
                  </w:r>
                </w:p>
              </w:tc>
            </w:tr>
            <w:tr w14:paraId="282145F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continue"/>
                  <w:tcBorders>
                    <w:tl2br w:val="nil"/>
                    <w:tr2bl w:val="nil"/>
                  </w:tcBorders>
                  <w:noWrap w:val="0"/>
                  <w:vAlign w:val="center"/>
                </w:tcPr>
                <w:p w14:paraId="0E91F3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82" w:type="pct"/>
                  <w:tcBorders>
                    <w:tl2br w:val="nil"/>
                    <w:tr2bl w:val="nil"/>
                  </w:tcBorders>
                  <w:noWrap w:val="0"/>
                  <w:vAlign w:val="center"/>
                </w:tcPr>
                <w:p w14:paraId="28360B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w:t>
                  </w:r>
                  <w:r>
                    <w:rPr>
                      <w:rFonts w:hint="eastAsia" w:eastAsia="宋体" w:cs="Times New Roman"/>
                      <w:color w:val="000000" w:themeColor="text1"/>
                      <w:sz w:val="21"/>
                      <w:szCs w:val="21"/>
                      <w:highlight w:val="none"/>
                      <w:lang w:val="en-US" w:eastAsia="zh-CN"/>
                      <w14:textFill>
                        <w14:solidFill>
                          <w14:schemeClr w14:val="tx1"/>
                        </w14:solidFill>
                      </w14:textFill>
                    </w:rPr>
                    <w:t>11</w:t>
                  </w:r>
                </w:p>
              </w:tc>
              <w:tc>
                <w:tcPr>
                  <w:tcW w:w="1035" w:type="pct"/>
                  <w:tcBorders>
                    <w:tl2br w:val="nil"/>
                    <w:tr2bl w:val="nil"/>
                  </w:tcBorders>
                  <w:noWrap w:val="0"/>
                  <w:vAlign w:val="center"/>
                </w:tcPr>
                <w:p w14:paraId="411A66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s="Times New Roman"/>
                      <w:b w:val="0"/>
                      <w:bCs/>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枕式包装废气</w:t>
                  </w:r>
                </w:p>
              </w:tc>
              <w:tc>
                <w:tcPr>
                  <w:tcW w:w="1026" w:type="pct"/>
                  <w:tcBorders>
                    <w:tl2br w:val="nil"/>
                    <w:tr2bl w:val="nil"/>
                  </w:tcBorders>
                  <w:noWrap w:val="0"/>
                  <w:vAlign w:val="center"/>
                </w:tcPr>
                <w:p w14:paraId="323D4D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asciiTheme="minorEastAsia" w:hAnsiTheme="minorEastAsia"/>
                      <w:color w:val="000000" w:themeColor="text1"/>
                      <w:sz w:val="21"/>
                      <w:szCs w:val="21"/>
                      <w:highlight w:val="none"/>
                      <w:lang w:val="en-US" w:eastAsia="zh-CN"/>
                      <w14:textFill>
                        <w14:solidFill>
                          <w14:schemeClr w14:val="tx1"/>
                        </w14:solidFill>
                      </w14:textFill>
                    </w:rPr>
                    <w:t>非甲烷总烃</w:t>
                  </w:r>
                </w:p>
              </w:tc>
              <w:tc>
                <w:tcPr>
                  <w:tcW w:w="1833" w:type="pct"/>
                  <w:vMerge w:val="continue"/>
                  <w:tcBorders>
                    <w:tl2br w:val="nil"/>
                    <w:tr2bl w:val="nil"/>
                  </w:tcBorders>
                  <w:noWrap w:val="0"/>
                  <w:vAlign w:val="center"/>
                </w:tcPr>
                <w:p w14:paraId="71E431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color w:val="000000" w:themeColor="text1"/>
                      <w:sz w:val="21"/>
                      <w:szCs w:val="21"/>
                      <w:highlight w:val="none"/>
                      <w:lang w:val="en-US" w:eastAsia="zh-CN"/>
                      <w14:textFill>
                        <w14:solidFill>
                          <w14:schemeClr w14:val="tx1"/>
                        </w14:solidFill>
                      </w14:textFill>
                    </w:rPr>
                  </w:pPr>
                </w:p>
              </w:tc>
            </w:tr>
            <w:tr w14:paraId="431E7D0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restart"/>
                  <w:tcBorders>
                    <w:tl2br w:val="nil"/>
                    <w:tr2bl w:val="nil"/>
                  </w:tcBorders>
                  <w:noWrap w:val="0"/>
                  <w:vAlign w:val="center"/>
                </w:tcPr>
                <w:p w14:paraId="4A618B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固废</w:t>
                  </w:r>
                </w:p>
              </w:tc>
              <w:tc>
                <w:tcPr>
                  <w:tcW w:w="682" w:type="pct"/>
                  <w:tcBorders>
                    <w:tl2br w:val="nil"/>
                    <w:tr2bl w:val="nil"/>
                  </w:tcBorders>
                  <w:shd w:val="clear" w:color="auto" w:fill="auto"/>
                  <w:noWrap w:val="0"/>
                  <w:vAlign w:val="center"/>
                </w:tcPr>
                <w:p w14:paraId="7A6BAE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S1</w:t>
                  </w:r>
                </w:p>
              </w:tc>
              <w:tc>
                <w:tcPr>
                  <w:tcW w:w="1035" w:type="pct"/>
                  <w:tcBorders>
                    <w:tl2br w:val="nil"/>
                    <w:tr2bl w:val="nil"/>
                  </w:tcBorders>
                  <w:shd w:val="clear" w:color="auto" w:fill="auto"/>
                  <w:noWrap w:val="0"/>
                  <w:vAlign w:val="center"/>
                </w:tcPr>
                <w:p w14:paraId="18BC86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制粒</w:t>
                  </w:r>
                </w:p>
              </w:tc>
              <w:tc>
                <w:tcPr>
                  <w:tcW w:w="1026" w:type="pct"/>
                  <w:tcBorders>
                    <w:tl2br w:val="nil"/>
                    <w:tr2bl w:val="nil"/>
                  </w:tcBorders>
                  <w:noWrap w:val="0"/>
                  <w:vAlign w:val="center"/>
                </w:tcPr>
                <w:p w14:paraId="4F2D5B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废捕集袋</w:t>
                  </w:r>
                </w:p>
              </w:tc>
              <w:tc>
                <w:tcPr>
                  <w:tcW w:w="1833" w:type="pct"/>
                  <w:vMerge w:val="restart"/>
                  <w:tcBorders>
                    <w:tl2br w:val="nil"/>
                    <w:tr2bl w:val="nil"/>
                  </w:tcBorders>
                  <w:noWrap w:val="0"/>
                  <w:vAlign w:val="center"/>
                </w:tcPr>
                <w:p w14:paraId="2AAD2D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pPr>
                  <w:r>
                    <w:rPr>
                      <w:rFonts w:hint="eastAsia" w:cs="Times New Roman"/>
                      <w:color w:val="000000" w:themeColor="text1"/>
                      <w:sz w:val="21"/>
                      <w:szCs w:val="21"/>
                      <w:highlight w:val="none"/>
                      <w:u w:val="none"/>
                      <w:lang w:val="en-US" w:eastAsia="zh-CN"/>
                      <w14:textFill>
                        <w14:solidFill>
                          <w14:schemeClr w14:val="tx1"/>
                        </w14:solidFill>
                      </w14:textFill>
                    </w:rPr>
                    <w:t>集中收集后暂存于一般固废暂存区，交由有利用、处置能力的企业依法依规进行利用处置。</w:t>
                  </w:r>
                </w:p>
              </w:tc>
            </w:tr>
            <w:tr w14:paraId="2A293A5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continue"/>
                  <w:tcBorders>
                    <w:tl2br w:val="nil"/>
                    <w:tr2bl w:val="nil"/>
                  </w:tcBorders>
                  <w:noWrap w:val="0"/>
                  <w:vAlign w:val="center"/>
                </w:tcPr>
                <w:p w14:paraId="4A2254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82" w:type="pct"/>
                  <w:tcBorders>
                    <w:tl2br w:val="nil"/>
                    <w:tr2bl w:val="nil"/>
                  </w:tcBorders>
                  <w:shd w:val="clear" w:color="auto" w:fill="auto"/>
                  <w:noWrap w:val="0"/>
                  <w:vAlign w:val="center"/>
                </w:tcPr>
                <w:p w14:paraId="5D8A6A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w:t>
                  </w:r>
                  <w:r>
                    <w:rPr>
                      <w:rFonts w:hint="eastAsia" w:eastAsia="宋体" w:cs="Times New Roman"/>
                      <w:color w:val="000000" w:themeColor="text1"/>
                      <w:sz w:val="21"/>
                      <w:szCs w:val="21"/>
                      <w:highlight w:val="none"/>
                      <w:lang w:val="en-US" w:eastAsia="zh-CN"/>
                      <w14:textFill>
                        <w14:solidFill>
                          <w14:schemeClr w14:val="tx1"/>
                        </w14:solidFill>
                      </w14:textFill>
                    </w:rPr>
                    <w:t>2</w:t>
                  </w:r>
                </w:p>
              </w:tc>
              <w:tc>
                <w:tcPr>
                  <w:tcW w:w="1035" w:type="pct"/>
                  <w:tcBorders>
                    <w:tl2br w:val="nil"/>
                    <w:tr2bl w:val="nil"/>
                  </w:tcBorders>
                  <w:shd w:val="clear" w:color="auto" w:fill="auto"/>
                  <w:noWrap w:val="0"/>
                  <w:vAlign w:val="center"/>
                </w:tcPr>
                <w:p w14:paraId="52BE00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选粒</w:t>
                  </w:r>
                </w:p>
              </w:tc>
              <w:tc>
                <w:tcPr>
                  <w:tcW w:w="1026" w:type="pct"/>
                  <w:tcBorders>
                    <w:tl2br w:val="nil"/>
                    <w:tr2bl w:val="nil"/>
                  </w:tcBorders>
                  <w:noWrap w:val="0"/>
                  <w:vAlign w:val="center"/>
                </w:tcPr>
                <w:p w14:paraId="17E26B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废捕集袋</w:t>
                  </w:r>
                </w:p>
              </w:tc>
              <w:tc>
                <w:tcPr>
                  <w:tcW w:w="1833" w:type="pct"/>
                  <w:vMerge w:val="continue"/>
                  <w:tcBorders>
                    <w:tl2br w:val="nil"/>
                    <w:tr2bl w:val="nil"/>
                  </w:tcBorders>
                  <w:noWrap w:val="0"/>
                  <w:vAlign w:val="center"/>
                </w:tcPr>
                <w:p w14:paraId="28ECBE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pPr>
                </w:p>
              </w:tc>
            </w:tr>
            <w:tr w14:paraId="3A372EF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continue"/>
                  <w:tcBorders>
                    <w:tl2br w:val="nil"/>
                    <w:tr2bl w:val="nil"/>
                  </w:tcBorders>
                  <w:noWrap w:val="0"/>
                  <w:vAlign w:val="center"/>
                </w:tcPr>
                <w:p w14:paraId="262659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82" w:type="pct"/>
                  <w:tcBorders>
                    <w:tl2br w:val="nil"/>
                    <w:tr2bl w:val="nil"/>
                  </w:tcBorders>
                  <w:shd w:val="clear" w:color="auto" w:fill="auto"/>
                  <w:noWrap w:val="0"/>
                  <w:vAlign w:val="center"/>
                </w:tcPr>
                <w:p w14:paraId="6AED31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w:t>
                  </w:r>
                  <w:r>
                    <w:rPr>
                      <w:rFonts w:hint="eastAsia" w:eastAsia="宋体" w:cs="Times New Roman"/>
                      <w:color w:val="000000" w:themeColor="text1"/>
                      <w:sz w:val="21"/>
                      <w:szCs w:val="21"/>
                      <w:highlight w:val="none"/>
                      <w:lang w:val="en-US" w:eastAsia="zh-CN"/>
                      <w14:textFill>
                        <w14:solidFill>
                          <w14:schemeClr w14:val="tx1"/>
                        </w14:solidFill>
                      </w14:textFill>
                    </w:rPr>
                    <w:t>3</w:t>
                  </w:r>
                </w:p>
              </w:tc>
              <w:tc>
                <w:tcPr>
                  <w:tcW w:w="1035" w:type="pct"/>
                  <w:tcBorders>
                    <w:tl2br w:val="nil"/>
                    <w:tr2bl w:val="nil"/>
                  </w:tcBorders>
                  <w:shd w:val="clear" w:color="auto" w:fill="auto"/>
                  <w:noWrap w:val="0"/>
                  <w:vAlign w:val="center"/>
                </w:tcPr>
                <w:p w14:paraId="06D6E3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总混</w:t>
                  </w:r>
                </w:p>
              </w:tc>
              <w:tc>
                <w:tcPr>
                  <w:tcW w:w="1026" w:type="pct"/>
                  <w:tcBorders>
                    <w:tl2br w:val="nil"/>
                    <w:tr2bl w:val="nil"/>
                  </w:tcBorders>
                  <w:noWrap w:val="0"/>
                  <w:vAlign w:val="center"/>
                </w:tcPr>
                <w:p w14:paraId="02B36A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废捕集袋</w:t>
                  </w:r>
                </w:p>
              </w:tc>
              <w:tc>
                <w:tcPr>
                  <w:tcW w:w="1833" w:type="pct"/>
                  <w:vMerge w:val="continue"/>
                  <w:tcBorders>
                    <w:tl2br w:val="nil"/>
                    <w:tr2bl w:val="nil"/>
                  </w:tcBorders>
                  <w:noWrap w:val="0"/>
                  <w:vAlign w:val="center"/>
                </w:tcPr>
                <w:p w14:paraId="27D5FC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pPr>
                </w:p>
              </w:tc>
            </w:tr>
            <w:tr w14:paraId="1CC308C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continue"/>
                  <w:tcBorders>
                    <w:tl2br w:val="nil"/>
                    <w:tr2bl w:val="nil"/>
                  </w:tcBorders>
                  <w:noWrap w:val="0"/>
                  <w:vAlign w:val="center"/>
                </w:tcPr>
                <w:p w14:paraId="4C00F1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82" w:type="pct"/>
                  <w:tcBorders>
                    <w:tl2br w:val="nil"/>
                    <w:tr2bl w:val="nil"/>
                  </w:tcBorders>
                  <w:shd w:val="clear" w:color="auto" w:fill="auto"/>
                  <w:noWrap w:val="0"/>
                  <w:vAlign w:val="center"/>
                </w:tcPr>
                <w:p w14:paraId="0840D3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w:t>
                  </w:r>
                  <w:r>
                    <w:rPr>
                      <w:rFonts w:hint="eastAsia" w:cs="Times New Roman"/>
                      <w:color w:val="000000" w:themeColor="text1"/>
                      <w:sz w:val="21"/>
                      <w:szCs w:val="21"/>
                      <w:highlight w:val="none"/>
                      <w:lang w:val="en-US" w:eastAsia="zh-CN"/>
                      <w14:textFill>
                        <w14:solidFill>
                          <w14:schemeClr w14:val="tx1"/>
                        </w14:solidFill>
                      </w14:textFill>
                    </w:rPr>
                    <w:t>4</w:t>
                  </w:r>
                </w:p>
              </w:tc>
              <w:tc>
                <w:tcPr>
                  <w:tcW w:w="1035" w:type="pct"/>
                  <w:tcBorders>
                    <w:tl2br w:val="nil"/>
                    <w:tr2bl w:val="nil"/>
                  </w:tcBorders>
                  <w:shd w:val="clear" w:color="auto" w:fill="auto"/>
                  <w:noWrap w:val="0"/>
                  <w:vAlign w:val="center"/>
                </w:tcPr>
                <w:p w14:paraId="260A37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检验</w:t>
                  </w:r>
                </w:p>
              </w:tc>
              <w:tc>
                <w:tcPr>
                  <w:tcW w:w="1026" w:type="pct"/>
                  <w:tcBorders>
                    <w:tl2br w:val="nil"/>
                    <w:tr2bl w:val="nil"/>
                  </w:tcBorders>
                  <w:shd w:val="clear" w:color="auto" w:fill="auto"/>
                  <w:noWrap w:val="0"/>
                  <w:vAlign w:val="center"/>
                </w:tcPr>
                <w:p w14:paraId="6D6FA9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化学检验废液</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cs="Times New Roman"/>
                      <w:b w:val="0"/>
                      <w:bCs w:val="0"/>
                      <w:color w:val="000000" w:themeColor="text1"/>
                      <w:sz w:val="21"/>
                      <w:szCs w:val="21"/>
                      <w:highlight w:val="none"/>
                      <w:lang w:eastAsia="zh-CN"/>
                      <w14:textFill>
                        <w14:solidFill>
                          <w14:schemeClr w14:val="tx1"/>
                        </w14:solidFill>
                      </w14:textFill>
                    </w:rPr>
                    <w:t>废化学试剂瓶</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、废弃薄层板</w:t>
                  </w:r>
                  <w:r>
                    <w:rPr>
                      <w:rFonts w:hint="default"/>
                      <w:color w:val="000000" w:themeColor="text1"/>
                      <w:highlight w:val="none"/>
                      <w14:textFill>
                        <w14:solidFill>
                          <w14:schemeClr w14:val="tx1"/>
                        </w14:solidFill>
                      </w14:textFill>
                    </w:rPr>
                    <w:t>、</w:t>
                  </w:r>
                  <w:r>
                    <w:rPr>
                      <w:rFonts w:hint="eastAsia"/>
                      <w:color w:val="000000" w:themeColor="text1"/>
                      <w:highlight w:val="none"/>
                      <w:lang w:eastAsia="zh-CN"/>
                      <w14:textFill>
                        <w14:solidFill>
                          <w14:schemeClr w14:val="tx1"/>
                        </w14:solidFill>
                      </w14:textFill>
                    </w:rPr>
                    <w:t>废试药</w:t>
                  </w:r>
                </w:p>
              </w:tc>
              <w:tc>
                <w:tcPr>
                  <w:tcW w:w="1833" w:type="pct"/>
                  <w:tcBorders>
                    <w:tl2br w:val="nil"/>
                    <w:tr2bl w:val="nil"/>
                  </w:tcBorders>
                  <w:shd w:val="clear" w:color="auto" w:fill="auto"/>
                  <w:noWrap w:val="0"/>
                  <w:vAlign w:val="center"/>
                </w:tcPr>
                <w:p w14:paraId="56240A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t>依托现有危废贮存</w:t>
                  </w:r>
                  <w:r>
                    <w:rPr>
                      <w:rFonts w:hint="eastAsia" w:eastAsia="宋体" w:cs="Times New Roman"/>
                      <w:color w:val="000000" w:themeColor="text1"/>
                      <w:sz w:val="21"/>
                      <w:szCs w:val="21"/>
                      <w:highlight w:val="none"/>
                      <w:u w:val="none"/>
                      <w:lang w:val="en-US" w:eastAsia="zh-CN"/>
                      <w14:textFill>
                        <w14:solidFill>
                          <w14:schemeClr w14:val="tx1"/>
                        </w14:solidFill>
                      </w14:textFill>
                    </w:rPr>
                    <w:t>库</w:t>
                  </w:r>
                  <w:r>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t>暂存，定期委托有资质单位处置。</w:t>
                  </w:r>
                </w:p>
              </w:tc>
            </w:tr>
            <w:tr w14:paraId="01DA12A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continue"/>
                  <w:tcBorders>
                    <w:tl2br w:val="nil"/>
                    <w:tr2bl w:val="nil"/>
                  </w:tcBorders>
                  <w:noWrap w:val="0"/>
                  <w:vAlign w:val="center"/>
                </w:tcPr>
                <w:p w14:paraId="0273FF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82" w:type="pct"/>
                  <w:tcBorders>
                    <w:tl2br w:val="nil"/>
                    <w:tr2bl w:val="nil"/>
                  </w:tcBorders>
                  <w:shd w:val="clear" w:color="auto" w:fill="auto"/>
                  <w:noWrap w:val="0"/>
                  <w:vAlign w:val="center"/>
                </w:tcPr>
                <w:p w14:paraId="3361C9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w:t>
                  </w:r>
                  <w:r>
                    <w:rPr>
                      <w:rFonts w:hint="eastAsia" w:eastAsia="宋体" w:cs="Times New Roman"/>
                      <w:color w:val="000000" w:themeColor="text1"/>
                      <w:sz w:val="21"/>
                      <w:szCs w:val="21"/>
                      <w:highlight w:val="none"/>
                      <w:lang w:val="en-US" w:eastAsia="zh-CN"/>
                      <w14:textFill>
                        <w14:solidFill>
                          <w14:schemeClr w14:val="tx1"/>
                        </w14:solidFill>
                      </w14:textFill>
                    </w:rPr>
                    <w:t>5</w:t>
                  </w:r>
                </w:p>
              </w:tc>
              <w:tc>
                <w:tcPr>
                  <w:tcW w:w="1035" w:type="pct"/>
                  <w:tcBorders>
                    <w:tl2br w:val="nil"/>
                    <w:tr2bl w:val="nil"/>
                  </w:tcBorders>
                  <w:shd w:val="clear" w:color="auto" w:fill="auto"/>
                  <w:noWrap w:val="0"/>
                  <w:vAlign w:val="center"/>
                </w:tcPr>
                <w:p w14:paraId="70605C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粉碎</w:t>
                  </w:r>
                </w:p>
              </w:tc>
              <w:tc>
                <w:tcPr>
                  <w:tcW w:w="1026" w:type="pct"/>
                  <w:tcBorders>
                    <w:tl2br w:val="nil"/>
                    <w:tr2bl w:val="nil"/>
                  </w:tcBorders>
                  <w:noWrap w:val="0"/>
                  <w:vAlign w:val="center"/>
                </w:tcPr>
                <w:p w14:paraId="07E588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废捕集袋</w:t>
                  </w:r>
                </w:p>
              </w:tc>
              <w:tc>
                <w:tcPr>
                  <w:tcW w:w="1833" w:type="pct"/>
                  <w:vMerge w:val="restart"/>
                  <w:tcBorders>
                    <w:tl2br w:val="nil"/>
                    <w:tr2bl w:val="nil"/>
                  </w:tcBorders>
                  <w:noWrap w:val="0"/>
                  <w:vAlign w:val="center"/>
                </w:tcPr>
                <w:p w14:paraId="090280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u w:val="none"/>
                      <w:lang w:val="en-US" w:eastAsia="zh-CN"/>
                      <w14:textFill>
                        <w14:solidFill>
                          <w14:schemeClr w14:val="tx1"/>
                        </w14:solidFill>
                      </w14:textFill>
                    </w:rPr>
                    <w:t>集中收集后暂存于一般固废暂存区，交由有利用、处置能力的企业依法依规进行利用处置。</w:t>
                  </w:r>
                </w:p>
              </w:tc>
            </w:tr>
            <w:tr w14:paraId="55AF5AD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continue"/>
                  <w:tcBorders>
                    <w:tl2br w:val="nil"/>
                    <w:tr2bl w:val="nil"/>
                  </w:tcBorders>
                  <w:noWrap w:val="0"/>
                  <w:vAlign w:val="center"/>
                </w:tcPr>
                <w:p w14:paraId="4E08F4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82" w:type="pct"/>
                  <w:tcBorders>
                    <w:tl2br w:val="nil"/>
                    <w:tr2bl w:val="nil"/>
                  </w:tcBorders>
                  <w:shd w:val="clear" w:color="auto" w:fill="auto"/>
                  <w:noWrap w:val="0"/>
                  <w:vAlign w:val="center"/>
                </w:tcPr>
                <w:p w14:paraId="3E1219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w:t>
                  </w:r>
                  <w:r>
                    <w:rPr>
                      <w:rFonts w:hint="eastAsia" w:cs="Times New Roman"/>
                      <w:color w:val="000000" w:themeColor="text1"/>
                      <w:sz w:val="21"/>
                      <w:szCs w:val="21"/>
                      <w:highlight w:val="none"/>
                      <w:lang w:val="en-US" w:eastAsia="zh-CN"/>
                      <w14:textFill>
                        <w14:solidFill>
                          <w14:schemeClr w14:val="tx1"/>
                        </w14:solidFill>
                      </w14:textFill>
                    </w:rPr>
                    <w:t>6</w:t>
                  </w:r>
                </w:p>
              </w:tc>
              <w:tc>
                <w:tcPr>
                  <w:tcW w:w="1035" w:type="pct"/>
                  <w:vMerge w:val="restart"/>
                  <w:tcBorders>
                    <w:tl2br w:val="nil"/>
                    <w:tr2bl w:val="nil"/>
                  </w:tcBorders>
                  <w:shd w:val="clear" w:color="auto" w:fill="auto"/>
                  <w:noWrap w:val="0"/>
                  <w:vAlign w:val="center"/>
                </w:tcPr>
                <w:p w14:paraId="2A0788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颗粒内包</w:t>
                  </w:r>
                </w:p>
              </w:tc>
              <w:tc>
                <w:tcPr>
                  <w:tcW w:w="1026" w:type="pct"/>
                  <w:tcBorders>
                    <w:tl2br w:val="nil"/>
                    <w:tr2bl w:val="nil"/>
                  </w:tcBorders>
                  <w:shd w:val="clear" w:color="auto" w:fill="auto"/>
                  <w:noWrap w:val="0"/>
                  <w:vAlign w:val="center"/>
                </w:tcPr>
                <w:p w14:paraId="1B027B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废包装材料</w:t>
                  </w:r>
                </w:p>
              </w:tc>
              <w:tc>
                <w:tcPr>
                  <w:tcW w:w="1833" w:type="pct"/>
                  <w:vMerge w:val="continue"/>
                  <w:tcBorders>
                    <w:tl2br w:val="nil"/>
                    <w:tr2bl w:val="nil"/>
                  </w:tcBorders>
                  <w:noWrap w:val="0"/>
                  <w:vAlign w:val="center"/>
                </w:tcPr>
                <w:p w14:paraId="76B6AE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pPr>
                </w:p>
              </w:tc>
            </w:tr>
            <w:tr w14:paraId="4422C79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continue"/>
                  <w:tcBorders>
                    <w:tl2br w:val="nil"/>
                    <w:tr2bl w:val="nil"/>
                  </w:tcBorders>
                  <w:noWrap w:val="0"/>
                  <w:vAlign w:val="center"/>
                </w:tcPr>
                <w:p w14:paraId="7F5C48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82" w:type="pct"/>
                  <w:tcBorders>
                    <w:tl2br w:val="nil"/>
                    <w:tr2bl w:val="nil"/>
                  </w:tcBorders>
                  <w:shd w:val="clear" w:color="auto" w:fill="auto"/>
                  <w:noWrap w:val="0"/>
                  <w:vAlign w:val="center"/>
                </w:tcPr>
                <w:p w14:paraId="6E0DCB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w:t>
                  </w:r>
                  <w:r>
                    <w:rPr>
                      <w:rFonts w:hint="eastAsia" w:cs="Times New Roman"/>
                      <w:color w:val="000000" w:themeColor="text1"/>
                      <w:sz w:val="21"/>
                      <w:szCs w:val="21"/>
                      <w:highlight w:val="none"/>
                      <w:lang w:val="en-US" w:eastAsia="zh-CN"/>
                      <w14:textFill>
                        <w14:solidFill>
                          <w14:schemeClr w14:val="tx1"/>
                        </w14:solidFill>
                      </w14:textFill>
                    </w:rPr>
                    <w:t>7</w:t>
                  </w:r>
                </w:p>
              </w:tc>
              <w:tc>
                <w:tcPr>
                  <w:tcW w:w="1035" w:type="pct"/>
                  <w:vMerge w:val="continue"/>
                  <w:tcBorders>
                    <w:tl2br w:val="nil"/>
                    <w:tr2bl w:val="nil"/>
                  </w:tcBorders>
                  <w:shd w:val="clear" w:color="auto" w:fill="auto"/>
                  <w:noWrap w:val="0"/>
                  <w:vAlign w:val="center"/>
                </w:tcPr>
                <w:p w14:paraId="3FEAAA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eastAsia="宋体" w:cs="Times New Roman"/>
                      <w:color w:val="000000" w:themeColor="text1"/>
                      <w:sz w:val="21"/>
                      <w:szCs w:val="21"/>
                      <w:highlight w:val="none"/>
                      <w:lang w:val="en-US" w:eastAsia="zh-CN"/>
                      <w14:textFill>
                        <w14:solidFill>
                          <w14:schemeClr w14:val="tx1"/>
                        </w14:solidFill>
                      </w14:textFill>
                    </w:rPr>
                  </w:pPr>
                </w:p>
              </w:tc>
              <w:tc>
                <w:tcPr>
                  <w:tcW w:w="1026" w:type="pct"/>
                  <w:tcBorders>
                    <w:tl2br w:val="nil"/>
                    <w:tr2bl w:val="nil"/>
                  </w:tcBorders>
                  <w:noWrap w:val="0"/>
                  <w:vAlign w:val="center"/>
                </w:tcPr>
                <w:p w14:paraId="653341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废捕集袋</w:t>
                  </w:r>
                </w:p>
              </w:tc>
              <w:tc>
                <w:tcPr>
                  <w:tcW w:w="1833" w:type="pct"/>
                  <w:vMerge w:val="continue"/>
                  <w:tcBorders>
                    <w:tl2br w:val="nil"/>
                    <w:tr2bl w:val="nil"/>
                  </w:tcBorders>
                  <w:noWrap w:val="0"/>
                  <w:vAlign w:val="center"/>
                </w:tcPr>
                <w:p w14:paraId="15550E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pPr>
                </w:p>
              </w:tc>
            </w:tr>
            <w:tr w14:paraId="45A3313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continue"/>
                  <w:tcBorders>
                    <w:tl2br w:val="nil"/>
                    <w:tr2bl w:val="nil"/>
                  </w:tcBorders>
                  <w:noWrap w:val="0"/>
                  <w:vAlign w:val="center"/>
                </w:tcPr>
                <w:p w14:paraId="36F4ED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82" w:type="pct"/>
                  <w:tcBorders>
                    <w:tl2br w:val="nil"/>
                    <w:tr2bl w:val="nil"/>
                  </w:tcBorders>
                  <w:shd w:val="clear" w:color="auto" w:fill="auto"/>
                  <w:noWrap w:val="0"/>
                  <w:vAlign w:val="center"/>
                </w:tcPr>
                <w:p w14:paraId="24DDF2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w:t>
                  </w:r>
                  <w:r>
                    <w:rPr>
                      <w:rFonts w:hint="eastAsia" w:cs="Times New Roman"/>
                      <w:color w:val="000000" w:themeColor="text1"/>
                      <w:sz w:val="21"/>
                      <w:szCs w:val="21"/>
                      <w:highlight w:val="none"/>
                      <w:lang w:val="en-US" w:eastAsia="zh-CN"/>
                      <w14:textFill>
                        <w14:solidFill>
                          <w14:schemeClr w14:val="tx1"/>
                        </w14:solidFill>
                      </w14:textFill>
                    </w:rPr>
                    <w:t>8</w:t>
                  </w:r>
                </w:p>
              </w:tc>
              <w:tc>
                <w:tcPr>
                  <w:tcW w:w="1035" w:type="pct"/>
                  <w:tcBorders>
                    <w:tl2br w:val="nil"/>
                    <w:tr2bl w:val="nil"/>
                  </w:tcBorders>
                  <w:shd w:val="clear" w:color="auto" w:fill="auto"/>
                  <w:noWrap w:val="0"/>
                  <w:vAlign w:val="center"/>
                </w:tcPr>
                <w:p w14:paraId="22EC4A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压片</w:t>
                  </w:r>
                </w:p>
              </w:tc>
              <w:tc>
                <w:tcPr>
                  <w:tcW w:w="1026" w:type="pct"/>
                  <w:tcBorders>
                    <w:tl2br w:val="nil"/>
                    <w:tr2bl w:val="nil"/>
                  </w:tcBorders>
                  <w:noWrap w:val="0"/>
                  <w:vAlign w:val="center"/>
                </w:tcPr>
                <w:p w14:paraId="63D800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废捕集袋</w:t>
                  </w:r>
                </w:p>
              </w:tc>
              <w:tc>
                <w:tcPr>
                  <w:tcW w:w="1833" w:type="pct"/>
                  <w:vMerge w:val="continue"/>
                  <w:tcBorders>
                    <w:tl2br w:val="nil"/>
                    <w:tr2bl w:val="nil"/>
                  </w:tcBorders>
                  <w:noWrap w:val="0"/>
                  <w:vAlign w:val="center"/>
                </w:tcPr>
                <w:p w14:paraId="280CC7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pPr>
                </w:p>
              </w:tc>
            </w:tr>
            <w:tr w14:paraId="565E611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continue"/>
                  <w:tcBorders>
                    <w:tl2br w:val="nil"/>
                    <w:tr2bl w:val="nil"/>
                  </w:tcBorders>
                  <w:noWrap w:val="0"/>
                  <w:vAlign w:val="center"/>
                </w:tcPr>
                <w:p w14:paraId="5A0A5B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82" w:type="pct"/>
                  <w:tcBorders>
                    <w:tl2br w:val="nil"/>
                    <w:tr2bl w:val="nil"/>
                  </w:tcBorders>
                  <w:shd w:val="clear" w:color="auto" w:fill="auto"/>
                  <w:noWrap w:val="0"/>
                  <w:vAlign w:val="center"/>
                </w:tcPr>
                <w:p w14:paraId="2ED905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w:t>
                  </w:r>
                  <w:r>
                    <w:rPr>
                      <w:rFonts w:hint="eastAsia" w:cs="Times New Roman"/>
                      <w:color w:val="000000" w:themeColor="text1"/>
                      <w:sz w:val="21"/>
                      <w:szCs w:val="21"/>
                      <w:highlight w:val="none"/>
                      <w:lang w:val="en-US" w:eastAsia="zh-CN"/>
                      <w14:textFill>
                        <w14:solidFill>
                          <w14:schemeClr w14:val="tx1"/>
                        </w14:solidFill>
                      </w14:textFill>
                    </w:rPr>
                    <w:t>9</w:t>
                  </w:r>
                </w:p>
              </w:tc>
              <w:tc>
                <w:tcPr>
                  <w:tcW w:w="1035" w:type="pct"/>
                  <w:tcBorders>
                    <w:tl2br w:val="nil"/>
                    <w:tr2bl w:val="nil"/>
                  </w:tcBorders>
                  <w:shd w:val="clear" w:color="auto" w:fill="auto"/>
                  <w:noWrap w:val="0"/>
                  <w:vAlign w:val="center"/>
                </w:tcPr>
                <w:p w14:paraId="4960AA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包衣</w:t>
                  </w:r>
                </w:p>
              </w:tc>
              <w:tc>
                <w:tcPr>
                  <w:tcW w:w="1026" w:type="pct"/>
                  <w:tcBorders>
                    <w:tl2br w:val="nil"/>
                    <w:tr2bl w:val="nil"/>
                  </w:tcBorders>
                  <w:noWrap w:val="0"/>
                  <w:vAlign w:val="center"/>
                </w:tcPr>
                <w:p w14:paraId="3C5CF0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废捕集袋</w:t>
                  </w:r>
                </w:p>
              </w:tc>
              <w:tc>
                <w:tcPr>
                  <w:tcW w:w="1833" w:type="pct"/>
                  <w:vMerge w:val="continue"/>
                  <w:tcBorders>
                    <w:tl2br w:val="nil"/>
                    <w:tr2bl w:val="nil"/>
                  </w:tcBorders>
                  <w:noWrap w:val="0"/>
                  <w:vAlign w:val="center"/>
                </w:tcPr>
                <w:p w14:paraId="4ED227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pPr>
                </w:p>
              </w:tc>
            </w:tr>
            <w:tr w14:paraId="4E02FDD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continue"/>
                  <w:tcBorders>
                    <w:tl2br w:val="nil"/>
                    <w:tr2bl w:val="nil"/>
                  </w:tcBorders>
                  <w:noWrap w:val="0"/>
                  <w:vAlign w:val="center"/>
                </w:tcPr>
                <w:p w14:paraId="43DCC5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82" w:type="pct"/>
                  <w:tcBorders>
                    <w:tl2br w:val="nil"/>
                    <w:tr2bl w:val="nil"/>
                  </w:tcBorders>
                  <w:shd w:val="clear" w:color="auto" w:fill="auto"/>
                  <w:noWrap w:val="0"/>
                  <w:vAlign w:val="center"/>
                </w:tcPr>
                <w:p w14:paraId="77F9F2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w:t>
                  </w:r>
                  <w:r>
                    <w:rPr>
                      <w:rFonts w:hint="eastAsia" w:eastAsia="宋体" w:cs="Times New Roman"/>
                      <w:color w:val="000000" w:themeColor="text1"/>
                      <w:sz w:val="21"/>
                      <w:szCs w:val="21"/>
                      <w:highlight w:val="none"/>
                      <w:lang w:val="en-US" w:eastAsia="zh-CN"/>
                      <w14:textFill>
                        <w14:solidFill>
                          <w14:schemeClr w14:val="tx1"/>
                        </w14:solidFill>
                      </w14:textFill>
                    </w:rPr>
                    <w:t>10</w:t>
                  </w:r>
                </w:p>
              </w:tc>
              <w:tc>
                <w:tcPr>
                  <w:tcW w:w="1035" w:type="pct"/>
                  <w:vMerge w:val="restart"/>
                  <w:tcBorders>
                    <w:tl2br w:val="nil"/>
                    <w:tr2bl w:val="nil"/>
                  </w:tcBorders>
                  <w:shd w:val="clear" w:color="auto" w:fill="auto"/>
                  <w:noWrap w:val="0"/>
                  <w:vAlign w:val="center"/>
                </w:tcPr>
                <w:p w14:paraId="1587CE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cs="Times New Roman"/>
                      <w:color w:val="000000" w:themeColor="text1"/>
                      <w:sz w:val="21"/>
                      <w:szCs w:val="21"/>
                      <w:highlight w:val="none"/>
                      <w:lang w:val="en-US" w:eastAsia="zh-CN"/>
                      <w14:textFill>
                        <w14:solidFill>
                          <w14:schemeClr w14:val="tx1"/>
                        </w14:solidFill>
                      </w14:textFill>
                    </w:rPr>
                    <w:t>胶囊填充</w:t>
                  </w:r>
                </w:p>
              </w:tc>
              <w:tc>
                <w:tcPr>
                  <w:tcW w:w="1026" w:type="pct"/>
                  <w:tcBorders>
                    <w:tl2br w:val="nil"/>
                    <w:tr2bl w:val="nil"/>
                  </w:tcBorders>
                  <w:shd w:val="clear" w:color="auto" w:fill="auto"/>
                  <w:noWrap w:val="0"/>
                  <w:vAlign w:val="center"/>
                </w:tcPr>
                <w:p w14:paraId="240AB8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废胶囊材料</w:t>
                  </w:r>
                </w:p>
              </w:tc>
              <w:tc>
                <w:tcPr>
                  <w:tcW w:w="1833" w:type="pct"/>
                  <w:vMerge w:val="continue"/>
                  <w:tcBorders>
                    <w:tl2br w:val="nil"/>
                    <w:tr2bl w:val="nil"/>
                  </w:tcBorders>
                  <w:noWrap w:val="0"/>
                  <w:vAlign w:val="center"/>
                </w:tcPr>
                <w:p w14:paraId="712A7D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09944D7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continue"/>
                  <w:tcBorders>
                    <w:tl2br w:val="nil"/>
                    <w:tr2bl w:val="nil"/>
                  </w:tcBorders>
                  <w:noWrap w:val="0"/>
                  <w:vAlign w:val="center"/>
                </w:tcPr>
                <w:p w14:paraId="57A672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82" w:type="pct"/>
                  <w:tcBorders>
                    <w:tl2br w:val="nil"/>
                    <w:tr2bl w:val="nil"/>
                  </w:tcBorders>
                  <w:noWrap w:val="0"/>
                  <w:vAlign w:val="center"/>
                </w:tcPr>
                <w:p w14:paraId="3DF6C8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w:t>
                  </w:r>
                  <w:r>
                    <w:rPr>
                      <w:rFonts w:hint="eastAsia" w:eastAsia="宋体" w:cs="Times New Roman"/>
                      <w:color w:val="000000" w:themeColor="text1"/>
                      <w:sz w:val="21"/>
                      <w:szCs w:val="21"/>
                      <w:highlight w:val="none"/>
                      <w:lang w:val="en-US" w:eastAsia="zh-CN"/>
                      <w14:textFill>
                        <w14:solidFill>
                          <w14:schemeClr w14:val="tx1"/>
                        </w14:solidFill>
                      </w14:textFill>
                    </w:rPr>
                    <w:t>11</w:t>
                  </w:r>
                </w:p>
              </w:tc>
              <w:tc>
                <w:tcPr>
                  <w:tcW w:w="1035" w:type="pct"/>
                  <w:vMerge w:val="continue"/>
                  <w:tcBorders>
                    <w:tl2br w:val="nil"/>
                    <w:tr2bl w:val="nil"/>
                  </w:tcBorders>
                  <w:noWrap w:val="0"/>
                  <w:vAlign w:val="center"/>
                </w:tcPr>
                <w:p w14:paraId="088012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s="Times New Roman"/>
                      <w:color w:val="000000" w:themeColor="text1"/>
                      <w:sz w:val="21"/>
                      <w:szCs w:val="21"/>
                      <w:highlight w:val="none"/>
                      <w:lang w:val="en-US" w:eastAsia="zh-CN"/>
                      <w14:textFill>
                        <w14:solidFill>
                          <w14:schemeClr w14:val="tx1"/>
                        </w14:solidFill>
                      </w14:textFill>
                    </w:rPr>
                  </w:pPr>
                </w:p>
              </w:tc>
              <w:tc>
                <w:tcPr>
                  <w:tcW w:w="1026" w:type="pct"/>
                  <w:tcBorders>
                    <w:tl2br w:val="nil"/>
                    <w:tr2bl w:val="nil"/>
                  </w:tcBorders>
                  <w:noWrap w:val="0"/>
                  <w:vAlign w:val="center"/>
                </w:tcPr>
                <w:p w14:paraId="7AA173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废捕集袋</w:t>
                  </w:r>
                </w:p>
              </w:tc>
              <w:tc>
                <w:tcPr>
                  <w:tcW w:w="1833" w:type="pct"/>
                  <w:vMerge w:val="continue"/>
                  <w:tcBorders>
                    <w:tl2br w:val="nil"/>
                    <w:tr2bl w:val="nil"/>
                  </w:tcBorders>
                  <w:noWrap w:val="0"/>
                  <w:vAlign w:val="center"/>
                </w:tcPr>
                <w:p w14:paraId="359822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pPr>
                </w:p>
              </w:tc>
            </w:tr>
            <w:tr w14:paraId="1E49CA2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continue"/>
                  <w:tcBorders>
                    <w:tl2br w:val="nil"/>
                    <w:tr2bl w:val="nil"/>
                  </w:tcBorders>
                  <w:noWrap w:val="0"/>
                  <w:vAlign w:val="center"/>
                </w:tcPr>
                <w:p w14:paraId="2512D8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82" w:type="pct"/>
                  <w:tcBorders>
                    <w:tl2br w:val="nil"/>
                    <w:tr2bl w:val="nil"/>
                  </w:tcBorders>
                  <w:noWrap w:val="0"/>
                  <w:vAlign w:val="center"/>
                </w:tcPr>
                <w:p w14:paraId="6BCE4D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w:t>
                  </w:r>
                  <w:r>
                    <w:rPr>
                      <w:rFonts w:hint="eastAsia" w:cs="Times New Roman"/>
                      <w:color w:val="000000" w:themeColor="text1"/>
                      <w:sz w:val="21"/>
                      <w:szCs w:val="21"/>
                      <w:highlight w:val="none"/>
                      <w:lang w:val="en-US" w:eastAsia="zh-CN"/>
                      <w14:textFill>
                        <w14:solidFill>
                          <w14:schemeClr w14:val="tx1"/>
                        </w14:solidFill>
                      </w14:textFill>
                    </w:rPr>
                    <w:t>12</w:t>
                  </w:r>
                </w:p>
              </w:tc>
              <w:tc>
                <w:tcPr>
                  <w:tcW w:w="1035" w:type="pct"/>
                  <w:tcBorders>
                    <w:tl2br w:val="nil"/>
                    <w:tr2bl w:val="nil"/>
                  </w:tcBorders>
                  <w:noWrap w:val="0"/>
                  <w:vAlign w:val="center"/>
                </w:tcPr>
                <w:p w14:paraId="067610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泡罩包装</w:t>
                  </w:r>
                </w:p>
              </w:tc>
              <w:tc>
                <w:tcPr>
                  <w:tcW w:w="1026" w:type="pct"/>
                  <w:tcBorders>
                    <w:tl2br w:val="nil"/>
                    <w:tr2bl w:val="nil"/>
                  </w:tcBorders>
                  <w:noWrap w:val="0"/>
                  <w:vAlign w:val="center"/>
                </w:tcPr>
                <w:p w14:paraId="5801FB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废包装材料</w:t>
                  </w:r>
                </w:p>
              </w:tc>
              <w:tc>
                <w:tcPr>
                  <w:tcW w:w="1833" w:type="pct"/>
                  <w:vMerge w:val="continue"/>
                  <w:tcBorders>
                    <w:tl2br w:val="nil"/>
                    <w:tr2bl w:val="nil"/>
                  </w:tcBorders>
                  <w:noWrap w:val="0"/>
                  <w:vAlign w:val="center"/>
                </w:tcPr>
                <w:p w14:paraId="2CD2B1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pPr>
                </w:p>
              </w:tc>
            </w:tr>
            <w:tr w14:paraId="4CAB7BA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continue"/>
                  <w:tcBorders>
                    <w:tl2br w:val="nil"/>
                    <w:tr2bl w:val="nil"/>
                  </w:tcBorders>
                  <w:noWrap w:val="0"/>
                  <w:vAlign w:val="center"/>
                </w:tcPr>
                <w:p w14:paraId="62E01E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82" w:type="pct"/>
                  <w:tcBorders>
                    <w:tl2br w:val="nil"/>
                    <w:tr2bl w:val="nil"/>
                  </w:tcBorders>
                  <w:noWrap w:val="0"/>
                  <w:vAlign w:val="center"/>
                </w:tcPr>
                <w:p w14:paraId="4B9B54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w:t>
                  </w:r>
                  <w:r>
                    <w:rPr>
                      <w:rFonts w:hint="eastAsia" w:cs="Times New Roman"/>
                      <w:color w:val="000000" w:themeColor="text1"/>
                      <w:sz w:val="21"/>
                      <w:szCs w:val="21"/>
                      <w:highlight w:val="none"/>
                      <w:lang w:val="en-US" w:eastAsia="zh-CN"/>
                      <w14:textFill>
                        <w14:solidFill>
                          <w14:schemeClr w14:val="tx1"/>
                        </w14:solidFill>
                      </w14:textFill>
                    </w:rPr>
                    <w:t>13</w:t>
                  </w:r>
                </w:p>
              </w:tc>
              <w:tc>
                <w:tcPr>
                  <w:tcW w:w="1035" w:type="pct"/>
                  <w:tcBorders>
                    <w:tl2br w:val="nil"/>
                    <w:tr2bl w:val="nil"/>
                  </w:tcBorders>
                  <w:noWrap w:val="0"/>
                  <w:vAlign w:val="center"/>
                </w:tcPr>
                <w:p w14:paraId="488187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枕式包装</w:t>
                  </w:r>
                </w:p>
              </w:tc>
              <w:tc>
                <w:tcPr>
                  <w:tcW w:w="1026" w:type="pct"/>
                  <w:tcBorders>
                    <w:tl2br w:val="nil"/>
                    <w:tr2bl w:val="nil"/>
                  </w:tcBorders>
                  <w:noWrap w:val="0"/>
                  <w:vAlign w:val="center"/>
                </w:tcPr>
                <w:p w14:paraId="1A990D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废包装材料</w:t>
                  </w:r>
                </w:p>
              </w:tc>
              <w:tc>
                <w:tcPr>
                  <w:tcW w:w="1833" w:type="pct"/>
                  <w:vMerge w:val="continue"/>
                  <w:tcBorders>
                    <w:tl2br w:val="nil"/>
                    <w:tr2bl w:val="nil"/>
                  </w:tcBorders>
                  <w:noWrap w:val="0"/>
                  <w:vAlign w:val="center"/>
                </w:tcPr>
                <w:p w14:paraId="418084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pPr>
                </w:p>
              </w:tc>
            </w:tr>
            <w:tr w14:paraId="4A31F75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continue"/>
                  <w:tcBorders>
                    <w:tl2br w:val="nil"/>
                    <w:tr2bl w:val="nil"/>
                  </w:tcBorders>
                  <w:noWrap w:val="0"/>
                  <w:vAlign w:val="center"/>
                </w:tcPr>
                <w:p w14:paraId="35862D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82" w:type="pct"/>
                  <w:tcBorders>
                    <w:tl2br w:val="nil"/>
                    <w:tr2bl w:val="nil"/>
                  </w:tcBorders>
                  <w:noWrap w:val="0"/>
                  <w:vAlign w:val="center"/>
                </w:tcPr>
                <w:p w14:paraId="216D2D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w:t>
                  </w:r>
                  <w:r>
                    <w:rPr>
                      <w:rFonts w:hint="eastAsia" w:cs="Times New Roman"/>
                      <w:color w:val="000000" w:themeColor="text1"/>
                      <w:sz w:val="21"/>
                      <w:szCs w:val="21"/>
                      <w:highlight w:val="none"/>
                      <w:lang w:val="en-US" w:eastAsia="zh-CN"/>
                      <w14:textFill>
                        <w14:solidFill>
                          <w14:schemeClr w14:val="tx1"/>
                        </w14:solidFill>
                      </w14:textFill>
                    </w:rPr>
                    <w:t>14</w:t>
                  </w:r>
                </w:p>
              </w:tc>
              <w:tc>
                <w:tcPr>
                  <w:tcW w:w="1035" w:type="pct"/>
                  <w:tcBorders>
                    <w:tl2br w:val="nil"/>
                    <w:tr2bl w:val="nil"/>
                  </w:tcBorders>
                  <w:noWrap w:val="0"/>
                  <w:vAlign w:val="center"/>
                </w:tcPr>
                <w:p w14:paraId="134462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外包装</w:t>
                  </w:r>
                </w:p>
              </w:tc>
              <w:tc>
                <w:tcPr>
                  <w:tcW w:w="1026" w:type="pct"/>
                  <w:tcBorders>
                    <w:tl2br w:val="nil"/>
                    <w:tr2bl w:val="nil"/>
                  </w:tcBorders>
                  <w:noWrap w:val="0"/>
                  <w:vAlign w:val="center"/>
                </w:tcPr>
                <w:p w14:paraId="04A32D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废包装材料</w:t>
                  </w:r>
                </w:p>
              </w:tc>
              <w:tc>
                <w:tcPr>
                  <w:tcW w:w="1833" w:type="pct"/>
                  <w:vMerge w:val="continue"/>
                  <w:tcBorders>
                    <w:tl2br w:val="nil"/>
                    <w:tr2bl w:val="nil"/>
                  </w:tcBorders>
                  <w:noWrap w:val="0"/>
                  <w:vAlign w:val="center"/>
                </w:tcPr>
                <w:p w14:paraId="5F20A7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pPr>
                </w:p>
              </w:tc>
            </w:tr>
            <w:tr w14:paraId="27DB4E7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tcBorders>
                    <w:tl2br w:val="nil"/>
                    <w:tr2bl w:val="nil"/>
                  </w:tcBorders>
                  <w:noWrap w:val="0"/>
                  <w:vAlign w:val="center"/>
                </w:tcPr>
                <w:p w14:paraId="2F5E4C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噪声</w:t>
                  </w:r>
                </w:p>
              </w:tc>
              <w:tc>
                <w:tcPr>
                  <w:tcW w:w="682" w:type="pct"/>
                  <w:tcBorders>
                    <w:tl2br w:val="nil"/>
                    <w:tr2bl w:val="nil"/>
                  </w:tcBorders>
                  <w:noWrap w:val="0"/>
                  <w:vAlign w:val="center"/>
                </w:tcPr>
                <w:p w14:paraId="3C245A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N</w:t>
                  </w:r>
                </w:p>
              </w:tc>
              <w:tc>
                <w:tcPr>
                  <w:tcW w:w="2062" w:type="pct"/>
                  <w:gridSpan w:val="2"/>
                  <w:tcBorders>
                    <w:tl2br w:val="nil"/>
                    <w:tr2bl w:val="nil"/>
                  </w:tcBorders>
                  <w:noWrap w:val="0"/>
                  <w:vAlign w:val="center"/>
                </w:tcPr>
                <w:p w14:paraId="5B0621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各种设备运转噪声</w:t>
                  </w:r>
                </w:p>
              </w:tc>
              <w:tc>
                <w:tcPr>
                  <w:tcW w:w="1833" w:type="pct"/>
                  <w:tcBorders>
                    <w:tl2br w:val="nil"/>
                    <w:tr2bl w:val="nil"/>
                  </w:tcBorders>
                  <w:noWrap w:val="0"/>
                  <w:vAlign w:val="center"/>
                </w:tcPr>
                <w:p w14:paraId="1E4FB7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低噪声设备选型、基础减振、建筑隔声</w:t>
                  </w:r>
                </w:p>
              </w:tc>
            </w:tr>
          </w:tbl>
          <w:p w14:paraId="5EDB80A8">
            <w:pPr>
              <w:keepNext w:val="0"/>
              <w:keepLines w:val="0"/>
              <w:widowControl/>
              <w:suppressLineNumbers w:val="0"/>
              <w:adjustRightInd w:val="0"/>
              <w:snapToGrid w:val="0"/>
              <w:spacing w:before="93" w:beforeLines="30" w:beforeAutospacing="0" w:after="93" w:afterLines="30" w:afterAutospacing="0" w:line="360" w:lineRule="auto"/>
              <w:ind w:left="0" w:right="0"/>
              <w:jc w:val="left"/>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pPr>
          </w:p>
          <w:p w14:paraId="26ECD953">
            <w:pPr>
              <w:keepNext w:val="0"/>
              <w:keepLines w:val="0"/>
              <w:widowControl/>
              <w:suppressLineNumbers w:val="0"/>
              <w:adjustRightInd w:val="0"/>
              <w:snapToGrid w:val="0"/>
              <w:spacing w:before="93" w:beforeLines="30" w:beforeAutospacing="0" w:after="93" w:afterLines="30" w:afterAutospacing="0" w:line="360" w:lineRule="auto"/>
              <w:ind w:left="0" w:right="0"/>
              <w:jc w:val="left"/>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t>1.2.</w:t>
            </w:r>
            <w:r>
              <w:rPr>
                <w:rFonts w:hint="eastAsia" w:cs="Times New Roman"/>
                <w:b/>
                <w:bCs/>
                <w:color w:val="000000" w:themeColor="text1"/>
                <w:kern w:val="0"/>
                <w:sz w:val="24"/>
                <w:szCs w:val="24"/>
                <w:highlight w:val="none"/>
                <w:lang w:val="en-US" w:eastAsia="zh-CN" w:bidi="en-US"/>
                <w14:textFill>
                  <w14:solidFill>
                    <w14:schemeClr w14:val="tx1"/>
                  </w14:solidFill>
                </w14:textFill>
              </w:rPr>
              <w:t>7</w:t>
            </w:r>
            <w:r>
              <w:rPr>
                <w:rFonts w:hint="default"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t xml:space="preserve"> </w:t>
            </w:r>
            <w:r>
              <w:rPr>
                <w:rFonts w:hint="eastAsia" w:cs="Times New Roman"/>
                <w:b/>
                <w:bCs/>
                <w:color w:val="000000" w:themeColor="text1"/>
                <w:kern w:val="0"/>
                <w:sz w:val="24"/>
                <w:szCs w:val="24"/>
                <w:highlight w:val="none"/>
                <w:lang w:val="en-US" w:eastAsia="zh-CN" w:bidi="en-US"/>
                <w14:textFill>
                  <w14:solidFill>
                    <w14:schemeClr w14:val="tx1"/>
                  </w14:solidFill>
                </w14:textFill>
              </w:rPr>
              <w:t>片剂和胶囊剂生产</w:t>
            </w:r>
            <w:r>
              <w:rPr>
                <w:rFonts w:hint="default" w:ascii="Times New Roman" w:hAnsi="Times New Roman" w:cs="Times New Roman"/>
                <w:b/>
                <w:bCs/>
                <w:color w:val="000000" w:themeColor="text1"/>
                <w:kern w:val="0"/>
                <w:sz w:val="24"/>
                <w:szCs w:val="24"/>
                <w:highlight w:val="none"/>
                <w:lang w:val="en-US" w:eastAsia="zh-CN" w:bidi="en-US"/>
                <w14:textFill>
                  <w14:solidFill>
                    <w14:schemeClr w14:val="tx1"/>
                  </w14:solidFill>
                </w14:textFill>
              </w:rPr>
              <w:t>工艺</w:t>
            </w:r>
            <w:r>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t>流程简述：</w:t>
            </w:r>
          </w:p>
          <w:p w14:paraId="10BADC4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cs="Times New Roman"/>
                <w:color w:val="000000" w:themeColor="text1"/>
                <w:kern w:val="2"/>
                <w:sz w:val="24"/>
                <w:szCs w:val="24"/>
                <w:highlight w:val="none"/>
                <w:lang w:val="en-US" w:eastAsia="zh-CN" w:bidi="ar-SA"/>
                <w14:textFill>
                  <w14:solidFill>
                    <w14:schemeClr w14:val="tx1"/>
                  </w14:solidFill>
                </w14:textFill>
              </w:rPr>
            </w:pPr>
            <w:r>
              <w:rPr>
                <w:rFonts w:hint="default" w:cs="Times New Roman"/>
                <w:color w:val="000000" w:themeColor="text1"/>
                <w:kern w:val="2"/>
                <w:sz w:val="24"/>
                <w:szCs w:val="24"/>
                <w:highlight w:val="none"/>
                <w:lang w:val="en-US" w:eastAsia="zh-CN" w:bidi="ar-SA"/>
                <w14:textFill>
                  <w14:solidFill>
                    <w14:schemeClr w14:val="tx1"/>
                  </w14:solidFill>
                </w14:textFill>
              </w:rPr>
              <w:drawing>
                <wp:inline distT="0" distB="0" distL="114300" distR="114300">
                  <wp:extent cx="5109845" cy="6673215"/>
                  <wp:effectExtent l="0" t="0" r="14605" b="13335"/>
                  <wp:docPr id="321" name="图片 32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图片 321" descr="2"/>
                          <pic:cNvPicPr>
                            <a:picLocks noChangeAspect="1"/>
                          </pic:cNvPicPr>
                        </pic:nvPicPr>
                        <pic:blipFill>
                          <a:blip r:embed="rId22"/>
                          <a:stretch>
                            <a:fillRect/>
                          </a:stretch>
                        </pic:blipFill>
                        <pic:spPr>
                          <a:xfrm>
                            <a:off x="0" y="0"/>
                            <a:ext cx="5109845" cy="6673215"/>
                          </a:xfrm>
                          <a:prstGeom prst="rect">
                            <a:avLst/>
                          </a:prstGeom>
                        </pic:spPr>
                      </pic:pic>
                    </a:graphicData>
                  </a:graphic>
                </wp:inline>
              </w:drawing>
            </w:r>
          </w:p>
          <w:p w14:paraId="1811FE96">
            <w:pPr>
              <w:keepNext w:val="0"/>
              <w:keepLines w:val="0"/>
              <w:numPr>
                <w:ilvl w:val="0"/>
                <w:numId w:val="16"/>
              </w:numPr>
              <w:suppressLineNumbers w:val="0"/>
              <w:snapToGrid w:val="0"/>
              <w:spacing w:before="0" w:beforeLines="0" w:beforeAutospacing="0" w:after="0" w:afterLines="0" w:afterAutospacing="0"/>
              <w:ind w:left="0" w:leftChars="0" w:right="0" w:rightChars="0" w:firstLine="0" w:firstLineChars="0"/>
              <w:jc w:val="center"/>
              <w:rPr>
                <w:rFonts w:hint="eastAsia"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 xml:space="preserve">  片剂和胶囊剂生产工艺流程及产污节点图</w:t>
            </w:r>
          </w:p>
          <w:p w14:paraId="433BBBD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eastAsia="宋体" w:cs="Times New Roman"/>
                <w:b w:val="0"/>
                <w:bCs w:val="0"/>
                <w:color w:val="000000" w:themeColor="text1"/>
                <w:kern w:val="0"/>
                <w:sz w:val="24"/>
                <w:szCs w:val="24"/>
                <w:highlight w:val="none"/>
                <w:lang w:val="en-US" w:eastAsia="zh-CN" w:bidi="en-US"/>
                <w14:textFill>
                  <w14:solidFill>
                    <w14:schemeClr w14:val="tx1"/>
                  </w14:solidFill>
                </w14:textFill>
              </w:rPr>
            </w:pPr>
          </w:p>
          <w:p w14:paraId="1A850CF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cs="Times New Roman"/>
                <w:color w:val="000000" w:themeColor="text1"/>
                <w:kern w:val="2"/>
                <w:sz w:val="24"/>
                <w:szCs w:val="24"/>
                <w:highlight w:val="none"/>
                <w:lang w:val="en-US" w:eastAsia="zh-CN" w:bidi="ar-SA"/>
                <w14:textFill>
                  <w14:solidFill>
                    <w14:schemeClr w14:val="tx1"/>
                  </w14:solidFill>
                </w14:textFill>
              </w:rPr>
            </w:pPr>
            <w:r>
              <w:rPr>
                <w:rFonts w:hint="eastAsia" w:eastAsia="宋体" w:cs="Times New Roman"/>
                <w:b w:val="0"/>
                <w:bCs w:val="0"/>
                <w:color w:val="000000" w:themeColor="text1"/>
                <w:kern w:val="0"/>
                <w:sz w:val="24"/>
                <w:szCs w:val="24"/>
                <w:highlight w:val="none"/>
                <w:lang w:val="en-US" w:eastAsia="zh-CN" w:bidi="en-US"/>
                <w14:textFill>
                  <w14:solidFill>
                    <w14:schemeClr w14:val="tx1"/>
                  </w14:solidFill>
                </w14:textFill>
              </w:rPr>
              <w:t>本项目</w:t>
            </w:r>
            <w:r>
              <w:rPr>
                <w:rFonts w:hint="eastAsia" w:cs="Times New Roman"/>
                <w:color w:val="000000" w:themeColor="text1"/>
                <w:kern w:val="2"/>
                <w:sz w:val="24"/>
                <w:szCs w:val="24"/>
                <w:highlight w:val="none"/>
                <w:lang w:val="en-US" w:eastAsia="zh-CN" w:bidi="ar-SA"/>
                <w14:textFill>
                  <w14:solidFill>
                    <w14:schemeClr w14:val="tx1"/>
                  </w14:solidFill>
                </w14:textFill>
              </w:rPr>
              <w:t>通过增加</w:t>
            </w:r>
            <w:r>
              <w:rPr>
                <w:rFonts w:hint="eastAsia" w:cs="Times New Roman"/>
                <w:color w:val="000000" w:themeColor="text1"/>
                <w:kern w:val="0"/>
                <w:sz w:val="24"/>
                <w:szCs w:val="24"/>
                <w:highlight w:val="none"/>
                <w:u w:val="none"/>
                <w:lang w:val="en-US" w:eastAsia="zh-CN"/>
                <w14:textFill>
                  <w14:solidFill>
                    <w14:schemeClr w14:val="tx1"/>
                  </w14:solidFill>
                </w14:textFill>
              </w:rPr>
              <w:t>提取车间和综合制剂车间的</w:t>
            </w:r>
            <w:r>
              <w:rPr>
                <w:rFonts w:hint="eastAsia" w:cs="Times New Roman"/>
                <w:color w:val="000000" w:themeColor="text1"/>
                <w:kern w:val="2"/>
                <w:sz w:val="24"/>
                <w:szCs w:val="24"/>
                <w:highlight w:val="none"/>
                <w:lang w:val="en-US" w:eastAsia="zh-CN" w:bidi="ar-SA"/>
                <w14:textFill>
                  <w14:solidFill>
                    <w14:schemeClr w14:val="tx1"/>
                  </w14:solidFill>
                </w14:textFill>
              </w:rPr>
              <w:t>工作时间及产品批次增加片剂和胶囊剂产品产能，现有生产工艺不变，生产工艺流程主要包括中药前处理，提取，制剂生产加工等，工艺流程简述如下：</w:t>
            </w:r>
          </w:p>
          <w:p w14:paraId="67038D5A">
            <w:pPr>
              <w:keepNext/>
              <w:keepLines w:val="0"/>
              <w:suppressLineNumbers w:val="0"/>
              <w:spacing w:before="0" w:beforeAutospacing="0" w:after="0" w:afterAutospacing="0" w:line="360" w:lineRule="auto"/>
              <w:ind w:left="0" w:right="0" w:firstLine="480" w:firstLineChars="200"/>
              <w:outlineLvl w:val="0"/>
              <w:rPr>
                <w:rFonts w:hint="eastAsia" w:ascii="Times New Roman" w:hAnsi="Times New Roman" w:eastAsia="宋体" w:cs="Times New Roman"/>
                <w:b/>
                <w:bCs w:val="0"/>
                <w:color w:val="000000" w:themeColor="text1"/>
                <w:sz w:val="24"/>
                <w:szCs w:val="24"/>
                <w:highlight w:val="none"/>
                <w:lang w:eastAsia="zh-CN"/>
                <w14:textFill>
                  <w14:solidFill>
                    <w14:schemeClr w14:val="tx1"/>
                  </w14:solidFill>
                </w14:textFill>
              </w:rPr>
            </w:pPr>
            <w:r>
              <w:rPr>
                <w:rFonts w:hint="eastAsia" w:cs="Times New Roman"/>
                <w:color w:val="000000" w:themeColor="text1"/>
                <w:kern w:val="2"/>
                <w:sz w:val="24"/>
                <w:szCs w:val="24"/>
                <w:highlight w:val="none"/>
                <w:lang w:val="en-US" w:eastAsia="zh-CN" w:bidi="ar-SA"/>
                <w14:textFill>
                  <w14:solidFill>
                    <w14:schemeClr w14:val="tx1"/>
                  </w14:solidFill>
                </w14:textFill>
              </w:rPr>
              <w:t>（1）</w:t>
            </w:r>
            <w:r>
              <w:rPr>
                <w:rFonts w:hint="eastAsia" w:cs="Times New Roman"/>
                <w:b/>
                <w:bCs/>
                <w:color w:val="000000" w:themeColor="text1"/>
                <w:kern w:val="2"/>
                <w:sz w:val="24"/>
                <w:szCs w:val="24"/>
                <w:highlight w:val="none"/>
                <w:lang w:val="en-US" w:eastAsia="zh-CN" w:bidi="ar-SA"/>
                <w14:textFill>
                  <w14:solidFill>
                    <w14:schemeClr w14:val="tx1"/>
                  </w14:solidFill>
                </w14:textFill>
              </w:rPr>
              <w:t>前处理工序</w:t>
            </w:r>
            <w:r>
              <w:rPr>
                <w:rFonts w:hint="eastAsia" w:cs="Times New Roman"/>
                <w:color w:val="000000" w:themeColor="text1"/>
                <w:kern w:val="2"/>
                <w:sz w:val="24"/>
                <w:szCs w:val="24"/>
                <w:highlight w:val="none"/>
                <w:lang w:val="en-US" w:eastAsia="zh-CN" w:bidi="ar-SA"/>
                <w14:textFill>
                  <w14:solidFill>
                    <w14:schemeClr w14:val="tx1"/>
                  </w14:solidFill>
                </w14:textFill>
              </w:rPr>
              <w:t>：中药前处理工序是使用粉碎机将中草药原料</w:t>
            </w:r>
            <w:r>
              <w:rPr>
                <w:rFonts w:hint="eastAsia"/>
                <w:color w:val="000000" w:themeColor="text1"/>
                <w:sz w:val="24"/>
                <w:szCs w:val="24"/>
                <w:highlight w:val="none"/>
                <w:lang w:val="en-US" w:eastAsia="zh-CN"/>
                <w14:textFill>
                  <w14:solidFill>
                    <w14:schemeClr w14:val="tx1"/>
                  </w14:solidFill>
                </w14:textFill>
              </w:rPr>
              <w:t>和中草药辅料进行</w:t>
            </w:r>
            <w:r>
              <w:rPr>
                <w:rFonts w:hint="eastAsia" w:cs="Times New Roman"/>
                <w:color w:val="000000" w:themeColor="text1"/>
                <w:kern w:val="2"/>
                <w:sz w:val="24"/>
                <w:szCs w:val="24"/>
                <w:highlight w:val="none"/>
                <w:lang w:val="en-US" w:eastAsia="zh-CN" w:bidi="ar-SA"/>
                <w14:textFill>
                  <w14:solidFill>
                    <w14:schemeClr w14:val="tx1"/>
                  </w14:solidFill>
                </w14:textFill>
              </w:rPr>
              <w:t>粉碎，粉碎后为中药饮片进行入库，待提取工序使用，粉碎过程产生的粉尘由现有集气罩收集后，经现有布袋除尘器</w:t>
            </w:r>
            <w:r>
              <w:rPr>
                <w:rFonts w:hint="eastAsia" w:eastAsia="宋体"/>
                <w:color w:val="000000" w:themeColor="text1"/>
                <w:sz w:val="24"/>
                <w:szCs w:val="24"/>
                <w:highlight w:val="none"/>
                <w:lang w:eastAsia="zh-CN"/>
                <w14:textFill>
                  <w14:solidFill>
                    <w14:schemeClr w14:val="tx1"/>
                  </w14:solidFill>
                </w14:textFill>
              </w:rPr>
              <w:t>（TA0</w:t>
            </w:r>
            <w:r>
              <w:rPr>
                <w:rFonts w:hint="eastAsia"/>
                <w:color w:val="000000" w:themeColor="text1"/>
                <w:sz w:val="24"/>
                <w:szCs w:val="24"/>
                <w:highlight w:val="none"/>
                <w:lang w:val="en-US" w:eastAsia="zh-CN"/>
                <w14:textFill>
                  <w14:solidFill>
                    <w14:schemeClr w14:val="tx1"/>
                  </w14:solidFill>
                </w14:textFill>
              </w:rPr>
              <w:t>05</w:t>
            </w:r>
            <w:r>
              <w:rPr>
                <w:rFonts w:hint="eastAsia" w:eastAsia="宋体"/>
                <w:color w:val="000000" w:themeColor="text1"/>
                <w:sz w:val="24"/>
                <w:szCs w:val="24"/>
                <w:highlight w:val="none"/>
                <w:lang w:eastAsia="zh-CN"/>
                <w14:textFill>
                  <w14:solidFill>
                    <w14:schemeClr w14:val="tx1"/>
                  </w14:solidFill>
                </w14:textFill>
              </w:rPr>
              <w:t>）处理后由</w:t>
            </w:r>
            <w:r>
              <w:rPr>
                <w:rFonts w:hint="eastAsia"/>
                <w:color w:val="000000" w:themeColor="text1"/>
                <w:sz w:val="24"/>
                <w:szCs w:val="24"/>
                <w:highlight w:val="none"/>
                <w:lang w:val="en-US" w:eastAsia="zh-CN"/>
                <w14:textFill>
                  <w14:solidFill>
                    <w14:schemeClr w14:val="tx1"/>
                  </w14:solidFill>
                </w14:textFill>
              </w:rPr>
              <w:t>17</w:t>
            </w:r>
            <w:r>
              <w:rPr>
                <w:rFonts w:hint="eastAsia" w:eastAsia="宋体"/>
                <w:color w:val="000000" w:themeColor="text1"/>
                <w:sz w:val="24"/>
                <w:szCs w:val="24"/>
                <w:highlight w:val="none"/>
                <w:lang w:eastAsia="zh-CN"/>
                <w14:textFill>
                  <w14:solidFill>
                    <w14:schemeClr w14:val="tx1"/>
                  </w14:solidFill>
                </w14:textFill>
              </w:rPr>
              <w:t>m高的排气筒（DA0</w:t>
            </w:r>
            <w:r>
              <w:rPr>
                <w:rFonts w:hint="eastAsia"/>
                <w:color w:val="000000" w:themeColor="text1"/>
                <w:sz w:val="24"/>
                <w:szCs w:val="24"/>
                <w:highlight w:val="none"/>
                <w:lang w:val="en-US" w:eastAsia="zh-CN"/>
                <w14:textFill>
                  <w14:solidFill>
                    <w14:schemeClr w14:val="tx1"/>
                  </w14:solidFill>
                </w14:textFill>
              </w:rPr>
              <w:t>14</w:t>
            </w:r>
            <w:r>
              <w:rPr>
                <w:rFonts w:hint="eastAsia" w:eastAsia="宋体"/>
                <w:color w:val="000000" w:themeColor="text1"/>
                <w:sz w:val="24"/>
                <w:szCs w:val="24"/>
                <w:highlight w:val="none"/>
                <w:lang w:eastAsia="zh-CN"/>
                <w14:textFill>
                  <w14:solidFill>
                    <w14:schemeClr w14:val="tx1"/>
                  </w14:solidFill>
                </w14:textFill>
              </w:rPr>
              <w:t>）排放，</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设备定期清洗产生设备清洗废水</w:t>
            </w:r>
            <w:r>
              <w:rPr>
                <w:rFonts w:hint="eastAsia" w:eastAsia="宋体"/>
                <w:color w:val="000000" w:themeColor="text1"/>
                <w:sz w:val="24"/>
                <w:szCs w:val="24"/>
                <w:highlight w:val="none"/>
                <w:lang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此过程</w:t>
            </w:r>
            <w:r>
              <w:rPr>
                <w:rFonts w:hint="eastAsia"/>
                <w:color w:val="000000" w:themeColor="text1"/>
                <w:sz w:val="24"/>
                <w:szCs w:val="24"/>
                <w:highlight w:val="none"/>
                <w:lang w:val="en-US" w:eastAsia="zh-CN"/>
                <w14:textFill>
                  <w14:solidFill>
                    <w14:schemeClr w14:val="tx1"/>
                  </w14:solidFill>
                </w14:textFill>
              </w:rPr>
              <w:t>产生的污染物主要为G（颗粒物）、W（</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废水</w:t>
            </w:r>
            <w:r>
              <w:rPr>
                <w:rFonts w:hint="eastAsia"/>
                <w:color w:val="000000" w:themeColor="text1"/>
                <w:sz w:val="24"/>
                <w:szCs w:val="24"/>
                <w:highlight w:val="none"/>
                <w:lang w:val="en-US" w:eastAsia="zh-CN"/>
                <w14:textFill>
                  <w14:solidFill>
                    <w14:schemeClr w14:val="tx1"/>
                  </w14:solidFill>
                </w14:textFill>
              </w:rPr>
              <w:t>）、N（设备噪声）</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p>
          <w:p w14:paraId="73C0B94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cs="Times New Roman"/>
                <w:color w:val="000000" w:themeColor="text1"/>
                <w:kern w:val="2"/>
                <w:sz w:val="24"/>
                <w:szCs w:val="24"/>
                <w:highlight w:val="none"/>
                <w:lang w:val="en-US" w:eastAsia="zh-CN" w:bidi="ar-SA"/>
                <w14:textFill>
                  <w14:solidFill>
                    <w14:schemeClr w14:val="tx1"/>
                  </w14:solidFill>
                </w14:textFill>
              </w:rPr>
            </w:pPr>
            <w:r>
              <w:rPr>
                <w:rFonts w:hint="eastAsia" w:cs="Times New Roman"/>
                <w:color w:val="000000" w:themeColor="text1"/>
                <w:kern w:val="2"/>
                <w:sz w:val="24"/>
                <w:szCs w:val="24"/>
                <w:highlight w:val="none"/>
                <w:lang w:val="en-US" w:eastAsia="zh-CN" w:bidi="ar-SA"/>
                <w14:textFill>
                  <w14:solidFill>
                    <w14:schemeClr w14:val="tx1"/>
                  </w14:solidFill>
                </w14:textFill>
              </w:rPr>
              <w:t>（2）</w:t>
            </w:r>
            <w:r>
              <w:rPr>
                <w:rFonts w:hint="eastAsia" w:cs="Times New Roman"/>
                <w:b/>
                <w:bCs/>
                <w:color w:val="000000" w:themeColor="text1"/>
                <w:kern w:val="2"/>
                <w:sz w:val="24"/>
                <w:szCs w:val="24"/>
                <w:highlight w:val="none"/>
                <w:lang w:val="en-US" w:eastAsia="zh-CN" w:bidi="ar-SA"/>
                <w14:textFill>
                  <w14:solidFill>
                    <w14:schemeClr w14:val="tx1"/>
                  </w14:solidFill>
                </w14:textFill>
              </w:rPr>
              <w:t>提取工序</w:t>
            </w:r>
            <w:r>
              <w:rPr>
                <w:rFonts w:hint="eastAsia" w:cs="Times New Roman"/>
                <w:color w:val="000000" w:themeColor="text1"/>
                <w:kern w:val="2"/>
                <w:sz w:val="24"/>
                <w:szCs w:val="24"/>
                <w:highlight w:val="none"/>
                <w:lang w:val="en-US" w:eastAsia="zh-CN" w:bidi="ar-SA"/>
                <w14:textFill>
                  <w14:solidFill>
                    <w14:schemeClr w14:val="tx1"/>
                  </w14:solidFill>
                </w14:textFill>
              </w:rPr>
              <w:t>：提取工序（水提）是将需要水提的中药饮片投入直筒提取罐中，加入饮用水，加热至100</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°C</w:t>
            </w:r>
            <w:r>
              <w:rPr>
                <w:rFonts w:hint="eastAsia" w:cs="Times New Roman"/>
                <w:color w:val="000000" w:themeColor="text1"/>
                <w:kern w:val="2"/>
                <w:sz w:val="24"/>
                <w:szCs w:val="24"/>
                <w:highlight w:val="none"/>
                <w:lang w:val="en-US" w:eastAsia="zh-CN" w:bidi="ar-SA"/>
                <w14:textFill>
                  <w14:solidFill>
                    <w14:schemeClr w14:val="tx1"/>
                  </w14:solidFill>
                </w14:textFill>
              </w:rPr>
              <w:t>使其微沸，进行煎煮后过滤，经浓缩器油水分离后收集挥发油</w:t>
            </w:r>
            <w:r>
              <w:rPr>
                <w:rFonts w:hint="eastAsia"/>
                <w:color w:val="000000" w:themeColor="text1"/>
                <w:sz w:val="24"/>
                <w:szCs w:val="24"/>
                <w:highlight w:val="none"/>
                <w:lang w:val="en-US" w:eastAsia="zh-CN"/>
                <w14:textFill>
                  <w14:solidFill>
                    <w14:schemeClr w14:val="tx1"/>
                  </w14:solidFill>
                </w14:textFill>
              </w:rPr>
              <w:t>进行入库，待综合制剂车间使用，其余水相药液</w:t>
            </w:r>
            <w:r>
              <w:rPr>
                <w:rFonts w:hint="eastAsia" w:cs="Times New Roman"/>
                <w:color w:val="000000" w:themeColor="text1"/>
                <w:kern w:val="2"/>
                <w:sz w:val="24"/>
                <w:szCs w:val="24"/>
                <w:highlight w:val="none"/>
                <w:lang w:val="en-US" w:eastAsia="zh-CN" w:bidi="ar-SA"/>
                <w14:textFill>
                  <w14:solidFill>
                    <w14:schemeClr w14:val="tx1"/>
                  </w14:solidFill>
                </w14:textFill>
              </w:rPr>
              <w:t>经筛网过滤后经打料泵打至夹套静置罐中，备用，药渣弃去，提取工序设备密闭负压操作，少量油气和异味</w:t>
            </w:r>
            <w:r>
              <w:rPr>
                <w:rFonts w:hint="eastAsia" w:cs="Times New Roman"/>
                <w:b w:val="0"/>
                <w:bCs/>
                <w:color w:val="000000" w:themeColor="text1"/>
                <w:sz w:val="24"/>
                <w:szCs w:val="24"/>
                <w:highlight w:val="none"/>
                <w:lang w:val="en-US" w:eastAsia="zh-CN"/>
                <w14:textFill>
                  <w14:solidFill>
                    <w14:schemeClr w14:val="tx1"/>
                  </w14:solidFill>
                </w14:textFill>
              </w:rPr>
              <w:t>通过空调排放系统无组织排放</w:t>
            </w:r>
            <w:r>
              <w:rPr>
                <w:rFonts w:hint="eastAsia" w:cs="Times New Roman"/>
                <w:color w:val="000000" w:themeColor="text1"/>
                <w:kern w:val="2"/>
                <w:sz w:val="24"/>
                <w:szCs w:val="24"/>
                <w:highlight w:val="none"/>
                <w:lang w:val="en-US" w:eastAsia="zh-CN" w:bidi="ar-SA"/>
                <w14:textFill>
                  <w14:solidFill>
                    <w14:schemeClr w14:val="tx1"/>
                  </w14:solidFill>
                </w14:textFill>
              </w:rPr>
              <w:t>。将无需水提的药材投入直筒提取罐中，加饮用水煎煮，煎煮后过滤，将药液用打料泵打至夹套静置罐中与</w:t>
            </w:r>
            <w:r>
              <w:rPr>
                <w:rFonts w:hint="eastAsia"/>
                <w:color w:val="000000" w:themeColor="text1"/>
                <w:sz w:val="24"/>
                <w:szCs w:val="24"/>
                <w:highlight w:val="none"/>
                <w:lang w:val="en-US" w:eastAsia="zh-CN"/>
                <w14:textFill>
                  <w14:solidFill>
                    <w14:schemeClr w14:val="tx1"/>
                  </w14:solidFill>
                </w14:textFill>
              </w:rPr>
              <w:t>水相药液</w:t>
            </w:r>
            <w:r>
              <w:rPr>
                <w:rFonts w:hint="eastAsia" w:cs="Times New Roman"/>
                <w:color w:val="000000" w:themeColor="text1"/>
                <w:kern w:val="2"/>
                <w:sz w:val="24"/>
                <w:szCs w:val="24"/>
                <w:highlight w:val="none"/>
                <w:lang w:val="en-US" w:eastAsia="zh-CN" w:bidi="ar-SA"/>
                <w14:textFill>
                  <w14:solidFill>
                    <w14:schemeClr w14:val="tx1"/>
                  </w14:solidFill>
                </w14:textFill>
              </w:rPr>
              <w:t>合并静置后，吸取上清液，通过输液管道，输送至MVR升膜蒸发浓缩系统中进行压缩浓缩，得清膏，药渣弃去，压缩浓缩产生的废液回用于煎煮用水</w:t>
            </w:r>
            <w:r>
              <w:rPr>
                <w:rFonts w:hint="eastAsia" w:eastAsia="宋体"/>
                <w:color w:val="000000" w:themeColor="text1"/>
                <w:sz w:val="24"/>
                <w:szCs w:val="24"/>
                <w:highlight w:val="none"/>
                <w:lang w:eastAsia="zh-CN"/>
                <w14:textFill>
                  <w14:solidFill>
                    <w14:schemeClr w14:val="tx1"/>
                  </w14:solidFill>
                </w14:textFill>
              </w:rPr>
              <w:t>，</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设备定期清洗产生设备清洗废水</w:t>
            </w:r>
            <w:r>
              <w:rPr>
                <w:rFonts w:hint="eastAsia" w:cs="Times New Roman"/>
                <w:color w:val="000000" w:themeColor="text1"/>
                <w:kern w:val="2"/>
                <w:sz w:val="24"/>
                <w:szCs w:val="24"/>
                <w:highlight w:val="none"/>
                <w:lang w:val="en-US" w:eastAsia="zh-CN" w:bidi="ar-SA"/>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此过程</w:t>
            </w:r>
            <w:r>
              <w:rPr>
                <w:rFonts w:hint="eastAsia"/>
                <w:color w:val="000000" w:themeColor="text1"/>
                <w:sz w:val="24"/>
                <w:szCs w:val="24"/>
                <w:highlight w:val="none"/>
                <w:lang w:val="en-US" w:eastAsia="zh-CN"/>
                <w14:textFill>
                  <w14:solidFill>
                    <w14:schemeClr w14:val="tx1"/>
                  </w14:solidFill>
                </w14:textFill>
              </w:rPr>
              <w:t>产生的污染物主要为G</w:t>
            </w:r>
            <w:r>
              <w:rPr>
                <w:rFonts w:hint="eastAsia" w:cs="Times New Roman"/>
                <w:color w:val="000000" w:themeColor="text1"/>
                <w:kern w:val="2"/>
                <w:sz w:val="24"/>
                <w:szCs w:val="24"/>
                <w:highlight w:val="none"/>
                <w:lang w:val="en-US" w:eastAsia="zh-CN" w:bidi="ar-SA"/>
                <w14:textFill>
                  <w14:solidFill>
                    <w14:schemeClr w14:val="tx1"/>
                  </w14:solidFill>
                </w14:textFill>
              </w:rPr>
              <w:t>油气（以</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非甲烷总烃</w:t>
            </w:r>
            <w:r>
              <w:rPr>
                <w:rFonts w:hint="eastAsia" w:cs="Times New Roman"/>
                <w:color w:val="000000" w:themeColor="text1"/>
                <w:sz w:val="24"/>
                <w:highlight w:val="none"/>
                <w:lang w:val="en-US" w:eastAsia="zh-CN"/>
                <w14:textFill>
                  <w14:solidFill>
                    <w14:schemeClr w14:val="tx1"/>
                  </w14:solidFill>
                </w14:textFill>
              </w:rPr>
              <w:t>计</w:t>
            </w:r>
            <w:r>
              <w:rPr>
                <w:rFonts w:hint="eastAsia" w:cs="Times New Roman"/>
                <w:color w:val="000000" w:themeColor="text1"/>
                <w:kern w:val="2"/>
                <w:sz w:val="24"/>
                <w:szCs w:val="24"/>
                <w:highlight w:val="none"/>
                <w:lang w:val="en-US" w:eastAsia="zh-CN" w:bidi="ar-SA"/>
                <w14:textFill>
                  <w14:solidFill>
                    <w14:schemeClr w14:val="tx1"/>
                  </w14:solidFill>
                </w14:textFill>
              </w:rPr>
              <w:t>）和异味（臭气浓度）</w:t>
            </w:r>
            <w:r>
              <w:rPr>
                <w:rFonts w:hint="eastAsia"/>
                <w:color w:val="000000" w:themeColor="text1"/>
                <w:sz w:val="24"/>
                <w:szCs w:val="24"/>
                <w:highlight w:val="none"/>
                <w:lang w:val="en-US" w:eastAsia="zh-CN"/>
                <w14:textFill>
                  <w14:solidFill>
                    <w14:schemeClr w14:val="tx1"/>
                  </w14:solidFill>
                </w14:textFill>
              </w:rPr>
              <w:t>、W（废水）、S（药渣）、N（设备噪声）</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p>
          <w:p w14:paraId="690CD35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cs="Times New Roman"/>
                <w:color w:val="000000" w:themeColor="text1"/>
                <w:kern w:val="2"/>
                <w:sz w:val="24"/>
                <w:szCs w:val="24"/>
                <w:highlight w:val="none"/>
                <w:lang w:val="en-US" w:eastAsia="zh-CN" w:bidi="ar-SA"/>
                <w14:textFill>
                  <w14:solidFill>
                    <w14:schemeClr w14:val="tx1"/>
                  </w14:solidFill>
                </w14:textFill>
              </w:rPr>
            </w:pPr>
            <w:r>
              <w:rPr>
                <w:rFonts w:hint="eastAsia" w:cs="Times New Roman"/>
                <w:color w:val="000000" w:themeColor="text1"/>
                <w:kern w:val="2"/>
                <w:sz w:val="24"/>
                <w:szCs w:val="24"/>
                <w:highlight w:val="none"/>
                <w:lang w:val="en-US" w:eastAsia="zh-CN" w:bidi="ar-SA"/>
                <w14:textFill>
                  <w14:solidFill>
                    <w14:schemeClr w14:val="tx1"/>
                  </w14:solidFill>
                </w14:textFill>
              </w:rPr>
              <w:t>（3）</w:t>
            </w:r>
            <w:r>
              <w:rPr>
                <w:rFonts w:hint="eastAsia" w:cs="Times New Roman"/>
                <w:b/>
                <w:bCs/>
                <w:color w:val="000000" w:themeColor="text1"/>
                <w:kern w:val="2"/>
                <w:sz w:val="24"/>
                <w:szCs w:val="24"/>
                <w:highlight w:val="none"/>
                <w:lang w:val="en-US" w:eastAsia="zh-CN" w:bidi="ar-SA"/>
                <w14:textFill>
                  <w14:solidFill>
                    <w14:schemeClr w14:val="tx1"/>
                  </w14:solidFill>
                </w14:textFill>
              </w:rPr>
              <w:t>制剂工序：</w:t>
            </w:r>
            <w:r>
              <w:rPr>
                <w:rFonts w:hint="eastAsia" w:cs="Times New Roman"/>
                <w:color w:val="000000" w:themeColor="text1"/>
                <w:kern w:val="2"/>
                <w:sz w:val="24"/>
                <w:szCs w:val="24"/>
                <w:highlight w:val="none"/>
                <w:lang w:val="en-US" w:eastAsia="zh-CN" w:bidi="ar-SA"/>
                <w14:textFill>
                  <w14:solidFill>
                    <w14:schemeClr w14:val="tx1"/>
                  </w14:solidFill>
                </w14:textFill>
              </w:rPr>
              <w:t>定量称取清膏、挥发油及辅料，利用沸腾干燥制粒器进行制粒，制得的颗粒利用高效筛粉机进行筛选，通过筛选的颗粒物，利用混合机进行总混，总混结束后进行化学检验，不能通过筛选机的进行整粒，整粒后返回生产线称量、配料工序。片剂进行压片和包衣；胶囊剂进行胶囊填充，然后片剂和胶囊剂进行泡罩包装和枕式包装后形成最终成品，经过外包装和外观检验后入库。制剂工序产生的粉尘由现有集气系统收集后，经现有旋风除尘器+布袋除尘器处理后，由不低于15m高排气筒（DA006~DA013）排放；泡罩包装和枕式包装</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产生微量非甲烷总烃</w:t>
            </w:r>
            <w:r>
              <w:rPr>
                <w:rFonts w:hint="eastAsia" w:cs="Times New Roman"/>
                <w:color w:val="000000" w:themeColor="text1"/>
                <w:sz w:val="24"/>
                <w:highlight w:val="none"/>
                <w:lang w:val="en-US"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通过空调排放系统无组织排放</w:t>
            </w:r>
            <w:r>
              <w:rPr>
                <w:rFonts w:hint="eastAsia" w:cs="Times New Roman"/>
                <w:color w:val="000000" w:themeColor="text1"/>
                <w:kern w:val="2"/>
                <w:sz w:val="24"/>
                <w:szCs w:val="24"/>
                <w:highlight w:val="none"/>
                <w:lang w:val="en-US" w:eastAsia="zh-CN" w:bidi="ar-SA"/>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此过程</w:t>
            </w:r>
            <w:r>
              <w:rPr>
                <w:rFonts w:hint="eastAsia"/>
                <w:color w:val="000000" w:themeColor="text1"/>
                <w:sz w:val="24"/>
                <w:szCs w:val="24"/>
                <w:highlight w:val="none"/>
                <w:lang w:val="en-US" w:eastAsia="zh-CN"/>
                <w14:textFill>
                  <w14:solidFill>
                    <w14:schemeClr w14:val="tx1"/>
                  </w14:solidFill>
                </w14:textFill>
              </w:rPr>
              <w:t>产生的污染物主要为G（颗粒物、非甲烷总体）、S（废捕集袋、废胶囊材料、废包装材料、化学检验废液、废化学试剂瓶、废弃薄层板、废试药）、N（设备噪声）</w:t>
            </w:r>
            <w:r>
              <w:rPr>
                <w:rFonts w:hint="eastAsia" w:ascii="Times New Roman" w:hAnsi="Times New Roman" w:eastAsia="宋体" w:cs="Times New Roman"/>
                <w:b w:val="0"/>
                <w:bCs/>
                <w:color w:val="000000" w:themeColor="text1"/>
                <w:sz w:val="24"/>
                <w:szCs w:val="24"/>
                <w:highlight w:val="none"/>
                <w:lang w:eastAsia="zh-CN"/>
                <w14:textFill>
                  <w14:solidFill>
                    <w14:schemeClr w14:val="tx1"/>
                  </w14:solidFill>
                </w14:textFill>
              </w:rPr>
              <w:t>。</w:t>
            </w:r>
          </w:p>
          <w:p w14:paraId="581EC67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p>
          <w:p w14:paraId="0C89A0C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pPr>
          </w:p>
          <w:p w14:paraId="7CDAEDB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eastAsia="宋体" w:cs="Times New Roman"/>
                <w:b w:val="0"/>
                <w:bC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产污环节一览表如下表所示</w:t>
            </w:r>
            <w:r>
              <w:rPr>
                <w:rFonts w:hint="eastAsia" w:eastAsia="宋体" w:cs="Times New Roman"/>
                <w:b w:val="0"/>
                <w:bCs w:val="0"/>
                <w:color w:val="000000" w:themeColor="text1"/>
                <w:kern w:val="2"/>
                <w:sz w:val="24"/>
                <w:szCs w:val="24"/>
                <w:highlight w:val="none"/>
                <w:lang w:val="en-US" w:eastAsia="zh-CN" w:bidi="ar-SA"/>
                <w14:textFill>
                  <w14:solidFill>
                    <w14:schemeClr w14:val="tx1"/>
                  </w14:solidFill>
                </w14:textFill>
              </w:rPr>
              <w:t>：</w:t>
            </w:r>
          </w:p>
          <w:p w14:paraId="3D63C0A5">
            <w:pPr>
              <w:keepNext w:val="0"/>
              <w:keepLines w:val="0"/>
              <w:pageBreakBefore w:val="0"/>
              <w:widowControl w:val="0"/>
              <w:numPr>
                <w:ilvl w:val="0"/>
                <w:numId w:val="5"/>
              </w:numPr>
              <w:suppressLineNumbers w:val="0"/>
              <w:kinsoku/>
              <w:wordWrap/>
              <w:overflowPunct/>
              <w:topLinePunct w:val="0"/>
              <w:autoSpaceDE/>
              <w:autoSpaceDN/>
              <w:bidi w:val="0"/>
              <w:adjustRightInd/>
              <w:snapToGrid w:val="0"/>
              <w:spacing w:before="157" w:beforeLines="50" w:beforeAutospacing="0" w:after="0" w:afterLines="0" w:afterAutospacing="0"/>
              <w:ind w:left="0" w:leftChars="0" w:right="0" w:rightChars="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 xml:space="preserve">  综合制剂车间产污环节一览表</w:t>
            </w:r>
          </w:p>
          <w:tbl>
            <w:tblPr>
              <w:tblStyle w:val="36"/>
              <w:tblW w:w="4993"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8"/>
              <w:gridCol w:w="795"/>
              <w:gridCol w:w="1708"/>
              <w:gridCol w:w="1950"/>
              <w:gridCol w:w="2906"/>
            </w:tblGrid>
            <w:tr w14:paraId="59D3882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tcBorders>
                    <w:tl2br w:val="nil"/>
                    <w:tr2bl w:val="nil"/>
                  </w:tcBorders>
                  <w:noWrap w:val="0"/>
                  <w:vAlign w:val="center"/>
                </w:tcPr>
                <w:p w14:paraId="677154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类别</w:t>
                  </w:r>
                </w:p>
              </w:tc>
              <w:tc>
                <w:tcPr>
                  <w:tcW w:w="494" w:type="pct"/>
                  <w:tcBorders>
                    <w:tl2br w:val="nil"/>
                    <w:tr2bl w:val="nil"/>
                  </w:tcBorders>
                  <w:noWrap w:val="0"/>
                  <w:vAlign w:val="center"/>
                </w:tcPr>
                <w:p w14:paraId="41AE28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编号</w:t>
                  </w:r>
                </w:p>
              </w:tc>
              <w:tc>
                <w:tcPr>
                  <w:tcW w:w="1062" w:type="pct"/>
                  <w:tcBorders>
                    <w:tl2br w:val="nil"/>
                    <w:tr2bl w:val="nil"/>
                  </w:tcBorders>
                  <w:noWrap w:val="0"/>
                  <w:vAlign w:val="center"/>
                </w:tcPr>
                <w:p w14:paraId="386A78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污染源</w:t>
                  </w:r>
                </w:p>
              </w:tc>
              <w:tc>
                <w:tcPr>
                  <w:tcW w:w="1213" w:type="pct"/>
                  <w:tcBorders>
                    <w:tl2br w:val="nil"/>
                    <w:tr2bl w:val="nil"/>
                  </w:tcBorders>
                  <w:noWrap w:val="0"/>
                  <w:vAlign w:val="center"/>
                </w:tcPr>
                <w:p w14:paraId="7C4CD9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主要污染</w:t>
                  </w:r>
                </w:p>
                <w:p w14:paraId="1B9C7E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因子</w:t>
                  </w:r>
                </w:p>
              </w:tc>
              <w:tc>
                <w:tcPr>
                  <w:tcW w:w="1807" w:type="pct"/>
                  <w:tcBorders>
                    <w:tl2br w:val="nil"/>
                    <w:tr2bl w:val="nil"/>
                  </w:tcBorders>
                  <w:noWrap w:val="0"/>
                  <w:vAlign w:val="center"/>
                </w:tcPr>
                <w:p w14:paraId="167E40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治理措施</w:t>
                  </w:r>
                </w:p>
              </w:tc>
            </w:tr>
            <w:tr w14:paraId="738844A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21" w:type="pct"/>
                  <w:vMerge w:val="restart"/>
                  <w:tcBorders>
                    <w:tl2br w:val="nil"/>
                    <w:tr2bl w:val="nil"/>
                  </w:tcBorders>
                  <w:noWrap w:val="0"/>
                  <w:vAlign w:val="center"/>
                </w:tcPr>
                <w:p w14:paraId="4E55B8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废气</w:t>
                  </w:r>
                </w:p>
              </w:tc>
              <w:tc>
                <w:tcPr>
                  <w:tcW w:w="494" w:type="pct"/>
                  <w:vMerge w:val="restart"/>
                  <w:tcBorders>
                    <w:tl2br w:val="nil"/>
                    <w:tr2bl w:val="nil"/>
                  </w:tcBorders>
                  <w:noWrap w:val="0"/>
                  <w:vAlign w:val="center"/>
                </w:tcPr>
                <w:p w14:paraId="160AE4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w:t>
                  </w:r>
                </w:p>
              </w:tc>
              <w:tc>
                <w:tcPr>
                  <w:tcW w:w="1062" w:type="pct"/>
                  <w:tcBorders>
                    <w:tl2br w:val="nil"/>
                    <w:tr2bl w:val="nil"/>
                  </w:tcBorders>
                  <w:noWrap w:val="0"/>
                  <w:vAlign w:val="center"/>
                </w:tcPr>
                <w:p w14:paraId="37E7F8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前处理粉碎废气</w:t>
                  </w:r>
                </w:p>
              </w:tc>
              <w:tc>
                <w:tcPr>
                  <w:tcW w:w="1213" w:type="pct"/>
                  <w:tcBorders>
                    <w:tl2br w:val="nil"/>
                    <w:tr2bl w:val="nil"/>
                  </w:tcBorders>
                  <w:noWrap w:val="0"/>
                  <w:vAlign w:val="center"/>
                </w:tcPr>
                <w:p w14:paraId="306D2E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asciiTheme="minorEastAsia" w:hAnsiTheme="minorEastAsia"/>
                      <w:color w:val="000000" w:themeColor="text1"/>
                      <w:sz w:val="21"/>
                      <w:szCs w:val="21"/>
                      <w:highlight w:val="none"/>
                      <w:lang w:val="en-US" w:eastAsia="zh-CN"/>
                      <w14:textFill>
                        <w14:solidFill>
                          <w14:schemeClr w14:val="tx1"/>
                        </w14:solidFill>
                      </w14:textFill>
                    </w:rPr>
                    <w:t>颗粒物</w:t>
                  </w:r>
                </w:p>
              </w:tc>
              <w:tc>
                <w:tcPr>
                  <w:tcW w:w="1807" w:type="pct"/>
                  <w:tcBorders>
                    <w:tl2br w:val="nil"/>
                    <w:tr2bl w:val="nil"/>
                  </w:tcBorders>
                  <w:noWrap w:val="0"/>
                  <w:vAlign w:val="center"/>
                </w:tcPr>
                <w:p w14:paraId="6380DE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前处理车间</w:t>
                  </w:r>
                  <w:r>
                    <w:rPr>
                      <w:rFonts w:hint="eastAsia" w:cs="Times New Roman"/>
                      <w:color w:val="000000" w:themeColor="text1"/>
                      <w:sz w:val="21"/>
                      <w:szCs w:val="21"/>
                      <w:highlight w:val="none"/>
                      <w:lang w:val="en-US" w:eastAsia="zh-CN"/>
                      <w14:textFill>
                        <w14:solidFill>
                          <w14:schemeClr w14:val="tx1"/>
                        </w14:solidFill>
                      </w14:textFill>
                    </w:rPr>
                    <w:t>废气经布袋除尘器处理后，由1根17m</w:t>
                  </w:r>
                  <w:r>
                    <w:rPr>
                      <w:rFonts w:hint="default" w:ascii="Times New Roman" w:hAnsi="Times New Roman" w:eastAsia="宋体" w:cs="Times New Roman"/>
                      <w:color w:val="000000" w:themeColor="text1"/>
                      <w:sz w:val="21"/>
                      <w:szCs w:val="21"/>
                      <w:highlight w:val="none"/>
                      <w14:textFill>
                        <w14:solidFill>
                          <w14:schemeClr w14:val="tx1"/>
                        </w14:solidFill>
                      </w14:textFill>
                    </w:rPr>
                    <w:t>高排气筒排放（DA0</w:t>
                  </w:r>
                  <w:r>
                    <w:rPr>
                      <w:rFonts w:hint="eastAsia" w:cs="Times New Roman"/>
                      <w:color w:val="000000" w:themeColor="text1"/>
                      <w:sz w:val="21"/>
                      <w:szCs w:val="21"/>
                      <w:highlight w:val="none"/>
                      <w:lang w:val="en-US" w:eastAsia="zh-CN"/>
                      <w14:textFill>
                        <w14:solidFill>
                          <w14:schemeClr w14:val="tx1"/>
                        </w14:solidFill>
                      </w14:textFill>
                    </w:rPr>
                    <w:t>14</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r>
            <w:tr w14:paraId="2B1D3F7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21" w:type="pct"/>
                  <w:vMerge w:val="continue"/>
                  <w:tcBorders>
                    <w:tl2br w:val="nil"/>
                    <w:tr2bl w:val="nil"/>
                  </w:tcBorders>
                  <w:noWrap w:val="0"/>
                  <w:vAlign w:val="center"/>
                </w:tcPr>
                <w:p w14:paraId="02B916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94" w:type="pct"/>
                  <w:vMerge w:val="continue"/>
                  <w:tcBorders>
                    <w:tl2br w:val="nil"/>
                    <w:tr2bl w:val="nil"/>
                  </w:tcBorders>
                  <w:noWrap w:val="0"/>
                  <w:vAlign w:val="center"/>
                </w:tcPr>
                <w:p w14:paraId="4960FC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062" w:type="pct"/>
                  <w:tcBorders>
                    <w:tl2br w:val="nil"/>
                    <w:tr2bl w:val="nil"/>
                  </w:tcBorders>
                  <w:shd w:val="clear" w:color="auto" w:fill="auto"/>
                  <w:noWrap w:val="0"/>
                  <w:vAlign w:val="center"/>
                </w:tcPr>
                <w:p w14:paraId="08529F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提取废气</w:t>
                  </w:r>
                </w:p>
              </w:tc>
              <w:tc>
                <w:tcPr>
                  <w:tcW w:w="1213" w:type="pct"/>
                  <w:tcBorders>
                    <w:tl2br w:val="nil"/>
                    <w:tr2bl w:val="nil"/>
                  </w:tcBorders>
                  <w:shd w:val="clear" w:color="auto" w:fill="auto"/>
                  <w:noWrap w:val="0"/>
                  <w:vAlign w:val="center"/>
                </w:tcPr>
                <w:p w14:paraId="2AE6D8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油气（以非甲烷总烃计）</w:t>
                  </w:r>
                  <w:r>
                    <w:rPr>
                      <w:rFonts w:hint="eastAsia" w:cs="Times New Roman"/>
                      <w:color w:val="000000" w:themeColor="text1"/>
                      <w:kern w:val="2"/>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异味（臭气浓度）</w:t>
                  </w:r>
                </w:p>
              </w:tc>
              <w:tc>
                <w:tcPr>
                  <w:tcW w:w="1807" w:type="pct"/>
                  <w:tcBorders>
                    <w:tl2br w:val="nil"/>
                    <w:tr2bl w:val="nil"/>
                  </w:tcBorders>
                  <w:shd w:val="clear" w:color="auto" w:fill="auto"/>
                  <w:noWrap w:val="0"/>
                  <w:vAlign w:val="center"/>
                </w:tcPr>
                <w:p w14:paraId="003D9D7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提取工序设备密闭负压操作，少量油气和异味通过空调排放系统无组织排放。</w:t>
                  </w:r>
                </w:p>
              </w:tc>
            </w:tr>
            <w:tr w14:paraId="6FE2175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421" w:type="pct"/>
                  <w:vMerge w:val="continue"/>
                  <w:tcBorders>
                    <w:tl2br w:val="nil"/>
                    <w:tr2bl w:val="nil"/>
                  </w:tcBorders>
                  <w:noWrap w:val="0"/>
                  <w:vAlign w:val="center"/>
                </w:tcPr>
                <w:p w14:paraId="151E66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94" w:type="pct"/>
                  <w:vMerge w:val="continue"/>
                  <w:tcBorders>
                    <w:tl2br w:val="nil"/>
                    <w:tr2bl w:val="nil"/>
                  </w:tcBorders>
                  <w:noWrap w:val="0"/>
                  <w:vAlign w:val="center"/>
                </w:tcPr>
                <w:p w14:paraId="395842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062" w:type="pct"/>
                  <w:vMerge w:val="restart"/>
                  <w:tcBorders>
                    <w:tl2br w:val="nil"/>
                    <w:tr2bl w:val="nil"/>
                  </w:tcBorders>
                  <w:shd w:val="clear" w:color="auto" w:fill="auto"/>
                  <w:noWrap w:val="0"/>
                  <w:vAlign w:val="center"/>
                </w:tcPr>
                <w:p w14:paraId="642434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eastAsia="宋体" w:cs="Times New Roman" w:asciiTheme="minorEastAsia" w:hAnsiTheme="minorEastAsia"/>
                      <w:color w:val="000000" w:themeColor="text1"/>
                      <w:sz w:val="21"/>
                      <w:szCs w:val="21"/>
                      <w:highlight w:val="none"/>
                      <w:lang w:val="en-US" w:eastAsia="zh-CN"/>
                      <w14:textFill>
                        <w14:solidFill>
                          <w14:schemeClr w14:val="tx1"/>
                        </w14:solidFill>
                      </w14:textFill>
                    </w:rPr>
                    <w:t>制剂废气</w:t>
                  </w:r>
                </w:p>
              </w:tc>
              <w:tc>
                <w:tcPr>
                  <w:tcW w:w="1213" w:type="pct"/>
                  <w:tcBorders>
                    <w:tl2br w:val="nil"/>
                    <w:tr2bl w:val="nil"/>
                  </w:tcBorders>
                  <w:shd w:val="clear" w:color="auto" w:fill="auto"/>
                  <w:noWrap w:val="0"/>
                  <w:vAlign w:val="center"/>
                </w:tcPr>
                <w:p w14:paraId="1089E2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asciiTheme="minorEastAsia" w:hAnsiTheme="minorEastAsia"/>
                      <w:color w:val="000000" w:themeColor="text1"/>
                      <w:sz w:val="21"/>
                      <w:szCs w:val="21"/>
                      <w:highlight w:val="none"/>
                      <w:lang w:val="en-US" w:eastAsia="zh-CN"/>
                      <w14:textFill>
                        <w14:solidFill>
                          <w14:schemeClr w14:val="tx1"/>
                        </w14:solidFill>
                      </w14:textFill>
                    </w:rPr>
                    <w:t>颗粒物</w:t>
                  </w:r>
                </w:p>
              </w:tc>
              <w:tc>
                <w:tcPr>
                  <w:tcW w:w="1807" w:type="pct"/>
                  <w:tcBorders>
                    <w:tl2br w:val="nil"/>
                    <w:tr2bl w:val="nil"/>
                  </w:tcBorders>
                  <w:shd w:val="clear" w:color="auto" w:fill="auto"/>
                  <w:noWrap w:val="0"/>
                  <w:vAlign w:val="center"/>
                </w:tcPr>
                <w:p w14:paraId="7AD2914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制剂车间废气经</w:t>
                  </w:r>
                  <w:r>
                    <w:rPr>
                      <w:rFonts w:hint="eastAsia" w:eastAsia="宋体"/>
                      <w:color w:val="000000" w:themeColor="text1"/>
                      <w:sz w:val="21"/>
                      <w:szCs w:val="21"/>
                      <w:highlight w:val="none"/>
                      <w:lang w:val="en-US" w:eastAsia="zh-CN"/>
                      <w14:textFill>
                        <w14:solidFill>
                          <w14:schemeClr w14:val="tx1"/>
                        </w14:solidFill>
                      </w14:textFill>
                    </w:rPr>
                    <w:t>旋风除尘器+</w:t>
                  </w:r>
                  <w:r>
                    <w:rPr>
                      <w:rFonts w:hint="default"/>
                      <w:color w:val="000000" w:themeColor="text1"/>
                      <w:sz w:val="21"/>
                      <w:szCs w:val="21"/>
                      <w:highlight w:val="none"/>
                      <w14:textFill>
                        <w14:solidFill>
                          <w14:schemeClr w14:val="tx1"/>
                        </w14:solidFill>
                      </w14:textFill>
                    </w:rPr>
                    <w:t>布袋除尘器</w:t>
                  </w:r>
                  <w:r>
                    <w:rPr>
                      <w:rFonts w:hint="eastAsia" w:cs="Times New Roman"/>
                      <w:color w:val="000000" w:themeColor="text1"/>
                      <w:sz w:val="21"/>
                      <w:szCs w:val="21"/>
                      <w:highlight w:val="none"/>
                      <w:lang w:val="en-US" w:eastAsia="zh-CN"/>
                      <w14:textFill>
                        <w14:solidFill>
                          <w14:schemeClr w14:val="tx1"/>
                        </w14:solidFill>
                      </w14:textFill>
                    </w:rPr>
                    <w:t>处理后，由不低于15m</w:t>
                  </w:r>
                  <w:r>
                    <w:rPr>
                      <w:rFonts w:hint="default" w:ascii="Times New Roman" w:hAnsi="Times New Roman" w:eastAsia="宋体" w:cs="Times New Roman"/>
                      <w:color w:val="000000" w:themeColor="text1"/>
                      <w:sz w:val="21"/>
                      <w:szCs w:val="21"/>
                      <w:highlight w:val="none"/>
                      <w14:textFill>
                        <w14:solidFill>
                          <w14:schemeClr w14:val="tx1"/>
                        </w14:solidFill>
                      </w14:textFill>
                    </w:rPr>
                    <w:t>高排气筒排放（DA006~DA013）</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r>
            <w:tr w14:paraId="423379E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421" w:type="pct"/>
                  <w:vMerge w:val="continue"/>
                  <w:tcBorders>
                    <w:tl2br w:val="nil"/>
                    <w:tr2bl w:val="nil"/>
                  </w:tcBorders>
                  <w:noWrap w:val="0"/>
                  <w:vAlign w:val="center"/>
                </w:tcPr>
                <w:p w14:paraId="0B61B6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color w:val="000000" w:themeColor="text1"/>
                      <w:highlight w:val="none"/>
                      <w14:textFill>
                        <w14:solidFill>
                          <w14:schemeClr w14:val="tx1"/>
                        </w14:solidFill>
                      </w14:textFill>
                    </w:rPr>
                  </w:pPr>
                </w:p>
              </w:tc>
              <w:tc>
                <w:tcPr>
                  <w:tcW w:w="494" w:type="pct"/>
                  <w:vMerge w:val="continue"/>
                  <w:tcBorders>
                    <w:tl2br w:val="nil"/>
                    <w:tr2bl w:val="nil"/>
                  </w:tcBorders>
                  <w:noWrap w:val="0"/>
                  <w:vAlign w:val="center"/>
                </w:tcPr>
                <w:p w14:paraId="7320F1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color w:val="000000" w:themeColor="text1"/>
                      <w:highlight w:val="none"/>
                      <w14:textFill>
                        <w14:solidFill>
                          <w14:schemeClr w14:val="tx1"/>
                        </w14:solidFill>
                      </w14:textFill>
                    </w:rPr>
                  </w:pPr>
                </w:p>
              </w:tc>
              <w:tc>
                <w:tcPr>
                  <w:tcW w:w="1062" w:type="pct"/>
                  <w:vMerge w:val="continue"/>
                  <w:tcBorders>
                    <w:tl2br w:val="nil"/>
                    <w:tr2bl w:val="nil"/>
                  </w:tcBorders>
                  <w:shd w:val="clear" w:color="auto" w:fill="auto"/>
                  <w:noWrap w:val="0"/>
                  <w:vAlign w:val="center"/>
                </w:tcPr>
                <w:p w14:paraId="21DFE0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color w:val="000000" w:themeColor="text1"/>
                      <w:highlight w:val="none"/>
                      <w14:textFill>
                        <w14:solidFill>
                          <w14:schemeClr w14:val="tx1"/>
                        </w14:solidFill>
                      </w14:textFill>
                    </w:rPr>
                  </w:pPr>
                </w:p>
              </w:tc>
              <w:tc>
                <w:tcPr>
                  <w:tcW w:w="1213" w:type="pct"/>
                  <w:tcBorders>
                    <w:tl2br w:val="nil"/>
                    <w:tr2bl w:val="nil"/>
                  </w:tcBorders>
                  <w:shd w:val="clear" w:color="auto" w:fill="auto"/>
                  <w:noWrap w:val="0"/>
                  <w:vAlign w:val="center"/>
                </w:tcPr>
                <w:p w14:paraId="40878A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cs="Times New Roman" w:asciiTheme="minorEastAsia" w:hAnsiTheme="minorEastAsia"/>
                      <w:color w:val="000000" w:themeColor="text1"/>
                      <w:sz w:val="21"/>
                      <w:szCs w:val="21"/>
                      <w:highlight w:val="none"/>
                      <w:lang w:val="en-US" w:eastAsia="zh-CN"/>
                      <w14:textFill>
                        <w14:solidFill>
                          <w14:schemeClr w14:val="tx1"/>
                        </w14:solidFill>
                      </w14:textFill>
                    </w:rPr>
                  </w:pPr>
                  <w:r>
                    <w:rPr>
                      <w:rFonts w:hint="eastAsia" w:cs="Times New Roman" w:asciiTheme="minorEastAsia" w:hAnsiTheme="minorEastAsia"/>
                      <w:color w:val="000000" w:themeColor="text1"/>
                      <w:sz w:val="21"/>
                      <w:szCs w:val="21"/>
                      <w:highlight w:val="none"/>
                      <w:lang w:val="en-US" w:eastAsia="zh-CN"/>
                      <w14:textFill>
                        <w14:solidFill>
                          <w14:schemeClr w14:val="tx1"/>
                        </w14:solidFill>
                      </w14:textFill>
                    </w:rPr>
                    <w:t>非甲烷总体</w:t>
                  </w:r>
                </w:p>
              </w:tc>
              <w:tc>
                <w:tcPr>
                  <w:tcW w:w="1807" w:type="pct"/>
                  <w:tcBorders>
                    <w:tl2br w:val="nil"/>
                    <w:tr2bl w:val="nil"/>
                  </w:tcBorders>
                  <w:shd w:val="clear" w:color="auto" w:fill="auto"/>
                  <w:noWrap w:val="0"/>
                  <w:vAlign w:val="center"/>
                </w:tcPr>
                <w:p w14:paraId="264CEC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cs="Times New Roman" w:asciiTheme="minorEastAsia" w:hAnsiTheme="minorEastAsia"/>
                      <w:color w:val="000000" w:themeColor="text1"/>
                      <w:sz w:val="21"/>
                      <w:szCs w:val="21"/>
                      <w:highlight w:val="none"/>
                      <w:lang w:val="en-US" w:eastAsia="zh-CN"/>
                      <w14:textFill>
                        <w14:solidFill>
                          <w14:schemeClr w14:val="tx1"/>
                        </w14:solidFill>
                      </w14:textFill>
                    </w:rPr>
                  </w:pPr>
                  <w:r>
                    <w:rPr>
                      <w:rFonts w:hint="eastAsia" w:cs="Times New Roman" w:asciiTheme="minorEastAsia" w:hAnsiTheme="minorEastAsia"/>
                      <w:color w:val="000000" w:themeColor="text1"/>
                      <w:sz w:val="21"/>
                      <w:szCs w:val="21"/>
                      <w:highlight w:val="none"/>
                      <w:lang w:val="en-US" w:eastAsia="zh-CN"/>
                      <w14:textFill>
                        <w14:solidFill>
                          <w14:schemeClr w14:val="tx1"/>
                        </w14:solidFill>
                      </w14:textFill>
                    </w:rPr>
                    <w:t>泡罩包装和枕式包装产生微量非甲烷总烃，通过空调排放系统无组织排放。</w:t>
                  </w:r>
                </w:p>
              </w:tc>
            </w:tr>
            <w:tr w14:paraId="46680AD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tcBorders>
                    <w:tl2br w:val="nil"/>
                    <w:tr2bl w:val="nil"/>
                  </w:tcBorders>
                  <w:noWrap w:val="0"/>
                  <w:vAlign w:val="center"/>
                </w:tcPr>
                <w:p w14:paraId="00A471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废水</w:t>
                  </w:r>
                </w:p>
              </w:tc>
              <w:tc>
                <w:tcPr>
                  <w:tcW w:w="494" w:type="pct"/>
                  <w:tcBorders>
                    <w:tl2br w:val="nil"/>
                    <w:tr2bl w:val="nil"/>
                  </w:tcBorders>
                  <w:noWrap w:val="0"/>
                  <w:vAlign w:val="center"/>
                </w:tcPr>
                <w:p w14:paraId="4C64D3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w:t>
                  </w:r>
                </w:p>
              </w:tc>
              <w:tc>
                <w:tcPr>
                  <w:tcW w:w="1062" w:type="pct"/>
                  <w:tcBorders>
                    <w:tl2br w:val="nil"/>
                    <w:tr2bl w:val="nil"/>
                  </w:tcBorders>
                  <w:noWrap w:val="0"/>
                  <w:vAlign w:val="center"/>
                </w:tcPr>
                <w:p w14:paraId="2D27D8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提取</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废水</w:t>
                  </w:r>
                </w:p>
              </w:tc>
              <w:tc>
                <w:tcPr>
                  <w:tcW w:w="1213" w:type="pct"/>
                  <w:tcBorders>
                    <w:tl2br w:val="nil"/>
                    <w:tr2bl w:val="nil"/>
                  </w:tcBorders>
                  <w:noWrap w:val="0"/>
                  <w:vAlign w:val="center"/>
                </w:tcPr>
                <w:p w14:paraId="30A60C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pH值、动植物油、总有机碳</w:t>
                  </w:r>
                  <w:r>
                    <w:rPr>
                      <w:rFonts w:hint="eastAsia" w:eastAsia="宋体" w:cs="Times New Roman"/>
                      <w:color w:val="000000" w:themeColor="text1"/>
                      <w:sz w:val="21"/>
                      <w:szCs w:val="21"/>
                      <w:highlight w:val="none"/>
                      <w:lang w:val="en-US" w:eastAsia="zh-CN"/>
                      <w14:textFill>
                        <w14:solidFill>
                          <w14:schemeClr w14:val="tx1"/>
                        </w14:solidFill>
                      </w14:textFill>
                    </w:rPr>
                    <w:t>、色度、悬浮物、五日生化需氧量、化学需氧量、氨氮、总氮、总磷、总氰化物</w:t>
                  </w:r>
                </w:p>
              </w:tc>
              <w:tc>
                <w:tcPr>
                  <w:tcW w:w="1807" w:type="pct"/>
                  <w:tcBorders>
                    <w:tl2br w:val="nil"/>
                    <w:tr2bl w:val="nil"/>
                  </w:tcBorders>
                  <w:noWrap w:val="0"/>
                  <w:vAlign w:val="center"/>
                </w:tcPr>
                <w:p w14:paraId="450B35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kern w:val="0"/>
                      <w:sz w:val="21"/>
                      <w:szCs w:val="21"/>
                      <w:highlight w:val="none"/>
                      <w:u w:val="none"/>
                      <w:lang w:val="en-US" w:eastAsia="zh-CN"/>
                      <w14:textFill>
                        <w14:solidFill>
                          <w14:schemeClr w14:val="tx1"/>
                        </w14:solidFill>
                      </w14:textFill>
                    </w:rPr>
                  </w:pPr>
                  <w:r>
                    <w:rPr>
                      <w:rFonts w:hint="eastAsia" w:ascii="Times New Roman" w:hAnsi="Times New Roman" w:eastAsia="新宋体" w:cs="Times New Roman"/>
                      <w:color w:val="000000" w:themeColor="text1"/>
                      <w:sz w:val="21"/>
                      <w:szCs w:val="21"/>
                      <w:highlight w:val="none"/>
                      <w:lang w:eastAsia="zh-CN"/>
                      <w14:textFill>
                        <w14:solidFill>
                          <w14:schemeClr w14:val="tx1"/>
                        </w14:solidFill>
                      </w14:textFill>
                    </w:rPr>
                    <w:t>废水进入厂内污水处理站进行处理，处理达标后，排入厂区污水管网后排入高新区市政管网最终排入</w:t>
                  </w:r>
                  <w:r>
                    <w:rPr>
                      <w:rFonts w:hint="eastAsia" w:cs="Times New Roman"/>
                      <w:color w:val="000000" w:themeColor="text1"/>
                      <w:sz w:val="21"/>
                      <w:szCs w:val="21"/>
                      <w:highlight w:val="none"/>
                      <w:lang w:eastAsia="zh-CN"/>
                      <w14:textFill>
                        <w14:solidFill>
                          <w14:schemeClr w14:val="tx1"/>
                        </w14:solidFill>
                      </w14:textFill>
                    </w:rPr>
                    <w:t>石桥子污水处理厂</w:t>
                  </w:r>
                  <w:r>
                    <w:rPr>
                      <w:rFonts w:hint="eastAsia" w:ascii="Times New Roman" w:hAnsi="Times New Roman" w:eastAsia="新宋体" w:cs="Times New Roman"/>
                      <w:color w:val="000000" w:themeColor="text1"/>
                      <w:sz w:val="21"/>
                      <w:szCs w:val="21"/>
                      <w:highlight w:val="none"/>
                      <w:lang w:eastAsia="zh-CN"/>
                      <w14:textFill>
                        <w14:solidFill>
                          <w14:schemeClr w14:val="tx1"/>
                        </w14:solidFill>
                      </w14:textFill>
                    </w:rPr>
                    <w:t>。</w:t>
                  </w:r>
                </w:p>
              </w:tc>
            </w:tr>
            <w:tr w14:paraId="47917F8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restart"/>
                  <w:tcBorders>
                    <w:tl2br w:val="nil"/>
                    <w:tr2bl w:val="nil"/>
                  </w:tcBorders>
                  <w:noWrap w:val="0"/>
                  <w:vAlign w:val="center"/>
                </w:tcPr>
                <w:p w14:paraId="640DE5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固废</w:t>
                  </w:r>
                </w:p>
              </w:tc>
              <w:tc>
                <w:tcPr>
                  <w:tcW w:w="494" w:type="pct"/>
                  <w:vMerge w:val="restart"/>
                  <w:tcBorders>
                    <w:tl2br w:val="nil"/>
                    <w:tr2bl w:val="nil"/>
                  </w:tcBorders>
                  <w:shd w:val="clear" w:color="auto" w:fill="auto"/>
                  <w:noWrap w:val="0"/>
                  <w:vAlign w:val="center"/>
                </w:tcPr>
                <w:p w14:paraId="55C7AE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w:t>
                  </w:r>
                </w:p>
              </w:tc>
              <w:tc>
                <w:tcPr>
                  <w:tcW w:w="1062" w:type="pct"/>
                  <w:tcBorders>
                    <w:tl2br w:val="nil"/>
                    <w:tr2bl w:val="nil"/>
                  </w:tcBorders>
                  <w:shd w:val="clear" w:color="auto" w:fill="auto"/>
                  <w:noWrap w:val="0"/>
                  <w:vAlign w:val="center"/>
                </w:tcPr>
                <w:p w14:paraId="7676A0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提取工序</w:t>
                  </w:r>
                </w:p>
              </w:tc>
              <w:tc>
                <w:tcPr>
                  <w:tcW w:w="1213" w:type="pct"/>
                  <w:tcBorders>
                    <w:tl2br w:val="nil"/>
                    <w:tr2bl w:val="nil"/>
                  </w:tcBorders>
                  <w:noWrap w:val="0"/>
                  <w:vAlign w:val="center"/>
                </w:tcPr>
                <w:p w14:paraId="239EDB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eastAsia="宋体" w:cs="Times New Roman"/>
                      <w:color w:val="000000" w:themeColor="text1"/>
                      <w:kern w:val="2"/>
                      <w:sz w:val="21"/>
                      <w:szCs w:val="21"/>
                      <w:highlight w:val="none"/>
                      <w:lang w:val="en-US" w:eastAsia="zh-CN" w:bidi="ar-SA"/>
                      <w14:textFill>
                        <w14:solidFill>
                          <w14:schemeClr w14:val="tx1"/>
                        </w14:solidFill>
                      </w14:textFill>
                    </w:rPr>
                    <w:t>药渣</w:t>
                  </w:r>
                </w:p>
              </w:tc>
              <w:tc>
                <w:tcPr>
                  <w:tcW w:w="1807" w:type="pct"/>
                  <w:vMerge w:val="restart"/>
                  <w:tcBorders>
                    <w:tl2br w:val="nil"/>
                    <w:tr2bl w:val="nil"/>
                  </w:tcBorders>
                  <w:noWrap w:val="0"/>
                  <w:vAlign w:val="center"/>
                </w:tcPr>
                <w:p w14:paraId="29A1FB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集中收集后暂存于一般固废暂存区，交由有利用、处置能力的企业依法依规进行利用处置</w:t>
                  </w:r>
                  <w:r>
                    <w:rPr>
                      <w:rFonts w:hint="eastAsia" w:cs="Times New Roman"/>
                      <w:color w:val="000000" w:themeColor="text1"/>
                      <w:sz w:val="21"/>
                      <w:szCs w:val="21"/>
                      <w:highlight w:val="none"/>
                      <w:lang w:eastAsia="zh-CN"/>
                      <w14:textFill>
                        <w14:solidFill>
                          <w14:schemeClr w14:val="tx1"/>
                        </w14:solidFill>
                      </w14:textFill>
                    </w:rPr>
                    <w:t>。</w:t>
                  </w:r>
                </w:p>
              </w:tc>
            </w:tr>
            <w:tr w14:paraId="5D2A14C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35" w:hRule="atLeast"/>
                <w:jc w:val="center"/>
              </w:trPr>
              <w:tc>
                <w:tcPr>
                  <w:tcW w:w="421" w:type="pct"/>
                  <w:vMerge w:val="continue"/>
                  <w:tcBorders>
                    <w:tl2br w:val="nil"/>
                    <w:tr2bl w:val="nil"/>
                  </w:tcBorders>
                  <w:noWrap w:val="0"/>
                  <w:vAlign w:val="center"/>
                </w:tcPr>
                <w:p w14:paraId="7D7BB4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94" w:type="pct"/>
                  <w:vMerge w:val="continue"/>
                  <w:tcBorders>
                    <w:tl2br w:val="nil"/>
                    <w:tr2bl w:val="nil"/>
                  </w:tcBorders>
                  <w:shd w:val="clear" w:color="auto" w:fill="auto"/>
                  <w:noWrap w:val="0"/>
                  <w:vAlign w:val="center"/>
                </w:tcPr>
                <w:p w14:paraId="562034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062" w:type="pct"/>
                  <w:tcBorders>
                    <w:tl2br w:val="nil"/>
                    <w:tr2bl w:val="nil"/>
                  </w:tcBorders>
                  <w:shd w:val="clear" w:color="auto" w:fill="auto"/>
                  <w:noWrap w:val="0"/>
                  <w:vAlign w:val="center"/>
                </w:tcPr>
                <w:p w14:paraId="7673C7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制剂工序</w:t>
                  </w:r>
                </w:p>
              </w:tc>
              <w:tc>
                <w:tcPr>
                  <w:tcW w:w="1213" w:type="pct"/>
                  <w:tcBorders>
                    <w:tl2br w:val="nil"/>
                    <w:tr2bl w:val="nil"/>
                  </w:tcBorders>
                  <w:noWrap w:val="0"/>
                  <w:vAlign w:val="center"/>
                </w:tcPr>
                <w:p w14:paraId="0B53A6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废捕集袋、废胶囊材料、废包装材料</w:t>
                  </w:r>
                </w:p>
              </w:tc>
              <w:tc>
                <w:tcPr>
                  <w:tcW w:w="1807" w:type="pct"/>
                  <w:vMerge w:val="continue"/>
                  <w:tcBorders>
                    <w:tl2br w:val="nil"/>
                    <w:tr2bl w:val="nil"/>
                  </w:tcBorders>
                  <w:noWrap w:val="0"/>
                  <w:vAlign w:val="center"/>
                </w:tcPr>
                <w:p w14:paraId="229BC1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pPr>
                </w:p>
              </w:tc>
            </w:tr>
            <w:tr w14:paraId="52ABF27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Merge w:val="continue"/>
                  <w:tcBorders>
                    <w:tl2br w:val="nil"/>
                    <w:tr2bl w:val="nil"/>
                  </w:tcBorders>
                  <w:noWrap w:val="0"/>
                  <w:vAlign w:val="center"/>
                </w:tcPr>
                <w:p w14:paraId="680DAD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94" w:type="pct"/>
                  <w:vMerge w:val="continue"/>
                  <w:tcBorders>
                    <w:tl2br w:val="nil"/>
                    <w:tr2bl w:val="nil"/>
                  </w:tcBorders>
                  <w:shd w:val="clear" w:color="auto" w:fill="auto"/>
                  <w:noWrap w:val="0"/>
                  <w:vAlign w:val="center"/>
                </w:tcPr>
                <w:p w14:paraId="2582AA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062" w:type="pct"/>
                  <w:tcBorders>
                    <w:tl2br w:val="nil"/>
                    <w:tr2bl w:val="nil"/>
                  </w:tcBorders>
                  <w:shd w:val="clear" w:color="auto" w:fill="auto"/>
                  <w:noWrap w:val="0"/>
                  <w:vAlign w:val="center"/>
                </w:tcPr>
                <w:p w14:paraId="04171E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化学检验</w:t>
                  </w:r>
                </w:p>
              </w:tc>
              <w:tc>
                <w:tcPr>
                  <w:tcW w:w="1213" w:type="pct"/>
                  <w:tcBorders>
                    <w:tl2br w:val="nil"/>
                    <w:tr2bl w:val="nil"/>
                  </w:tcBorders>
                  <w:noWrap w:val="0"/>
                  <w:vAlign w:val="center"/>
                </w:tcPr>
                <w:p w14:paraId="72C9EB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化学检验废液</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cs="Times New Roman"/>
                      <w:b w:val="0"/>
                      <w:bCs w:val="0"/>
                      <w:color w:val="000000" w:themeColor="text1"/>
                      <w:sz w:val="21"/>
                      <w:szCs w:val="21"/>
                      <w:highlight w:val="none"/>
                      <w:lang w:eastAsia="zh-CN"/>
                      <w14:textFill>
                        <w14:solidFill>
                          <w14:schemeClr w14:val="tx1"/>
                        </w14:solidFill>
                      </w14:textFill>
                    </w:rPr>
                    <w:t>废化学试剂瓶</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、废弃薄层板</w:t>
                  </w:r>
                  <w:r>
                    <w:rPr>
                      <w:rFonts w:hint="default"/>
                      <w:color w:val="000000" w:themeColor="text1"/>
                      <w:highlight w:val="none"/>
                      <w14:textFill>
                        <w14:solidFill>
                          <w14:schemeClr w14:val="tx1"/>
                        </w14:solidFill>
                      </w14:textFill>
                    </w:rPr>
                    <w:t>、废试</w:t>
                  </w:r>
                  <w:r>
                    <w:rPr>
                      <w:rFonts w:hint="eastAsia"/>
                      <w:color w:val="000000" w:themeColor="text1"/>
                      <w:highlight w:val="none"/>
                      <w:lang w:val="en-US" w:eastAsia="zh-CN"/>
                      <w14:textFill>
                        <w14:solidFill>
                          <w14:schemeClr w14:val="tx1"/>
                        </w14:solidFill>
                      </w14:textFill>
                    </w:rPr>
                    <w:t>药</w:t>
                  </w:r>
                </w:p>
              </w:tc>
              <w:tc>
                <w:tcPr>
                  <w:tcW w:w="1807" w:type="pct"/>
                  <w:tcBorders>
                    <w:tl2br w:val="nil"/>
                    <w:tr2bl w:val="nil"/>
                  </w:tcBorders>
                  <w:noWrap w:val="0"/>
                  <w:vAlign w:val="center"/>
                </w:tcPr>
                <w:p w14:paraId="31BD3C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t>依托现有危废贮存</w:t>
                  </w:r>
                  <w:r>
                    <w:rPr>
                      <w:rFonts w:hint="eastAsia" w:eastAsia="宋体" w:cs="Times New Roman"/>
                      <w:color w:val="000000" w:themeColor="text1"/>
                      <w:sz w:val="21"/>
                      <w:szCs w:val="21"/>
                      <w:highlight w:val="none"/>
                      <w:u w:val="none"/>
                      <w:lang w:val="en-US" w:eastAsia="zh-CN"/>
                      <w14:textFill>
                        <w14:solidFill>
                          <w14:schemeClr w14:val="tx1"/>
                        </w14:solidFill>
                      </w14:textFill>
                    </w:rPr>
                    <w:t>库</w:t>
                  </w:r>
                  <w:r>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t>暂存，定期委托有资质单位处置。</w:t>
                  </w:r>
                </w:p>
              </w:tc>
            </w:tr>
            <w:tr w14:paraId="09A7A39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tcBorders>
                    <w:tl2br w:val="nil"/>
                    <w:tr2bl w:val="nil"/>
                  </w:tcBorders>
                  <w:noWrap w:val="0"/>
                  <w:vAlign w:val="center"/>
                </w:tcPr>
                <w:p w14:paraId="599AF6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噪声</w:t>
                  </w:r>
                </w:p>
              </w:tc>
              <w:tc>
                <w:tcPr>
                  <w:tcW w:w="494" w:type="pct"/>
                  <w:tcBorders>
                    <w:tl2br w:val="nil"/>
                    <w:tr2bl w:val="nil"/>
                  </w:tcBorders>
                  <w:noWrap w:val="0"/>
                  <w:vAlign w:val="center"/>
                </w:tcPr>
                <w:p w14:paraId="535113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N</w:t>
                  </w:r>
                </w:p>
              </w:tc>
              <w:tc>
                <w:tcPr>
                  <w:tcW w:w="2275" w:type="pct"/>
                  <w:gridSpan w:val="2"/>
                  <w:tcBorders>
                    <w:tl2br w:val="nil"/>
                    <w:tr2bl w:val="nil"/>
                  </w:tcBorders>
                  <w:noWrap w:val="0"/>
                  <w:vAlign w:val="center"/>
                </w:tcPr>
                <w:p w14:paraId="0445DD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各种设备运转噪声</w:t>
                  </w:r>
                </w:p>
              </w:tc>
              <w:tc>
                <w:tcPr>
                  <w:tcW w:w="1807" w:type="pct"/>
                  <w:tcBorders>
                    <w:tl2br w:val="nil"/>
                    <w:tr2bl w:val="nil"/>
                  </w:tcBorders>
                  <w:noWrap w:val="0"/>
                  <w:vAlign w:val="center"/>
                </w:tcPr>
                <w:p w14:paraId="5204F7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低噪声设备选型、基础减振、建筑隔声</w:t>
                  </w:r>
                </w:p>
              </w:tc>
            </w:tr>
          </w:tbl>
          <w:p w14:paraId="396BDC6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cs="Times New Roman"/>
                <w:color w:val="000000" w:themeColor="text1"/>
                <w:kern w:val="2"/>
                <w:sz w:val="24"/>
                <w:szCs w:val="24"/>
                <w:highlight w:val="none"/>
                <w:lang w:val="en-US" w:eastAsia="zh-CN" w:bidi="ar-SA"/>
                <w14:textFill>
                  <w14:solidFill>
                    <w14:schemeClr w14:val="tx1"/>
                  </w14:solidFill>
                </w14:textFill>
              </w:rPr>
            </w:pPr>
          </w:p>
          <w:p w14:paraId="0C0ECE3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cs="Times New Roman"/>
                <w:color w:val="000000" w:themeColor="text1"/>
                <w:kern w:val="2"/>
                <w:sz w:val="24"/>
                <w:szCs w:val="24"/>
                <w:highlight w:val="none"/>
                <w:lang w:val="en-US" w:eastAsia="zh-CN" w:bidi="ar-SA"/>
                <w14:textFill>
                  <w14:solidFill>
                    <w14:schemeClr w14:val="tx1"/>
                  </w14:solidFill>
                </w14:textFill>
              </w:rPr>
            </w:pPr>
          </w:p>
          <w:p w14:paraId="01623FB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cs="Times New Roman"/>
                <w:color w:val="000000" w:themeColor="text1"/>
                <w:kern w:val="2"/>
                <w:sz w:val="24"/>
                <w:szCs w:val="24"/>
                <w:highlight w:val="none"/>
                <w:lang w:val="en-US" w:eastAsia="zh-CN" w:bidi="ar-SA"/>
                <w14:textFill>
                  <w14:solidFill>
                    <w14:schemeClr w14:val="tx1"/>
                  </w14:solidFill>
                </w14:textFill>
              </w:rPr>
            </w:pPr>
          </w:p>
          <w:p w14:paraId="554638B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cs="Times New Roman"/>
                <w:color w:val="000000" w:themeColor="text1"/>
                <w:kern w:val="2"/>
                <w:sz w:val="24"/>
                <w:szCs w:val="24"/>
                <w:highlight w:val="none"/>
                <w:lang w:val="en-US" w:eastAsia="zh-CN" w:bidi="ar-SA"/>
                <w14:textFill>
                  <w14:solidFill>
                    <w14:schemeClr w14:val="tx1"/>
                  </w14:solidFill>
                </w14:textFill>
              </w:rPr>
            </w:pPr>
          </w:p>
          <w:p w14:paraId="27DE0E9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cs="Times New Roman"/>
                <w:color w:val="000000" w:themeColor="text1"/>
                <w:kern w:val="2"/>
                <w:sz w:val="24"/>
                <w:szCs w:val="24"/>
                <w:highlight w:val="none"/>
                <w:lang w:val="en-US" w:eastAsia="zh-CN" w:bidi="ar-SA"/>
                <w14:textFill>
                  <w14:solidFill>
                    <w14:schemeClr w14:val="tx1"/>
                  </w14:solidFill>
                </w14:textFill>
              </w:rPr>
            </w:pPr>
          </w:p>
          <w:p w14:paraId="383E4F8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cs="Times New Roman"/>
                <w:color w:val="000000" w:themeColor="text1"/>
                <w:kern w:val="2"/>
                <w:sz w:val="24"/>
                <w:szCs w:val="24"/>
                <w:highlight w:val="none"/>
                <w:lang w:val="en-US" w:eastAsia="zh-CN" w:bidi="ar-SA"/>
                <w14:textFill>
                  <w14:solidFill>
                    <w14:schemeClr w14:val="tx1"/>
                  </w14:solidFill>
                </w14:textFill>
              </w:rPr>
              <w:t>本次改扩建后，</w:t>
            </w:r>
            <w:r>
              <w:rPr>
                <w:rFonts w:hint="eastAsia" w:eastAsia="宋体" w:cs="Times New Roman"/>
                <w:color w:val="000000" w:themeColor="text1"/>
                <w:kern w:val="2"/>
                <w:sz w:val="24"/>
                <w:szCs w:val="24"/>
                <w:highlight w:val="none"/>
                <w:lang w:val="en-US" w:eastAsia="zh-CN" w:bidi="ar-SA"/>
                <w14:textFill>
                  <w14:solidFill>
                    <w14:schemeClr w14:val="tx1"/>
                  </w14:solidFill>
                </w14:textFill>
              </w:rPr>
              <w:t>全厂废气排气筒和治理措施设置情况如下表。</w:t>
            </w:r>
          </w:p>
          <w:p w14:paraId="34F5CF0B">
            <w:pPr>
              <w:keepNext w:val="0"/>
              <w:keepLines w:val="0"/>
              <w:pageBreakBefore w:val="0"/>
              <w:widowControl w:val="0"/>
              <w:numPr>
                <w:ilvl w:val="0"/>
                <w:numId w:val="5"/>
              </w:numPr>
              <w:suppressLineNumbers w:val="0"/>
              <w:kinsoku/>
              <w:wordWrap/>
              <w:overflowPunct/>
              <w:topLinePunct w:val="0"/>
              <w:autoSpaceDE/>
              <w:autoSpaceDN/>
              <w:bidi w:val="0"/>
              <w:adjustRightInd/>
              <w:snapToGrid w:val="0"/>
              <w:spacing w:before="157" w:beforeLines="50" w:beforeAutospacing="0" w:after="0" w:afterLines="0" w:afterAutospacing="0"/>
              <w:ind w:left="0" w:leftChars="0" w:right="0" w:rightChars="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 xml:space="preserve">  </w:t>
            </w:r>
            <w:r>
              <w:rPr>
                <w:rFonts w:hint="eastAsia"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全厂</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废气处理设施和排气筒设置情况表</w:t>
            </w:r>
          </w:p>
          <w:tbl>
            <w:tblPr>
              <w:tblStyle w:val="36"/>
              <w:tblW w:w="4993"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8"/>
              <w:gridCol w:w="1328"/>
              <w:gridCol w:w="1320"/>
              <w:gridCol w:w="1310"/>
              <w:gridCol w:w="3401"/>
            </w:tblGrid>
            <w:tr w14:paraId="2EC53A2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tcBorders>
                    <w:tl2br w:val="nil"/>
                    <w:tr2bl w:val="nil"/>
                  </w:tcBorders>
                  <w:noWrap w:val="0"/>
                  <w:vAlign w:val="center"/>
                </w:tcPr>
                <w:p w14:paraId="5920DE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序号</w:t>
                  </w:r>
                </w:p>
              </w:tc>
              <w:tc>
                <w:tcPr>
                  <w:tcW w:w="826" w:type="pct"/>
                  <w:tcBorders>
                    <w:tl2br w:val="nil"/>
                    <w:tr2bl w:val="nil"/>
                  </w:tcBorders>
                  <w:noWrap w:val="0"/>
                  <w:vAlign w:val="center"/>
                </w:tcPr>
                <w:p w14:paraId="50E5AA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排气筒名称</w:t>
                  </w:r>
                </w:p>
              </w:tc>
              <w:tc>
                <w:tcPr>
                  <w:tcW w:w="821" w:type="pct"/>
                  <w:tcBorders>
                    <w:tl2br w:val="nil"/>
                    <w:tr2bl w:val="nil"/>
                  </w:tcBorders>
                  <w:noWrap w:val="0"/>
                  <w:vAlign w:val="center"/>
                </w:tcPr>
                <w:p w14:paraId="0E3BD4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排气筒编号</w:t>
                  </w:r>
                </w:p>
              </w:tc>
              <w:tc>
                <w:tcPr>
                  <w:tcW w:w="814" w:type="pct"/>
                  <w:tcBorders>
                    <w:tl2br w:val="nil"/>
                    <w:tr2bl w:val="nil"/>
                  </w:tcBorders>
                  <w:noWrap w:val="0"/>
                  <w:vAlign w:val="center"/>
                </w:tcPr>
                <w:p w14:paraId="24B874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污染物</w:t>
                  </w:r>
                </w:p>
              </w:tc>
              <w:tc>
                <w:tcPr>
                  <w:tcW w:w="2115" w:type="pct"/>
                  <w:tcBorders>
                    <w:tl2br w:val="nil"/>
                    <w:tr2bl w:val="nil"/>
                  </w:tcBorders>
                  <w:noWrap w:val="0"/>
                  <w:vAlign w:val="center"/>
                </w:tcPr>
                <w:p w14:paraId="3CCFBA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废气治理设施</w:t>
                  </w:r>
                </w:p>
              </w:tc>
            </w:tr>
            <w:tr w14:paraId="7710EC1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21" w:type="pct"/>
                  <w:tcBorders>
                    <w:tl2br w:val="nil"/>
                    <w:tr2bl w:val="nil"/>
                  </w:tcBorders>
                  <w:noWrap w:val="0"/>
                  <w:vAlign w:val="center"/>
                </w:tcPr>
                <w:p w14:paraId="6C5E304E">
                  <w:pPr>
                    <w:pStyle w:val="63"/>
                    <w:keepNext w:val="0"/>
                    <w:keepLines w:val="0"/>
                    <w:pageBreakBefore w:val="0"/>
                    <w:widowControl w:val="0"/>
                    <w:numPr>
                      <w:ilvl w:val="0"/>
                      <w:numId w:val="1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826" w:type="pct"/>
                  <w:tcBorders>
                    <w:tl2br w:val="nil"/>
                    <w:tr2bl w:val="nil"/>
                  </w:tcBorders>
                  <w:noWrap w:val="0"/>
                  <w:vAlign w:val="center"/>
                </w:tcPr>
                <w:p w14:paraId="32D137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燃气锅炉烟气排放口</w:t>
                  </w:r>
                </w:p>
              </w:tc>
              <w:tc>
                <w:tcPr>
                  <w:tcW w:w="821" w:type="pct"/>
                  <w:tcBorders>
                    <w:tl2br w:val="nil"/>
                    <w:tr2bl w:val="nil"/>
                  </w:tcBorders>
                  <w:noWrap w:val="0"/>
                  <w:vAlign w:val="center"/>
                </w:tcPr>
                <w:p w14:paraId="27264B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DA00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c>
                <w:tcPr>
                  <w:tcW w:w="814" w:type="pct"/>
                  <w:tcBorders>
                    <w:tl2br w:val="nil"/>
                    <w:tr2bl w:val="nil"/>
                  </w:tcBorders>
                  <w:noWrap w:val="0"/>
                  <w:vAlign w:val="center"/>
                </w:tcPr>
                <w:p w14:paraId="65A946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颗粒物</w:t>
                  </w:r>
                  <w:r>
                    <w:rPr>
                      <w:rFonts w:hint="eastAsia"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二氧化硫</w:t>
                  </w:r>
                  <w:r>
                    <w:rPr>
                      <w:rFonts w:hint="eastAsia"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氮氧化物</w:t>
                  </w:r>
                  <w:r>
                    <w:rPr>
                      <w:rFonts w:hint="eastAsia"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烟气黑度</w:t>
                  </w:r>
                </w:p>
              </w:tc>
              <w:tc>
                <w:tcPr>
                  <w:tcW w:w="2115" w:type="pct"/>
                  <w:tcBorders>
                    <w:tl2br w:val="nil"/>
                    <w:tr2bl w:val="nil"/>
                  </w:tcBorders>
                  <w:noWrap w:val="0"/>
                  <w:vAlign w:val="center"/>
                </w:tcPr>
                <w:p w14:paraId="3530B8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10t/h燃气锅炉配备低氮燃烧器，6t/h和备用15t/h燃气锅炉不配备低氮燃烧器，锅炉废气</w:t>
                  </w:r>
                  <w:r>
                    <w:rPr>
                      <w:rFonts w:hint="default" w:ascii="Times New Roman" w:hAnsi="Times New Roman" w:eastAsia="宋体" w:cs="Times New Roman"/>
                      <w:color w:val="000000" w:themeColor="text1"/>
                      <w:sz w:val="21"/>
                      <w:szCs w:val="21"/>
                      <w:highlight w:val="none"/>
                      <w14:textFill>
                        <w14:solidFill>
                          <w14:schemeClr w14:val="tx1"/>
                        </w14:solidFill>
                      </w14:textFill>
                    </w:rPr>
                    <w:t>由</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highlight w:val="none"/>
                      <w14:textFill>
                        <w14:solidFill>
                          <w14:schemeClr w14:val="tx1"/>
                        </w14:solidFill>
                      </w14:textFill>
                    </w:rPr>
                    <w:t>根2</w:t>
                  </w:r>
                  <w:r>
                    <w:rPr>
                      <w:rFonts w:hint="eastAsia"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sz w:val="21"/>
                      <w:szCs w:val="21"/>
                      <w:highlight w:val="none"/>
                      <w14:textFill>
                        <w14:solidFill>
                          <w14:schemeClr w14:val="tx1"/>
                        </w14:solidFill>
                      </w14:textFill>
                    </w:rPr>
                    <w:t>高排气筒排放（DA00</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r>
            <w:tr w14:paraId="0B5D43B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21" w:type="pct"/>
                  <w:tcBorders>
                    <w:tl2br w:val="nil"/>
                    <w:tr2bl w:val="nil"/>
                  </w:tcBorders>
                  <w:noWrap w:val="0"/>
                  <w:vAlign w:val="center"/>
                </w:tcPr>
                <w:p w14:paraId="2D126A04">
                  <w:pPr>
                    <w:pStyle w:val="63"/>
                    <w:keepNext w:val="0"/>
                    <w:keepLines w:val="0"/>
                    <w:pageBreakBefore w:val="0"/>
                    <w:widowControl w:val="0"/>
                    <w:numPr>
                      <w:ilvl w:val="0"/>
                      <w:numId w:val="1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826" w:type="pct"/>
                  <w:tcBorders>
                    <w:tl2br w:val="nil"/>
                    <w:tr2bl w:val="nil"/>
                  </w:tcBorders>
                  <w:noWrap w:val="0"/>
                  <w:vAlign w:val="center"/>
                </w:tcPr>
                <w:p w14:paraId="66B874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前处理炮制废气排放口1</w:t>
                  </w:r>
                </w:p>
              </w:tc>
              <w:tc>
                <w:tcPr>
                  <w:tcW w:w="821" w:type="pct"/>
                  <w:tcBorders>
                    <w:tl2br w:val="nil"/>
                    <w:tr2bl w:val="nil"/>
                  </w:tcBorders>
                  <w:noWrap w:val="0"/>
                  <w:vAlign w:val="center"/>
                </w:tcPr>
                <w:p w14:paraId="4E11C2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DA00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w:t>
                  </w:r>
                </w:p>
              </w:tc>
              <w:tc>
                <w:tcPr>
                  <w:tcW w:w="814" w:type="pct"/>
                  <w:tcBorders>
                    <w:tl2br w:val="nil"/>
                    <w:tr2bl w:val="nil"/>
                  </w:tcBorders>
                  <w:noWrap w:val="0"/>
                  <w:vAlign w:val="center"/>
                </w:tcPr>
                <w:p w14:paraId="638372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2115" w:type="pct"/>
                  <w:tcBorders>
                    <w:tl2br w:val="nil"/>
                    <w:tr2bl w:val="nil"/>
                  </w:tcBorders>
                  <w:noWrap w:val="0"/>
                  <w:vAlign w:val="center"/>
                </w:tcPr>
                <w:p w14:paraId="51AE589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上吸式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集气罩+布袋除尘器（TA00</w:t>
                  </w:r>
                  <w:r>
                    <w:rPr>
                      <w:rFonts w:hint="eastAsia"/>
                      <w:color w:val="000000" w:themeColor="text1"/>
                      <w:sz w:val="21"/>
                      <w:szCs w:val="21"/>
                      <w:highlight w:val="none"/>
                      <w:lang w:val="en-US" w:eastAsia="zh-CN"/>
                      <w14:textFill>
                        <w14:solidFill>
                          <w14:schemeClr w14:val="tx1"/>
                        </w14:solidFill>
                      </w14:textFill>
                    </w:rPr>
                    <w:t>2</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）处理后由不低于15m</w:t>
                  </w:r>
                  <w:r>
                    <w:rPr>
                      <w:rFonts w:hint="eastAsia"/>
                      <w:color w:val="000000" w:themeColor="text1"/>
                      <w:sz w:val="21"/>
                      <w:szCs w:val="21"/>
                      <w:highlight w:val="none"/>
                      <w:lang w:val="en-US" w:eastAsia="zh-CN"/>
                      <w14:textFill>
                        <w14:solidFill>
                          <w14:schemeClr w14:val="tx1"/>
                        </w14:solidFill>
                      </w14:textFill>
                    </w:rPr>
                    <w:t>高</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的排气筒（DA0</w:t>
                  </w:r>
                  <w:r>
                    <w:rPr>
                      <w:rFonts w:hint="eastAsia"/>
                      <w:color w:val="000000" w:themeColor="text1"/>
                      <w:sz w:val="21"/>
                      <w:szCs w:val="21"/>
                      <w:highlight w:val="none"/>
                      <w:lang w:val="en-US" w:eastAsia="zh-CN"/>
                      <w14:textFill>
                        <w14:solidFill>
                          <w14:schemeClr w14:val="tx1"/>
                        </w14:solidFill>
                      </w14:textFill>
                    </w:rPr>
                    <w:t>02</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）排放</w:t>
                  </w:r>
                </w:p>
              </w:tc>
            </w:tr>
            <w:tr w14:paraId="3247B0E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21" w:type="pct"/>
                  <w:tcBorders>
                    <w:tl2br w:val="nil"/>
                    <w:tr2bl w:val="nil"/>
                  </w:tcBorders>
                  <w:noWrap w:val="0"/>
                  <w:vAlign w:val="center"/>
                </w:tcPr>
                <w:p w14:paraId="57588519">
                  <w:pPr>
                    <w:pStyle w:val="63"/>
                    <w:keepNext w:val="0"/>
                    <w:keepLines w:val="0"/>
                    <w:pageBreakBefore w:val="0"/>
                    <w:widowControl w:val="0"/>
                    <w:numPr>
                      <w:ilvl w:val="0"/>
                      <w:numId w:val="1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826" w:type="pct"/>
                  <w:tcBorders>
                    <w:tl2br w:val="nil"/>
                    <w:tr2bl w:val="nil"/>
                  </w:tcBorders>
                  <w:noWrap w:val="0"/>
                  <w:vAlign w:val="center"/>
                </w:tcPr>
                <w:p w14:paraId="1B86F9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化验室废气排放口</w:t>
                  </w:r>
                </w:p>
              </w:tc>
              <w:tc>
                <w:tcPr>
                  <w:tcW w:w="821" w:type="pct"/>
                  <w:tcBorders>
                    <w:tl2br w:val="nil"/>
                    <w:tr2bl w:val="nil"/>
                  </w:tcBorders>
                  <w:noWrap w:val="0"/>
                  <w:vAlign w:val="center"/>
                </w:tcPr>
                <w:p w14:paraId="42D49C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DA00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w:t>
                  </w:r>
                </w:p>
              </w:tc>
              <w:tc>
                <w:tcPr>
                  <w:tcW w:w="814" w:type="pct"/>
                  <w:tcBorders>
                    <w:tl2br w:val="nil"/>
                    <w:tr2bl w:val="nil"/>
                  </w:tcBorders>
                  <w:noWrap w:val="0"/>
                  <w:vAlign w:val="center"/>
                </w:tcPr>
                <w:p w14:paraId="391173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挥发性有机物</w:t>
                  </w:r>
                </w:p>
              </w:tc>
              <w:tc>
                <w:tcPr>
                  <w:tcW w:w="2115" w:type="pct"/>
                  <w:tcBorders>
                    <w:tl2br w:val="nil"/>
                    <w:tr2bl w:val="nil"/>
                  </w:tcBorders>
                  <w:noWrap w:val="0"/>
                  <w:vAlign w:val="center"/>
                </w:tcPr>
                <w:p w14:paraId="7C03BE2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化验室废气由1根28m</w:t>
                  </w:r>
                  <w:r>
                    <w:rPr>
                      <w:rFonts w:hint="default" w:ascii="Times New Roman" w:hAnsi="Times New Roman" w:eastAsia="宋体" w:cs="Times New Roman"/>
                      <w:color w:val="000000" w:themeColor="text1"/>
                      <w:sz w:val="21"/>
                      <w:szCs w:val="21"/>
                      <w:highlight w:val="none"/>
                      <w14:textFill>
                        <w14:solidFill>
                          <w14:schemeClr w14:val="tx1"/>
                        </w14:solidFill>
                      </w14:textFill>
                    </w:rPr>
                    <w:t>高排气筒排放（DA00</w:t>
                  </w:r>
                  <w:r>
                    <w:rPr>
                      <w:rFonts w:hint="eastAsia"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r>
            <w:tr w14:paraId="333F6D5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21" w:type="pct"/>
                  <w:tcBorders>
                    <w:tl2br w:val="nil"/>
                    <w:tr2bl w:val="nil"/>
                  </w:tcBorders>
                  <w:noWrap w:val="0"/>
                  <w:vAlign w:val="center"/>
                </w:tcPr>
                <w:p w14:paraId="43CFAF6D">
                  <w:pPr>
                    <w:pStyle w:val="63"/>
                    <w:keepNext w:val="0"/>
                    <w:keepLines w:val="0"/>
                    <w:pageBreakBefore w:val="0"/>
                    <w:widowControl w:val="0"/>
                    <w:numPr>
                      <w:ilvl w:val="0"/>
                      <w:numId w:val="1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826" w:type="pct"/>
                  <w:tcBorders>
                    <w:tl2br w:val="nil"/>
                    <w:tr2bl w:val="nil"/>
                  </w:tcBorders>
                  <w:noWrap w:val="0"/>
                  <w:vAlign w:val="center"/>
                </w:tcPr>
                <w:p w14:paraId="1BC130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废水处理站废气排放口</w:t>
                  </w:r>
                </w:p>
              </w:tc>
              <w:tc>
                <w:tcPr>
                  <w:tcW w:w="821" w:type="pct"/>
                  <w:tcBorders>
                    <w:tl2br w:val="nil"/>
                    <w:tr2bl w:val="nil"/>
                  </w:tcBorders>
                  <w:noWrap w:val="0"/>
                  <w:vAlign w:val="center"/>
                </w:tcPr>
                <w:p w14:paraId="762C35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DA00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4</w:t>
                  </w:r>
                </w:p>
              </w:tc>
              <w:tc>
                <w:tcPr>
                  <w:tcW w:w="814" w:type="pct"/>
                  <w:tcBorders>
                    <w:tl2br w:val="nil"/>
                    <w:tr2bl w:val="nil"/>
                  </w:tcBorders>
                  <w:noWrap w:val="0"/>
                  <w:vAlign w:val="center"/>
                </w:tcPr>
                <w:p w14:paraId="680B6E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氨</w:t>
                  </w:r>
                  <w:r>
                    <w:rPr>
                      <w:rFonts w:hint="eastAsia"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硫化氢</w:t>
                  </w:r>
                  <w:r>
                    <w:rPr>
                      <w:rFonts w:hint="eastAsia"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臭气浓度</w:t>
                  </w:r>
                  <w:r>
                    <w:rPr>
                      <w:rFonts w:hint="eastAsia"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非甲烷总烃</w:t>
                  </w:r>
                </w:p>
              </w:tc>
              <w:tc>
                <w:tcPr>
                  <w:tcW w:w="2115" w:type="pct"/>
                  <w:tcBorders>
                    <w:tl2br w:val="nil"/>
                    <w:tr2bl w:val="nil"/>
                  </w:tcBorders>
                  <w:noWrap w:val="0"/>
                  <w:vAlign w:val="center"/>
                </w:tcPr>
                <w:p w14:paraId="24EB6D7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废水处理站废气经废气治理设施（低温等离子设备）处理后，由1根30m</w:t>
                  </w:r>
                  <w:r>
                    <w:rPr>
                      <w:rFonts w:hint="default" w:ascii="Times New Roman" w:hAnsi="Times New Roman" w:eastAsia="宋体" w:cs="Times New Roman"/>
                      <w:color w:val="000000" w:themeColor="text1"/>
                      <w:sz w:val="21"/>
                      <w:szCs w:val="21"/>
                      <w:highlight w:val="none"/>
                      <w14:textFill>
                        <w14:solidFill>
                          <w14:schemeClr w14:val="tx1"/>
                        </w14:solidFill>
                      </w14:textFill>
                    </w:rPr>
                    <w:t>高排气筒排放（DA00</w:t>
                  </w:r>
                  <w:r>
                    <w:rPr>
                      <w:rFonts w:hint="eastAsia" w:cs="Times New Roman"/>
                      <w:color w:val="000000" w:themeColor="text1"/>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r>
            <w:tr w14:paraId="3794E35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21" w:type="pct"/>
                  <w:tcBorders>
                    <w:tl2br w:val="nil"/>
                    <w:tr2bl w:val="nil"/>
                  </w:tcBorders>
                  <w:noWrap w:val="0"/>
                  <w:vAlign w:val="center"/>
                </w:tcPr>
                <w:p w14:paraId="1A323202">
                  <w:pPr>
                    <w:pStyle w:val="63"/>
                    <w:keepNext w:val="0"/>
                    <w:keepLines w:val="0"/>
                    <w:pageBreakBefore w:val="0"/>
                    <w:widowControl w:val="0"/>
                    <w:numPr>
                      <w:ilvl w:val="0"/>
                      <w:numId w:val="1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826" w:type="pct"/>
                  <w:tcBorders>
                    <w:tl2br w:val="nil"/>
                    <w:tr2bl w:val="nil"/>
                  </w:tcBorders>
                  <w:noWrap w:val="0"/>
                  <w:vAlign w:val="center"/>
                </w:tcPr>
                <w:p w14:paraId="20405C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创新制剂</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废气排放口</w:t>
                  </w:r>
                </w:p>
              </w:tc>
              <w:tc>
                <w:tcPr>
                  <w:tcW w:w="821" w:type="pct"/>
                  <w:tcBorders>
                    <w:tl2br w:val="nil"/>
                    <w:tr2bl w:val="nil"/>
                  </w:tcBorders>
                  <w:noWrap w:val="0"/>
                  <w:vAlign w:val="center"/>
                </w:tcPr>
                <w:p w14:paraId="622A6C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DA00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814" w:type="pct"/>
                  <w:tcBorders>
                    <w:tl2br w:val="nil"/>
                    <w:tr2bl w:val="nil"/>
                  </w:tcBorders>
                  <w:noWrap w:val="0"/>
                  <w:vAlign w:val="center"/>
                </w:tcPr>
                <w:p w14:paraId="4250F5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2115" w:type="pct"/>
                  <w:tcBorders>
                    <w:tl2br w:val="nil"/>
                    <w:tr2bl w:val="nil"/>
                  </w:tcBorders>
                  <w:noWrap w:val="0"/>
                  <w:vAlign w:val="center"/>
                </w:tcPr>
                <w:p w14:paraId="09D9706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olor w:val="000000" w:themeColor="text1"/>
                      <w:sz w:val="21"/>
                      <w:szCs w:val="21"/>
                      <w:highlight w:val="none"/>
                      <w:lang w:val="en-US" w:eastAsia="zh-CN"/>
                      <w14:textFill>
                        <w14:solidFill>
                          <w14:schemeClr w14:val="tx1"/>
                        </w14:solidFill>
                      </w14:textFill>
                    </w:rPr>
                    <w:t>密闭结构+负压进料+出口密闭管道连接+</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呼吸口处捕集袋除尘+</w:t>
                  </w:r>
                  <w:r>
                    <w:rPr>
                      <w:rFonts w:hint="eastAsia" w:eastAsia="宋体"/>
                      <w:color w:val="000000" w:themeColor="text1"/>
                      <w:sz w:val="21"/>
                      <w:szCs w:val="21"/>
                      <w:highlight w:val="none"/>
                      <w:lang w:val="en-US" w:eastAsia="zh-CN"/>
                      <w14:textFill>
                        <w14:solidFill>
                          <w14:schemeClr w14:val="tx1"/>
                        </w14:solidFill>
                      </w14:textFill>
                    </w:rPr>
                    <w:t>旋风</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除尘器（TA0</w:t>
                  </w:r>
                  <w:r>
                    <w:rPr>
                      <w:rFonts w:hint="eastAsia"/>
                      <w:color w:val="000000" w:themeColor="text1"/>
                      <w:sz w:val="21"/>
                      <w:szCs w:val="21"/>
                      <w:highlight w:val="none"/>
                      <w:lang w:val="en-US" w:eastAsia="zh-CN"/>
                      <w14:textFill>
                        <w14:solidFill>
                          <w14:schemeClr w14:val="tx1"/>
                        </w14:solidFill>
                      </w14:textFill>
                    </w:rPr>
                    <w:t>27</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）处理后由不低于15m高的排气筒（DA00</w:t>
                  </w:r>
                  <w:r>
                    <w:rPr>
                      <w:rFonts w:hint="eastAsia"/>
                      <w:color w:val="000000" w:themeColor="text1"/>
                      <w:sz w:val="21"/>
                      <w:szCs w:val="21"/>
                      <w:highlight w:val="none"/>
                      <w:lang w:val="en-US" w:eastAsia="zh-CN"/>
                      <w14:textFill>
                        <w14:solidFill>
                          <w14:schemeClr w14:val="tx1"/>
                        </w14:solidFill>
                      </w14:textFill>
                    </w:rPr>
                    <w:t>5</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）排放</w:t>
                  </w:r>
                </w:p>
              </w:tc>
            </w:tr>
            <w:tr w14:paraId="4BB1FA3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21" w:type="pct"/>
                  <w:tcBorders>
                    <w:tl2br w:val="nil"/>
                    <w:tr2bl w:val="nil"/>
                  </w:tcBorders>
                  <w:noWrap w:val="0"/>
                  <w:vAlign w:val="center"/>
                </w:tcPr>
                <w:p w14:paraId="10335199">
                  <w:pPr>
                    <w:pStyle w:val="63"/>
                    <w:keepNext w:val="0"/>
                    <w:keepLines w:val="0"/>
                    <w:pageBreakBefore w:val="0"/>
                    <w:widowControl w:val="0"/>
                    <w:numPr>
                      <w:ilvl w:val="0"/>
                      <w:numId w:val="1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826" w:type="pct"/>
                  <w:tcBorders>
                    <w:tl2br w:val="nil"/>
                    <w:tr2bl w:val="nil"/>
                  </w:tcBorders>
                  <w:shd w:val="clear" w:color="auto" w:fill="auto"/>
                  <w:noWrap w:val="0"/>
                  <w:vAlign w:val="center"/>
                </w:tcPr>
                <w:p w14:paraId="5751BB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1</w:t>
                  </w:r>
                </w:p>
              </w:tc>
              <w:tc>
                <w:tcPr>
                  <w:tcW w:w="821" w:type="pct"/>
                  <w:tcBorders>
                    <w:tl2br w:val="nil"/>
                    <w:tr2bl w:val="nil"/>
                  </w:tcBorders>
                  <w:shd w:val="clear" w:color="auto" w:fill="auto"/>
                  <w:noWrap w:val="0"/>
                  <w:vAlign w:val="center"/>
                </w:tcPr>
                <w:p w14:paraId="705150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DA00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6</w:t>
                  </w:r>
                </w:p>
              </w:tc>
              <w:tc>
                <w:tcPr>
                  <w:tcW w:w="814" w:type="pct"/>
                  <w:tcBorders>
                    <w:tl2br w:val="nil"/>
                    <w:tr2bl w:val="nil"/>
                  </w:tcBorders>
                  <w:noWrap w:val="0"/>
                  <w:vAlign w:val="center"/>
                </w:tcPr>
                <w:p w14:paraId="5B4596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2115" w:type="pct"/>
                  <w:tcBorders>
                    <w:tl2br w:val="nil"/>
                    <w:tr2bl w:val="nil"/>
                  </w:tcBorders>
                  <w:noWrap w:val="0"/>
                  <w:vAlign w:val="center"/>
                </w:tcPr>
                <w:p w14:paraId="3B7FB52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制剂车间废气经</w:t>
                  </w:r>
                  <w:r>
                    <w:rPr>
                      <w:rFonts w:hint="eastAsia" w:eastAsia="宋体"/>
                      <w:color w:val="000000" w:themeColor="text1"/>
                      <w:sz w:val="21"/>
                      <w:szCs w:val="21"/>
                      <w:highlight w:val="none"/>
                      <w:lang w:val="en-US" w:eastAsia="zh-CN"/>
                      <w14:textFill>
                        <w14:solidFill>
                          <w14:schemeClr w14:val="tx1"/>
                        </w14:solidFill>
                      </w14:textFill>
                    </w:rPr>
                    <w:t>旋风除尘器+</w:t>
                  </w:r>
                  <w:r>
                    <w:rPr>
                      <w:rFonts w:hint="default"/>
                      <w:color w:val="000000" w:themeColor="text1"/>
                      <w:sz w:val="21"/>
                      <w:szCs w:val="21"/>
                      <w:highlight w:val="none"/>
                      <w14:textFill>
                        <w14:solidFill>
                          <w14:schemeClr w14:val="tx1"/>
                        </w14:solidFill>
                      </w14:textFill>
                    </w:rPr>
                    <w:t>布袋除尘器</w:t>
                  </w:r>
                  <w:r>
                    <w:rPr>
                      <w:rFonts w:hint="eastAsia" w:cs="Times New Roman"/>
                      <w:color w:val="000000" w:themeColor="text1"/>
                      <w:sz w:val="21"/>
                      <w:szCs w:val="21"/>
                      <w:highlight w:val="none"/>
                      <w:lang w:val="en-US" w:eastAsia="zh-CN"/>
                      <w14:textFill>
                        <w14:solidFill>
                          <w14:schemeClr w14:val="tx1"/>
                        </w14:solidFill>
                      </w14:textFill>
                    </w:rPr>
                    <w:t>处理后，由1根15m</w:t>
                  </w:r>
                  <w:r>
                    <w:rPr>
                      <w:rFonts w:hint="default" w:ascii="Times New Roman" w:hAnsi="Times New Roman" w:eastAsia="宋体" w:cs="Times New Roman"/>
                      <w:color w:val="000000" w:themeColor="text1"/>
                      <w:sz w:val="21"/>
                      <w:szCs w:val="21"/>
                      <w:highlight w:val="none"/>
                      <w14:textFill>
                        <w14:solidFill>
                          <w14:schemeClr w14:val="tx1"/>
                        </w14:solidFill>
                      </w14:textFill>
                    </w:rPr>
                    <w:t>高排气筒排放（DA00</w:t>
                  </w:r>
                  <w:r>
                    <w:rPr>
                      <w:rFonts w:hint="eastAsia" w:cs="Times New Roman"/>
                      <w:color w:val="000000" w:themeColor="text1"/>
                      <w:sz w:val="21"/>
                      <w:szCs w:val="21"/>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r>
            <w:tr w14:paraId="63BDF13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21" w:type="pct"/>
                  <w:tcBorders>
                    <w:tl2br w:val="nil"/>
                    <w:tr2bl w:val="nil"/>
                  </w:tcBorders>
                  <w:noWrap w:val="0"/>
                  <w:vAlign w:val="center"/>
                </w:tcPr>
                <w:p w14:paraId="2C7B51D8">
                  <w:pPr>
                    <w:pStyle w:val="63"/>
                    <w:keepNext w:val="0"/>
                    <w:keepLines w:val="0"/>
                    <w:pageBreakBefore w:val="0"/>
                    <w:widowControl w:val="0"/>
                    <w:numPr>
                      <w:ilvl w:val="0"/>
                      <w:numId w:val="1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826" w:type="pct"/>
                  <w:tcBorders>
                    <w:tl2br w:val="nil"/>
                    <w:tr2bl w:val="nil"/>
                  </w:tcBorders>
                  <w:noWrap w:val="0"/>
                  <w:vAlign w:val="center"/>
                </w:tcPr>
                <w:p w14:paraId="2EB443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2</w:t>
                  </w:r>
                </w:p>
              </w:tc>
              <w:tc>
                <w:tcPr>
                  <w:tcW w:w="821" w:type="pct"/>
                  <w:tcBorders>
                    <w:tl2br w:val="nil"/>
                    <w:tr2bl w:val="nil"/>
                  </w:tcBorders>
                  <w:noWrap w:val="0"/>
                  <w:vAlign w:val="center"/>
                </w:tcPr>
                <w:p w14:paraId="121552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DA00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7</w:t>
                  </w:r>
                </w:p>
              </w:tc>
              <w:tc>
                <w:tcPr>
                  <w:tcW w:w="814" w:type="pct"/>
                  <w:tcBorders>
                    <w:tl2br w:val="nil"/>
                    <w:tr2bl w:val="nil"/>
                  </w:tcBorders>
                  <w:noWrap w:val="0"/>
                  <w:vAlign w:val="center"/>
                </w:tcPr>
                <w:p w14:paraId="3963FF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2115" w:type="pct"/>
                  <w:tcBorders>
                    <w:tl2br w:val="nil"/>
                    <w:tr2bl w:val="nil"/>
                  </w:tcBorders>
                  <w:noWrap w:val="0"/>
                  <w:vAlign w:val="center"/>
                </w:tcPr>
                <w:p w14:paraId="6F3F3A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制剂车间废气经</w:t>
                  </w:r>
                  <w:r>
                    <w:rPr>
                      <w:rFonts w:hint="eastAsia" w:eastAsia="宋体"/>
                      <w:color w:val="000000" w:themeColor="text1"/>
                      <w:sz w:val="21"/>
                      <w:szCs w:val="21"/>
                      <w:highlight w:val="none"/>
                      <w:lang w:val="en-US" w:eastAsia="zh-CN"/>
                      <w14:textFill>
                        <w14:solidFill>
                          <w14:schemeClr w14:val="tx1"/>
                        </w14:solidFill>
                      </w14:textFill>
                    </w:rPr>
                    <w:t>旋风除尘器+</w:t>
                  </w:r>
                  <w:r>
                    <w:rPr>
                      <w:rFonts w:hint="default"/>
                      <w:color w:val="000000" w:themeColor="text1"/>
                      <w:sz w:val="21"/>
                      <w:szCs w:val="21"/>
                      <w:highlight w:val="none"/>
                      <w14:textFill>
                        <w14:solidFill>
                          <w14:schemeClr w14:val="tx1"/>
                        </w14:solidFill>
                      </w14:textFill>
                    </w:rPr>
                    <w:t>布袋除尘器</w:t>
                  </w:r>
                  <w:r>
                    <w:rPr>
                      <w:rFonts w:hint="eastAsia" w:cs="Times New Roman"/>
                      <w:color w:val="000000" w:themeColor="text1"/>
                      <w:sz w:val="21"/>
                      <w:szCs w:val="21"/>
                      <w:highlight w:val="none"/>
                      <w:lang w:val="en-US" w:eastAsia="zh-CN"/>
                      <w14:textFill>
                        <w14:solidFill>
                          <w14:schemeClr w14:val="tx1"/>
                        </w14:solidFill>
                      </w14:textFill>
                    </w:rPr>
                    <w:t>处理后，由1根15m</w:t>
                  </w:r>
                  <w:r>
                    <w:rPr>
                      <w:rFonts w:hint="default" w:ascii="Times New Roman" w:hAnsi="Times New Roman" w:eastAsia="宋体" w:cs="Times New Roman"/>
                      <w:color w:val="000000" w:themeColor="text1"/>
                      <w:sz w:val="21"/>
                      <w:szCs w:val="21"/>
                      <w:highlight w:val="none"/>
                      <w14:textFill>
                        <w14:solidFill>
                          <w14:schemeClr w14:val="tx1"/>
                        </w14:solidFill>
                      </w14:textFill>
                    </w:rPr>
                    <w:t>高排气筒排放（DA00</w:t>
                  </w:r>
                  <w:r>
                    <w:rPr>
                      <w:rFonts w:hint="eastAsia" w:cs="Times New Roman"/>
                      <w:color w:val="000000" w:themeColor="text1"/>
                      <w:sz w:val="21"/>
                      <w:szCs w:val="21"/>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r>
            <w:tr w14:paraId="18FCA82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21" w:type="pct"/>
                  <w:tcBorders>
                    <w:tl2br w:val="nil"/>
                    <w:tr2bl w:val="nil"/>
                  </w:tcBorders>
                  <w:noWrap w:val="0"/>
                  <w:vAlign w:val="center"/>
                </w:tcPr>
                <w:p w14:paraId="73E070BB">
                  <w:pPr>
                    <w:pStyle w:val="63"/>
                    <w:keepNext w:val="0"/>
                    <w:keepLines w:val="0"/>
                    <w:pageBreakBefore w:val="0"/>
                    <w:widowControl w:val="0"/>
                    <w:numPr>
                      <w:ilvl w:val="0"/>
                      <w:numId w:val="1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826" w:type="pct"/>
                  <w:tcBorders>
                    <w:tl2br w:val="nil"/>
                    <w:tr2bl w:val="nil"/>
                  </w:tcBorders>
                  <w:noWrap w:val="0"/>
                  <w:vAlign w:val="center"/>
                </w:tcPr>
                <w:p w14:paraId="1C90A4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3</w:t>
                  </w:r>
                </w:p>
              </w:tc>
              <w:tc>
                <w:tcPr>
                  <w:tcW w:w="821" w:type="pct"/>
                  <w:tcBorders>
                    <w:tl2br w:val="nil"/>
                    <w:tr2bl w:val="nil"/>
                  </w:tcBorders>
                  <w:noWrap w:val="0"/>
                  <w:vAlign w:val="center"/>
                </w:tcPr>
                <w:p w14:paraId="1D6EE4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DA00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8</w:t>
                  </w:r>
                </w:p>
              </w:tc>
              <w:tc>
                <w:tcPr>
                  <w:tcW w:w="814" w:type="pct"/>
                  <w:tcBorders>
                    <w:tl2br w:val="nil"/>
                    <w:tr2bl w:val="nil"/>
                  </w:tcBorders>
                  <w:noWrap w:val="0"/>
                  <w:vAlign w:val="center"/>
                </w:tcPr>
                <w:p w14:paraId="67ED07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2115" w:type="pct"/>
                  <w:tcBorders>
                    <w:tl2br w:val="nil"/>
                    <w:tr2bl w:val="nil"/>
                  </w:tcBorders>
                  <w:noWrap w:val="0"/>
                  <w:vAlign w:val="center"/>
                </w:tcPr>
                <w:p w14:paraId="2887FE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制剂车间废气经</w:t>
                  </w:r>
                  <w:r>
                    <w:rPr>
                      <w:rFonts w:hint="eastAsia" w:eastAsia="宋体"/>
                      <w:color w:val="000000" w:themeColor="text1"/>
                      <w:sz w:val="21"/>
                      <w:szCs w:val="21"/>
                      <w:highlight w:val="none"/>
                      <w:lang w:val="en-US" w:eastAsia="zh-CN"/>
                      <w14:textFill>
                        <w14:solidFill>
                          <w14:schemeClr w14:val="tx1"/>
                        </w14:solidFill>
                      </w14:textFill>
                    </w:rPr>
                    <w:t>旋风除尘器+</w:t>
                  </w:r>
                  <w:r>
                    <w:rPr>
                      <w:rFonts w:hint="default"/>
                      <w:color w:val="000000" w:themeColor="text1"/>
                      <w:sz w:val="21"/>
                      <w:szCs w:val="21"/>
                      <w:highlight w:val="none"/>
                      <w14:textFill>
                        <w14:solidFill>
                          <w14:schemeClr w14:val="tx1"/>
                        </w14:solidFill>
                      </w14:textFill>
                    </w:rPr>
                    <w:t>布袋除尘器</w:t>
                  </w:r>
                  <w:r>
                    <w:rPr>
                      <w:rFonts w:hint="eastAsia" w:cs="Times New Roman"/>
                      <w:color w:val="000000" w:themeColor="text1"/>
                      <w:sz w:val="21"/>
                      <w:szCs w:val="21"/>
                      <w:highlight w:val="none"/>
                      <w:lang w:val="en-US" w:eastAsia="zh-CN"/>
                      <w14:textFill>
                        <w14:solidFill>
                          <w14:schemeClr w14:val="tx1"/>
                        </w14:solidFill>
                      </w14:textFill>
                    </w:rPr>
                    <w:t>处理后，由1根15m</w:t>
                  </w:r>
                  <w:r>
                    <w:rPr>
                      <w:rFonts w:hint="default" w:ascii="Times New Roman" w:hAnsi="Times New Roman" w:eastAsia="宋体" w:cs="Times New Roman"/>
                      <w:color w:val="000000" w:themeColor="text1"/>
                      <w:sz w:val="21"/>
                      <w:szCs w:val="21"/>
                      <w:highlight w:val="none"/>
                      <w14:textFill>
                        <w14:solidFill>
                          <w14:schemeClr w14:val="tx1"/>
                        </w14:solidFill>
                      </w14:textFill>
                    </w:rPr>
                    <w:t>高排气筒排放（DA00</w:t>
                  </w:r>
                  <w:r>
                    <w:rPr>
                      <w:rFonts w:hint="eastAsia" w:cs="Times New Roman"/>
                      <w:color w:val="000000" w:themeColor="text1"/>
                      <w:sz w:val="21"/>
                      <w:szCs w:val="21"/>
                      <w:highlight w:val="none"/>
                      <w:lang w:val="en-US" w:eastAsia="zh-CN"/>
                      <w14:textFill>
                        <w14:solidFill>
                          <w14:schemeClr w14:val="tx1"/>
                        </w14:solidFill>
                      </w14:textFill>
                    </w:rPr>
                    <w:t>8</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r>
            <w:tr w14:paraId="600CF0E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21" w:type="pct"/>
                  <w:tcBorders>
                    <w:tl2br w:val="nil"/>
                    <w:tr2bl w:val="nil"/>
                  </w:tcBorders>
                  <w:noWrap w:val="0"/>
                  <w:vAlign w:val="center"/>
                </w:tcPr>
                <w:p w14:paraId="73CF93F6">
                  <w:pPr>
                    <w:pStyle w:val="63"/>
                    <w:keepNext w:val="0"/>
                    <w:keepLines w:val="0"/>
                    <w:pageBreakBefore w:val="0"/>
                    <w:widowControl w:val="0"/>
                    <w:numPr>
                      <w:ilvl w:val="0"/>
                      <w:numId w:val="1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826" w:type="pct"/>
                  <w:tcBorders>
                    <w:tl2br w:val="nil"/>
                    <w:tr2bl w:val="nil"/>
                  </w:tcBorders>
                  <w:noWrap w:val="0"/>
                  <w:vAlign w:val="center"/>
                </w:tcPr>
                <w:p w14:paraId="36FBA7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4</w:t>
                  </w:r>
                </w:p>
              </w:tc>
              <w:tc>
                <w:tcPr>
                  <w:tcW w:w="821" w:type="pct"/>
                  <w:tcBorders>
                    <w:tl2br w:val="nil"/>
                    <w:tr2bl w:val="nil"/>
                  </w:tcBorders>
                  <w:noWrap w:val="0"/>
                  <w:vAlign w:val="center"/>
                </w:tcPr>
                <w:p w14:paraId="503677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DA00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9</w:t>
                  </w:r>
                </w:p>
              </w:tc>
              <w:tc>
                <w:tcPr>
                  <w:tcW w:w="814" w:type="pct"/>
                  <w:tcBorders>
                    <w:tl2br w:val="nil"/>
                    <w:tr2bl w:val="nil"/>
                  </w:tcBorders>
                  <w:noWrap w:val="0"/>
                  <w:vAlign w:val="center"/>
                </w:tcPr>
                <w:p w14:paraId="1E9AC6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2115" w:type="pct"/>
                  <w:tcBorders>
                    <w:tl2br w:val="nil"/>
                    <w:tr2bl w:val="nil"/>
                  </w:tcBorders>
                  <w:noWrap w:val="0"/>
                  <w:vAlign w:val="center"/>
                </w:tcPr>
                <w:p w14:paraId="5E8729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制剂车间废气经</w:t>
                  </w:r>
                  <w:r>
                    <w:rPr>
                      <w:rFonts w:hint="eastAsia" w:eastAsia="宋体"/>
                      <w:color w:val="000000" w:themeColor="text1"/>
                      <w:sz w:val="21"/>
                      <w:szCs w:val="21"/>
                      <w:highlight w:val="none"/>
                      <w:lang w:val="en-US" w:eastAsia="zh-CN"/>
                      <w14:textFill>
                        <w14:solidFill>
                          <w14:schemeClr w14:val="tx1"/>
                        </w14:solidFill>
                      </w14:textFill>
                    </w:rPr>
                    <w:t>旋风除尘器+</w:t>
                  </w:r>
                  <w:r>
                    <w:rPr>
                      <w:rFonts w:hint="default"/>
                      <w:color w:val="000000" w:themeColor="text1"/>
                      <w:sz w:val="21"/>
                      <w:szCs w:val="21"/>
                      <w:highlight w:val="none"/>
                      <w14:textFill>
                        <w14:solidFill>
                          <w14:schemeClr w14:val="tx1"/>
                        </w14:solidFill>
                      </w14:textFill>
                    </w:rPr>
                    <w:t>布袋除尘器</w:t>
                  </w:r>
                  <w:r>
                    <w:rPr>
                      <w:rFonts w:hint="eastAsia" w:cs="Times New Roman"/>
                      <w:color w:val="000000" w:themeColor="text1"/>
                      <w:sz w:val="21"/>
                      <w:szCs w:val="21"/>
                      <w:highlight w:val="none"/>
                      <w:lang w:val="en-US" w:eastAsia="zh-CN"/>
                      <w14:textFill>
                        <w14:solidFill>
                          <w14:schemeClr w14:val="tx1"/>
                        </w14:solidFill>
                      </w14:textFill>
                    </w:rPr>
                    <w:t>处理后，由1根15m</w:t>
                  </w:r>
                  <w:r>
                    <w:rPr>
                      <w:rFonts w:hint="default" w:ascii="Times New Roman" w:hAnsi="Times New Roman" w:eastAsia="宋体" w:cs="Times New Roman"/>
                      <w:color w:val="000000" w:themeColor="text1"/>
                      <w:sz w:val="21"/>
                      <w:szCs w:val="21"/>
                      <w:highlight w:val="none"/>
                      <w14:textFill>
                        <w14:solidFill>
                          <w14:schemeClr w14:val="tx1"/>
                        </w14:solidFill>
                      </w14:textFill>
                    </w:rPr>
                    <w:t>高排气筒排放（DA00</w:t>
                  </w:r>
                  <w:r>
                    <w:rPr>
                      <w:rFonts w:hint="eastAsia" w:cs="Times New Roman"/>
                      <w:color w:val="000000" w:themeColor="text1"/>
                      <w:sz w:val="21"/>
                      <w:szCs w:val="21"/>
                      <w:highlight w:val="none"/>
                      <w:lang w:val="en-US" w:eastAsia="zh-CN"/>
                      <w14:textFill>
                        <w14:solidFill>
                          <w14:schemeClr w14:val="tx1"/>
                        </w14:solidFill>
                      </w14:textFill>
                    </w:rPr>
                    <w:t>9</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r>
            <w:tr w14:paraId="460498A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21" w:type="pct"/>
                  <w:tcBorders>
                    <w:tl2br w:val="nil"/>
                    <w:tr2bl w:val="nil"/>
                  </w:tcBorders>
                  <w:noWrap w:val="0"/>
                  <w:vAlign w:val="center"/>
                </w:tcPr>
                <w:p w14:paraId="6C31C424">
                  <w:pPr>
                    <w:pStyle w:val="63"/>
                    <w:keepNext w:val="0"/>
                    <w:keepLines w:val="0"/>
                    <w:pageBreakBefore w:val="0"/>
                    <w:widowControl w:val="0"/>
                    <w:numPr>
                      <w:ilvl w:val="0"/>
                      <w:numId w:val="1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826" w:type="pct"/>
                  <w:tcBorders>
                    <w:tl2br w:val="nil"/>
                    <w:tr2bl w:val="nil"/>
                  </w:tcBorders>
                  <w:noWrap w:val="0"/>
                  <w:vAlign w:val="center"/>
                </w:tcPr>
                <w:p w14:paraId="0743A4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5</w:t>
                  </w:r>
                </w:p>
              </w:tc>
              <w:tc>
                <w:tcPr>
                  <w:tcW w:w="821" w:type="pct"/>
                  <w:tcBorders>
                    <w:tl2br w:val="nil"/>
                    <w:tr2bl w:val="nil"/>
                  </w:tcBorders>
                  <w:noWrap w:val="0"/>
                  <w:vAlign w:val="center"/>
                </w:tcPr>
                <w:p w14:paraId="13E339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DA0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10</w:t>
                  </w:r>
                </w:p>
              </w:tc>
              <w:tc>
                <w:tcPr>
                  <w:tcW w:w="814" w:type="pct"/>
                  <w:tcBorders>
                    <w:tl2br w:val="nil"/>
                    <w:tr2bl w:val="nil"/>
                  </w:tcBorders>
                  <w:noWrap w:val="0"/>
                  <w:vAlign w:val="center"/>
                </w:tcPr>
                <w:p w14:paraId="050182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2115" w:type="pct"/>
                  <w:tcBorders>
                    <w:tl2br w:val="nil"/>
                    <w:tr2bl w:val="nil"/>
                  </w:tcBorders>
                  <w:noWrap w:val="0"/>
                  <w:vAlign w:val="center"/>
                </w:tcPr>
                <w:p w14:paraId="246EED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制剂车间废气经</w:t>
                  </w:r>
                  <w:r>
                    <w:rPr>
                      <w:rFonts w:hint="eastAsia" w:eastAsia="宋体"/>
                      <w:color w:val="000000" w:themeColor="text1"/>
                      <w:sz w:val="21"/>
                      <w:szCs w:val="21"/>
                      <w:highlight w:val="none"/>
                      <w:lang w:val="en-US" w:eastAsia="zh-CN"/>
                      <w14:textFill>
                        <w14:solidFill>
                          <w14:schemeClr w14:val="tx1"/>
                        </w14:solidFill>
                      </w14:textFill>
                    </w:rPr>
                    <w:t>旋风除尘器+</w:t>
                  </w:r>
                  <w:r>
                    <w:rPr>
                      <w:rFonts w:hint="default"/>
                      <w:color w:val="000000" w:themeColor="text1"/>
                      <w:sz w:val="21"/>
                      <w:szCs w:val="21"/>
                      <w:highlight w:val="none"/>
                      <w14:textFill>
                        <w14:solidFill>
                          <w14:schemeClr w14:val="tx1"/>
                        </w14:solidFill>
                      </w14:textFill>
                    </w:rPr>
                    <w:t>布袋除尘器</w:t>
                  </w:r>
                  <w:r>
                    <w:rPr>
                      <w:rFonts w:hint="eastAsia" w:cs="Times New Roman"/>
                      <w:color w:val="000000" w:themeColor="text1"/>
                      <w:sz w:val="21"/>
                      <w:szCs w:val="21"/>
                      <w:highlight w:val="none"/>
                      <w:lang w:val="en-US" w:eastAsia="zh-CN"/>
                      <w14:textFill>
                        <w14:solidFill>
                          <w14:schemeClr w14:val="tx1"/>
                        </w14:solidFill>
                      </w14:textFill>
                    </w:rPr>
                    <w:t>处理后，由1根15m</w:t>
                  </w:r>
                  <w:r>
                    <w:rPr>
                      <w:rFonts w:hint="default" w:ascii="Times New Roman" w:hAnsi="Times New Roman" w:eastAsia="宋体" w:cs="Times New Roman"/>
                      <w:color w:val="000000" w:themeColor="text1"/>
                      <w:sz w:val="21"/>
                      <w:szCs w:val="21"/>
                      <w:highlight w:val="none"/>
                      <w14:textFill>
                        <w14:solidFill>
                          <w14:schemeClr w14:val="tx1"/>
                        </w14:solidFill>
                      </w14:textFill>
                    </w:rPr>
                    <w:t>高排气筒排放（DA0</w:t>
                  </w:r>
                  <w:r>
                    <w:rPr>
                      <w:rFonts w:hint="eastAsia" w:cs="Times New Roman"/>
                      <w:color w:val="000000" w:themeColor="text1"/>
                      <w:sz w:val="21"/>
                      <w:szCs w:val="21"/>
                      <w:highlight w:val="none"/>
                      <w:lang w:val="en-US" w:eastAsia="zh-CN"/>
                      <w14:textFill>
                        <w14:solidFill>
                          <w14:schemeClr w14:val="tx1"/>
                        </w14:solidFill>
                      </w14:textFill>
                    </w:rPr>
                    <w:t>10</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r>
            <w:tr w14:paraId="00C2B9D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21" w:type="pct"/>
                  <w:tcBorders>
                    <w:tl2br w:val="nil"/>
                    <w:tr2bl w:val="nil"/>
                  </w:tcBorders>
                  <w:noWrap w:val="0"/>
                  <w:vAlign w:val="center"/>
                </w:tcPr>
                <w:p w14:paraId="0B21E937">
                  <w:pPr>
                    <w:pStyle w:val="63"/>
                    <w:keepNext w:val="0"/>
                    <w:keepLines w:val="0"/>
                    <w:pageBreakBefore w:val="0"/>
                    <w:widowControl w:val="0"/>
                    <w:numPr>
                      <w:ilvl w:val="0"/>
                      <w:numId w:val="1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826" w:type="pct"/>
                  <w:tcBorders>
                    <w:tl2br w:val="nil"/>
                    <w:tr2bl w:val="nil"/>
                  </w:tcBorders>
                  <w:noWrap w:val="0"/>
                  <w:vAlign w:val="center"/>
                </w:tcPr>
                <w:p w14:paraId="1621A1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6</w:t>
                  </w:r>
                </w:p>
              </w:tc>
              <w:tc>
                <w:tcPr>
                  <w:tcW w:w="821" w:type="pct"/>
                  <w:tcBorders>
                    <w:tl2br w:val="nil"/>
                    <w:tr2bl w:val="nil"/>
                  </w:tcBorders>
                  <w:noWrap w:val="0"/>
                  <w:vAlign w:val="center"/>
                </w:tcPr>
                <w:p w14:paraId="2202D2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DA0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11</w:t>
                  </w:r>
                </w:p>
              </w:tc>
              <w:tc>
                <w:tcPr>
                  <w:tcW w:w="814" w:type="pct"/>
                  <w:tcBorders>
                    <w:tl2br w:val="nil"/>
                    <w:tr2bl w:val="nil"/>
                  </w:tcBorders>
                  <w:noWrap w:val="0"/>
                  <w:vAlign w:val="center"/>
                </w:tcPr>
                <w:p w14:paraId="34E135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2115" w:type="pct"/>
                  <w:tcBorders>
                    <w:tl2br w:val="nil"/>
                    <w:tr2bl w:val="nil"/>
                  </w:tcBorders>
                  <w:noWrap w:val="0"/>
                  <w:vAlign w:val="center"/>
                </w:tcPr>
                <w:p w14:paraId="4F15F1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制剂车间废气经</w:t>
                  </w:r>
                  <w:r>
                    <w:rPr>
                      <w:rFonts w:hint="eastAsia" w:eastAsia="宋体"/>
                      <w:color w:val="000000" w:themeColor="text1"/>
                      <w:sz w:val="21"/>
                      <w:szCs w:val="21"/>
                      <w:highlight w:val="none"/>
                      <w:lang w:val="en-US" w:eastAsia="zh-CN"/>
                      <w14:textFill>
                        <w14:solidFill>
                          <w14:schemeClr w14:val="tx1"/>
                        </w14:solidFill>
                      </w14:textFill>
                    </w:rPr>
                    <w:t>旋风除尘器+</w:t>
                  </w:r>
                  <w:r>
                    <w:rPr>
                      <w:rFonts w:hint="default"/>
                      <w:color w:val="000000" w:themeColor="text1"/>
                      <w:sz w:val="21"/>
                      <w:szCs w:val="21"/>
                      <w:highlight w:val="none"/>
                      <w14:textFill>
                        <w14:solidFill>
                          <w14:schemeClr w14:val="tx1"/>
                        </w14:solidFill>
                      </w14:textFill>
                    </w:rPr>
                    <w:t>布袋除尘器</w:t>
                  </w:r>
                  <w:r>
                    <w:rPr>
                      <w:rFonts w:hint="eastAsia" w:cs="Times New Roman"/>
                      <w:color w:val="000000" w:themeColor="text1"/>
                      <w:sz w:val="21"/>
                      <w:szCs w:val="21"/>
                      <w:highlight w:val="none"/>
                      <w:lang w:val="en-US" w:eastAsia="zh-CN"/>
                      <w14:textFill>
                        <w14:solidFill>
                          <w14:schemeClr w14:val="tx1"/>
                        </w14:solidFill>
                      </w14:textFill>
                    </w:rPr>
                    <w:t>处理后，由1根15m</w:t>
                  </w:r>
                  <w:r>
                    <w:rPr>
                      <w:rFonts w:hint="default" w:ascii="Times New Roman" w:hAnsi="Times New Roman" w:eastAsia="宋体" w:cs="Times New Roman"/>
                      <w:color w:val="000000" w:themeColor="text1"/>
                      <w:sz w:val="21"/>
                      <w:szCs w:val="21"/>
                      <w:highlight w:val="none"/>
                      <w14:textFill>
                        <w14:solidFill>
                          <w14:schemeClr w14:val="tx1"/>
                        </w14:solidFill>
                      </w14:textFill>
                    </w:rPr>
                    <w:t>高排气筒排放（DA0</w:t>
                  </w:r>
                  <w:r>
                    <w:rPr>
                      <w:rFonts w:hint="eastAsia" w:cs="Times New Roman"/>
                      <w:color w:val="000000" w:themeColor="text1"/>
                      <w:sz w:val="21"/>
                      <w:szCs w:val="21"/>
                      <w:highlight w:val="none"/>
                      <w:lang w:val="en-US" w:eastAsia="zh-CN"/>
                      <w14:textFill>
                        <w14:solidFill>
                          <w14:schemeClr w14:val="tx1"/>
                        </w14:solidFill>
                      </w14:textFill>
                    </w:rPr>
                    <w:t>11</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r>
            <w:tr w14:paraId="29E12B1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21" w:type="pct"/>
                  <w:tcBorders>
                    <w:tl2br w:val="nil"/>
                    <w:tr2bl w:val="nil"/>
                  </w:tcBorders>
                  <w:noWrap w:val="0"/>
                  <w:vAlign w:val="center"/>
                </w:tcPr>
                <w:p w14:paraId="7BFC3D4D">
                  <w:pPr>
                    <w:pStyle w:val="63"/>
                    <w:keepNext w:val="0"/>
                    <w:keepLines w:val="0"/>
                    <w:pageBreakBefore w:val="0"/>
                    <w:widowControl w:val="0"/>
                    <w:numPr>
                      <w:ilvl w:val="0"/>
                      <w:numId w:val="1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826" w:type="pct"/>
                  <w:tcBorders>
                    <w:tl2br w:val="nil"/>
                    <w:tr2bl w:val="nil"/>
                  </w:tcBorders>
                  <w:noWrap w:val="0"/>
                  <w:vAlign w:val="center"/>
                </w:tcPr>
                <w:p w14:paraId="6B8669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7</w:t>
                  </w:r>
                </w:p>
              </w:tc>
              <w:tc>
                <w:tcPr>
                  <w:tcW w:w="821" w:type="pct"/>
                  <w:tcBorders>
                    <w:tl2br w:val="nil"/>
                    <w:tr2bl w:val="nil"/>
                  </w:tcBorders>
                  <w:noWrap w:val="0"/>
                  <w:vAlign w:val="center"/>
                </w:tcPr>
                <w:p w14:paraId="6B5E4E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DA0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12</w:t>
                  </w:r>
                </w:p>
              </w:tc>
              <w:tc>
                <w:tcPr>
                  <w:tcW w:w="814" w:type="pct"/>
                  <w:tcBorders>
                    <w:tl2br w:val="nil"/>
                    <w:tr2bl w:val="nil"/>
                  </w:tcBorders>
                  <w:noWrap w:val="0"/>
                  <w:vAlign w:val="center"/>
                </w:tcPr>
                <w:p w14:paraId="420AD5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2115" w:type="pct"/>
                  <w:tcBorders>
                    <w:tl2br w:val="nil"/>
                    <w:tr2bl w:val="nil"/>
                  </w:tcBorders>
                  <w:noWrap w:val="0"/>
                  <w:vAlign w:val="center"/>
                </w:tcPr>
                <w:p w14:paraId="2A59F3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制剂车间废气经袋式+旋风除尘器</w:t>
                  </w:r>
                  <w:r>
                    <w:rPr>
                      <w:rFonts w:hint="eastAsia" w:eastAsia="宋体"/>
                      <w:color w:val="000000" w:themeColor="text1"/>
                      <w:sz w:val="21"/>
                      <w:szCs w:val="21"/>
                      <w:highlight w:val="none"/>
                      <w:lang w:val="en-US" w:eastAsia="zh-CN"/>
                      <w14:textFill>
                        <w14:solidFill>
                          <w14:schemeClr w14:val="tx1"/>
                        </w14:solidFill>
                      </w14:textFill>
                    </w:rPr>
                    <w:t>旋风除尘器+</w:t>
                  </w:r>
                  <w:r>
                    <w:rPr>
                      <w:rFonts w:hint="default"/>
                      <w:color w:val="000000" w:themeColor="text1"/>
                      <w:sz w:val="21"/>
                      <w:szCs w:val="21"/>
                      <w:highlight w:val="none"/>
                      <w14:textFill>
                        <w14:solidFill>
                          <w14:schemeClr w14:val="tx1"/>
                        </w14:solidFill>
                      </w14:textFill>
                    </w:rPr>
                    <w:t>布袋除尘器</w:t>
                  </w:r>
                  <w:r>
                    <w:rPr>
                      <w:rFonts w:hint="eastAsia" w:cs="Times New Roman"/>
                      <w:color w:val="000000" w:themeColor="text1"/>
                      <w:sz w:val="21"/>
                      <w:szCs w:val="21"/>
                      <w:highlight w:val="none"/>
                      <w:lang w:val="en-US" w:eastAsia="zh-CN"/>
                      <w14:textFill>
                        <w14:solidFill>
                          <w14:schemeClr w14:val="tx1"/>
                        </w14:solidFill>
                      </w14:textFill>
                    </w:rPr>
                    <w:t>处理后，由1根15m</w:t>
                  </w:r>
                  <w:r>
                    <w:rPr>
                      <w:rFonts w:hint="default" w:ascii="Times New Roman" w:hAnsi="Times New Roman" w:eastAsia="宋体" w:cs="Times New Roman"/>
                      <w:color w:val="000000" w:themeColor="text1"/>
                      <w:sz w:val="21"/>
                      <w:szCs w:val="21"/>
                      <w:highlight w:val="none"/>
                      <w14:textFill>
                        <w14:solidFill>
                          <w14:schemeClr w14:val="tx1"/>
                        </w14:solidFill>
                      </w14:textFill>
                    </w:rPr>
                    <w:t>高排气筒排放（DA0</w:t>
                  </w:r>
                  <w:r>
                    <w:rPr>
                      <w:rFonts w:hint="eastAsia" w:cs="Times New Roman"/>
                      <w:color w:val="000000" w:themeColor="text1"/>
                      <w:sz w:val="21"/>
                      <w:szCs w:val="21"/>
                      <w:highlight w:val="none"/>
                      <w:lang w:val="en-US" w:eastAsia="zh-CN"/>
                      <w14:textFill>
                        <w14:solidFill>
                          <w14:schemeClr w14:val="tx1"/>
                        </w14:solidFill>
                      </w14:textFill>
                    </w:rPr>
                    <w:t>12</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r>
            <w:tr w14:paraId="7A87B15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21" w:type="pct"/>
                  <w:tcBorders>
                    <w:tl2br w:val="nil"/>
                    <w:tr2bl w:val="nil"/>
                  </w:tcBorders>
                  <w:noWrap w:val="0"/>
                  <w:vAlign w:val="center"/>
                </w:tcPr>
                <w:p w14:paraId="693563E1">
                  <w:pPr>
                    <w:pStyle w:val="63"/>
                    <w:keepNext w:val="0"/>
                    <w:keepLines w:val="0"/>
                    <w:pageBreakBefore w:val="0"/>
                    <w:widowControl w:val="0"/>
                    <w:numPr>
                      <w:ilvl w:val="0"/>
                      <w:numId w:val="1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826" w:type="pct"/>
                  <w:tcBorders>
                    <w:tl2br w:val="nil"/>
                    <w:tr2bl w:val="nil"/>
                  </w:tcBorders>
                  <w:noWrap w:val="0"/>
                  <w:vAlign w:val="center"/>
                </w:tcPr>
                <w:p w14:paraId="35D165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8</w:t>
                  </w:r>
                </w:p>
              </w:tc>
              <w:tc>
                <w:tcPr>
                  <w:tcW w:w="821" w:type="pct"/>
                  <w:tcBorders>
                    <w:tl2br w:val="nil"/>
                    <w:tr2bl w:val="nil"/>
                  </w:tcBorders>
                  <w:noWrap w:val="0"/>
                  <w:vAlign w:val="center"/>
                </w:tcPr>
                <w:p w14:paraId="42F33A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DA0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13</w:t>
                  </w:r>
                </w:p>
              </w:tc>
              <w:tc>
                <w:tcPr>
                  <w:tcW w:w="814" w:type="pct"/>
                  <w:tcBorders>
                    <w:tl2br w:val="nil"/>
                    <w:tr2bl w:val="nil"/>
                  </w:tcBorders>
                  <w:noWrap w:val="0"/>
                  <w:vAlign w:val="center"/>
                </w:tcPr>
                <w:p w14:paraId="276C65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w:t>
                  </w:r>
                </w:p>
              </w:tc>
              <w:tc>
                <w:tcPr>
                  <w:tcW w:w="2115" w:type="pct"/>
                  <w:tcBorders>
                    <w:tl2br w:val="nil"/>
                    <w:tr2bl w:val="nil"/>
                  </w:tcBorders>
                  <w:noWrap w:val="0"/>
                  <w:vAlign w:val="center"/>
                </w:tcPr>
                <w:p w14:paraId="795760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制剂车间废气经</w:t>
                  </w:r>
                  <w:r>
                    <w:rPr>
                      <w:rFonts w:hint="eastAsia" w:eastAsia="宋体"/>
                      <w:color w:val="000000" w:themeColor="text1"/>
                      <w:sz w:val="21"/>
                      <w:szCs w:val="21"/>
                      <w:highlight w:val="none"/>
                      <w:lang w:val="en-US" w:eastAsia="zh-CN"/>
                      <w14:textFill>
                        <w14:solidFill>
                          <w14:schemeClr w14:val="tx1"/>
                        </w14:solidFill>
                      </w14:textFill>
                    </w:rPr>
                    <w:t>旋风除尘器+</w:t>
                  </w:r>
                  <w:r>
                    <w:rPr>
                      <w:rFonts w:hint="default"/>
                      <w:color w:val="000000" w:themeColor="text1"/>
                      <w:sz w:val="21"/>
                      <w:szCs w:val="21"/>
                      <w:highlight w:val="none"/>
                      <w14:textFill>
                        <w14:solidFill>
                          <w14:schemeClr w14:val="tx1"/>
                        </w14:solidFill>
                      </w14:textFill>
                    </w:rPr>
                    <w:t>布袋除尘器</w:t>
                  </w:r>
                  <w:r>
                    <w:rPr>
                      <w:rFonts w:hint="eastAsia" w:cs="Times New Roman"/>
                      <w:color w:val="000000" w:themeColor="text1"/>
                      <w:sz w:val="21"/>
                      <w:szCs w:val="21"/>
                      <w:highlight w:val="none"/>
                      <w:lang w:val="en-US" w:eastAsia="zh-CN"/>
                      <w14:textFill>
                        <w14:solidFill>
                          <w14:schemeClr w14:val="tx1"/>
                        </w14:solidFill>
                      </w14:textFill>
                    </w:rPr>
                    <w:t>处理后，由1根20m</w:t>
                  </w:r>
                  <w:r>
                    <w:rPr>
                      <w:rFonts w:hint="default" w:ascii="Times New Roman" w:hAnsi="Times New Roman" w:eastAsia="宋体" w:cs="Times New Roman"/>
                      <w:color w:val="000000" w:themeColor="text1"/>
                      <w:sz w:val="21"/>
                      <w:szCs w:val="21"/>
                      <w:highlight w:val="none"/>
                      <w14:textFill>
                        <w14:solidFill>
                          <w14:schemeClr w14:val="tx1"/>
                        </w14:solidFill>
                      </w14:textFill>
                    </w:rPr>
                    <w:t>高排气筒排放（DA0</w:t>
                  </w:r>
                  <w:r>
                    <w:rPr>
                      <w:rFonts w:hint="eastAsia" w:cs="Times New Roman"/>
                      <w:color w:val="000000" w:themeColor="text1"/>
                      <w:sz w:val="21"/>
                      <w:szCs w:val="21"/>
                      <w:highlight w:val="none"/>
                      <w:lang w:val="en-US" w:eastAsia="zh-CN"/>
                      <w14:textFill>
                        <w14:solidFill>
                          <w14:schemeClr w14:val="tx1"/>
                        </w14:solidFill>
                      </w14:textFill>
                    </w:rPr>
                    <w:t>13</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r>
            <w:tr w14:paraId="482EDCB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21" w:type="pct"/>
                  <w:tcBorders>
                    <w:tl2br w:val="nil"/>
                    <w:tr2bl w:val="nil"/>
                  </w:tcBorders>
                  <w:noWrap w:val="0"/>
                  <w:vAlign w:val="center"/>
                </w:tcPr>
                <w:p w14:paraId="1CC9AFFA">
                  <w:pPr>
                    <w:pStyle w:val="63"/>
                    <w:keepNext w:val="0"/>
                    <w:keepLines w:val="0"/>
                    <w:pageBreakBefore w:val="0"/>
                    <w:widowControl w:val="0"/>
                    <w:numPr>
                      <w:ilvl w:val="0"/>
                      <w:numId w:val="1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826" w:type="pct"/>
                  <w:tcBorders>
                    <w:tl2br w:val="nil"/>
                    <w:tr2bl w:val="nil"/>
                  </w:tcBorders>
                  <w:noWrap w:val="0"/>
                  <w:vAlign w:val="center"/>
                </w:tcPr>
                <w:p w14:paraId="20D862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前处理粉碎废气排放口</w:t>
                  </w:r>
                </w:p>
              </w:tc>
              <w:tc>
                <w:tcPr>
                  <w:tcW w:w="821" w:type="pct"/>
                  <w:tcBorders>
                    <w:tl2br w:val="nil"/>
                    <w:tr2bl w:val="nil"/>
                  </w:tcBorders>
                  <w:noWrap w:val="0"/>
                  <w:vAlign w:val="center"/>
                </w:tcPr>
                <w:p w14:paraId="755145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DA0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14</w:t>
                  </w:r>
                </w:p>
              </w:tc>
              <w:tc>
                <w:tcPr>
                  <w:tcW w:w="814" w:type="pct"/>
                  <w:tcBorders>
                    <w:tl2br w:val="nil"/>
                    <w:tr2bl w:val="nil"/>
                  </w:tcBorders>
                  <w:noWrap w:val="0"/>
                  <w:vAlign w:val="center"/>
                </w:tcPr>
                <w:p w14:paraId="3A26D8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颗粒物</w:t>
                  </w:r>
                </w:p>
              </w:tc>
              <w:tc>
                <w:tcPr>
                  <w:tcW w:w="2115" w:type="pct"/>
                  <w:tcBorders>
                    <w:tl2br w:val="nil"/>
                    <w:tr2bl w:val="nil"/>
                  </w:tcBorders>
                  <w:noWrap w:val="0"/>
                  <w:vAlign w:val="center"/>
                </w:tcPr>
                <w:p w14:paraId="511152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前处理车间</w:t>
                  </w:r>
                  <w:r>
                    <w:rPr>
                      <w:rFonts w:hint="eastAsia" w:cs="Times New Roman"/>
                      <w:color w:val="000000" w:themeColor="text1"/>
                      <w:sz w:val="21"/>
                      <w:szCs w:val="21"/>
                      <w:highlight w:val="none"/>
                      <w:lang w:val="en-US" w:eastAsia="zh-CN"/>
                      <w14:textFill>
                        <w14:solidFill>
                          <w14:schemeClr w14:val="tx1"/>
                        </w14:solidFill>
                      </w14:textFill>
                    </w:rPr>
                    <w:t>废气经布袋除尘器处理后，由1根17m</w:t>
                  </w:r>
                  <w:r>
                    <w:rPr>
                      <w:rFonts w:hint="default" w:ascii="Times New Roman" w:hAnsi="Times New Roman" w:eastAsia="宋体" w:cs="Times New Roman"/>
                      <w:color w:val="000000" w:themeColor="text1"/>
                      <w:sz w:val="21"/>
                      <w:szCs w:val="21"/>
                      <w:highlight w:val="none"/>
                      <w14:textFill>
                        <w14:solidFill>
                          <w14:schemeClr w14:val="tx1"/>
                        </w14:solidFill>
                      </w14:textFill>
                    </w:rPr>
                    <w:t>高排气筒排放（DA0</w:t>
                  </w:r>
                  <w:r>
                    <w:rPr>
                      <w:rFonts w:hint="eastAsia" w:cs="Times New Roman"/>
                      <w:color w:val="000000" w:themeColor="text1"/>
                      <w:sz w:val="21"/>
                      <w:szCs w:val="21"/>
                      <w:highlight w:val="none"/>
                      <w:lang w:val="en-US" w:eastAsia="zh-CN"/>
                      <w14:textFill>
                        <w14:solidFill>
                          <w14:schemeClr w14:val="tx1"/>
                        </w14:solidFill>
                      </w14:textFill>
                    </w:rPr>
                    <w:t>14</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r>
            <w:tr w14:paraId="082CD79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21" w:type="pct"/>
                  <w:tcBorders>
                    <w:tl2br w:val="nil"/>
                    <w:tr2bl w:val="nil"/>
                  </w:tcBorders>
                  <w:noWrap w:val="0"/>
                  <w:vAlign w:val="center"/>
                </w:tcPr>
                <w:p w14:paraId="1C9CBEA7">
                  <w:pPr>
                    <w:pStyle w:val="63"/>
                    <w:keepNext w:val="0"/>
                    <w:keepLines w:val="0"/>
                    <w:pageBreakBefore w:val="0"/>
                    <w:widowControl w:val="0"/>
                    <w:numPr>
                      <w:ilvl w:val="0"/>
                      <w:numId w:val="1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826" w:type="pct"/>
                  <w:tcBorders>
                    <w:tl2br w:val="nil"/>
                    <w:tr2bl w:val="nil"/>
                  </w:tcBorders>
                  <w:noWrap w:val="0"/>
                  <w:vAlign w:val="center"/>
                </w:tcPr>
                <w:p w14:paraId="6A7FB9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危废贮存库废气排放口</w:t>
                  </w:r>
                </w:p>
              </w:tc>
              <w:tc>
                <w:tcPr>
                  <w:tcW w:w="821" w:type="pct"/>
                  <w:tcBorders>
                    <w:tl2br w:val="nil"/>
                    <w:tr2bl w:val="nil"/>
                  </w:tcBorders>
                  <w:noWrap w:val="0"/>
                  <w:vAlign w:val="center"/>
                </w:tcPr>
                <w:p w14:paraId="1F5035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DA01</w:t>
                  </w:r>
                  <w:r>
                    <w:rPr>
                      <w:rFonts w:hint="eastAsia" w:cs="Times New Roman"/>
                      <w:color w:val="000000" w:themeColor="text1"/>
                      <w:sz w:val="21"/>
                      <w:szCs w:val="21"/>
                      <w:highlight w:val="none"/>
                      <w:lang w:val="en-US" w:eastAsia="zh-CN"/>
                      <w14:textFill>
                        <w14:solidFill>
                          <w14:schemeClr w14:val="tx1"/>
                        </w14:solidFill>
                      </w14:textFill>
                    </w:rPr>
                    <w:t>5</w:t>
                  </w:r>
                </w:p>
              </w:tc>
              <w:tc>
                <w:tcPr>
                  <w:tcW w:w="814" w:type="pct"/>
                  <w:tcBorders>
                    <w:tl2br w:val="nil"/>
                    <w:tr2bl w:val="nil"/>
                  </w:tcBorders>
                  <w:noWrap w:val="0"/>
                  <w:vAlign w:val="center"/>
                </w:tcPr>
                <w:p w14:paraId="7588AD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非甲烷总烃</w:t>
                  </w:r>
                </w:p>
              </w:tc>
              <w:tc>
                <w:tcPr>
                  <w:tcW w:w="2115" w:type="pct"/>
                  <w:tcBorders>
                    <w:tl2br w:val="nil"/>
                    <w:tr2bl w:val="nil"/>
                  </w:tcBorders>
                  <w:noWrap w:val="0"/>
                  <w:vAlign w:val="center"/>
                </w:tcPr>
                <w:p w14:paraId="34A4A6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危废贮存库</w:t>
                  </w:r>
                  <w:r>
                    <w:rPr>
                      <w:rFonts w:hint="eastAsia" w:cs="Times New Roman"/>
                      <w:color w:val="000000" w:themeColor="text1"/>
                      <w:sz w:val="21"/>
                      <w:szCs w:val="21"/>
                      <w:highlight w:val="none"/>
                      <w:lang w:val="en-US" w:eastAsia="zh-CN"/>
                      <w14:textFill>
                        <w14:solidFill>
                          <w14:schemeClr w14:val="tx1"/>
                        </w14:solidFill>
                      </w14:textFill>
                    </w:rPr>
                    <w:t>废气经二级活性炭吸附设施处理后，由1根15m</w:t>
                  </w:r>
                  <w:r>
                    <w:rPr>
                      <w:rFonts w:hint="default" w:ascii="Times New Roman" w:hAnsi="Times New Roman" w:eastAsia="宋体" w:cs="Times New Roman"/>
                      <w:color w:val="000000" w:themeColor="text1"/>
                      <w:sz w:val="21"/>
                      <w:szCs w:val="21"/>
                      <w:highlight w:val="none"/>
                      <w14:textFill>
                        <w14:solidFill>
                          <w14:schemeClr w14:val="tx1"/>
                        </w14:solidFill>
                      </w14:textFill>
                    </w:rPr>
                    <w:t>高排气筒排放（DA0</w:t>
                  </w:r>
                  <w:r>
                    <w:rPr>
                      <w:rFonts w:hint="eastAsia" w:cs="Times New Roman"/>
                      <w:color w:val="000000" w:themeColor="text1"/>
                      <w:sz w:val="21"/>
                      <w:szCs w:val="21"/>
                      <w:highlight w:val="none"/>
                      <w:lang w:val="en-US" w:eastAsia="zh-CN"/>
                      <w14:textFill>
                        <w14:solidFill>
                          <w14:schemeClr w14:val="tx1"/>
                        </w14:solidFill>
                      </w14:textFill>
                    </w:rPr>
                    <w:t>15</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r>
            <w:tr w14:paraId="5D2A6CA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21" w:type="pct"/>
                  <w:tcBorders>
                    <w:tl2br w:val="nil"/>
                    <w:tr2bl w:val="nil"/>
                  </w:tcBorders>
                  <w:noWrap w:val="0"/>
                  <w:vAlign w:val="center"/>
                </w:tcPr>
                <w:p w14:paraId="491B734B">
                  <w:pPr>
                    <w:pStyle w:val="63"/>
                    <w:keepNext w:val="0"/>
                    <w:keepLines w:val="0"/>
                    <w:pageBreakBefore w:val="0"/>
                    <w:widowControl w:val="0"/>
                    <w:numPr>
                      <w:ilvl w:val="0"/>
                      <w:numId w:val="1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826" w:type="pct"/>
                  <w:tcBorders>
                    <w:tl2br w:val="nil"/>
                    <w:tr2bl w:val="nil"/>
                  </w:tcBorders>
                  <w:noWrap w:val="0"/>
                  <w:vAlign w:val="center"/>
                </w:tcPr>
                <w:p w14:paraId="03C7E2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前处理炮制废气排放口2</w:t>
                  </w:r>
                </w:p>
              </w:tc>
              <w:tc>
                <w:tcPr>
                  <w:tcW w:w="821" w:type="pct"/>
                  <w:tcBorders>
                    <w:tl2br w:val="nil"/>
                    <w:tr2bl w:val="nil"/>
                  </w:tcBorders>
                  <w:noWrap w:val="0"/>
                  <w:vAlign w:val="center"/>
                </w:tcPr>
                <w:p w14:paraId="110472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DA0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16</w:t>
                  </w:r>
                </w:p>
              </w:tc>
              <w:tc>
                <w:tcPr>
                  <w:tcW w:w="814" w:type="pct"/>
                  <w:tcBorders>
                    <w:tl2br w:val="nil"/>
                    <w:tr2bl w:val="nil"/>
                  </w:tcBorders>
                  <w:noWrap w:val="0"/>
                  <w:vAlign w:val="center"/>
                </w:tcPr>
                <w:p w14:paraId="2CD143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颗粒物、臭气浓度</w:t>
                  </w:r>
                </w:p>
              </w:tc>
              <w:tc>
                <w:tcPr>
                  <w:tcW w:w="2115" w:type="pct"/>
                  <w:tcBorders>
                    <w:tl2br w:val="nil"/>
                    <w:tr2bl w:val="nil"/>
                  </w:tcBorders>
                  <w:noWrap w:val="0"/>
                  <w:vAlign w:val="center"/>
                </w:tcPr>
                <w:p w14:paraId="7E8DBB1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上吸式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集气罩+布袋除尘器（TA025）</w:t>
                  </w:r>
                  <w:r>
                    <w:rPr>
                      <w:rFonts w:hint="eastAsia"/>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布袋除尘器</w:t>
                  </w:r>
                  <w:r>
                    <w:rPr>
                      <w:rFonts w:hint="eastAsia"/>
                      <w:color w:val="000000" w:themeColor="text1"/>
                      <w:sz w:val="21"/>
                      <w:szCs w:val="21"/>
                      <w:highlight w:val="none"/>
                      <w:lang w:val="en-US" w:eastAsia="zh-CN"/>
                      <w14:textFill>
                        <w14:solidFill>
                          <w14:schemeClr w14:val="tx1"/>
                        </w14:solidFill>
                      </w14:textFill>
                    </w:rPr>
                    <w:t>+二级活性炭吸附设施</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（TA0</w:t>
                  </w:r>
                  <w:r>
                    <w:rPr>
                      <w:rFonts w:hint="eastAsia"/>
                      <w:color w:val="000000" w:themeColor="text1"/>
                      <w:sz w:val="24"/>
                      <w:szCs w:val="24"/>
                      <w:highlight w:val="none"/>
                      <w:lang w:val="en-US" w:eastAsia="zh-CN"/>
                      <w14:textFill>
                        <w14:solidFill>
                          <w14:schemeClr w14:val="tx1"/>
                        </w14:solidFill>
                      </w14:textFill>
                    </w:rPr>
                    <w:t>26</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处理后由不低于15m高的排气筒（DA0</w:t>
                  </w:r>
                  <w:r>
                    <w:rPr>
                      <w:rFonts w:hint="eastAsia"/>
                      <w:color w:val="000000" w:themeColor="text1"/>
                      <w:sz w:val="21"/>
                      <w:szCs w:val="21"/>
                      <w:highlight w:val="none"/>
                      <w:lang w:val="en-US" w:eastAsia="zh-CN"/>
                      <w14:textFill>
                        <w14:solidFill>
                          <w14:schemeClr w14:val="tx1"/>
                        </w14:solidFill>
                      </w14:textFill>
                    </w:rPr>
                    <w:t>16</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）排放</w:t>
                  </w:r>
                </w:p>
              </w:tc>
            </w:tr>
          </w:tbl>
          <w:p w14:paraId="6C4664E2">
            <w:pPr>
              <w:pStyle w:val="25"/>
              <w:keepNext w:val="0"/>
              <w:keepLines w:val="0"/>
              <w:suppressLineNumbers w:val="0"/>
              <w:spacing w:before="0" w:beforeAutospacing="0" w:afterAutospacing="0"/>
              <w:ind w:right="0"/>
              <w:rPr>
                <w:rFonts w:hint="default"/>
                <w:color w:val="000000" w:themeColor="text1"/>
                <w:highlight w:val="none"/>
                <w:lang w:val="en-US" w:eastAsia="zh-CN"/>
                <w14:textFill>
                  <w14:solidFill>
                    <w14:schemeClr w14:val="tx1"/>
                  </w14:solidFill>
                </w14:textFill>
              </w:rPr>
            </w:pPr>
          </w:p>
        </w:tc>
      </w:tr>
      <w:tr w14:paraId="7A4E36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1" w:type="dxa"/>
            <w:vAlign w:val="center"/>
          </w:tcPr>
          <w:p w14:paraId="0BDFA4FD">
            <w:pPr>
              <w:pStyle w:val="8"/>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Cs/>
                <w:color w:val="000000" w:themeColor="text1"/>
                <w:kern w:val="2"/>
                <w:sz w:val="24"/>
                <w:szCs w:val="24"/>
                <w:highlight w:val="none"/>
                <w14:textFill>
                  <w14:solidFill>
                    <w14:schemeClr w14:val="tx1"/>
                  </w14:solidFill>
                </w14:textFill>
              </w:rPr>
              <w:t>与项目有关的原有环境污染问题</w:t>
            </w:r>
          </w:p>
        </w:tc>
        <w:tc>
          <w:tcPr>
            <w:tcW w:w="8263" w:type="dxa"/>
          </w:tcPr>
          <w:p w14:paraId="4C5459C8">
            <w:pPr>
              <w:keepNext w:val="0"/>
              <w:keepLines w:val="0"/>
              <w:pageBreakBefore w:val="0"/>
              <w:widowControl w:val="0"/>
              <w:numPr>
                <w:ilvl w:val="0"/>
                <w:numId w:val="18"/>
              </w:numPr>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现有项目环保手续</w:t>
            </w:r>
          </w:p>
          <w:p w14:paraId="49D4134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b w:val="0"/>
                <w:bCs w:val="0"/>
                <w:color w:val="000000" w:themeColor="text1"/>
                <w:kern w:val="0"/>
                <w:sz w:val="24"/>
                <w:szCs w:val="24"/>
                <w:highlight w:val="none"/>
                <w:lang w:val="en-US" w:eastAsia="zh-CN" w:bidi="en-US"/>
                <w14:textFill>
                  <w14:solidFill>
                    <w14:schemeClr w14:val="tx1"/>
                  </w14:solidFill>
                </w14:textFill>
              </w:rPr>
              <w:t>辽宁华润本溪三药有限公司</w:t>
            </w:r>
            <w:r>
              <w:rPr>
                <w:rFonts w:hint="default" w:ascii="Times New Roman" w:hAnsi="Times New Roman" w:cs="Times New Roman"/>
                <w:b w:val="0"/>
                <w:bCs w:val="0"/>
                <w:color w:val="000000" w:themeColor="text1"/>
                <w:kern w:val="0"/>
                <w:sz w:val="24"/>
                <w:szCs w:val="24"/>
                <w:highlight w:val="none"/>
                <w:lang w:val="en-US" w:eastAsia="zh-CN" w:bidi="en-US"/>
                <w14:textFill>
                  <w14:solidFill>
                    <w14:schemeClr w14:val="tx1"/>
                  </w14:solidFill>
                </w14:textFill>
              </w:rPr>
              <w:t>位于</w:t>
            </w:r>
            <w:r>
              <w:rPr>
                <w:rFonts w:hint="eastAsia" w:cs="Times New Roman"/>
                <w:b w:val="0"/>
                <w:bCs w:val="0"/>
                <w:color w:val="000000" w:themeColor="text1"/>
                <w:kern w:val="0"/>
                <w:sz w:val="24"/>
                <w:szCs w:val="24"/>
                <w:highlight w:val="none"/>
                <w:lang w:val="en-US" w:eastAsia="zh-CN" w:bidi="en-US"/>
                <w14:textFill>
                  <w14:solidFill>
                    <w14:schemeClr w14:val="tx1"/>
                  </w14:solidFill>
                </w14:textFill>
              </w:rPr>
              <w:t>辽宁省本溪经济技术开发区医药园区</w:t>
            </w:r>
            <w:r>
              <w:rPr>
                <w:rFonts w:hint="eastAsia" w:eastAsia="宋体"/>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成立于</w:t>
            </w:r>
            <w:r>
              <w:rPr>
                <w:rFonts w:hint="default" w:ascii="Times New Roman" w:hAnsi="Times New Roman" w:cs="Times New Roman"/>
                <w:b w:val="0"/>
                <w:bCs w:val="0"/>
                <w:color w:val="000000" w:themeColor="text1"/>
                <w:kern w:val="0"/>
                <w:sz w:val="24"/>
                <w:szCs w:val="24"/>
                <w:highlight w:val="none"/>
                <w:lang w:val="en-US" w:eastAsia="zh-CN" w:bidi="en-US"/>
                <w14:textFill>
                  <w14:solidFill>
                    <w14:schemeClr w14:val="tx1"/>
                  </w14:solidFill>
                </w14:textFill>
              </w:rPr>
              <w:t>2001年09月29日</w:t>
            </w:r>
            <w:r>
              <w:rPr>
                <w:rFonts w:hint="eastAsia"/>
                <w:color w:val="000000" w:themeColor="text1"/>
                <w:sz w:val="24"/>
                <w:szCs w:val="24"/>
                <w:highlight w:val="none"/>
                <w:lang w:val="en-US" w:eastAsia="zh-CN"/>
                <w14:textFill>
                  <w14:solidFill>
                    <w14:schemeClr w14:val="tx1"/>
                  </w14:solidFill>
                </w14:textFill>
              </w:rPr>
              <w:t>，主要从事药品生产，药品批发，药品零售。现</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有项目环保手续见</w:t>
            </w:r>
            <w:r>
              <w:rPr>
                <w:rFonts w:hint="eastAsia" w:cs="Times New Roman"/>
                <w:color w:val="000000" w:themeColor="text1"/>
                <w:sz w:val="24"/>
                <w:szCs w:val="24"/>
                <w:highlight w:val="none"/>
                <w:lang w:val="en-US" w:eastAsia="zh-CN"/>
                <w14:textFill>
                  <w14:solidFill>
                    <w14:schemeClr w14:val="tx1"/>
                  </w14:solidFill>
                </w14:textFill>
              </w:rPr>
              <w:t>下</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表。</w:t>
            </w:r>
          </w:p>
          <w:p w14:paraId="750F9247">
            <w:pPr>
              <w:keepNext w:val="0"/>
              <w:keepLines w:val="0"/>
              <w:numPr>
                <w:ilvl w:val="0"/>
                <w:numId w:val="5"/>
              </w:numPr>
              <w:suppressLineNumbers w:val="0"/>
              <w:snapToGrid w:val="0"/>
              <w:spacing w:before="0" w:beforeLines="0" w:beforeAutospacing="0" w:after="0" w:afterLines="0" w:afterAutospacing="0"/>
              <w:ind w:left="0" w:leftChars="0" w:right="0" w:rightChars="0" w:firstLine="0" w:firstLineChars="0"/>
              <w:jc w:val="cente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现有项目环保手续</w:t>
            </w:r>
          </w:p>
          <w:tbl>
            <w:tblPr>
              <w:tblStyle w:val="36"/>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32"/>
              <w:gridCol w:w="2955"/>
              <w:gridCol w:w="1950"/>
              <w:gridCol w:w="1710"/>
            </w:tblGrid>
            <w:tr w14:paraId="595B89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2" w:type="dxa"/>
                  <w:tcBorders>
                    <w:tl2br w:val="nil"/>
                    <w:tr2bl w:val="nil"/>
                  </w:tcBorders>
                  <w:noWrap w:val="0"/>
                  <w:vAlign w:val="center"/>
                </w:tcPr>
                <w:p w14:paraId="3381CAC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项目名称</w:t>
                  </w:r>
                </w:p>
              </w:tc>
              <w:tc>
                <w:tcPr>
                  <w:tcW w:w="2955" w:type="dxa"/>
                  <w:tcBorders>
                    <w:tl2br w:val="nil"/>
                    <w:tr2bl w:val="nil"/>
                  </w:tcBorders>
                  <w:noWrap w:val="0"/>
                  <w:vAlign w:val="center"/>
                </w:tcPr>
                <w:p w14:paraId="529D093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主要建设内容</w:t>
                  </w:r>
                </w:p>
              </w:tc>
              <w:tc>
                <w:tcPr>
                  <w:tcW w:w="1950" w:type="dxa"/>
                  <w:tcBorders>
                    <w:tl2br w:val="nil"/>
                    <w:tr2bl w:val="nil"/>
                  </w:tcBorders>
                  <w:noWrap w:val="0"/>
                  <w:vAlign w:val="center"/>
                </w:tcPr>
                <w:p w14:paraId="3ECDB7E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审批文号及时间</w:t>
                  </w:r>
                </w:p>
              </w:tc>
              <w:tc>
                <w:tcPr>
                  <w:tcW w:w="1710" w:type="dxa"/>
                  <w:tcBorders>
                    <w:tl2br w:val="nil"/>
                    <w:tr2bl w:val="nil"/>
                  </w:tcBorders>
                  <w:noWrap w:val="0"/>
                  <w:vAlign w:val="center"/>
                </w:tcPr>
                <w:p w14:paraId="6D737B7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验收文号及时间</w:t>
                  </w:r>
                </w:p>
              </w:tc>
            </w:tr>
            <w:tr w14:paraId="5A32ED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2" w:type="dxa"/>
                  <w:tcBorders>
                    <w:tl2br w:val="nil"/>
                    <w:tr2bl w:val="nil"/>
                  </w:tcBorders>
                  <w:noWrap w:val="0"/>
                  <w:vAlign w:val="center"/>
                </w:tcPr>
                <w:p w14:paraId="23077C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辽宁华润本溪三药有限公司GMP整体改造工程</w:t>
                  </w:r>
                </w:p>
              </w:tc>
              <w:tc>
                <w:tcPr>
                  <w:tcW w:w="2955" w:type="dxa"/>
                  <w:tcBorders>
                    <w:tl2br w:val="nil"/>
                    <w:tr2bl w:val="nil"/>
                  </w:tcBorders>
                  <w:noWrap w:val="0"/>
                  <w:vAlign w:val="center"/>
                </w:tcPr>
                <w:p w14:paraId="01ED91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移地改造淘汰所有旧设备，对原有制剂车间和提取车间进行改造;新建一座前处理车间(包括中药材仓库)</w:t>
                  </w:r>
                  <w:r>
                    <w:rPr>
                      <w:rFonts w:hint="eastAsia" w:cs="Times New Roman"/>
                      <w:color w:val="000000" w:themeColor="text1"/>
                      <w:sz w:val="21"/>
                      <w:szCs w:val="21"/>
                      <w:highlight w:val="none"/>
                      <w:vertAlign w:val="baseli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新增污水处理站</w:t>
                  </w:r>
                  <w:r>
                    <w:rPr>
                      <w:rFonts w:hint="eastAsia" w:cs="Times New Roman"/>
                      <w:color w:val="000000" w:themeColor="text1"/>
                      <w:sz w:val="21"/>
                      <w:szCs w:val="21"/>
                      <w:highlight w:val="none"/>
                      <w:vertAlign w:val="baseli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改造生产辅助区和生活区</w:t>
                  </w:r>
                  <w:r>
                    <w:rPr>
                      <w:rFonts w:hint="eastAsia" w:cs="Times New Roman"/>
                      <w:color w:val="000000" w:themeColor="text1"/>
                      <w:sz w:val="21"/>
                      <w:szCs w:val="21"/>
                      <w:highlight w:val="none"/>
                      <w:vertAlign w:val="baseli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增加厂区绿化面积</w:t>
                  </w:r>
                  <w:r>
                    <w:rPr>
                      <w:rFonts w:hint="eastAsia" w:cs="Times New Roman"/>
                      <w:color w:val="000000" w:themeColor="text1"/>
                      <w:sz w:val="21"/>
                      <w:szCs w:val="21"/>
                      <w:highlight w:val="none"/>
                      <w:vertAlign w:val="baseline"/>
                      <w:lang w:val="en-US" w:eastAsia="zh-CN"/>
                      <w14:textFill>
                        <w14:solidFill>
                          <w14:schemeClr w14:val="tx1"/>
                        </w14:solidFill>
                      </w14:textFill>
                    </w:rPr>
                    <w:t>。</w:t>
                  </w:r>
                </w:p>
              </w:tc>
              <w:tc>
                <w:tcPr>
                  <w:tcW w:w="1950" w:type="dxa"/>
                  <w:tcBorders>
                    <w:tl2br w:val="nil"/>
                    <w:tr2bl w:val="nil"/>
                  </w:tcBorders>
                  <w:noWrap w:val="0"/>
                  <w:vAlign w:val="center"/>
                </w:tcPr>
                <w:p w14:paraId="24FC93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本环建字[2002]45号</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20</w:t>
                  </w:r>
                  <w:r>
                    <w:rPr>
                      <w:rFonts w:hint="eastAsia" w:cs="Times New Roman"/>
                      <w:color w:val="000000" w:themeColor="text1"/>
                      <w:kern w:val="0"/>
                      <w:sz w:val="21"/>
                      <w:szCs w:val="21"/>
                      <w:highlight w:val="none"/>
                      <w:lang w:val="en-US" w:eastAsia="zh-CN" w:bidi="ar"/>
                      <w14:textFill>
                        <w14:solidFill>
                          <w14:schemeClr w14:val="tx1"/>
                        </w14:solidFill>
                      </w14:textFill>
                    </w:rPr>
                    <w:t>22.05.14</w:t>
                  </w:r>
                </w:p>
              </w:tc>
              <w:tc>
                <w:tcPr>
                  <w:tcW w:w="1710" w:type="dxa"/>
                  <w:tcBorders>
                    <w:tl2br w:val="nil"/>
                    <w:tr2bl w:val="nil"/>
                  </w:tcBorders>
                  <w:noWrap w:val="0"/>
                  <w:vAlign w:val="center"/>
                </w:tcPr>
                <w:p w14:paraId="57EA6E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环验[2003]1号</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20</w:t>
                  </w:r>
                  <w:r>
                    <w:rPr>
                      <w:rFonts w:hint="eastAsia" w:cs="Times New Roman"/>
                      <w:color w:val="000000" w:themeColor="text1"/>
                      <w:kern w:val="0"/>
                      <w:sz w:val="21"/>
                      <w:szCs w:val="21"/>
                      <w:highlight w:val="none"/>
                      <w:lang w:val="en-US" w:eastAsia="zh-CN" w:bidi="ar"/>
                      <w14:textFill>
                        <w14:solidFill>
                          <w14:schemeClr w14:val="tx1"/>
                        </w14:solidFill>
                      </w14:textFill>
                    </w:rPr>
                    <w:t>23</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r>
                    <w:rPr>
                      <w:rFonts w:hint="eastAsia" w:cs="Times New Roman"/>
                      <w:color w:val="000000" w:themeColor="text1"/>
                      <w:kern w:val="0"/>
                      <w:sz w:val="21"/>
                      <w:szCs w:val="21"/>
                      <w:highlight w:val="none"/>
                      <w:lang w:val="en-US" w:eastAsia="zh-CN" w:bidi="ar"/>
                      <w14:textFill>
                        <w14:solidFill>
                          <w14:schemeClr w14:val="tx1"/>
                        </w14:solidFill>
                      </w14:textFill>
                    </w:rPr>
                    <w:t>07</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r>
                    <w:rPr>
                      <w:rFonts w:hint="eastAsia" w:cs="Times New Roman"/>
                      <w:color w:val="000000" w:themeColor="text1"/>
                      <w:kern w:val="0"/>
                      <w:sz w:val="21"/>
                      <w:szCs w:val="21"/>
                      <w:highlight w:val="none"/>
                      <w:lang w:val="en-US" w:eastAsia="zh-CN" w:bidi="ar"/>
                      <w14:textFill>
                        <w14:solidFill>
                          <w14:schemeClr w14:val="tx1"/>
                        </w14:solidFill>
                      </w14:textFill>
                    </w:rPr>
                    <w:t>31</w:t>
                  </w:r>
                </w:p>
              </w:tc>
            </w:tr>
            <w:tr w14:paraId="5E9927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2" w:type="dxa"/>
                  <w:tcBorders>
                    <w:tl2br w:val="nil"/>
                    <w:tr2bl w:val="nil"/>
                  </w:tcBorders>
                  <w:noWrap w:val="0"/>
                  <w:vAlign w:val="center"/>
                </w:tcPr>
                <w:p w14:paraId="11AB27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气滞胃痛颗粒新版GMP标准及产能提升扩建项目</w:t>
                  </w:r>
                </w:p>
              </w:tc>
              <w:tc>
                <w:tcPr>
                  <w:tcW w:w="2955" w:type="dxa"/>
                  <w:tcBorders>
                    <w:tl2br w:val="nil"/>
                    <w:tr2bl w:val="nil"/>
                  </w:tcBorders>
                  <w:noWrap w:val="0"/>
                  <w:vAlign w:val="center"/>
                </w:tcPr>
                <w:p w14:paraId="5F0DA6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在现有厂区内进行气滞胃痛颗粒GMP标准和产能提升改造工程</w:t>
                  </w:r>
                  <w:r>
                    <w:rPr>
                      <w:rFonts w:hint="eastAsia" w:cs="Times New Roman"/>
                      <w:color w:val="000000" w:themeColor="text1"/>
                      <w:sz w:val="21"/>
                      <w:szCs w:val="21"/>
                      <w:highlight w:val="none"/>
                      <w:vertAlign w:val="baseline"/>
                      <w:lang w:val="en-US" w:eastAsia="zh-CN"/>
                      <w14:textFill>
                        <w14:solidFill>
                          <w14:schemeClr w14:val="tx1"/>
                        </w14:solidFill>
                      </w14:textFill>
                    </w:rPr>
                    <w:t>，新建年产4亿袋气滞胃痛颗粒生产线，新建提取车间和制剂车间。</w:t>
                  </w:r>
                </w:p>
              </w:tc>
              <w:tc>
                <w:tcPr>
                  <w:tcW w:w="1950" w:type="dxa"/>
                  <w:tcBorders>
                    <w:tl2br w:val="nil"/>
                    <w:tr2bl w:val="nil"/>
                  </w:tcBorders>
                  <w:noWrap w:val="0"/>
                  <w:vAlign w:val="center"/>
                </w:tcPr>
                <w:p w14:paraId="38A616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本高环建字[2012]3号2012.02.07</w:t>
                  </w:r>
                </w:p>
              </w:tc>
              <w:tc>
                <w:tcPr>
                  <w:tcW w:w="1710" w:type="dxa"/>
                  <w:tcBorders>
                    <w:tl2br w:val="nil"/>
                    <w:tr2bl w:val="nil"/>
                  </w:tcBorders>
                  <w:noWrap w:val="0"/>
                  <w:vAlign w:val="center"/>
                </w:tcPr>
                <w:p w14:paraId="187043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本高规建环验[2016]11号</w:t>
                  </w:r>
                </w:p>
                <w:p w14:paraId="1EE3DD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2016.10.18</w:t>
                  </w:r>
                </w:p>
              </w:tc>
            </w:tr>
            <w:tr w14:paraId="093FFD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05" w:hRule="atLeast"/>
                <w:jc w:val="center"/>
              </w:trPr>
              <w:tc>
                <w:tcPr>
                  <w:tcW w:w="1432" w:type="dxa"/>
                  <w:tcBorders>
                    <w:tl2br w:val="nil"/>
                    <w:tr2bl w:val="nil"/>
                  </w:tcBorders>
                  <w:noWrap w:val="0"/>
                  <w:vAlign w:val="center"/>
                </w:tcPr>
                <w:p w14:paraId="77C881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提取车间和制剂车间GMP改造项目</w:t>
                  </w:r>
                </w:p>
              </w:tc>
              <w:tc>
                <w:tcPr>
                  <w:tcW w:w="2955" w:type="dxa"/>
                  <w:tcBorders>
                    <w:tl2br w:val="nil"/>
                    <w:tr2bl w:val="nil"/>
                  </w:tcBorders>
                  <w:noWrap w:val="0"/>
                  <w:vAlign w:val="center"/>
                </w:tcPr>
                <w:p w14:paraId="190690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对现有前处理提取车间中的提取车间2033</w:t>
                  </w:r>
                  <w:r>
                    <w:rPr>
                      <w:rFonts w:hint="eastAsia" w:cs="Times New Roman"/>
                      <w:color w:val="000000" w:themeColor="text1"/>
                      <w:sz w:val="21"/>
                      <w:szCs w:val="21"/>
                      <w:highlight w:val="none"/>
                      <w:vertAlign w:val="baseline"/>
                      <w:lang w:val="en-US" w:eastAsia="zh-CN"/>
                      <w14:textFill>
                        <w14:solidFill>
                          <w14:schemeClr w14:val="tx1"/>
                        </w14:solidFill>
                      </w14:textFill>
                    </w:rPr>
                    <w:t>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、制剂车间9396</w:t>
                  </w:r>
                  <w:r>
                    <w:rPr>
                      <w:rFonts w:hint="eastAsia" w:cs="Times New Roman"/>
                      <w:color w:val="000000" w:themeColor="text1"/>
                      <w:sz w:val="21"/>
                      <w:szCs w:val="21"/>
                      <w:highlight w:val="none"/>
                      <w:vertAlign w:val="baseline"/>
                      <w:lang w:val="en-US" w:eastAsia="zh-CN"/>
                      <w14:textFill>
                        <w14:solidFill>
                          <w14:schemeClr w14:val="tx1"/>
                        </w14:solidFill>
                      </w14:textFill>
                    </w:rPr>
                    <w:t>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进行更新设备，提高净化系统的洁净度，并新建综合办公楼5700</w:t>
                  </w:r>
                  <w:r>
                    <w:rPr>
                      <w:rFonts w:hint="eastAsia" w:cs="Times New Roman"/>
                      <w:color w:val="000000" w:themeColor="text1"/>
                      <w:sz w:val="21"/>
                      <w:szCs w:val="21"/>
                      <w:highlight w:val="none"/>
                      <w:vertAlign w:val="baseline"/>
                      <w:lang w:val="en-US" w:eastAsia="zh-CN"/>
                      <w14:textFill>
                        <w14:solidFill>
                          <w14:schemeClr w14:val="tx1"/>
                        </w14:solidFill>
                      </w14:textFill>
                    </w:rPr>
                    <w:t>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，综合仓库4200</w:t>
                  </w:r>
                  <w:r>
                    <w:rPr>
                      <w:rFonts w:hint="eastAsia" w:cs="Times New Roman"/>
                      <w:color w:val="000000" w:themeColor="text1"/>
                      <w:sz w:val="21"/>
                      <w:szCs w:val="21"/>
                      <w:highlight w:val="none"/>
                      <w:vertAlign w:val="baseline"/>
                      <w:lang w:val="en-US" w:eastAsia="zh-CN"/>
                      <w14:textFill>
                        <w14:solidFill>
                          <w14:schemeClr w14:val="tx1"/>
                        </w14:solidFill>
                      </w14:textFill>
                    </w:rPr>
                    <w:t>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，临时仓库5000</w:t>
                  </w:r>
                  <w:r>
                    <w:rPr>
                      <w:rFonts w:hint="eastAsia" w:cs="Times New Roman"/>
                      <w:color w:val="000000" w:themeColor="text1"/>
                      <w:sz w:val="21"/>
                      <w:szCs w:val="21"/>
                      <w:highlight w:val="none"/>
                      <w:vertAlign w:val="baseline"/>
                      <w:lang w:val="en-US" w:eastAsia="zh-CN"/>
                      <w14:textFill>
                        <w14:solidFill>
                          <w14:schemeClr w14:val="tx1"/>
                        </w14:solidFill>
                      </w14:textFill>
                    </w:rPr>
                    <w:t>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，门卫室100</w:t>
                  </w:r>
                  <w:r>
                    <w:rPr>
                      <w:rFonts w:hint="eastAsia" w:cs="Times New Roman"/>
                      <w:color w:val="000000" w:themeColor="text1"/>
                      <w:sz w:val="21"/>
                      <w:szCs w:val="21"/>
                      <w:highlight w:val="none"/>
                      <w:vertAlign w:val="baseline"/>
                      <w:lang w:val="en-US" w:eastAsia="zh-CN"/>
                      <w14:textFill>
                        <w14:solidFill>
                          <w14:schemeClr w14:val="tx1"/>
                        </w14:solidFill>
                      </w14:textFill>
                    </w:rPr>
                    <w:t>m</w:t>
                  </w:r>
                  <w:r>
                    <w:rPr>
                      <w:rFonts w:hint="eastAsia" w:cs="Times New Roman"/>
                      <w:color w:val="000000" w:themeColor="text1"/>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w:t>
                  </w:r>
                </w:p>
              </w:tc>
              <w:tc>
                <w:tcPr>
                  <w:tcW w:w="1950" w:type="dxa"/>
                  <w:tcBorders>
                    <w:tl2br w:val="nil"/>
                    <w:tr2bl w:val="nil"/>
                  </w:tcBorders>
                  <w:noWrap w:val="0"/>
                  <w:vAlign w:val="center"/>
                </w:tcPr>
                <w:p w14:paraId="0D5E4D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无审批文号，于2013年9月11日获。得本溪高新技术产业开发区环境保护局审批</w:t>
                  </w:r>
                </w:p>
              </w:tc>
              <w:tc>
                <w:tcPr>
                  <w:tcW w:w="1710" w:type="dxa"/>
                  <w:tcBorders>
                    <w:tl2br w:val="nil"/>
                    <w:tr2bl w:val="nil"/>
                  </w:tcBorders>
                  <w:noWrap w:val="0"/>
                  <w:vAlign w:val="center"/>
                </w:tcPr>
                <w:p w14:paraId="47C02E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自主验收，于2021.04.13进行评审</w:t>
                  </w:r>
                </w:p>
              </w:tc>
            </w:tr>
            <w:tr w14:paraId="548613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2" w:type="dxa"/>
                  <w:tcBorders>
                    <w:tl2br w:val="nil"/>
                    <w:tr2bl w:val="nil"/>
                  </w:tcBorders>
                  <w:noWrap w:val="0"/>
                  <w:vAlign w:val="center"/>
                </w:tcPr>
                <w:p w14:paraId="5F52DA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危废暂存库和锅炉改造项目</w:t>
                  </w:r>
                </w:p>
              </w:tc>
              <w:tc>
                <w:tcPr>
                  <w:tcW w:w="2955" w:type="dxa"/>
                  <w:tcBorders>
                    <w:tl2br w:val="nil"/>
                    <w:tr2bl w:val="nil"/>
                  </w:tcBorders>
                  <w:noWrap w:val="0"/>
                  <w:vAlign w:val="center"/>
                </w:tcPr>
                <w:p w14:paraId="2D6C71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拆除</w:t>
                  </w:r>
                  <w:r>
                    <w:rPr>
                      <w:rFonts w:hint="eastAsia" w:cs="Times New Roman"/>
                      <w:color w:val="000000" w:themeColor="text1"/>
                      <w:sz w:val="21"/>
                      <w:szCs w:val="21"/>
                      <w:highlight w:val="none"/>
                      <w:vertAlign w:val="baseline"/>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台15t/h的燃气锅炉，保留</w:t>
                  </w:r>
                  <w:r>
                    <w:rPr>
                      <w:rFonts w:hint="eastAsia" w:cs="Times New Roman"/>
                      <w:color w:val="000000" w:themeColor="text1"/>
                      <w:sz w:val="21"/>
                      <w:szCs w:val="21"/>
                      <w:highlight w:val="none"/>
                      <w:vertAlign w:val="baseline"/>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台15t/h的燃气锅炉作为备用锅炉、新建</w:t>
                  </w:r>
                  <w:r>
                    <w:rPr>
                      <w:rFonts w:hint="eastAsia" w:cs="Times New Roman"/>
                      <w:color w:val="000000" w:themeColor="text1"/>
                      <w:sz w:val="21"/>
                      <w:szCs w:val="21"/>
                      <w:highlight w:val="none"/>
                      <w:vertAlign w:val="baseline"/>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台10t/h和</w:t>
                  </w:r>
                  <w:r>
                    <w:rPr>
                      <w:rFonts w:hint="eastAsia" w:cs="Times New Roman"/>
                      <w:color w:val="000000" w:themeColor="text1"/>
                      <w:sz w:val="21"/>
                      <w:szCs w:val="21"/>
                      <w:highlight w:val="none"/>
                      <w:vertAlign w:val="baseline"/>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台6t/h均配备低氮燃烧器的燃气锅炉，其中10t/h燃气锅炉作为常用锅炉。企业拟扩建一座面积为120m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危废库。</w:t>
                  </w:r>
                </w:p>
              </w:tc>
              <w:tc>
                <w:tcPr>
                  <w:tcW w:w="1950" w:type="dxa"/>
                  <w:tcBorders>
                    <w:tl2br w:val="nil"/>
                    <w:tr2bl w:val="nil"/>
                  </w:tcBorders>
                  <w:noWrap w:val="0"/>
                  <w:vAlign w:val="center"/>
                </w:tcPr>
                <w:p w14:paraId="7844C7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本环建表字[2022]18号</w:t>
                  </w:r>
                </w:p>
                <w:p w14:paraId="5A7917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2022.04.16</w:t>
                  </w:r>
                </w:p>
              </w:tc>
              <w:tc>
                <w:tcPr>
                  <w:tcW w:w="1710" w:type="dxa"/>
                  <w:tcBorders>
                    <w:tl2br w:val="nil"/>
                    <w:tr2bl w:val="nil"/>
                  </w:tcBorders>
                  <w:noWrap w:val="0"/>
                  <w:vAlign w:val="center"/>
                </w:tcPr>
                <w:p w14:paraId="11AC3D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自主验收，于2022.10.20进行评审</w:t>
                  </w:r>
                </w:p>
              </w:tc>
            </w:tr>
            <w:tr w14:paraId="01E743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2" w:type="dxa"/>
                  <w:tcBorders>
                    <w:tl2br w:val="nil"/>
                    <w:tr2bl w:val="nil"/>
                  </w:tcBorders>
                  <w:noWrap w:val="0"/>
                  <w:vAlign w:val="center"/>
                </w:tcPr>
                <w:p w14:paraId="0B800A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综合制剂车间改造项目</w:t>
                  </w:r>
                </w:p>
              </w:tc>
              <w:tc>
                <w:tcPr>
                  <w:tcW w:w="2955" w:type="dxa"/>
                  <w:tcBorders>
                    <w:tl2br w:val="nil"/>
                    <w:tr2bl w:val="nil"/>
                  </w:tcBorders>
                  <w:noWrap w:val="0"/>
                  <w:vAlign w:val="center"/>
                </w:tcPr>
                <w:p w14:paraId="0C3F19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对现有综合制剂车间三条生产线的产品进行种类以及生产规模的调整</w:t>
                  </w:r>
                  <w:r>
                    <w:rPr>
                      <w:rFonts w:hint="eastAsia" w:cs="Times New Roman"/>
                      <w:color w:val="000000" w:themeColor="text1"/>
                      <w:sz w:val="21"/>
                      <w:szCs w:val="21"/>
                      <w:highlight w:val="none"/>
                      <w:vertAlign w:val="baseline"/>
                      <w:lang w:val="en-US" w:eastAsia="zh-CN"/>
                      <w14:textFill>
                        <w14:solidFill>
                          <w14:schemeClr w14:val="tx1"/>
                        </w14:solidFill>
                      </w14:textFill>
                    </w:rPr>
                    <w:t>，设备均利用原工程设备，生产工艺保持不变，公辅设施则依托现有设施。</w:t>
                  </w:r>
                </w:p>
              </w:tc>
              <w:tc>
                <w:tcPr>
                  <w:tcW w:w="1950" w:type="dxa"/>
                  <w:tcBorders>
                    <w:tl2br w:val="nil"/>
                    <w:tr2bl w:val="nil"/>
                  </w:tcBorders>
                  <w:noWrap w:val="0"/>
                  <w:vAlign w:val="center"/>
                </w:tcPr>
                <w:p w14:paraId="0E646F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本环建表字[2022]19号</w:t>
                  </w:r>
                </w:p>
                <w:p w14:paraId="0CF1C3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2022.04.16</w:t>
                  </w:r>
                </w:p>
              </w:tc>
              <w:tc>
                <w:tcPr>
                  <w:tcW w:w="1710" w:type="dxa"/>
                  <w:tcBorders>
                    <w:tl2br w:val="nil"/>
                    <w:tr2bl w:val="nil"/>
                  </w:tcBorders>
                  <w:noWrap w:val="0"/>
                  <w:vAlign w:val="center"/>
                </w:tcPr>
                <w:p w14:paraId="4BC422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自主验收，于2023.03.09进行评审</w:t>
                  </w:r>
                </w:p>
              </w:tc>
            </w:tr>
            <w:tr w14:paraId="39E943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2" w:type="dxa"/>
                  <w:tcBorders>
                    <w:tl2br w:val="nil"/>
                    <w:tr2bl w:val="nil"/>
                  </w:tcBorders>
                  <w:noWrap w:val="0"/>
                  <w:vAlign w:val="center"/>
                </w:tcPr>
                <w:p w14:paraId="3EDFE0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华润本溪三药危废暂存库和化学品库建设工程</w:t>
                  </w:r>
                </w:p>
              </w:tc>
              <w:tc>
                <w:tcPr>
                  <w:tcW w:w="2955" w:type="dxa"/>
                  <w:tcBorders>
                    <w:tl2br w:val="nil"/>
                    <w:tr2bl w:val="nil"/>
                  </w:tcBorders>
                  <w:noWrap w:val="0"/>
                  <w:vAlign w:val="center"/>
                </w:tcPr>
                <w:p w14:paraId="372466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拟建设一座危险废物贮存库、改造一座片碱库、新建2座地埋式乙醇储罐</w:t>
                  </w:r>
                  <w:r>
                    <w:rPr>
                      <w:rFonts w:hint="eastAsia" w:cs="Times New Roman"/>
                      <w:color w:val="000000" w:themeColor="text1"/>
                      <w:sz w:val="21"/>
                      <w:szCs w:val="21"/>
                      <w:highlight w:val="none"/>
                      <w:vertAlign w:val="baseline"/>
                      <w:lang w:val="en-US" w:eastAsia="zh-CN"/>
                      <w14:textFill>
                        <w14:solidFill>
                          <w14:schemeClr w14:val="tx1"/>
                        </w14:solidFill>
                      </w14:textFill>
                    </w:rPr>
                    <w:t>。</w:t>
                  </w:r>
                </w:p>
              </w:tc>
              <w:tc>
                <w:tcPr>
                  <w:tcW w:w="1950" w:type="dxa"/>
                  <w:tcBorders>
                    <w:tl2br w:val="nil"/>
                    <w:tr2bl w:val="nil"/>
                  </w:tcBorders>
                  <w:noWrap w:val="0"/>
                  <w:vAlign w:val="center"/>
                </w:tcPr>
                <w:p w14:paraId="32A754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本环建表字[2024]83号</w:t>
                  </w:r>
                </w:p>
                <w:p w14:paraId="0725AC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2024.10.21</w:t>
                  </w:r>
                </w:p>
              </w:tc>
              <w:tc>
                <w:tcPr>
                  <w:tcW w:w="1710" w:type="dxa"/>
                  <w:tcBorders>
                    <w:tl2br w:val="nil"/>
                    <w:tr2bl w:val="nil"/>
                  </w:tcBorders>
                  <w:noWrap w:val="0"/>
                  <w:vAlign w:val="center"/>
                </w:tcPr>
                <w:p w14:paraId="0FB3E1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自主验收，于2025.04.11进行评审</w:t>
                  </w:r>
                </w:p>
              </w:tc>
            </w:tr>
            <w:tr w14:paraId="1E4E5F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387" w:type="dxa"/>
                  <w:gridSpan w:val="2"/>
                  <w:tcBorders>
                    <w:tl2br w:val="nil"/>
                    <w:tr2bl w:val="nil"/>
                  </w:tcBorders>
                  <w:noWrap w:val="0"/>
                  <w:vAlign w:val="center"/>
                </w:tcPr>
                <w:p w14:paraId="36A8AC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应急预案</w:t>
                  </w:r>
                </w:p>
              </w:tc>
              <w:tc>
                <w:tcPr>
                  <w:tcW w:w="1950" w:type="dxa"/>
                  <w:tcBorders>
                    <w:tl2br w:val="nil"/>
                    <w:tr2bl w:val="nil"/>
                  </w:tcBorders>
                  <w:noWrap w:val="0"/>
                  <w:vAlign w:val="center"/>
                </w:tcPr>
                <w:p w14:paraId="140834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备案编号：</w:t>
                  </w:r>
                </w:p>
                <w:p w14:paraId="425F5C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210561-2025-006-L</w:t>
                  </w:r>
                </w:p>
              </w:tc>
              <w:tc>
                <w:tcPr>
                  <w:tcW w:w="1710" w:type="dxa"/>
                  <w:tcBorders>
                    <w:tl2br w:val="nil"/>
                    <w:tr2bl w:val="nil"/>
                  </w:tcBorders>
                  <w:noWrap w:val="0"/>
                  <w:vAlign w:val="center"/>
                </w:tcPr>
                <w:p w14:paraId="391A1B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w:t>
                  </w:r>
                </w:p>
              </w:tc>
            </w:tr>
            <w:tr w14:paraId="03193A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2" w:type="dxa"/>
                  <w:tcBorders>
                    <w:tl2br w:val="nil"/>
                    <w:tr2bl w:val="nil"/>
                  </w:tcBorders>
                  <w:noWrap w:val="0"/>
                  <w:vAlign w:val="center"/>
                </w:tcPr>
                <w:p w14:paraId="3DC2163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排污许可证执行情况</w:t>
                  </w:r>
                </w:p>
              </w:tc>
              <w:tc>
                <w:tcPr>
                  <w:tcW w:w="2955" w:type="dxa"/>
                  <w:tcBorders>
                    <w:tl2br w:val="nil"/>
                    <w:tr2bl w:val="nil"/>
                  </w:tcBorders>
                  <w:noWrap w:val="0"/>
                  <w:vAlign w:val="center"/>
                </w:tcPr>
                <w:p w14:paraId="589A7E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简化管理</w:t>
                  </w:r>
                </w:p>
              </w:tc>
              <w:tc>
                <w:tcPr>
                  <w:tcW w:w="1950" w:type="dxa"/>
                  <w:tcBorders>
                    <w:tl2br w:val="nil"/>
                    <w:tr2bl w:val="nil"/>
                  </w:tcBorders>
                  <w:noWrap w:val="0"/>
                  <w:vAlign w:val="center"/>
                </w:tcPr>
                <w:p w14:paraId="461BA3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912105007323055398001Q</w:t>
                  </w:r>
                </w:p>
                <w:p w14:paraId="04D71A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20</w:t>
                  </w:r>
                  <w:r>
                    <w:rPr>
                      <w:rFonts w:hint="eastAsia" w:cs="Times New Roman"/>
                      <w:color w:val="000000" w:themeColor="text1"/>
                      <w:kern w:val="0"/>
                      <w:sz w:val="21"/>
                      <w:szCs w:val="21"/>
                      <w:highlight w:val="none"/>
                      <w:lang w:val="en-US" w:eastAsia="zh-CN" w:bidi="ar"/>
                      <w14:textFill>
                        <w14:solidFill>
                          <w14:schemeClr w14:val="tx1"/>
                        </w14:solidFill>
                      </w14:textFill>
                    </w:rPr>
                    <w:t>19</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r>
                    <w:rPr>
                      <w:rFonts w:hint="eastAsia" w:cs="Times New Roman"/>
                      <w:color w:val="000000" w:themeColor="text1"/>
                      <w:kern w:val="0"/>
                      <w:sz w:val="21"/>
                      <w:szCs w:val="21"/>
                      <w:highlight w:val="none"/>
                      <w:lang w:val="en-US" w:eastAsia="zh-CN" w:bidi="ar"/>
                      <w14:textFill>
                        <w14:solidFill>
                          <w14:schemeClr w14:val="tx1"/>
                        </w14:solidFill>
                      </w14:textFill>
                    </w:rPr>
                    <w:t>09</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r>
                    <w:rPr>
                      <w:rFonts w:hint="eastAsia" w:cs="Times New Roman"/>
                      <w:color w:val="000000" w:themeColor="text1"/>
                      <w:kern w:val="0"/>
                      <w:sz w:val="21"/>
                      <w:szCs w:val="21"/>
                      <w:highlight w:val="none"/>
                      <w:lang w:val="en-US" w:eastAsia="zh-CN" w:bidi="ar"/>
                      <w14:textFill>
                        <w14:solidFill>
                          <w14:schemeClr w14:val="tx1"/>
                        </w14:solidFill>
                      </w14:textFill>
                    </w:rPr>
                    <w:t>29（首次申请）；2025.03.21（重新申请）</w:t>
                  </w:r>
                </w:p>
              </w:tc>
              <w:tc>
                <w:tcPr>
                  <w:tcW w:w="1710" w:type="dxa"/>
                  <w:tcBorders>
                    <w:tl2br w:val="nil"/>
                    <w:tr2bl w:val="nil"/>
                  </w:tcBorders>
                  <w:noWrap w:val="0"/>
                  <w:vAlign w:val="center"/>
                </w:tcPr>
                <w:p w14:paraId="6AC72EF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有效期限：自202</w:t>
                  </w:r>
                  <w:r>
                    <w:rPr>
                      <w:rFonts w:hint="eastAsia" w:cs="Times New Roman"/>
                      <w:color w:val="000000" w:themeColor="text1"/>
                      <w:sz w:val="21"/>
                      <w:szCs w:val="21"/>
                      <w:highlight w:val="none"/>
                      <w:vertAlign w:val="baseline"/>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年</w:t>
                  </w:r>
                  <w:r>
                    <w:rPr>
                      <w:rFonts w:hint="eastAsia" w:cs="Times New Roman"/>
                      <w:color w:val="000000" w:themeColor="text1"/>
                      <w:sz w:val="21"/>
                      <w:szCs w:val="21"/>
                      <w:highlight w:val="none"/>
                      <w:vertAlign w:val="baseline"/>
                      <w:lang w:val="en-US" w:eastAsia="zh-CN"/>
                      <w14:textFill>
                        <w14:solidFill>
                          <w14:schemeClr w14:val="tx1"/>
                        </w14:solidFill>
                      </w14:textFill>
                    </w:rPr>
                    <w:t>03</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月</w:t>
                  </w:r>
                  <w:r>
                    <w:rPr>
                      <w:rFonts w:hint="eastAsia" w:cs="Times New Roman"/>
                      <w:color w:val="000000" w:themeColor="text1"/>
                      <w:sz w:val="21"/>
                      <w:szCs w:val="21"/>
                      <w:highlight w:val="none"/>
                      <w:vertAlign w:val="baseline"/>
                      <w:lang w:val="en-US" w:eastAsia="zh-CN"/>
                      <w14:textFill>
                        <w14:solidFill>
                          <w14:schemeClr w14:val="tx1"/>
                        </w14:solidFill>
                      </w14:textFill>
                    </w:rPr>
                    <w:t>21</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日至20</w:t>
                  </w:r>
                  <w:r>
                    <w:rPr>
                      <w:rFonts w:hint="eastAsia" w:cs="Times New Roman"/>
                      <w:color w:val="000000" w:themeColor="text1"/>
                      <w:sz w:val="21"/>
                      <w:szCs w:val="21"/>
                      <w:highlight w:val="none"/>
                      <w:vertAlign w:val="baseline"/>
                      <w:lang w:val="en-US" w:eastAsia="zh-CN"/>
                      <w14:textFill>
                        <w14:solidFill>
                          <w14:schemeClr w14:val="tx1"/>
                        </w14:solidFill>
                      </w14:textFill>
                    </w:rPr>
                    <w:t>30</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年</w:t>
                  </w:r>
                  <w:r>
                    <w:rPr>
                      <w:rFonts w:hint="eastAsia" w:cs="Times New Roman"/>
                      <w:color w:val="000000" w:themeColor="text1"/>
                      <w:sz w:val="21"/>
                      <w:szCs w:val="21"/>
                      <w:highlight w:val="none"/>
                      <w:vertAlign w:val="baseline"/>
                      <w:lang w:val="en-US" w:eastAsia="zh-CN"/>
                      <w14:textFill>
                        <w14:solidFill>
                          <w14:schemeClr w14:val="tx1"/>
                        </w14:solidFill>
                      </w14:textFill>
                    </w:rPr>
                    <w:t>03</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月</w:t>
                  </w:r>
                  <w:r>
                    <w:rPr>
                      <w:rFonts w:hint="eastAsia" w:cs="Times New Roman"/>
                      <w:color w:val="000000" w:themeColor="text1"/>
                      <w:sz w:val="21"/>
                      <w:szCs w:val="21"/>
                      <w:highlight w:val="none"/>
                      <w:vertAlign w:val="baseline"/>
                      <w:lang w:val="en-US" w:eastAsia="zh-CN"/>
                      <w14:textFill>
                        <w14:solidFill>
                          <w14:schemeClr w14:val="tx1"/>
                        </w14:solidFill>
                      </w14:textFill>
                    </w:rPr>
                    <w:t>20</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日止</w:t>
                  </w:r>
                </w:p>
              </w:tc>
            </w:tr>
          </w:tbl>
          <w:p w14:paraId="1E4D7BAD">
            <w:pPr>
              <w:keepNext w:val="0"/>
              <w:keepLines w:val="0"/>
              <w:pageBreakBefore w:val="0"/>
              <w:widowControl w:val="0"/>
              <w:numPr>
                <w:ilvl w:val="0"/>
                <w:numId w:val="18"/>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现有项目</w:t>
            </w:r>
            <w:r>
              <w:rPr>
                <w:rFonts w:hint="eastAsia" w:cs="Times New Roman"/>
                <w:b/>
                <w:bCs/>
                <w:color w:val="000000" w:themeColor="text1"/>
                <w:sz w:val="24"/>
                <w:szCs w:val="24"/>
                <w:highlight w:val="none"/>
                <w:lang w:val="en-US" w:eastAsia="zh-CN"/>
                <w14:textFill>
                  <w14:solidFill>
                    <w14:schemeClr w14:val="tx1"/>
                  </w14:solidFill>
                </w14:textFill>
              </w:rPr>
              <w:t>产品方案情况</w:t>
            </w:r>
          </w:p>
          <w:p w14:paraId="3DDCC9E5">
            <w:pPr>
              <w:keepNext w:val="0"/>
              <w:keepLines w:val="0"/>
              <w:numPr>
                <w:ilvl w:val="0"/>
                <w:numId w:val="5"/>
              </w:numPr>
              <w:suppressLineNumbers w:val="0"/>
              <w:snapToGrid w:val="0"/>
              <w:spacing w:before="0" w:beforeLines="0" w:beforeAutospacing="0" w:after="0" w:afterLines="0" w:afterAutospacing="0"/>
              <w:ind w:left="0" w:leftChars="0" w:right="0" w:rightChars="0" w:firstLine="0" w:firstLineChars="0"/>
              <w:jc w:val="cente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eastAsia" w:cs="Times New Roman"/>
                <w:b/>
                <w:bCs/>
                <w:color w:val="000000" w:themeColor="text1"/>
                <w:sz w:val="21"/>
                <w:szCs w:val="21"/>
                <w:highlight w:val="none"/>
                <w:lang w:val="en-US" w:eastAsia="zh-CN"/>
                <w14:textFill>
                  <w14:solidFill>
                    <w14:schemeClr w14:val="tx1"/>
                  </w14:solidFill>
                </w14:textFill>
              </w:rPr>
              <w:t xml:space="preserve"> </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现有项目</w:t>
            </w:r>
            <w:r>
              <w:rPr>
                <w:rFonts w:hint="eastAsia" w:cs="Times New Roman"/>
                <w:b/>
                <w:bCs/>
                <w:color w:val="000000" w:themeColor="text1"/>
                <w:sz w:val="21"/>
                <w:szCs w:val="21"/>
                <w:highlight w:val="none"/>
                <w:lang w:val="en-US" w:eastAsia="zh-CN"/>
                <w14:textFill>
                  <w14:solidFill>
                    <w14:schemeClr w14:val="tx1"/>
                  </w14:solidFill>
                </w14:textFill>
              </w:rPr>
              <w:t>产品方案一览表</w:t>
            </w:r>
          </w:p>
          <w:tbl>
            <w:tblPr>
              <w:tblStyle w:val="35"/>
              <w:tblW w:w="4996" w:type="pct"/>
              <w:tblInd w:w="0" w:type="dxa"/>
              <w:tblBorders>
                <w:top w:val="double" w:color="000000" w:sz="4" w:space="0"/>
                <w:left w:val="none" w:color="auto" w:sz="0" w:space="0"/>
                <w:bottom w:val="doub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533"/>
              <w:gridCol w:w="908"/>
              <w:gridCol w:w="2197"/>
              <w:gridCol w:w="1446"/>
              <w:gridCol w:w="1406"/>
              <w:gridCol w:w="1551"/>
            </w:tblGrid>
            <w:tr w14:paraId="5EA1B01F">
              <w:tblPrEx>
                <w:tblBorders>
                  <w:top w:val="double" w:color="000000" w:sz="4" w:space="0"/>
                  <w:left w:val="none" w:color="auto" w:sz="0" w:space="0"/>
                  <w:bottom w:val="doub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31" w:type="pct"/>
                  <w:tcBorders>
                    <w:tl2br w:val="nil"/>
                    <w:tr2bl w:val="nil"/>
                  </w:tcBorders>
                  <w:noWrap w:val="0"/>
                  <w:tcMar>
                    <w:top w:w="0" w:type="dxa"/>
                    <w:left w:w="0" w:type="dxa"/>
                    <w:bottom w:w="0" w:type="dxa"/>
                    <w:right w:w="0" w:type="dxa"/>
                  </w:tcMar>
                  <w:vAlign w:val="center"/>
                </w:tcPr>
                <w:p w14:paraId="0BCF195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t>序号</w:t>
                  </w:r>
                </w:p>
              </w:tc>
              <w:tc>
                <w:tcPr>
                  <w:tcW w:w="564" w:type="pct"/>
                  <w:tcBorders>
                    <w:tl2br w:val="nil"/>
                    <w:tr2bl w:val="nil"/>
                  </w:tcBorders>
                  <w:noWrap w:val="0"/>
                  <w:vAlign w:val="center"/>
                </w:tcPr>
                <w:p w14:paraId="205B9740">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剂型</w:t>
                  </w:r>
                </w:p>
              </w:tc>
              <w:tc>
                <w:tcPr>
                  <w:tcW w:w="1366" w:type="pct"/>
                  <w:tcBorders>
                    <w:tl2br w:val="nil"/>
                    <w:tr2bl w:val="nil"/>
                  </w:tcBorders>
                  <w:noWrap w:val="0"/>
                  <w:vAlign w:val="center"/>
                </w:tcPr>
                <w:p w14:paraId="4A9BDC4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14:textFill>
                        <w14:solidFill>
                          <w14:schemeClr w14:val="tx1"/>
                        </w14:solidFill>
                      </w14:textFill>
                    </w:rPr>
                    <w:t>药品名称</w:t>
                  </w:r>
                </w:p>
              </w:tc>
              <w:tc>
                <w:tcPr>
                  <w:tcW w:w="899" w:type="pct"/>
                  <w:tcBorders>
                    <w:tl2br w:val="nil"/>
                    <w:tr2bl w:val="nil"/>
                  </w:tcBorders>
                  <w:noWrap w:val="0"/>
                  <w:vAlign w:val="center"/>
                </w:tcPr>
                <w:p w14:paraId="0C835E66">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规格</w:t>
                  </w:r>
                </w:p>
              </w:tc>
              <w:tc>
                <w:tcPr>
                  <w:tcW w:w="874" w:type="pct"/>
                  <w:tcBorders>
                    <w:tl2br w:val="nil"/>
                    <w:tr2bl w:val="nil"/>
                  </w:tcBorders>
                  <w:noWrap w:val="0"/>
                  <w:vAlign w:val="center"/>
                </w:tcPr>
                <w:p w14:paraId="14072392">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b/>
                      <w:bCs/>
                      <w:color w:val="000000" w:themeColor="text1"/>
                      <w:sz w:val="21"/>
                      <w:szCs w:val="21"/>
                      <w:highlight w:val="none"/>
                      <w:lang w:val="en-US"/>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产品数量</w:t>
                  </w:r>
                </w:p>
              </w:tc>
              <w:tc>
                <w:tcPr>
                  <w:tcW w:w="964" w:type="pct"/>
                  <w:tcBorders>
                    <w:tl2br w:val="nil"/>
                    <w:tr2bl w:val="nil"/>
                  </w:tcBorders>
                  <w:noWrap w:val="0"/>
                  <w:vAlign w:val="center"/>
                </w:tcPr>
                <w:p w14:paraId="17CDBEAD">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t>产品重量（t/a）</w:t>
                  </w:r>
                </w:p>
              </w:tc>
            </w:tr>
            <w:tr w14:paraId="3489B561">
              <w:tblPrEx>
                <w:tblBorders>
                  <w:top w:val="double" w:color="000000" w:sz="4" w:space="0"/>
                  <w:left w:val="none" w:color="auto" w:sz="0" w:space="0"/>
                  <w:bottom w:val="doub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31" w:type="pct"/>
                  <w:tcBorders>
                    <w:tl2br w:val="nil"/>
                    <w:tr2bl w:val="nil"/>
                  </w:tcBorders>
                  <w:noWrap w:val="0"/>
                  <w:vAlign w:val="center"/>
                </w:tcPr>
                <w:p w14:paraId="07363D46">
                  <w:pPr>
                    <w:pStyle w:val="63"/>
                    <w:keepNext w:val="0"/>
                    <w:keepLines w:val="0"/>
                    <w:pageBreakBefore w:val="0"/>
                    <w:widowControl w:val="0"/>
                    <w:numPr>
                      <w:ilvl w:val="0"/>
                      <w:numId w:val="1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564" w:type="pct"/>
                  <w:vMerge w:val="restart"/>
                  <w:tcBorders>
                    <w:tl2br w:val="nil"/>
                    <w:tr2bl w:val="nil"/>
                  </w:tcBorders>
                  <w:noWrap w:val="0"/>
                  <w:vAlign w:val="center"/>
                </w:tcPr>
                <w:p w14:paraId="3A764999">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胶囊剂</w:t>
                  </w:r>
                </w:p>
              </w:tc>
              <w:tc>
                <w:tcPr>
                  <w:tcW w:w="1366" w:type="pct"/>
                  <w:tcBorders>
                    <w:tl2br w:val="nil"/>
                    <w:tr2bl w:val="nil"/>
                  </w:tcBorders>
                  <w:noWrap w:val="0"/>
                  <w:vAlign w:val="center"/>
                </w:tcPr>
                <w:p w14:paraId="2DDBBA2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eastAsia="zh-CN"/>
                      <w14:textFill>
                        <w14:solidFill>
                          <w14:schemeClr w14:val="tx1"/>
                        </w14:solidFill>
                      </w14:textFill>
                    </w:rPr>
                    <w:t>尪</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痹胶囊</w:t>
                  </w:r>
                </w:p>
              </w:tc>
              <w:tc>
                <w:tcPr>
                  <w:tcW w:w="899" w:type="pct"/>
                  <w:tcBorders>
                    <w:tl2br w:val="nil"/>
                    <w:tr2bl w:val="nil"/>
                  </w:tcBorders>
                  <w:noWrap w:val="0"/>
                  <w:vAlign w:val="center"/>
                </w:tcPr>
                <w:p w14:paraId="53EF7A5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0.55g/粒</w:t>
                  </w:r>
                </w:p>
              </w:tc>
              <w:tc>
                <w:tcPr>
                  <w:tcW w:w="874" w:type="pct"/>
                  <w:tcBorders>
                    <w:tl2br w:val="nil"/>
                    <w:tr2bl w:val="nil"/>
                  </w:tcBorders>
                  <w:noWrap w:val="0"/>
                  <w:vAlign w:val="center"/>
                </w:tcPr>
                <w:p w14:paraId="0F71E70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3.5亿</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粒</w:t>
                  </w:r>
                </w:p>
              </w:tc>
              <w:tc>
                <w:tcPr>
                  <w:tcW w:w="964" w:type="pct"/>
                  <w:tcBorders>
                    <w:tl2br w:val="nil"/>
                    <w:tr2bl w:val="nil"/>
                  </w:tcBorders>
                  <w:noWrap w:val="0"/>
                  <w:vAlign w:val="center"/>
                </w:tcPr>
                <w:p w14:paraId="61561F9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192.5</w:t>
                  </w:r>
                </w:p>
              </w:tc>
            </w:tr>
            <w:tr w14:paraId="79FA260D">
              <w:tblPrEx>
                <w:tblBorders>
                  <w:top w:val="double" w:color="000000" w:sz="4" w:space="0"/>
                  <w:left w:val="none" w:color="auto" w:sz="0" w:space="0"/>
                  <w:bottom w:val="doub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65" w:hRule="atLeast"/>
              </w:trPr>
              <w:tc>
                <w:tcPr>
                  <w:tcW w:w="331" w:type="pct"/>
                  <w:vMerge w:val="restart"/>
                  <w:tcBorders>
                    <w:tl2br w:val="nil"/>
                    <w:tr2bl w:val="nil"/>
                  </w:tcBorders>
                  <w:noWrap w:val="0"/>
                  <w:vAlign w:val="center"/>
                </w:tcPr>
                <w:p w14:paraId="32C62BB6">
                  <w:pPr>
                    <w:pStyle w:val="63"/>
                    <w:keepNext w:val="0"/>
                    <w:keepLines w:val="0"/>
                    <w:pageBreakBefore w:val="0"/>
                    <w:widowControl w:val="0"/>
                    <w:numPr>
                      <w:ilvl w:val="0"/>
                      <w:numId w:val="1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564" w:type="pct"/>
                  <w:vMerge w:val="continue"/>
                  <w:tcBorders>
                    <w:tl2br w:val="nil"/>
                    <w:tr2bl w:val="nil"/>
                  </w:tcBorders>
                  <w:noWrap w:val="0"/>
                  <w:vAlign w:val="center"/>
                </w:tcPr>
                <w:p w14:paraId="1127CE9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pPr>
                </w:p>
              </w:tc>
              <w:tc>
                <w:tcPr>
                  <w:tcW w:w="1366" w:type="pct"/>
                  <w:vMerge w:val="restart"/>
                  <w:tcBorders>
                    <w:tl2br w:val="nil"/>
                    <w:tr2bl w:val="nil"/>
                  </w:tcBorders>
                  <w:noWrap w:val="0"/>
                  <w:vAlign w:val="center"/>
                </w:tcPr>
                <w:p w14:paraId="1B0E1E5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气滞胃痛胶囊</w:t>
                  </w:r>
                </w:p>
              </w:tc>
              <w:tc>
                <w:tcPr>
                  <w:tcW w:w="899" w:type="pct"/>
                  <w:tcBorders>
                    <w:tl2br w:val="nil"/>
                    <w:tr2bl w:val="nil"/>
                  </w:tcBorders>
                  <w:noWrap w:val="0"/>
                  <w:vAlign w:val="center"/>
                </w:tcPr>
                <w:p w14:paraId="7D05C37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0.4g/粒</w:t>
                  </w:r>
                </w:p>
              </w:tc>
              <w:tc>
                <w:tcPr>
                  <w:tcW w:w="874" w:type="pct"/>
                  <w:tcBorders>
                    <w:tl2br w:val="nil"/>
                    <w:tr2bl w:val="nil"/>
                  </w:tcBorders>
                  <w:noWrap w:val="0"/>
                  <w:vAlign w:val="center"/>
                </w:tcPr>
                <w:p w14:paraId="38E45BA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0.1</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亿</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粒</w:t>
                  </w:r>
                </w:p>
              </w:tc>
              <w:tc>
                <w:tcPr>
                  <w:tcW w:w="964" w:type="pct"/>
                  <w:tcBorders>
                    <w:tl2br w:val="nil"/>
                    <w:tr2bl w:val="nil"/>
                  </w:tcBorders>
                  <w:noWrap w:val="0"/>
                  <w:vAlign w:val="center"/>
                </w:tcPr>
                <w:p w14:paraId="4356C2D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4</w:t>
                  </w:r>
                </w:p>
              </w:tc>
            </w:tr>
            <w:tr w14:paraId="58BD78EC">
              <w:tblPrEx>
                <w:tblBorders>
                  <w:top w:val="double" w:color="000000" w:sz="4" w:space="0"/>
                  <w:left w:val="none" w:color="auto" w:sz="0" w:space="0"/>
                  <w:bottom w:val="doub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65" w:hRule="atLeast"/>
              </w:trPr>
              <w:tc>
                <w:tcPr>
                  <w:tcW w:w="331" w:type="pct"/>
                  <w:vMerge w:val="continue"/>
                  <w:tcBorders>
                    <w:tl2br w:val="nil"/>
                    <w:tr2bl w:val="nil"/>
                  </w:tcBorders>
                  <w:noWrap w:val="0"/>
                  <w:vAlign w:val="center"/>
                </w:tcPr>
                <w:p w14:paraId="1EF3B73C">
                  <w:pPr>
                    <w:keepNext w:val="0"/>
                    <w:keepLines w:val="0"/>
                    <w:widowControl/>
                    <w:suppressLineNumbers w:val="0"/>
                    <w:spacing w:before="0" w:beforeAutospacing="0" w:after="0" w:afterAutospacing="0"/>
                    <w:ind w:left="0" w:right="0"/>
                    <w:jc w:val="center"/>
                    <w:textAlignment w:val="center"/>
                    <w:rPr>
                      <w:rFonts w:hint="default"/>
                      <w:color w:val="000000" w:themeColor="text1"/>
                      <w:highlight w:val="none"/>
                      <w14:textFill>
                        <w14:solidFill>
                          <w14:schemeClr w14:val="tx1"/>
                        </w14:solidFill>
                      </w14:textFill>
                    </w:rPr>
                  </w:pPr>
                </w:p>
              </w:tc>
              <w:tc>
                <w:tcPr>
                  <w:tcW w:w="564" w:type="pct"/>
                  <w:vMerge w:val="continue"/>
                  <w:tcBorders>
                    <w:tl2br w:val="nil"/>
                    <w:tr2bl w:val="nil"/>
                  </w:tcBorders>
                  <w:noWrap w:val="0"/>
                  <w:vAlign w:val="center"/>
                </w:tcPr>
                <w:p w14:paraId="47B2B5E3">
                  <w:pPr>
                    <w:keepNext w:val="0"/>
                    <w:keepLines w:val="0"/>
                    <w:widowControl/>
                    <w:suppressLineNumbers w:val="0"/>
                    <w:spacing w:before="0" w:beforeAutospacing="0" w:after="0" w:afterAutospacing="0"/>
                    <w:ind w:left="0" w:right="0"/>
                    <w:jc w:val="center"/>
                    <w:textAlignment w:val="center"/>
                    <w:rPr>
                      <w:rFonts w:hint="default"/>
                      <w:color w:val="000000" w:themeColor="text1"/>
                      <w:highlight w:val="none"/>
                      <w14:textFill>
                        <w14:solidFill>
                          <w14:schemeClr w14:val="tx1"/>
                        </w14:solidFill>
                      </w14:textFill>
                    </w:rPr>
                  </w:pPr>
                </w:p>
              </w:tc>
              <w:tc>
                <w:tcPr>
                  <w:tcW w:w="1366" w:type="pct"/>
                  <w:vMerge w:val="continue"/>
                  <w:tcBorders>
                    <w:tl2br w:val="nil"/>
                    <w:tr2bl w:val="nil"/>
                  </w:tcBorders>
                  <w:noWrap w:val="0"/>
                  <w:vAlign w:val="center"/>
                </w:tcPr>
                <w:p w14:paraId="2BF3B22D">
                  <w:pPr>
                    <w:keepNext w:val="0"/>
                    <w:keepLines w:val="0"/>
                    <w:widowControl/>
                    <w:suppressLineNumbers w:val="0"/>
                    <w:spacing w:before="0" w:beforeAutospacing="0" w:after="0" w:afterAutospacing="0"/>
                    <w:ind w:left="0" w:right="0"/>
                    <w:jc w:val="center"/>
                    <w:textAlignment w:val="center"/>
                    <w:rPr>
                      <w:rFonts w:hint="default"/>
                      <w:color w:val="000000" w:themeColor="text1"/>
                      <w:highlight w:val="none"/>
                      <w14:textFill>
                        <w14:solidFill>
                          <w14:schemeClr w14:val="tx1"/>
                        </w14:solidFill>
                      </w14:textFill>
                    </w:rPr>
                  </w:pPr>
                </w:p>
              </w:tc>
              <w:tc>
                <w:tcPr>
                  <w:tcW w:w="899" w:type="pct"/>
                  <w:tcBorders>
                    <w:tl2br w:val="nil"/>
                    <w:tr2bl w:val="nil"/>
                  </w:tcBorders>
                  <w:noWrap w:val="0"/>
                  <w:vAlign w:val="center"/>
                </w:tcPr>
                <w:p w14:paraId="20D2790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0.5g/粒</w:t>
                  </w:r>
                </w:p>
              </w:tc>
              <w:tc>
                <w:tcPr>
                  <w:tcW w:w="874" w:type="pct"/>
                  <w:tcBorders>
                    <w:tl2br w:val="nil"/>
                    <w:tr2bl w:val="nil"/>
                  </w:tcBorders>
                  <w:noWrap w:val="0"/>
                  <w:vAlign w:val="center"/>
                </w:tcPr>
                <w:p w14:paraId="5DA794D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0.1</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亿</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粒</w:t>
                  </w:r>
                </w:p>
              </w:tc>
              <w:tc>
                <w:tcPr>
                  <w:tcW w:w="964" w:type="pct"/>
                  <w:tcBorders>
                    <w:tl2br w:val="nil"/>
                    <w:tr2bl w:val="nil"/>
                  </w:tcBorders>
                  <w:noWrap w:val="0"/>
                  <w:vAlign w:val="center"/>
                </w:tcPr>
                <w:p w14:paraId="5CB5F81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5</w:t>
                  </w:r>
                </w:p>
              </w:tc>
            </w:tr>
            <w:tr w14:paraId="2256E17D">
              <w:tblPrEx>
                <w:tblBorders>
                  <w:top w:val="double" w:color="000000" w:sz="4" w:space="0"/>
                  <w:left w:val="none" w:color="auto" w:sz="0" w:space="0"/>
                  <w:bottom w:val="doub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31" w:type="pct"/>
                  <w:tcBorders>
                    <w:tl2br w:val="nil"/>
                    <w:tr2bl w:val="nil"/>
                  </w:tcBorders>
                  <w:noWrap w:val="0"/>
                  <w:vAlign w:val="center"/>
                </w:tcPr>
                <w:p w14:paraId="3C599626">
                  <w:pPr>
                    <w:pStyle w:val="63"/>
                    <w:keepNext w:val="0"/>
                    <w:keepLines w:val="0"/>
                    <w:pageBreakBefore w:val="0"/>
                    <w:widowControl w:val="0"/>
                    <w:numPr>
                      <w:ilvl w:val="0"/>
                      <w:numId w:val="1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564" w:type="pct"/>
                  <w:vMerge w:val="continue"/>
                  <w:tcBorders>
                    <w:tl2br w:val="nil"/>
                    <w:tr2bl w:val="nil"/>
                  </w:tcBorders>
                  <w:noWrap w:val="0"/>
                  <w:vAlign w:val="center"/>
                </w:tcPr>
                <w:p w14:paraId="734047E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pPr>
                </w:p>
              </w:tc>
              <w:tc>
                <w:tcPr>
                  <w:tcW w:w="1366" w:type="pct"/>
                  <w:tcBorders>
                    <w:tl2br w:val="nil"/>
                    <w:tr2bl w:val="nil"/>
                  </w:tcBorders>
                  <w:noWrap w:val="0"/>
                  <w:vAlign w:val="center"/>
                </w:tcPr>
                <w:p w14:paraId="205F07C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t>表虚感冒胶囊</w:t>
                  </w:r>
                </w:p>
              </w:tc>
              <w:tc>
                <w:tcPr>
                  <w:tcW w:w="899" w:type="pct"/>
                  <w:tcBorders>
                    <w:tl2br w:val="nil"/>
                    <w:tr2bl w:val="nil"/>
                  </w:tcBorders>
                  <w:noWrap w:val="0"/>
                  <w:vAlign w:val="center"/>
                </w:tcPr>
                <w:p w14:paraId="2446A3C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0.5g/粒</w:t>
                  </w:r>
                </w:p>
              </w:tc>
              <w:tc>
                <w:tcPr>
                  <w:tcW w:w="874" w:type="pct"/>
                  <w:tcBorders>
                    <w:tl2br w:val="nil"/>
                    <w:tr2bl w:val="nil"/>
                  </w:tcBorders>
                  <w:noWrap w:val="0"/>
                  <w:vAlign w:val="center"/>
                </w:tcPr>
                <w:p w14:paraId="64D9E21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0.1</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亿</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粒</w:t>
                  </w:r>
                </w:p>
              </w:tc>
              <w:tc>
                <w:tcPr>
                  <w:tcW w:w="964" w:type="pct"/>
                  <w:tcBorders>
                    <w:tl2br w:val="nil"/>
                    <w:tr2bl w:val="nil"/>
                  </w:tcBorders>
                  <w:noWrap w:val="0"/>
                  <w:vAlign w:val="center"/>
                </w:tcPr>
                <w:p w14:paraId="02C8590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5</w:t>
                  </w:r>
                </w:p>
              </w:tc>
            </w:tr>
            <w:tr w14:paraId="528987E4">
              <w:tblPrEx>
                <w:tblBorders>
                  <w:top w:val="double" w:color="000000" w:sz="4" w:space="0"/>
                  <w:left w:val="none" w:color="auto" w:sz="0" w:space="0"/>
                  <w:bottom w:val="doub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31" w:type="pct"/>
                  <w:tcBorders>
                    <w:tl2br w:val="nil"/>
                    <w:tr2bl w:val="nil"/>
                  </w:tcBorders>
                  <w:noWrap w:val="0"/>
                  <w:vAlign w:val="center"/>
                </w:tcPr>
                <w:p w14:paraId="1E336E54">
                  <w:pPr>
                    <w:pStyle w:val="63"/>
                    <w:keepNext w:val="0"/>
                    <w:keepLines w:val="0"/>
                    <w:pageBreakBefore w:val="0"/>
                    <w:widowControl w:val="0"/>
                    <w:numPr>
                      <w:ilvl w:val="0"/>
                      <w:numId w:val="1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564" w:type="pct"/>
                  <w:vMerge w:val="continue"/>
                  <w:tcBorders>
                    <w:tl2br w:val="nil"/>
                    <w:tr2bl w:val="nil"/>
                  </w:tcBorders>
                  <w:noWrap w:val="0"/>
                  <w:vAlign w:val="center"/>
                </w:tcPr>
                <w:p w14:paraId="4391CE0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pPr>
                </w:p>
              </w:tc>
              <w:tc>
                <w:tcPr>
                  <w:tcW w:w="1366" w:type="pct"/>
                  <w:tcBorders>
                    <w:tl2br w:val="nil"/>
                    <w:tr2bl w:val="nil"/>
                  </w:tcBorders>
                  <w:noWrap w:val="0"/>
                  <w:vAlign w:val="center"/>
                </w:tcPr>
                <w:p w14:paraId="340F1F1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t>阴虚胃痛胶囊</w:t>
                  </w:r>
                </w:p>
              </w:tc>
              <w:tc>
                <w:tcPr>
                  <w:tcW w:w="899" w:type="pct"/>
                  <w:tcBorders>
                    <w:tl2br w:val="nil"/>
                    <w:tr2bl w:val="nil"/>
                  </w:tcBorders>
                  <w:noWrap w:val="0"/>
                  <w:vAlign w:val="center"/>
                </w:tcPr>
                <w:p w14:paraId="5DC6AD5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0.38g/粒</w:t>
                  </w:r>
                </w:p>
              </w:tc>
              <w:tc>
                <w:tcPr>
                  <w:tcW w:w="874" w:type="pct"/>
                  <w:tcBorders>
                    <w:tl2br w:val="nil"/>
                    <w:tr2bl w:val="nil"/>
                  </w:tcBorders>
                  <w:noWrap w:val="0"/>
                  <w:vAlign w:val="center"/>
                </w:tcPr>
                <w:p w14:paraId="6D4DC25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0.1</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亿</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粒</w:t>
                  </w:r>
                </w:p>
              </w:tc>
              <w:tc>
                <w:tcPr>
                  <w:tcW w:w="964" w:type="pct"/>
                  <w:tcBorders>
                    <w:tl2br w:val="nil"/>
                    <w:tr2bl w:val="nil"/>
                  </w:tcBorders>
                  <w:noWrap w:val="0"/>
                  <w:vAlign w:val="center"/>
                </w:tcPr>
                <w:p w14:paraId="70B5663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3.8</w:t>
                  </w:r>
                </w:p>
              </w:tc>
            </w:tr>
            <w:tr w14:paraId="46E4C7AC">
              <w:tblPrEx>
                <w:tblBorders>
                  <w:top w:val="double" w:color="000000" w:sz="4" w:space="0"/>
                  <w:left w:val="none" w:color="auto" w:sz="0" w:space="0"/>
                  <w:bottom w:val="doub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31" w:type="pct"/>
                  <w:tcBorders>
                    <w:tl2br w:val="nil"/>
                    <w:tr2bl w:val="nil"/>
                  </w:tcBorders>
                  <w:noWrap w:val="0"/>
                  <w:vAlign w:val="center"/>
                </w:tcPr>
                <w:p w14:paraId="6B48D0C1">
                  <w:pPr>
                    <w:pStyle w:val="63"/>
                    <w:keepNext w:val="0"/>
                    <w:keepLines w:val="0"/>
                    <w:pageBreakBefore w:val="0"/>
                    <w:widowControl w:val="0"/>
                    <w:numPr>
                      <w:ilvl w:val="0"/>
                      <w:numId w:val="1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564" w:type="pct"/>
                  <w:vMerge w:val="continue"/>
                  <w:tcBorders>
                    <w:tl2br w:val="nil"/>
                    <w:tr2bl w:val="nil"/>
                  </w:tcBorders>
                  <w:noWrap w:val="0"/>
                  <w:vAlign w:val="center"/>
                </w:tcPr>
                <w:p w14:paraId="5D86393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pPr>
                </w:p>
              </w:tc>
              <w:tc>
                <w:tcPr>
                  <w:tcW w:w="1366" w:type="pct"/>
                  <w:tcBorders>
                    <w:tl2br w:val="nil"/>
                    <w:tr2bl w:val="nil"/>
                  </w:tcBorders>
                  <w:noWrap w:val="0"/>
                  <w:vAlign w:val="center"/>
                </w:tcPr>
                <w:p w14:paraId="4EAA325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湿热痹胶囊</w:t>
                  </w:r>
                </w:p>
              </w:tc>
              <w:tc>
                <w:tcPr>
                  <w:tcW w:w="899" w:type="pct"/>
                  <w:tcBorders>
                    <w:tl2br w:val="nil"/>
                    <w:tr2bl w:val="nil"/>
                  </w:tcBorders>
                  <w:noWrap w:val="0"/>
                  <w:vAlign w:val="center"/>
                </w:tcPr>
                <w:p w14:paraId="5C17E2D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0.37</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g/粒</w:t>
                  </w:r>
                </w:p>
              </w:tc>
              <w:tc>
                <w:tcPr>
                  <w:tcW w:w="874" w:type="pct"/>
                  <w:tcBorders>
                    <w:tl2br w:val="nil"/>
                    <w:tr2bl w:val="nil"/>
                  </w:tcBorders>
                  <w:noWrap w:val="0"/>
                  <w:vAlign w:val="center"/>
                </w:tcPr>
                <w:p w14:paraId="6766112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0.1</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亿</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粒</w:t>
                  </w:r>
                </w:p>
              </w:tc>
              <w:tc>
                <w:tcPr>
                  <w:tcW w:w="964" w:type="pct"/>
                  <w:tcBorders>
                    <w:tl2br w:val="nil"/>
                    <w:tr2bl w:val="nil"/>
                  </w:tcBorders>
                  <w:noWrap w:val="0"/>
                  <w:vAlign w:val="center"/>
                </w:tcPr>
                <w:p w14:paraId="35F5DD6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3.7</w:t>
                  </w:r>
                </w:p>
              </w:tc>
            </w:tr>
            <w:tr w14:paraId="5D6FEEF3">
              <w:tblPrEx>
                <w:tblBorders>
                  <w:top w:val="double" w:color="000000" w:sz="4" w:space="0"/>
                  <w:left w:val="none" w:color="auto" w:sz="0" w:space="0"/>
                  <w:bottom w:val="doub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161" w:type="pct"/>
                  <w:gridSpan w:val="4"/>
                  <w:tcBorders>
                    <w:tl2br w:val="nil"/>
                    <w:tr2bl w:val="nil"/>
                  </w:tcBorders>
                  <w:noWrap w:val="0"/>
                  <w:vAlign w:val="center"/>
                </w:tcPr>
                <w:p w14:paraId="18234C1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胶囊剂</w:t>
                  </w:r>
                  <w:r>
                    <w:rPr>
                      <w:rFonts w:hint="eastAsia" w:cs="Times New Roman"/>
                      <w:b w:val="0"/>
                      <w:bCs w:val="0"/>
                      <w:color w:val="000000" w:themeColor="text1"/>
                      <w:kern w:val="0"/>
                      <w:sz w:val="21"/>
                      <w:szCs w:val="21"/>
                      <w:highlight w:val="none"/>
                      <w:lang w:val="en-US" w:eastAsia="zh-CN"/>
                      <w14:textFill>
                        <w14:solidFill>
                          <w14:schemeClr w14:val="tx1"/>
                        </w14:solidFill>
                      </w14:textFill>
                    </w:rPr>
                    <w:t>总计</w:t>
                  </w:r>
                </w:p>
              </w:tc>
              <w:tc>
                <w:tcPr>
                  <w:tcW w:w="874" w:type="pct"/>
                  <w:tcBorders>
                    <w:tl2br w:val="nil"/>
                    <w:tr2bl w:val="nil"/>
                  </w:tcBorders>
                  <w:noWrap w:val="0"/>
                  <w:vAlign w:val="center"/>
                </w:tcPr>
                <w:p w14:paraId="30494F1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4.0</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亿</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粒</w:t>
                  </w:r>
                </w:p>
              </w:tc>
              <w:tc>
                <w:tcPr>
                  <w:tcW w:w="964" w:type="pct"/>
                  <w:tcBorders>
                    <w:tl2br w:val="nil"/>
                    <w:tr2bl w:val="nil"/>
                  </w:tcBorders>
                  <w:noWrap w:val="0"/>
                  <w:vAlign w:val="center"/>
                </w:tcPr>
                <w:p w14:paraId="068AB6E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214</w:t>
                  </w:r>
                </w:p>
              </w:tc>
            </w:tr>
            <w:tr w14:paraId="769D0A30">
              <w:tblPrEx>
                <w:tblBorders>
                  <w:top w:val="double" w:color="000000" w:sz="4" w:space="0"/>
                  <w:left w:val="none" w:color="auto" w:sz="0" w:space="0"/>
                  <w:bottom w:val="doub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65" w:hRule="atLeast"/>
              </w:trPr>
              <w:tc>
                <w:tcPr>
                  <w:tcW w:w="331" w:type="pct"/>
                  <w:vMerge w:val="restart"/>
                  <w:tcBorders>
                    <w:tl2br w:val="nil"/>
                    <w:tr2bl w:val="nil"/>
                  </w:tcBorders>
                  <w:noWrap w:val="0"/>
                  <w:vAlign w:val="center"/>
                </w:tcPr>
                <w:p w14:paraId="09C16847">
                  <w:pPr>
                    <w:pStyle w:val="63"/>
                    <w:keepNext w:val="0"/>
                    <w:keepLines w:val="0"/>
                    <w:pageBreakBefore w:val="0"/>
                    <w:widowControl w:val="0"/>
                    <w:numPr>
                      <w:ilvl w:val="0"/>
                      <w:numId w:val="2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564" w:type="pct"/>
                  <w:vMerge w:val="restart"/>
                  <w:tcBorders>
                    <w:tl2br w:val="nil"/>
                    <w:tr2bl w:val="nil"/>
                  </w:tcBorders>
                  <w:noWrap w:val="0"/>
                  <w:vAlign w:val="center"/>
                </w:tcPr>
                <w:p w14:paraId="76F61459">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片剂</w:t>
                  </w:r>
                </w:p>
              </w:tc>
              <w:tc>
                <w:tcPr>
                  <w:tcW w:w="1366" w:type="pct"/>
                  <w:vMerge w:val="restart"/>
                  <w:tcBorders>
                    <w:tl2br w:val="nil"/>
                    <w:tr2bl w:val="nil"/>
                  </w:tcBorders>
                  <w:noWrap w:val="0"/>
                  <w:vAlign w:val="center"/>
                </w:tcPr>
                <w:p w14:paraId="7B57951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气滞胃痛片</w:t>
                  </w:r>
                </w:p>
              </w:tc>
              <w:tc>
                <w:tcPr>
                  <w:tcW w:w="899" w:type="pct"/>
                  <w:tcBorders>
                    <w:tl2br w:val="nil"/>
                    <w:tr2bl w:val="nil"/>
                  </w:tcBorders>
                  <w:noWrap w:val="0"/>
                  <w:vAlign w:val="center"/>
                </w:tcPr>
                <w:p w14:paraId="465F879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0.5g/片</w:t>
                  </w:r>
                </w:p>
              </w:tc>
              <w:tc>
                <w:tcPr>
                  <w:tcW w:w="874" w:type="pct"/>
                  <w:tcBorders>
                    <w:tl2br w:val="nil"/>
                    <w:tr2bl w:val="nil"/>
                  </w:tcBorders>
                  <w:noWrap w:val="0"/>
                  <w:vAlign w:val="center"/>
                </w:tcPr>
                <w:p w14:paraId="0393931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0.15</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亿</w:t>
                  </w: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片</w:t>
                  </w:r>
                </w:p>
              </w:tc>
              <w:tc>
                <w:tcPr>
                  <w:tcW w:w="964" w:type="pct"/>
                  <w:tcBorders>
                    <w:tl2br w:val="nil"/>
                    <w:tr2bl w:val="nil"/>
                  </w:tcBorders>
                  <w:noWrap w:val="0"/>
                  <w:vAlign w:val="center"/>
                </w:tcPr>
                <w:p w14:paraId="2DE9AF9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7.5</w:t>
                  </w:r>
                </w:p>
              </w:tc>
            </w:tr>
            <w:tr w14:paraId="1420BC98">
              <w:tblPrEx>
                <w:tblBorders>
                  <w:top w:val="double" w:color="000000" w:sz="4" w:space="0"/>
                  <w:left w:val="none" w:color="auto" w:sz="0" w:space="0"/>
                  <w:bottom w:val="doub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65" w:hRule="atLeast"/>
              </w:trPr>
              <w:tc>
                <w:tcPr>
                  <w:tcW w:w="331" w:type="pct"/>
                  <w:vMerge w:val="continue"/>
                  <w:tcBorders>
                    <w:tl2br w:val="nil"/>
                    <w:tr2bl w:val="nil"/>
                  </w:tcBorders>
                  <w:noWrap w:val="0"/>
                  <w:vAlign w:val="center"/>
                </w:tcPr>
                <w:p w14:paraId="61B7A499">
                  <w:pPr>
                    <w:keepNext w:val="0"/>
                    <w:keepLines w:val="0"/>
                    <w:widowControl/>
                    <w:suppressLineNumbers w:val="0"/>
                    <w:spacing w:before="0" w:beforeAutospacing="0" w:after="0" w:afterAutospacing="0"/>
                    <w:ind w:left="0" w:right="0"/>
                    <w:jc w:val="center"/>
                    <w:rPr>
                      <w:rFonts w:hint="default"/>
                      <w:color w:val="000000" w:themeColor="text1"/>
                      <w:highlight w:val="none"/>
                      <w14:textFill>
                        <w14:solidFill>
                          <w14:schemeClr w14:val="tx1"/>
                        </w14:solidFill>
                      </w14:textFill>
                    </w:rPr>
                  </w:pPr>
                </w:p>
              </w:tc>
              <w:tc>
                <w:tcPr>
                  <w:tcW w:w="564" w:type="pct"/>
                  <w:vMerge w:val="continue"/>
                  <w:tcBorders>
                    <w:tl2br w:val="nil"/>
                    <w:tr2bl w:val="nil"/>
                  </w:tcBorders>
                  <w:noWrap w:val="0"/>
                  <w:vAlign w:val="center"/>
                </w:tcPr>
                <w:p w14:paraId="53AA3037">
                  <w:pPr>
                    <w:keepNext w:val="0"/>
                    <w:keepLines w:val="0"/>
                    <w:widowControl/>
                    <w:suppressLineNumbers w:val="0"/>
                    <w:spacing w:before="0" w:beforeAutospacing="0" w:after="0" w:afterAutospacing="0"/>
                    <w:ind w:left="0" w:right="0"/>
                    <w:jc w:val="center"/>
                    <w:rPr>
                      <w:rFonts w:hint="default"/>
                      <w:color w:val="000000" w:themeColor="text1"/>
                      <w:highlight w:val="none"/>
                      <w14:textFill>
                        <w14:solidFill>
                          <w14:schemeClr w14:val="tx1"/>
                        </w14:solidFill>
                      </w14:textFill>
                    </w:rPr>
                  </w:pPr>
                </w:p>
              </w:tc>
              <w:tc>
                <w:tcPr>
                  <w:tcW w:w="1366" w:type="pct"/>
                  <w:vMerge w:val="continue"/>
                  <w:tcBorders>
                    <w:tl2br w:val="nil"/>
                    <w:tr2bl w:val="nil"/>
                  </w:tcBorders>
                  <w:noWrap w:val="0"/>
                  <w:vAlign w:val="center"/>
                </w:tcPr>
                <w:p w14:paraId="4CF8F950">
                  <w:pPr>
                    <w:keepNext w:val="0"/>
                    <w:keepLines w:val="0"/>
                    <w:widowControl/>
                    <w:suppressLineNumbers w:val="0"/>
                    <w:spacing w:before="0" w:beforeAutospacing="0" w:after="0" w:afterAutospacing="0"/>
                    <w:ind w:left="0" w:right="0"/>
                    <w:jc w:val="center"/>
                    <w:rPr>
                      <w:rFonts w:hint="default"/>
                      <w:color w:val="000000" w:themeColor="text1"/>
                      <w:highlight w:val="none"/>
                      <w14:textFill>
                        <w14:solidFill>
                          <w14:schemeClr w14:val="tx1"/>
                        </w14:solidFill>
                      </w14:textFill>
                    </w:rPr>
                  </w:pPr>
                </w:p>
              </w:tc>
              <w:tc>
                <w:tcPr>
                  <w:tcW w:w="899" w:type="pct"/>
                  <w:tcBorders>
                    <w:tl2br w:val="nil"/>
                    <w:tr2bl w:val="nil"/>
                  </w:tcBorders>
                  <w:noWrap w:val="0"/>
                  <w:vAlign w:val="center"/>
                </w:tcPr>
                <w:p w14:paraId="40DF82B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0.25g/片</w:t>
                  </w:r>
                </w:p>
              </w:tc>
              <w:tc>
                <w:tcPr>
                  <w:tcW w:w="874" w:type="pct"/>
                  <w:tcBorders>
                    <w:tl2br w:val="nil"/>
                    <w:tr2bl w:val="nil"/>
                  </w:tcBorders>
                  <w:noWrap w:val="0"/>
                  <w:vAlign w:val="center"/>
                </w:tcPr>
                <w:p w14:paraId="1E604E9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0.15</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亿</w:t>
                  </w: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片</w:t>
                  </w:r>
                </w:p>
              </w:tc>
              <w:tc>
                <w:tcPr>
                  <w:tcW w:w="964" w:type="pct"/>
                  <w:tcBorders>
                    <w:tl2br w:val="nil"/>
                    <w:tr2bl w:val="nil"/>
                  </w:tcBorders>
                  <w:noWrap w:val="0"/>
                  <w:vAlign w:val="center"/>
                </w:tcPr>
                <w:p w14:paraId="3F9031A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3.75</w:t>
                  </w:r>
                </w:p>
              </w:tc>
            </w:tr>
            <w:tr w14:paraId="451453BA">
              <w:tblPrEx>
                <w:tblBorders>
                  <w:top w:val="double" w:color="000000" w:sz="4" w:space="0"/>
                  <w:left w:val="none" w:color="auto" w:sz="0" w:space="0"/>
                  <w:bottom w:val="doub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31" w:type="pct"/>
                  <w:tcBorders>
                    <w:tl2br w:val="nil"/>
                    <w:tr2bl w:val="nil"/>
                  </w:tcBorders>
                  <w:noWrap w:val="0"/>
                  <w:vAlign w:val="center"/>
                </w:tcPr>
                <w:p w14:paraId="78EB8C66">
                  <w:pPr>
                    <w:pStyle w:val="63"/>
                    <w:keepNext w:val="0"/>
                    <w:keepLines w:val="0"/>
                    <w:pageBreakBefore w:val="0"/>
                    <w:widowControl w:val="0"/>
                    <w:numPr>
                      <w:ilvl w:val="0"/>
                      <w:numId w:val="2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564" w:type="pct"/>
                  <w:vMerge w:val="continue"/>
                  <w:tcBorders>
                    <w:tl2br w:val="nil"/>
                    <w:tr2bl w:val="nil"/>
                  </w:tcBorders>
                  <w:noWrap w:val="0"/>
                  <w:vAlign w:val="center"/>
                </w:tcPr>
                <w:p w14:paraId="3D2ACCB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1366" w:type="pct"/>
                  <w:tcBorders>
                    <w:tl2br w:val="nil"/>
                    <w:tr2bl w:val="nil"/>
                  </w:tcBorders>
                  <w:noWrap w:val="0"/>
                  <w:vAlign w:val="center"/>
                </w:tcPr>
                <w:p w14:paraId="690DA32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瘀血痹片</w:t>
                  </w:r>
                </w:p>
              </w:tc>
              <w:tc>
                <w:tcPr>
                  <w:tcW w:w="899" w:type="pct"/>
                  <w:tcBorders>
                    <w:tl2br w:val="nil"/>
                    <w:tr2bl w:val="nil"/>
                  </w:tcBorders>
                  <w:noWrap w:val="0"/>
                  <w:vAlign w:val="center"/>
                </w:tcPr>
                <w:p w14:paraId="7ED3462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0.5</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g/片</w:t>
                  </w:r>
                </w:p>
              </w:tc>
              <w:tc>
                <w:tcPr>
                  <w:tcW w:w="874" w:type="pct"/>
                  <w:tcBorders>
                    <w:tl2br w:val="nil"/>
                    <w:tr2bl w:val="nil"/>
                  </w:tcBorders>
                  <w:noWrap w:val="0"/>
                  <w:vAlign w:val="center"/>
                </w:tcPr>
                <w:p w14:paraId="53C1C66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1.5</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亿</w:t>
                  </w: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片</w:t>
                  </w:r>
                </w:p>
              </w:tc>
              <w:tc>
                <w:tcPr>
                  <w:tcW w:w="964" w:type="pct"/>
                  <w:tcBorders>
                    <w:tl2br w:val="nil"/>
                    <w:tr2bl w:val="nil"/>
                  </w:tcBorders>
                  <w:noWrap w:val="0"/>
                  <w:vAlign w:val="center"/>
                </w:tcPr>
                <w:p w14:paraId="2824839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75</w:t>
                  </w:r>
                </w:p>
              </w:tc>
            </w:tr>
            <w:tr w14:paraId="14E1BFA1">
              <w:tblPrEx>
                <w:tblBorders>
                  <w:top w:val="double" w:color="000000" w:sz="4" w:space="0"/>
                  <w:left w:val="none" w:color="auto" w:sz="0" w:space="0"/>
                  <w:bottom w:val="doub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31" w:type="pct"/>
                  <w:tcBorders>
                    <w:tl2br w:val="nil"/>
                    <w:tr2bl w:val="nil"/>
                  </w:tcBorders>
                  <w:noWrap w:val="0"/>
                  <w:vAlign w:val="center"/>
                </w:tcPr>
                <w:p w14:paraId="6A99F1F8">
                  <w:pPr>
                    <w:pStyle w:val="63"/>
                    <w:keepNext w:val="0"/>
                    <w:keepLines w:val="0"/>
                    <w:pageBreakBefore w:val="0"/>
                    <w:widowControl w:val="0"/>
                    <w:numPr>
                      <w:ilvl w:val="0"/>
                      <w:numId w:val="2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564" w:type="pct"/>
                  <w:vMerge w:val="continue"/>
                  <w:tcBorders>
                    <w:tl2br w:val="nil"/>
                    <w:tr2bl w:val="nil"/>
                  </w:tcBorders>
                  <w:noWrap w:val="0"/>
                  <w:vAlign w:val="center"/>
                </w:tcPr>
                <w:p w14:paraId="2CE46EC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1366" w:type="pct"/>
                  <w:tcBorders>
                    <w:tl2br w:val="nil"/>
                    <w:tr2bl w:val="nil"/>
                  </w:tcBorders>
                  <w:noWrap w:val="0"/>
                  <w:vAlign w:val="center"/>
                </w:tcPr>
                <w:p w14:paraId="51DE299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阴虚胃痛片</w:t>
                  </w:r>
                </w:p>
              </w:tc>
              <w:tc>
                <w:tcPr>
                  <w:tcW w:w="899" w:type="pct"/>
                  <w:tcBorders>
                    <w:tl2br w:val="nil"/>
                    <w:tr2bl w:val="nil"/>
                  </w:tcBorders>
                  <w:noWrap w:val="0"/>
                  <w:vAlign w:val="center"/>
                </w:tcPr>
                <w:p w14:paraId="68D4EAE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0.25g/片</w:t>
                  </w:r>
                </w:p>
              </w:tc>
              <w:tc>
                <w:tcPr>
                  <w:tcW w:w="874" w:type="pct"/>
                  <w:tcBorders>
                    <w:tl2br w:val="nil"/>
                    <w:tr2bl w:val="nil"/>
                  </w:tcBorders>
                  <w:noWrap w:val="0"/>
                  <w:vAlign w:val="center"/>
                </w:tcPr>
                <w:p w14:paraId="15E012E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0.2</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亿</w:t>
                  </w: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片</w:t>
                  </w:r>
                </w:p>
              </w:tc>
              <w:tc>
                <w:tcPr>
                  <w:tcW w:w="964" w:type="pct"/>
                  <w:tcBorders>
                    <w:tl2br w:val="nil"/>
                    <w:tr2bl w:val="nil"/>
                  </w:tcBorders>
                  <w:noWrap w:val="0"/>
                  <w:vAlign w:val="center"/>
                </w:tcPr>
                <w:p w14:paraId="36E12C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5</w:t>
                  </w:r>
                </w:p>
              </w:tc>
            </w:tr>
            <w:tr w14:paraId="187F9900">
              <w:tblPrEx>
                <w:tblBorders>
                  <w:top w:val="double" w:color="000000" w:sz="4" w:space="0"/>
                  <w:left w:val="none" w:color="auto" w:sz="0" w:space="0"/>
                  <w:bottom w:val="doub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161" w:type="pct"/>
                  <w:gridSpan w:val="4"/>
                  <w:tcBorders>
                    <w:tl2br w:val="nil"/>
                    <w:tr2bl w:val="nil"/>
                  </w:tcBorders>
                  <w:noWrap w:val="0"/>
                  <w:vAlign w:val="center"/>
                </w:tcPr>
                <w:p w14:paraId="2200B944">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片剂</w:t>
                  </w:r>
                  <w:r>
                    <w:rPr>
                      <w:rFonts w:hint="eastAsia" w:cs="Times New Roman"/>
                      <w:b w:val="0"/>
                      <w:bCs w:val="0"/>
                      <w:color w:val="000000" w:themeColor="text1"/>
                      <w:kern w:val="0"/>
                      <w:sz w:val="21"/>
                      <w:szCs w:val="21"/>
                      <w:highlight w:val="none"/>
                      <w:lang w:val="en-US" w:eastAsia="zh-CN"/>
                      <w14:textFill>
                        <w14:solidFill>
                          <w14:schemeClr w14:val="tx1"/>
                        </w14:solidFill>
                      </w14:textFill>
                    </w:rPr>
                    <w:t>总计</w:t>
                  </w:r>
                </w:p>
              </w:tc>
              <w:tc>
                <w:tcPr>
                  <w:tcW w:w="874" w:type="pct"/>
                  <w:tcBorders>
                    <w:tl2br w:val="nil"/>
                    <w:tr2bl w:val="nil"/>
                  </w:tcBorders>
                  <w:noWrap w:val="0"/>
                  <w:vAlign w:val="center"/>
                </w:tcPr>
                <w:p w14:paraId="4B8AC5E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2.0</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亿</w:t>
                  </w: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片</w:t>
                  </w:r>
                </w:p>
              </w:tc>
              <w:tc>
                <w:tcPr>
                  <w:tcW w:w="964" w:type="pct"/>
                  <w:tcBorders>
                    <w:tl2br w:val="nil"/>
                    <w:tr2bl w:val="nil"/>
                  </w:tcBorders>
                  <w:noWrap w:val="0"/>
                  <w:vAlign w:val="center"/>
                </w:tcPr>
                <w:p w14:paraId="5EA9A4D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91.25</w:t>
                  </w:r>
                </w:p>
              </w:tc>
            </w:tr>
            <w:tr w14:paraId="60D09553">
              <w:tblPrEx>
                <w:tblBorders>
                  <w:top w:val="double" w:color="000000" w:sz="4" w:space="0"/>
                  <w:left w:val="none" w:color="auto" w:sz="0" w:space="0"/>
                  <w:bottom w:val="doub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31" w:type="pct"/>
                  <w:tcBorders>
                    <w:tl2br w:val="nil"/>
                    <w:tr2bl w:val="nil"/>
                  </w:tcBorders>
                  <w:noWrap w:val="0"/>
                  <w:vAlign w:val="center"/>
                </w:tcPr>
                <w:p w14:paraId="1C4FB861">
                  <w:pPr>
                    <w:pStyle w:val="63"/>
                    <w:keepNext w:val="0"/>
                    <w:keepLines w:val="0"/>
                    <w:pageBreakBefore w:val="0"/>
                    <w:widowControl w:val="0"/>
                    <w:numPr>
                      <w:ilvl w:val="0"/>
                      <w:numId w:val="21"/>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564" w:type="pct"/>
                  <w:vMerge w:val="restart"/>
                  <w:tcBorders>
                    <w:tl2br w:val="nil"/>
                    <w:tr2bl w:val="nil"/>
                  </w:tcBorders>
                  <w:noWrap w:val="0"/>
                  <w:vAlign w:val="center"/>
                </w:tcPr>
                <w:p w14:paraId="0C411544">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颗粒剂</w:t>
                  </w:r>
                </w:p>
              </w:tc>
              <w:tc>
                <w:tcPr>
                  <w:tcW w:w="1366" w:type="pct"/>
                  <w:tcBorders>
                    <w:tl2br w:val="nil"/>
                    <w:tr2bl w:val="nil"/>
                  </w:tcBorders>
                  <w:noWrap w:val="0"/>
                  <w:vAlign w:val="center"/>
                </w:tcPr>
                <w:p w14:paraId="4BF4866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乙肝清热解毒颗粒</w:t>
                  </w:r>
                </w:p>
              </w:tc>
              <w:tc>
                <w:tcPr>
                  <w:tcW w:w="899" w:type="pct"/>
                  <w:tcBorders>
                    <w:tl2br w:val="nil"/>
                    <w:tr2bl w:val="nil"/>
                  </w:tcBorders>
                  <w:noWrap w:val="0"/>
                  <w:vAlign w:val="center"/>
                </w:tcPr>
                <w:p w14:paraId="44D3D32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6g/袋</w:t>
                  </w:r>
                </w:p>
              </w:tc>
              <w:tc>
                <w:tcPr>
                  <w:tcW w:w="874" w:type="pct"/>
                  <w:tcBorders>
                    <w:tl2br w:val="nil"/>
                    <w:tr2bl w:val="nil"/>
                  </w:tcBorders>
                  <w:noWrap w:val="0"/>
                  <w:vAlign w:val="center"/>
                </w:tcPr>
                <w:p w14:paraId="79E69AB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0.1</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亿</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袋</w:t>
                  </w:r>
                </w:p>
              </w:tc>
              <w:tc>
                <w:tcPr>
                  <w:tcW w:w="964" w:type="pct"/>
                  <w:tcBorders>
                    <w:tl2br w:val="nil"/>
                    <w:tr2bl w:val="nil"/>
                  </w:tcBorders>
                  <w:noWrap w:val="0"/>
                  <w:vAlign w:val="center"/>
                </w:tcPr>
                <w:p w14:paraId="565C48B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60</w:t>
                  </w:r>
                </w:p>
              </w:tc>
            </w:tr>
            <w:tr w14:paraId="243C224A">
              <w:tblPrEx>
                <w:tblBorders>
                  <w:top w:val="double" w:color="000000" w:sz="4" w:space="0"/>
                  <w:left w:val="none" w:color="auto" w:sz="0" w:space="0"/>
                  <w:bottom w:val="doub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31" w:type="pct"/>
                  <w:tcBorders>
                    <w:tl2br w:val="nil"/>
                    <w:tr2bl w:val="nil"/>
                  </w:tcBorders>
                  <w:noWrap w:val="0"/>
                  <w:vAlign w:val="center"/>
                </w:tcPr>
                <w:p w14:paraId="162A551B">
                  <w:pPr>
                    <w:pStyle w:val="63"/>
                    <w:keepNext w:val="0"/>
                    <w:keepLines w:val="0"/>
                    <w:pageBreakBefore w:val="0"/>
                    <w:widowControl w:val="0"/>
                    <w:numPr>
                      <w:ilvl w:val="0"/>
                      <w:numId w:val="21"/>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564" w:type="pct"/>
                  <w:vMerge w:val="continue"/>
                  <w:tcBorders>
                    <w:tl2br w:val="nil"/>
                    <w:tr2bl w:val="nil"/>
                  </w:tcBorders>
                  <w:noWrap w:val="0"/>
                  <w:vAlign w:val="center"/>
                </w:tcPr>
                <w:p w14:paraId="18A45A9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1366" w:type="pct"/>
                  <w:tcBorders>
                    <w:tl2br w:val="nil"/>
                    <w:tr2bl w:val="nil"/>
                  </w:tcBorders>
                  <w:noWrap w:val="0"/>
                  <w:vAlign w:val="center"/>
                </w:tcPr>
                <w:p w14:paraId="5D0D23D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乙肝养阴活血颗粒</w:t>
                  </w:r>
                </w:p>
              </w:tc>
              <w:tc>
                <w:tcPr>
                  <w:tcW w:w="899" w:type="pct"/>
                  <w:tcBorders>
                    <w:tl2br w:val="nil"/>
                    <w:tr2bl w:val="nil"/>
                  </w:tcBorders>
                  <w:noWrap w:val="0"/>
                  <w:vAlign w:val="center"/>
                </w:tcPr>
                <w:p w14:paraId="724D945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10g/袋</w:t>
                  </w:r>
                </w:p>
              </w:tc>
              <w:tc>
                <w:tcPr>
                  <w:tcW w:w="874" w:type="pct"/>
                  <w:tcBorders>
                    <w:tl2br w:val="nil"/>
                    <w:tr2bl w:val="nil"/>
                  </w:tcBorders>
                  <w:noWrap w:val="0"/>
                  <w:vAlign w:val="center"/>
                </w:tcPr>
                <w:p w14:paraId="289A114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0.1</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亿</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袋</w:t>
                  </w:r>
                </w:p>
              </w:tc>
              <w:tc>
                <w:tcPr>
                  <w:tcW w:w="964" w:type="pct"/>
                  <w:tcBorders>
                    <w:tl2br w:val="nil"/>
                    <w:tr2bl w:val="nil"/>
                  </w:tcBorders>
                  <w:noWrap w:val="0"/>
                  <w:vAlign w:val="center"/>
                </w:tcPr>
                <w:p w14:paraId="324FFA0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100</w:t>
                  </w:r>
                </w:p>
              </w:tc>
            </w:tr>
            <w:tr w14:paraId="1D0A144F">
              <w:tblPrEx>
                <w:tblBorders>
                  <w:top w:val="double" w:color="000000" w:sz="4" w:space="0"/>
                  <w:left w:val="none" w:color="auto" w:sz="0" w:space="0"/>
                  <w:bottom w:val="doub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31" w:type="pct"/>
                  <w:tcBorders>
                    <w:tl2br w:val="nil"/>
                    <w:tr2bl w:val="nil"/>
                  </w:tcBorders>
                  <w:noWrap w:val="0"/>
                  <w:vAlign w:val="center"/>
                </w:tcPr>
                <w:p w14:paraId="7B18DAAB">
                  <w:pPr>
                    <w:pStyle w:val="63"/>
                    <w:keepNext w:val="0"/>
                    <w:keepLines w:val="0"/>
                    <w:pageBreakBefore w:val="0"/>
                    <w:widowControl w:val="0"/>
                    <w:numPr>
                      <w:ilvl w:val="0"/>
                      <w:numId w:val="21"/>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564" w:type="pct"/>
                  <w:vMerge w:val="continue"/>
                  <w:tcBorders>
                    <w:tl2br w:val="nil"/>
                    <w:tr2bl w:val="nil"/>
                  </w:tcBorders>
                  <w:noWrap w:val="0"/>
                  <w:vAlign w:val="center"/>
                </w:tcPr>
                <w:p w14:paraId="3124BEA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1366" w:type="pct"/>
                  <w:tcBorders>
                    <w:tl2br w:val="nil"/>
                    <w:tr2bl w:val="nil"/>
                  </w:tcBorders>
                  <w:noWrap w:val="0"/>
                  <w:vAlign w:val="center"/>
                </w:tcPr>
                <w:p w14:paraId="00BE2C9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小儿感冒颗粒</w:t>
                  </w:r>
                </w:p>
              </w:tc>
              <w:tc>
                <w:tcPr>
                  <w:tcW w:w="899" w:type="pct"/>
                  <w:tcBorders>
                    <w:tl2br w:val="nil"/>
                    <w:tr2bl w:val="nil"/>
                  </w:tcBorders>
                  <w:noWrap w:val="0"/>
                  <w:vAlign w:val="center"/>
                </w:tcPr>
                <w:p w14:paraId="68B9E5B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6g/袋</w:t>
                  </w:r>
                </w:p>
              </w:tc>
              <w:tc>
                <w:tcPr>
                  <w:tcW w:w="874" w:type="pct"/>
                  <w:tcBorders>
                    <w:tl2br w:val="nil"/>
                    <w:tr2bl w:val="nil"/>
                  </w:tcBorders>
                  <w:noWrap w:val="0"/>
                  <w:vAlign w:val="center"/>
                </w:tcPr>
                <w:p w14:paraId="2634991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1.4</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亿</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袋</w:t>
                  </w:r>
                </w:p>
              </w:tc>
              <w:tc>
                <w:tcPr>
                  <w:tcW w:w="964" w:type="pct"/>
                  <w:tcBorders>
                    <w:tl2br w:val="nil"/>
                    <w:tr2bl w:val="nil"/>
                  </w:tcBorders>
                  <w:noWrap w:val="0"/>
                  <w:vAlign w:val="center"/>
                </w:tcPr>
                <w:p w14:paraId="115E78B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840</w:t>
                  </w:r>
                </w:p>
              </w:tc>
            </w:tr>
            <w:tr w14:paraId="3CD34329">
              <w:tblPrEx>
                <w:tblBorders>
                  <w:top w:val="double" w:color="000000" w:sz="4" w:space="0"/>
                  <w:left w:val="none" w:color="auto" w:sz="0" w:space="0"/>
                  <w:bottom w:val="doub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31" w:type="pct"/>
                  <w:tcBorders>
                    <w:tl2br w:val="nil"/>
                    <w:tr2bl w:val="nil"/>
                  </w:tcBorders>
                  <w:noWrap w:val="0"/>
                  <w:vAlign w:val="center"/>
                </w:tcPr>
                <w:p w14:paraId="211B8105">
                  <w:pPr>
                    <w:pStyle w:val="63"/>
                    <w:keepNext w:val="0"/>
                    <w:keepLines w:val="0"/>
                    <w:pageBreakBefore w:val="0"/>
                    <w:widowControl w:val="0"/>
                    <w:numPr>
                      <w:ilvl w:val="0"/>
                      <w:numId w:val="21"/>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564" w:type="pct"/>
                  <w:vMerge w:val="continue"/>
                  <w:tcBorders>
                    <w:tl2br w:val="nil"/>
                    <w:tr2bl w:val="nil"/>
                  </w:tcBorders>
                  <w:noWrap w:val="0"/>
                  <w:vAlign w:val="center"/>
                </w:tcPr>
                <w:p w14:paraId="5574ECB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1366" w:type="pct"/>
                  <w:tcBorders>
                    <w:tl2br w:val="nil"/>
                    <w:tr2bl w:val="nil"/>
                  </w:tcBorders>
                  <w:noWrap w:val="0"/>
                  <w:vAlign w:val="center"/>
                </w:tcPr>
                <w:p w14:paraId="33CDBBA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表实感冒颗粒</w:t>
                  </w:r>
                </w:p>
              </w:tc>
              <w:tc>
                <w:tcPr>
                  <w:tcW w:w="899" w:type="pct"/>
                  <w:tcBorders>
                    <w:tl2br w:val="nil"/>
                    <w:tr2bl w:val="nil"/>
                  </w:tcBorders>
                  <w:noWrap w:val="0"/>
                  <w:vAlign w:val="center"/>
                </w:tcPr>
                <w:p w14:paraId="0754815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5g/袋</w:t>
                  </w:r>
                </w:p>
              </w:tc>
              <w:tc>
                <w:tcPr>
                  <w:tcW w:w="874" w:type="pct"/>
                  <w:tcBorders>
                    <w:tl2br w:val="nil"/>
                    <w:tr2bl w:val="nil"/>
                  </w:tcBorders>
                  <w:noWrap w:val="0"/>
                  <w:vAlign w:val="center"/>
                </w:tcPr>
                <w:p w14:paraId="264D78F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0.1</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亿</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袋</w:t>
                  </w:r>
                </w:p>
              </w:tc>
              <w:tc>
                <w:tcPr>
                  <w:tcW w:w="964" w:type="pct"/>
                  <w:tcBorders>
                    <w:tl2br w:val="nil"/>
                    <w:tr2bl w:val="nil"/>
                  </w:tcBorders>
                  <w:noWrap w:val="0"/>
                  <w:vAlign w:val="center"/>
                </w:tcPr>
                <w:p w14:paraId="277C14D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50</w:t>
                  </w:r>
                </w:p>
              </w:tc>
            </w:tr>
            <w:tr w14:paraId="35642BF4">
              <w:tblPrEx>
                <w:tblBorders>
                  <w:top w:val="double" w:color="000000" w:sz="4" w:space="0"/>
                  <w:left w:val="none" w:color="auto" w:sz="0" w:space="0"/>
                  <w:bottom w:val="doub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31" w:type="pct"/>
                  <w:tcBorders>
                    <w:tl2br w:val="nil"/>
                    <w:tr2bl w:val="nil"/>
                  </w:tcBorders>
                  <w:noWrap w:val="0"/>
                  <w:vAlign w:val="center"/>
                </w:tcPr>
                <w:p w14:paraId="48374779">
                  <w:pPr>
                    <w:pStyle w:val="63"/>
                    <w:keepNext w:val="0"/>
                    <w:keepLines w:val="0"/>
                    <w:pageBreakBefore w:val="0"/>
                    <w:widowControl w:val="0"/>
                    <w:numPr>
                      <w:ilvl w:val="0"/>
                      <w:numId w:val="21"/>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564" w:type="pct"/>
                  <w:vMerge w:val="continue"/>
                  <w:tcBorders>
                    <w:tl2br w:val="nil"/>
                    <w:tr2bl w:val="nil"/>
                  </w:tcBorders>
                  <w:noWrap w:val="0"/>
                  <w:vAlign w:val="center"/>
                </w:tcPr>
                <w:p w14:paraId="2CD9277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1366" w:type="pct"/>
                  <w:tcBorders>
                    <w:tl2br w:val="nil"/>
                    <w:tr2bl w:val="nil"/>
                  </w:tcBorders>
                  <w:noWrap w:val="0"/>
                  <w:vAlign w:val="center"/>
                </w:tcPr>
                <w:p w14:paraId="5655BCA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表虚感冒颗粒</w:t>
                  </w:r>
                </w:p>
              </w:tc>
              <w:tc>
                <w:tcPr>
                  <w:tcW w:w="899" w:type="pct"/>
                  <w:tcBorders>
                    <w:tl2br w:val="nil"/>
                    <w:tr2bl w:val="nil"/>
                  </w:tcBorders>
                  <w:noWrap w:val="0"/>
                  <w:vAlign w:val="center"/>
                </w:tcPr>
                <w:p w14:paraId="327A8B5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10g/袋</w:t>
                  </w:r>
                </w:p>
              </w:tc>
              <w:tc>
                <w:tcPr>
                  <w:tcW w:w="874" w:type="pct"/>
                  <w:tcBorders>
                    <w:tl2br w:val="nil"/>
                    <w:tr2bl w:val="nil"/>
                  </w:tcBorders>
                  <w:noWrap w:val="0"/>
                  <w:vAlign w:val="center"/>
                </w:tcPr>
                <w:p w14:paraId="2CF3FAE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0.2</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亿</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袋</w:t>
                  </w:r>
                </w:p>
              </w:tc>
              <w:tc>
                <w:tcPr>
                  <w:tcW w:w="964" w:type="pct"/>
                  <w:tcBorders>
                    <w:tl2br w:val="nil"/>
                    <w:tr2bl w:val="nil"/>
                  </w:tcBorders>
                  <w:noWrap w:val="0"/>
                  <w:vAlign w:val="center"/>
                </w:tcPr>
                <w:p w14:paraId="2220608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200</w:t>
                  </w:r>
                </w:p>
              </w:tc>
            </w:tr>
            <w:tr w14:paraId="4A6C979A">
              <w:tblPrEx>
                <w:tblBorders>
                  <w:top w:val="double" w:color="000000" w:sz="4" w:space="0"/>
                  <w:left w:val="none" w:color="auto" w:sz="0" w:space="0"/>
                  <w:bottom w:val="doub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31" w:type="pct"/>
                  <w:tcBorders>
                    <w:tl2br w:val="nil"/>
                    <w:tr2bl w:val="nil"/>
                  </w:tcBorders>
                  <w:noWrap w:val="0"/>
                  <w:vAlign w:val="center"/>
                </w:tcPr>
                <w:p w14:paraId="673D3D0D">
                  <w:pPr>
                    <w:pStyle w:val="63"/>
                    <w:keepNext w:val="0"/>
                    <w:keepLines w:val="0"/>
                    <w:pageBreakBefore w:val="0"/>
                    <w:widowControl w:val="0"/>
                    <w:numPr>
                      <w:ilvl w:val="0"/>
                      <w:numId w:val="21"/>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564" w:type="pct"/>
                  <w:vMerge w:val="continue"/>
                  <w:tcBorders>
                    <w:tl2br w:val="nil"/>
                    <w:tr2bl w:val="nil"/>
                  </w:tcBorders>
                  <w:noWrap w:val="0"/>
                  <w:vAlign w:val="center"/>
                </w:tcPr>
                <w:p w14:paraId="0F1154A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1366" w:type="pct"/>
                  <w:tcBorders>
                    <w:tl2br w:val="nil"/>
                    <w:tr2bl w:val="nil"/>
                  </w:tcBorders>
                  <w:noWrap w:val="0"/>
                  <w:vAlign w:val="center"/>
                </w:tcPr>
                <w:p w14:paraId="1E2AF0E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秋燥感冒颗粒</w:t>
                  </w:r>
                </w:p>
              </w:tc>
              <w:tc>
                <w:tcPr>
                  <w:tcW w:w="899" w:type="pct"/>
                  <w:tcBorders>
                    <w:tl2br w:val="nil"/>
                    <w:tr2bl w:val="nil"/>
                  </w:tcBorders>
                  <w:noWrap w:val="0"/>
                  <w:vAlign w:val="center"/>
                </w:tcPr>
                <w:p w14:paraId="4B66296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10g/袋</w:t>
                  </w:r>
                </w:p>
              </w:tc>
              <w:tc>
                <w:tcPr>
                  <w:tcW w:w="874" w:type="pct"/>
                  <w:tcBorders>
                    <w:tl2br w:val="nil"/>
                    <w:tr2bl w:val="nil"/>
                  </w:tcBorders>
                  <w:noWrap w:val="0"/>
                  <w:vAlign w:val="center"/>
                </w:tcPr>
                <w:p w14:paraId="5069F72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0.01</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亿</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袋</w:t>
                  </w:r>
                </w:p>
              </w:tc>
              <w:tc>
                <w:tcPr>
                  <w:tcW w:w="964" w:type="pct"/>
                  <w:tcBorders>
                    <w:tl2br w:val="nil"/>
                    <w:tr2bl w:val="nil"/>
                  </w:tcBorders>
                  <w:noWrap w:val="0"/>
                  <w:vAlign w:val="center"/>
                </w:tcPr>
                <w:p w14:paraId="0E5DE0F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10</w:t>
                  </w:r>
                </w:p>
              </w:tc>
            </w:tr>
            <w:tr w14:paraId="145E78FB">
              <w:tblPrEx>
                <w:tblBorders>
                  <w:top w:val="double" w:color="000000" w:sz="4" w:space="0"/>
                  <w:left w:val="none" w:color="auto" w:sz="0" w:space="0"/>
                  <w:bottom w:val="doub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31" w:type="pct"/>
                  <w:tcBorders>
                    <w:tl2br w:val="nil"/>
                    <w:tr2bl w:val="nil"/>
                  </w:tcBorders>
                  <w:noWrap w:val="0"/>
                  <w:vAlign w:val="center"/>
                </w:tcPr>
                <w:p w14:paraId="67F0FC36">
                  <w:pPr>
                    <w:pStyle w:val="63"/>
                    <w:keepNext w:val="0"/>
                    <w:keepLines w:val="0"/>
                    <w:pageBreakBefore w:val="0"/>
                    <w:widowControl w:val="0"/>
                    <w:numPr>
                      <w:ilvl w:val="0"/>
                      <w:numId w:val="21"/>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564" w:type="pct"/>
                  <w:vMerge w:val="continue"/>
                  <w:tcBorders>
                    <w:tl2br w:val="nil"/>
                    <w:tr2bl w:val="nil"/>
                  </w:tcBorders>
                  <w:noWrap w:val="0"/>
                  <w:vAlign w:val="center"/>
                </w:tcPr>
                <w:p w14:paraId="2703FFA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1366" w:type="pct"/>
                  <w:tcBorders>
                    <w:tl2br w:val="nil"/>
                    <w:tr2bl w:val="nil"/>
                  </w:tcBorders>
                  <w:noWrap w:val="0"/>
                  <w:vAlign w:val="center"/>
                </w:tcPr>
                <w:p w14:paraId="591241A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暑湿感冒颗粒</w:t>
                  </w:r>
                </w:p>
              </w:tc>
              <w:tc>
                <w:tcPr>
                  <w:tcW w:w="899" w:type="pct"/>
                  <w:tcBorders>
                    <w:tl2br w:val="nil"/>
                    <w:tr2bl w:val="nil"/>
                  </w:tcBorders>
                  <w:noWrap w:val="0"/>
                  <w:vAlign w:val="center"/>
                </w:tcPr>
                <w:p w14:paraId="3B140B0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8g/袋</w:t>
                  </w:r>
                </w:p>
              </w:tc>
              <w:tc>
                <w:tcPr>
                  <w:tcW w:w="874" w:type="pct"/>
                  <w:tcBorders>
                    <w:tl2br w:val="nil"/>
                    <w:tr2bl w:val="nil"/>
                  </w:tcBorders>
                  <w:noWrap w:val="0"/>
                  <w:vAlign w:val="center"/>
                </w:tcPr>
                <w:p w14:paraId="606C5F0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0.04</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亿</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袋</w:t>
                  </w:r>
                </w:p>
              </w:tc>
              <w:tc>
                <w:tcPr>
                  <w:tcW w:w="964" w:type="pct"/>
                  <w:tcBorders>
                    <w:tl2br w:val="nil"/>
                    <w:tr2bl w:val="nil"/>
                  </w:tcBorders>
                  <w:noWrap w:val="0"/>
                  <w:vAlign w:val="center"/>
                </w:tcPr>
                <w:p w14:paraId="00EAC76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32</w:t>
                  </w:r>
                </w:p>
              </w:tc>
            </w:tr>
            <w:tr w14:paraId="5697CAD1">
              <w:tblPrEx>
                <w:tblBorders>
                  <w:top w:val="double" w:color="000000" w:sz="4" w:space="0"/>
                  <w:left w:val="none" w:color="auto" w:sz="0" w:space="0"/>
                  <w:bottom w:val="doub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31" w:type="pct"/>
                  <w:tcBorders>
                    <w:tl2br w:val="nil"/>
                    <w:tr2bl w:val="nil"/>
                  </w:tcBorders>
                  <w:noWrap w:val="0"/>
                  <w:vAlign w:val="center"/>
                </w:tcPr>
                <w:p w14:paraId="5B99E723">
                  <w:pPr>
                    <w:pStyle w:val="63"/>
                    <w:keepNext w:val="0"/>
                    <w:keepLines w:val="0"/>
                    <w:pageBreakBefore w:val="0"/>
                    <w:widowControl w:val="0"/>
                    <w:numPr>
                      <w:ilvl w:val="0"/>
                      <w:numId w:val="21"/>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564" w:type="pct"/>
                  <w:vMerge w:val="continue"/>
                  <w:tcBorders>
                    <w:tl2br w:val="nil"/>
                    <w:tr2bl w:val="nil"/>
                  </w:tcBorders>
                  <w:noWrap w:val="0"/>
                  <w:vAlign w:val="center"/>
                </w:tcPr>
                <w:p w14:paraId="1E2ADD2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1366" w:type="pct"/>
                  <w:tcBorders>
                    <w:tl2br w:val="nil"/>
                    <w:tr2bl w:val="nil"/>
                  </w:tcBorders>
                  <w:noWrap w:val="0"/>
                  <w:vAlign w:val="center"/>
                </w:tcPr>
                <w:p w14:paraId="4C9801B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暑热感冒颗粒</w:t>
                  </w:r>
                </w:p>
              </w:tc>
              <w:tc>
                <w:tcPr>
                  <w:tcW w:w="899" w:type="pct"/>
                  <w:tcBorders>
                    <w:tl2br w:val="nil"/>
                    <w:tr2bl w:val="nil"/>
                  </w:tcBorders>
                  <w:noWrap w:val="0"/>
                  <w:vAlign w:val="center"/>
                </w:tcPr>
                <w:p w14:paraId="7284266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10g/袋</w:t>
                  </w:r>
                </w:p>
              </w:tc>
              <w:tc>
                <w:tcPr>
                  <w:tcW w:w="874" w:type="pct"/>
                  <w:tcBorders>
                    <w:tl2br w:val="nil"/>
                    <w:tr2bl w:val="nil"/>
                  </w:tcBorders>
                  <w:noWrap w:val="0"/>
                  <w:vAlign w:val="center"/>
                </w:tcPr>
                <w:p w14:paraId="5A12142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0.05</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亿</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袋</w:t>
                  </w:r>
                </w:p>
              </w:tc>
              <w:tc>
                <w:tcPr>
                  <w:tcW w:w="964" w:type="pct"/>
                  <w:tcBorders>
                    <w:tl2br w:val="nil"/>
                    <w:tr2bl w:val="nil"/>
                  </w:tcBorders>
                  <w:noWrap w:val="0"/>
                  <w:vAlign w:val="center"/>
                </w:tcPr>
                <w:p w14:paraId="1343E52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50</w:t>
                  </w:r>
                </w:p>
              </w:tc>
            </w:tr>
            <w:tr w14:paraId="2C974CB2">
              <w:tblPrEx>
                <w:tblBorders>
                  <w:top w:val="double" w:color="000000" w:sz="4" w:space="0"/>
                  <w:left w:val="none" w:color="auto" w:sz="0" w:space="0"/>
                  <w:bottom w:val="doub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65" w:hRule="atLeast"/>
              </w:trPr>
              <w:tc>
                <w:tcPr>
                  <w:tcW w:w="331" w:type="pct"/>
                  <w:vMerge w:val="restart"/>
                  <w:tcBorders>
                    <w:tl2br w:val="nil"/>
                    <w:tr2bl w:val="nil"/>
                  </w:tcBorders>
                  <w:noWrap w:val="0"/>
                  <w:vAlign w:val="center"/>
                </w:tcPr>
                <w:p w14:paraId="1D6EBC86">
                  <w:pPr>
                    <w:pStyle w:val="63"/>
                    <w:keepNext w:val="0"/>
                    <w:keepLines w:val="0"/>
                    <w:pageBreakBefore w:val="0"/>
                    <w:widowControl w:val="0"/>
                    <w:numPr>
                      <w:ilvl w:val="0"/>
                      <w:numId w:val="21"/>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564" w:type="pct"/>
                  <w:vMerge w:val="continue"/>
                  <w:tcBorders>
                    <w:tl2br w:val="nil"/>
                    <w:tr2bl w:val="nil"/>
                  </w:tcBorders>
                  <w:noWrap w:val="0"/>
                  <w:vAlign w:val="center"/>
                </w:tcPr>
                <w:p w14:paraId="6CA7376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1366" w:type="pct"/>
                  <w:vMerge w:val="restart"/>
                  <w:tcBorders>
                    <w:tl2br w:val="nil"/>
                    <w:tr2bl w:val="nil"/>
                  </w:tcBorders>
                  <w:noWrap w:val="0"/>
                  <w:vAlign w:val="center"/>
                </w:tcPr>
                <w:p w14:paraId="3AA55C2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气滞胃痛颗粒</w:t>
                  </w:r>
                </w:p>
              </w:tc>
              <w:tc>
                <w:tcPr>
                  <w:tcW w:w="899" w:type="pct"/>
                  <w:tcBorders>
                    <w:tl2br w:val="nil"/>
                    <w:tr2bl w:val="nil"/>
                  </w:tcBorders>
                  <w:noWrap w:val="0"/>
                  <w:vAlign w:val="center"/>
                </w:tcPr>
                <w:p w14:paraId="2AF2A53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5g/袋</w:t>
                  </w:r>
                </w:p>
              </w:tc>
              <w:tc>
                <w:tcPr>
                  <w:tcW w:w="874" w:type="pct"/>
                  <w:tcBorders>
                    <w:tl2br w:val="nil"/>
                    <w:tr2bl w:val="nil"/>
                  </w:tcBorders>
                  <w:noWrap w:val="0"/>
                  <w:vAlign w:val="center"/>
                </w:tcPr>
                <w:p w14:paraId="7FD7A7E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1.5</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亿</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袋</w:t>
                  </w:r>
                </w:p>
              </w:tc>
              <w:tc>
                <w:tcPr>
                  <w:tcW w:w="964" w:type="pct"/>
                  <w:tcBorders>
                    <w:tl2br w:val="nil"/>
                    <w:tr2bl w:val="nil"/>
                  </w:tcBorders>
                  <w:noWrap w:val="0"/>
                  <w:vAlign w:val="center"/>
                </w:tcPr>
                <w:p w14:paraId="64408C8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750</w:t>
                  </w:r>
                </w:p>
              </w:tc>
            </w:tr>
            <w:tr w14:paraId="2C17DC6F">
              <w:tblPrEx>
                <w:tblBorders>
                  <w:top w:val="double" w:color="000000" w:sz="4" w:space="0"/>
                  <w:left w:val="none" w:color="auto" w:sz="0" w:space="0"/>
                  <w:bottom w:val="doub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65" w:hRule="atLeast"/>
              </w:trPr>
              <w:tc>
                <w:tcPr>
                  <w:tcW w:w="331" w:type="pct"/>
                  <w:vMerge w:val="continue"/>
                  <w:tcBorders>
                    <w:tl2br w:val="nil"/>
                    <w:tr2bl w:val="nil"/>
                  </w:tcBorders>
                  <w:noWrap w:val="0"/>
                  <w:vAlign w:val="center"/>
                </w:tcPr>
                <w:p w14:paraId="27550BED">
                  <w:pPr>
                    <w:keepNext w:val="0"/>
                    <w:keepLines w:val="0"/>
                    <w:widowControl/>
                    <w:suppressLineNumbers w:val="0"/>
                    <w:spacing w:before="0" w:beforeAutospacing="0" w:after="0" w:afterAutospacing="0"/>
                    <w:ind w:left="0" w:right="0"/>
                    <w:jc w:val="center"/>
                    <w:rPr>
                      <w:rFonts w:hint="default"/>
                      <w:color w:val="000000" w:themeColor="text1"/>
                      <w:highlight w:val="none"/>
                      <w14:textFill>
                        <w14:solidFill>
                          <w14:schemeClr w14:val="tx1"/>
                        </w14:solidFill>
                      </w14:textFill>
                    </w:rPr>
                  </w:pPr>
                </w:p>
              </w:tc>
              <w:tc>
                <w:tcPr>
                  <w:tcW w:w="564" w:type="pct"/>
                  <w:vMerge w:val="continue"/>
                  <w:tcBorders>
                    <w:tl2br w:val="nil"/>
                    <w:tr2bl w:val="nil"/>
                  </w:tcBorders>
                  <w:noWrap w:val="0"/>
                  <w:vAlign w:val="center"/>
                </w:tcPr>
                <w:p w14:paraId="5B844666">
                  <w:pPr>
                    <w:keepNext w:val="0"/>
                    <w:keepLines w:val="0"/>
                    <w:widowControl/>
                    <w:suppressLineNumbers w:val="0"/>
                    <w:spacing w:before="0" w:beforeAutospacing="0" w:after="0" w:afterAutospacing="0"/>
                    <w:ind w:left="0" w:right="0"/>
                    <w:jc w:val="center"/>
                    <w:rPr>
                      <w:rFonts w:hint="default"/>
                      <w:color w:val="000000" w:themeColor="text1"/>
                      <w:highlight w:val="none"/>
                      <w14:textFill>
                        <w14:solidFill>
                          <w14:schemeClr w14:val="tx1"/>
                        </w14:solidFill>
                      </w14:textFill>
                    </w:rPr>
                  </w:pPr>
                </w:p>
              </w:tc>
              <w:tc>
                <w:tcPr>
                  <w:tcW w:w="1366" w:type="pct"/>
                  <w:vMerge w:val="continue"/>
                  <w:tcBorders>
                    <w:tl2br w:val="nil"/>
                    <w:tr2bl w:val="nil"/>
                  </w:tcBorders>
                  <w:noWrap w:val="0"/>
                  <w:vAlign w:val="center"/>
                </w:tcPr>
                <w:p w14:paraId="25B3A8E4">
                  <w:pPr>
                    <w:keepNext w:val="0"/>
                    <w:keepLines w:val="0"/>
                    <w:widowControl/>
                    <w:suppressLineNumbers w:val="0"/>
                    <w:spacing w:before="0" w:beforeAutospacing="0" w:after="0" w:afterAutospacing="0"/>
                    <w:ind w:left="0" w:right="0"/>
                    <w:jc w:val="center"/>
                    <w:rPr>
                      <w:rFonts w:hint="default"/>
                      <w:color w:val="000000" w:themeColor="text1"/>
                      <w:highlight w:val="none"/>
                      <w14:textFill>
                        <w14:solidFill>
                          <w14:schemeClr w14:val="tx1"/>
                        </w14:solidFill>
                      </w14:textFill>
                    </w:rPr>
                  </w:pPr>
                </w:p>
              </w:tc>
              <w:tc>
                <w:tcPr>
                  <w:tcW w:w="899" w:type="pct"/>
                  <w:tcBorders>
                    <w:tl2br w:val="nil"/>
                    <w:tr2bl w:val="nil"/>
                  </w:tcBorders>
                  <w:noWrap w:val="0"/>
                  <w:vAlign w:val="center"/>
                </w:tcPr>
                <w:p w14:paraId="6E63522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2.5g/袋</w:t>
                  </w:r>
                </w:p>
              </w:tc>
              <w:tc>
                <w:tcPr>
                  <w:tcW w:w="874" w:type="pct"/>
                  <w:tcBorders>
                    <w:tl2br w:val="nil"/>
                    <w:tr2bl w:val="nil"/>
                  </w:tcBorders>
                  <w:noWrap w:val="0"/>
                  <w:vAlign w:val="center"/>
                </w:tcPr>
                <w:p w14:paraId="29572C3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1.5</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亿</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袋</w:t>
                  </w:r>
                </w:p>
              </w:tc>
              <w:tc>
                <w:tcPr>
                  <w:tcW w:w="964" w:type="pct"/>
                  <w:tcBorders>
                    <w:tl2br w:val="nil"/>
                    <w:tr2bl w:val="nil"/>
                  </w:tcBorders>
                  <w:noWrap w:val="0"/>
                  <w:vAlign w:val="center"/>
                </w:tcPr>
                <w:p w14:paraId="65C8CB6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375</w:t>
                  </w:r>
                </w:p>
              </w:tc>
            </w:tr>
            <w:tr w14:paraId="302BB8E6">
              <w:tblPrEx>
                <w:tblBorders>
                  <w:top w:val="double" w:color="000000" w:sz="4" w:space="0"/>
                  <w:left w:val="none" w:color="auto" w:sz="0" w:space="0"/>
                  <w:bottom w:val="doub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65" w:hRule="atLeast"/>
              </w:trPr>
              <w:tc>
                <w:tcPr>
                  <w:tcW w:w="3161" w:type="pct"/>
                  <w:gridSpan w:val="4"/>
                  <w:tcBorders>
                    <w:tl2br w:val="nil"/>
                    <w:tr2bl w:val="nil"/>
                  </w:tcBorders>
                  <w:noWrap w:val="0"/>
                  <w:vAlign w:val="center"/>
                </w:tcPr>
                <w:p w14:paraId="373605D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颗粒剂</w:t>
                  </w:r>
                  <w:r>
                    <w:rPr>
                      <w:rFonts w:hint="eastAsia" w:cs="Times New Roman"/>
                      <w:b w:val="0"/>
                      <w:bCs w:val="0"/>
                      <w:color w:val="000000" w:themeColor="text1"/>
                      <w:kern w:val="0"/>
                      <w:sz w:val="21"/>
                      <w:szCs w:val="21"/>
                      <w:highlight w:val="none"/>
                      <w:lang w:val="en-US" w:eastAsia="zh-CN"/>
                      <w14:textFill>
                        <w14:solidFill>
                          <w14:schemeClr w14:val="tx1"/>
                        </w14:solidFill>
                      </w14:textFill>
                    </w:rPr>
                    <w:t>总计</w:t>
                  </w:r>
                </w:p>
              </w:tc>
              <w:tc>
                <w:tcPr>
                  <w:tcW w:w="874" w:type="pct"/>
                  <w:tcBorders>
                    <w:tl2br w:val="nil"/>
                    <w:tr2bl w:val="nil"/>
                  </w:tcBorders>
                  <w:noWrap w:val="0"/>
                  <w:vAlign w:val="center"/>
                </w:tcPr>
                <w:p w14:paraId="370F6A6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5.0</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亿</w:t>
                  </w:r>
                  <w: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袋</w:t>
                  </w:r>
                </w:p>
              </w:tc>
              <w:tc>
                <w:tcPr>
                  <w:tcW w:w="964" w:type="pct"/>
                  <w:tcBorders>
                    <w:tl2br w:val="nil"/>
                    <w:tr2bl w:val="nil"/>
                  </w:tcBorders>
                  <w:noWrap w:val="0"/>
                  <w:vAlign w:val="center"/>
                </w:tcPr>
                <w:p w14:paraId="2974405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2467</w:t>
                  </w:r>
                </w:p>
              </w:tc>
            </w:tr>
          </w:tbl>
          <w:p w14:paraId="4CE05EDD">
            <w:pPr>
              <w:keepNext w:val="0"/>
              <w:keepLines w:val="0"/>
              <w:pageBreakBefore w:val="0"/>
              <w:widowControl w:val="0"/>
              <w:numPr>
                <w:ilvl w:val="0"/>
                <w:numId w:val="18"/>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现有项目污染物排放量</w:t>
            </w:r>
          </w:p>
          <w:p w14:paraId="524723AB">
            <w:pPr>
              <w:keepNext w:val="0"/>
              <w:keepLines w:val="0"/>
              <w:pageBreakBefore w:val="0"/>
              <w:widowControl w:val="0"/>
              <w:numPr>
                <w:ilvl w:val="0"/>
                <w:numId w:val="22"/>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废气</w:t>
            </w:r>
          </w:p>
          <w:p w14:paraId="20FA28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现有项目</w:t>
            </w:r>
            <w:r>
              <w:rPr>
                <w:rFonts w:hint="eastAsia" w:cs="Times New Roman"/>
                <w:color w:val="000000" w:themeColor="text1"/>
                <w:sz w:val="24"/>
                <w:szCs w:val="24"/>
                <w:highlight w:val="none"/>
                <w:lang w:val="en-US" w:eastAsia="zh-CN"/>
                <w14:textFill>
                  <w14:solidFill>
                    <w14:schemeClr w14:val="tx1"/>
                  </w14:solidFill>
                </w14:textFill>
              </w:rPr>
              <w:t>废气排放情况</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及治理措施见下表。</w:t>
            </w:r>
          </w:p>
          <w:p w14:paraId="75A926D8">
            <w:pPr>
              <w:keepNext w:val="0"/>
              <w:keepLines w:val="0"/>
              <w:pageBreakBefore w:val="0"/>
              <w:widowControl w:val="0"/>
              <w:numPr>
                <w:ilvl w:val="0"/>
                <w:numId w:val="5"/>
              </w:numPr>
              <w:suppressLineNumbers w:val="0"/>
              <w:kinsoku/>
              <w:wordWrap/>
              <w:overflowPunct/>
              <w:topLinePunct w:val="0"/>
              <w:autoSpaceDE/>
              <w:autoSpaceDN/>
              <w:bidi w:val="0"/>
              <w:adjustRightInd/>
              <w:snapToGrid w:val="0"/>
              <w:spacing w:before="157" w:beforeLines="50" w:beforeAutospacing="0" w:after="0" w:afterLines="0" w:afterAutospacing="0"/>
              <w:ind w:left="0" w:leftChars="0" w:right="0" w:rightChars="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 xml:space="preserve">  现有项目产污环节一览表</w:t>
            </w:r>
          </w:p>
          <w:tbl>
            <w:tblPr>
              <w:tblStyle w:val="36"/>
              <w:tblW w:w="4998" w:type="pct"/>
              <w:tblInd w:w="0" w:type="dxa"/>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7"/>
              <w:gridCol w:w="995"/>
              <w:gridCol w:w="1305"/>
              <w:gridCol w:w="1530"/>
              <w:gridCol w:w="3507"/>
            </w:tblGrid>
            <w:tr w14:paraId="4A55A4B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9" w:type="pct"/>
                  <w:tcBorders>
                    <w:tl2br w:val="nil"/>
                    <w:tr2bl w:val="nil"/>
                  </w:tcBorders>
                  <w:noWrap w:val="0"/>
                  <w:vAlign w:val="center"/>
                </w:tcPr>
                <w:p w14:paraId="5D07C5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类别</w:t>
                  </w:r>
                </w:p>
              </w:tc>
              <w:tc>
                <w:tcPr>
                  <w:tcW w:w="618" w:type="pct"/>
                  <w:tcBorders>
                    <w:tl2br w:val="nil"/>
                    <w:tr2bl w:val="nil"/>
                  </w:tcBorders>
                  <w:noWrap w:val="0"/>
                  <w:vAlign w:val="center"/>
                </w:tcPr>
                <w:p w14:paraId="7F803B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排放口</w:t>
                  </w:r>
                </w:p>
              </w:tc>
              <w:tc>
                <w:tcPr>
                  <w:tcW w:w="811" w:type="pct"/>
                  <w:tcBorders>
                    <w:tl2br w:val="nil"/>
                    <w:tr2bl w:val="nil"/>
                  </w:tcBorders>
                  <w:noWrap w:val="0"/>
                  <w:vAlign w:val="center"/>
                </w:tcPr>
                <w:p w14:paraId="78652D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产污</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环节</w:t>
                  </w:r>
                </w:p>
              </w:tc>
              <w:tc>
                <w:tcPr>
                  <w:tcW w:w="951" w:type="pct"/>
                  <w:tcBorders>
                    <w:tl2br w:val="nil"/>
                    <w:tr2bl w:val="nil"/>
                  </w:tcBorders>
                  <w:noWrap w:val="0"/>
                  <w:vAlign w:val="center"/>
                </w:tcPr>
                <w:p w14:paraId="747E3D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污染物</w:t>
                  </w:r>
                </w:p>
              </w:tc>
              <w:tc>
                <w:tcPr>
                  <w:tcW w:w="2179" w:type="pct"/>
                  <w:tcBorders>
                    <w:tl2br w:val="nil"/>
                    <w:tr2bl w:val="nil"/>
                  </w:tcBorders>
                  <w:noWrap w:val="0"/>
                  <w:vAlign w:val="center"/>
                </w:tcPr>
                <w:p w14:paraId="55D70A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治理措施</w:t>
                  </w:r>
                </w:p>
              </w:tc>
            </w:tr>
            <w:tr w14:paraId="59B6811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9" w:type="pct"/>
                  <w:vMerge w:val="restart"/>
                  <w:tcBorders>
                    <w:tl2br w:val="nil"/>
                    <w:tr2bl w:val="nil"/>
                  </w:tcBorders>
                  <w:noWrap w:val="0"/>
                  <w:vAlign w:val="center"/>
                </w:tcPr>
                <w:p w14:paraId="7495D0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废气</w:t>
                  </w:r>
                </w:p>
              </w:tc>
              <w:tc>
                <w:tcPr>
                  <w:tcW w:w="618" w:type="pct"/>
                  <w:vMerge w:val="restart"/>
                  <w:tcBorders>
                    <w:tl2br w:val="nil"/>
                    <w:tr2bl w:val="nil"/>
                  </w:tcBorders>
                  <w:noWrap w:val="0"/>
                  <w:vAlign w:val="center"/>
                </w:tcPr>
                <w:p w14:paraId="45744A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DA001</w:t>
                  </w:r>
                </w:p>
              </w:tc>
              <w:tc>
                <w:tcPr>
                  <w:tcW w:w="811" w:type="pct"/>
                  <w:vMerge w:val="restart"/>
                  <w:tcBorders>
                    <w:tl2br w:val="nil"/>
                    <w:tr2bl w:val="nil"/>
                  </w:tcBorders>
                  <w:noWrap w:val="0"/>
                  <w:vAlign w:val="center"/>
                </w:tcPr>
                <w:p w14:paraId="3749EE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燃气锅炉</w:t>
                  </w:r>
                </w:p>
              </w:tc>
              <w:tc>
                <w:tcPr>
                  <w:tcW w:w="951" w:type="pct"/>
                  <w:tcBorders>
                    <w:tl2br w:val="nil"/>
                    <w:tr2bl w:val="nil"/>
                  </w:tcBorders>
                  <w:noWrap w:val="0"/>
                  <w:vAlign w:val="center"/>
                </w:tcPr>
                <w:p w14:paraId="168D16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颗粒物</w:t>
                  </w:r>
                </w:p>
              </w:tc>
              <w:tc>
                <w:tcPr>
                  <w:tcW w:w="2179" w:type="pct"/>
                  <w:vMerge w:val="restart"/>
                  <w:tcBorders>
                    <w:tl2br w:val="nil"/>
                    <w:tr2bl w:val="nil"/>
                  </w:tcBorders>
                  <w:noWrap w:val="0"/>
                  <w:vAlign w:val="center"/>
                </w:tcPr>
                <w:p w14:paraId="038C945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10t/h燃气锅炉配备低氮燃烧器，6t/h和备用15t/h燃气锅炉不配备低氮燃烧器，锅炉废气</w:t>
                  </w:r>
                  <w:r>
                    <w:rPr>
                      <w:rFonts w:hint="default" w:ascii="Times New Roman" w:hAnsi="Times New Roman" w:eastAsia="宋体" w:cs="Times New Roman"/>
                      <w:color w:val="000000" w:themeColor="text1"/>
                      <w:sz w:val="21"/>
                      <w:szCs w:val="21"/>
                      <w:highlight w:val="none"/>
                      <w14:textFill>
                        <w14:solidFill>
                          <w14:schemeClr w14:val="tx1"/>
                        </w14:solidFill>
                      </w14:textFill>
                    </w:rPr>
                    <w:t>由</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highlight w:val="none"/>
                      <w14:textFill>
                        <w14:solidFill>
                          <w14:schemeClr w14:val="tx1"/>
                        </w14:solidFill>
                      </w14:textFill>
                    </w:rPr>
                    <w:t>根2</w:t>
                  </w:r>
                  <w:r>
                    <w:rPr>
                      <w:rFonts w:hint="eastAsia"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sz w:val="21"/>
                      <w:szCs w:val="21"/>
                      <w:highlight w:val="none"/>
                      <w14:textFill>
                        <w14:solidFill>
                          <w14:schemeClr w14:val="tx1"/>
                        </w14:solidFill>
                      </w14:textFill>
                    </w:rPr>
                    <w:t>高排气筒排放（DA00</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r>
            <w:tr w14:paraId="59FBD78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9" w:type="pct"/>
                  <w:vMerge w:val="continue"/>
                  <w:tcBorders>
                    <w:tl2br w:val="nil"/>
                    <w:tr2bl w:val="nil"/>
                  </w:tcBorders>
                  <w:noWrap w:val="0"/>
                  <w:vAlign w:val="center"/>
                </w:tcPr>
                <w:p w14:paraId="67121E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18" w:type="pct"/>
                  <w:vMerge w:val="continue"/>
                  <w:tcBorders>
                    <w:tl2br w:val="nil"/>
                    <w:tr2bl w:val="nil"/>
                  </w:tcBorders>
                  <w:noWrap w:val="0"/>
                  <w:vAlign w:val="center"/>
                </w:tcPr>
                <w:p w14:paraId="47F47F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11" w:type="pct"/>
                  <w:vMerge w:val="continue"/>
                  <w:tcBorders>
                    <w:tl2br w:val="nil"/>
                    <w:tr2bl w:val="nil"/>
                  </w:tcBorders>
                  <w:noWrap w:val="0"/>
                  <w:vAlign w:val="center"/>
                </w:tcPr>
                <w:p w14:paraId="0D2E18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951" w:type="pct"/>
                  <w:tcBorders>
                    <w:tl2br w:val="nil"/>
                    <w:tr2bl w:val="nil"/>
                  </w:tcBorders>
                  <w:noWrap w:val="0"/>
                  <w:vAlign w:val="center"/>
                </w:tcPr>
                <w:p w14:paraId="7B8A8D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二氧化硫</w:t>
                  </w:r>
                </w:p>
              </w:tc>
              <w:tc>
                <w:tcPr>
                  <w:tcW w:w="2179" w:type="pct"/>
                  <w:vMerge w:val="continue"/>
                  <w:tcBorders>
                    <w:tl2br w:val="nil"/>
                    <w:tr2bl w:val="nil"/>
                  </w:tcBorders>
                  <w:noWrap w:val="0"/>
                  <w:vAlign w:val="center"/>
                </w:tcPr>
                <w:p w14:paraId="17B78A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4C6BE8A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439" w:type="pct"/>
                  <w:vMerge w:val="continue"/>
                  <w:tcBorders>
                    <w:tl2br w:val="nil"/>
                    <w:tr2bl w:val="nil"/>
                  </w:tcBorders>
                  <w:noWrap w:val="0"/>
                  <w:vAlign w:val="center"/>
                </w:tcPr>
                <w:p w14:paraId="090ED1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18" w:type="pct"/>
                  <w:vMerge w:val="continue"/>
                  <w:tcBorders>
                    <w:tl2br w:val="nil"/>
                    <w:tr2bl w:val="nil"/>
                  </w:tcBorders>
                  <w:noWrap w:val="0"/>
                  <w:vAlign w:val="center"/>
                </w:tcPr>
                <w:p w14:paraId="3DF7EF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11" w:type="pct"/>
                  <w:vMerge w:val="continue"/>
                  <w:tcBorders>
                    <w:tl2br w:val="nil"/>
                    <w:tr2bl w:val="nil"/>
                  </w:tcBorders>
                  <w:noWrap w:val="0"/>
                  <w:vAlign w:val="center"/>
                </w:tcPr>
                <w:p w14:paraId="148D6C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951" w:type="pct"/>
                  <w:tcBorders>
                    <w:tl2br w:val="nil"/>
                    <w:tr2bl w:val="nil"/>
                  </w:tcBorders>
                  <w:noWrap w:val="0"/>
                  <w:vAlign w:val="center"/>
                </w:tcPr>
                <w:p w14:paraId="7D036C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氮氧化物</w:t>
                  </w:r>
                </w:p>
              </w:tc>
              <w:tc>
                <w:tcPr>
                  <w:tcW w:w="2179" w:type="pct"/>
                  <w:vMerge w:val="continue"/>
                  <w:tcBorders>
                    <w:tl2br w:val="nil"/>
                    <w:tr2bl w:val="nil"/>
                  </w:tcBorders>
                  <w:noWrap w:val="0"/>
                  <w:vAlign w:val="center"/>
                </w:tcPr>
                <w:p w14:paraId="46CF2C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731512F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9" w:type="pct"/>
                  <w:vMerge w:val="continue"/>
                  <w:tcBorders>
                    <w:tl2br w:val="nil"/>
                    <w:tr2bl w:val="nil"/>
                  </w:tcBorders>
                  <w:noWrap w:val="0"/>
                  <w:vAlign w:val="center"/>
                </w:tcPr>
                <w:p w14:paraId="4866A5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18" w:type="pct"/>
                  <w:vMerge w:val="continue"/>
                  <w:tcBorders>
                    <w:tl2br w:val="nil"/>
                    <w:tr2bl w:val="nil"/>
                  </w:tcBorders>
                  <w:noWrap w:val="0"/>
                  <w:vAlign w:val="center"/>
                </w:tcPr>
                <w:p w14:paraId="641643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11" w:type="pct"/>
                  <w:vMerge w:val="continue"/>
                  <w:tcBorders>
                    <w:tl2br w:val="nil"/>
                    <w:tr2bl w:val="nil"/>
                  </w:tcBorders>
                  <w:noWrap w:val="0"/>
                  <w:vAlign w:val="center"/>
                </w:tcPr>
                <w:p w14:paraId="2EB4C1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951" w:type="pct"/>
                  <w:tcBorders>
                    <w:tl2br w:val="nil"/>
                    <w:tr2bl w:val="nil"/>
                  </w:tcBorders>
                  <w:noWrap w:val="0"/>
                  <w:vAlign w:val="center"/>
                </w:tcPr>
                <w:p w14:paraId="700558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烟气黑度</w:t>
                  </w:r>
                </w:p>
              </w:tc>
              <w:tc>
                <w:tcPr>
                  <w:tcW w:w="2179" w:type="pct"/>
                  <w:vMerge w:val="continue"/>
                  <w:tcBorders>
                    <w:tl2br w:val="nil"/>
                    <w:tr2bl w:val="nil"/>
                  </w:tcBorders>
                  <w:noWrap w:val="0"/>
                  <w:vAlign w:val="center"/>
                </w:tcPr>
                <w:p w14:paraId="21FD5D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48DD876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439" w:type="pct"/>
                  <w:vMerge w:val="continue"/>
                  <w:tcBorders>
                    <w:tl2br w:val="nil"/>
                    <w:tr2bl w:val="nil"/>
                  </w:tcBorders>
                  <w:noWrap w:val="0"/>
                  <w:vAlign w:val="center"/>
                </w:tcPr>
                <w:p w14:paraId="6831BF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18" w:type="pct"/>
                  <w:tcBorders>
                    <w:tl2br w:val="nil"/>
                    <w:tr2bl w:val="nil"/>
                  </w:tcBorders>
                  <w:noWrap w:val="0"/>
                  <w:vAlign w:val="center"/>
                </w:tcPr>
                <w:p w14:paraId="7E2C22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DA00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w:t>
                  </w:r>
                </w:p>
              </w:tc>
              <w:tc>
                <w:tcPr>
                  <w:tcW w:w="811" w:type="pct"/>
                  <w:tcBorders>
                    <w:tl2br w:val="nil"/>
                    <w:tr2bl w:val="nil"/>
                  </w:tcBorders>
                  <w:noWrap w:val="0"/>
                  <w:vAlign w:val="center"/>
                </w:tcPr>
                <w:p w14:paraId="3742E8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化验室</w:t>
                  </w:r>
                </w:p>
              </w:tc>
              <w:tc>
                <w:tcPr>
                  <w:tcW w:w="951" w:type="pct"/>
                  <w:tcBorders>
                    <w:tl2br w:val="nil"/>
                    <w:tr2bl w:val="nil"/>
                  </w:tcBorders>
                  <w:noWrap w:val="0"/>
                  <w:vAlign w:val="center"/>
                </w:tcPr>
                <w:p w14:paraId="7D98B4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挥发性有机物</w:t>
                  </w:r>
                </w:p>
              </w:tc>
              <w:tc>
                <w:tcPr>
                  <w:tcW w:w="2179" w:type="pct"/>
                  <w:tcBorders>
                    <w:tl2br w:val="nil"/>
                    <w:tr2bl w:val="nil"/>
                  </w:tcBorders>
                  <w:noWrap w:val="0"/>
                  <w:vAlign w:val="center"/>
                </w:tcPr>
                <w:p w14:paraId="5F0CBA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化验室废气由1根28m</w:t>
                  </w:r>
                  <w:r>
                    <w:rPr>
                      <w:rFonts w:hint="default" w:ascii="Times New Roman" w:hAnsi="Times New Roman" w:eastAsia="宋体" w:cs="Times New Roman"/>
                      <w:color w:val="000000" w:themeColor="text1"/>
                      <w:sz w:val="21"/>
                      <w:szCs w:val="21"/>
                      <w:highlight w:val="none"/>
                      <w14:textFill>
                        <w14:solidFill>
                          <w14:schemeClr w14:val="tx1"/>
                        </w14:solidFill>
                      </w14:textFill>
                    </w:rPr>
                    <w:t>高排气筒排放（DA00</w:t>
                  </w:r>
                  <w:r>
                    <w:rPr>
                      <w:rFonts w:hint="eastAsia"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r>
            <w:tr w14:paraId="68469F3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9" w:type="pct"/>
                  <w:vMerge w:val="continue"/>
                  <w:tcBorders>
                    <w:tl2br w:val="nil"/>
                    <w:tr2bl w:val="nil"/>
                  </w:tcBorders>
                  <w:noWrap w:val="0"/>
                  <w:vAlign w:val="center"/>
                </w:tcPr>
                <w:p w14:paraId="452285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18" w:type="pct"/>
                  <w:vMerge w:val="restart"/>
                  <w:tcBorders>
                    <w:tl2br w:val="nil"/>
                    <w:tr2bl w:val="nil"/>
                  </w:tcBorders>
                  <w:noWrap w:val="0"/>
                  <w:vAlign w:val="center"/>
                </w:tcPr>
                <w:p w14:paraId="446317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DA00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4</w:t>
                  </w:r>
                </w:p>
              </w:tc>
              <w:tc>
                <w:tcPr>
                  <w:tcW w:w="811" w:type="pct"/>
                  <w:vMerge w:val="restart"/>
                  <w:tcBorders>
                    <w:tl2br w:val="nil"/>
                    <w:tr2bl w:val="nil"/>
                  </w:tcBorders>
                  <w:noWrap w:val="0"/>
                  <w:vAlign w:val="center"/>
                </w:tcPr>
                <w:p w14:paraId="2285BA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废水处理站</w:t>
                  </w:r>
                </w:p>
              </w:tc>
              <w:tc>
                <w:tcPr>
                  <w:tcW w:w="951" w:type="pct"/>
                  <w:tcBorders>
                    <w:tl2br w:val="nil"/>
                    <w:tr2bl w:val="nil"/>
                  </w:tcBorders>
                  <w:noWrap w:val="0"/>
                  <w:vAlign w:val="center"/>
                </w:tcPr>
                <w:p w14:paraId="2716A5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非甲烷总烃</w:t>
                  </w:r>
                </w:p>
              </w:tc>
              <w:tc>
                <w:tcPr>
                  <w:tcW w:w="2179" w:type="pct"/>
                  <w:vMerge w:val="restart"/>
                  <w:tcBorders>
                    <w:tl2br w:val="nil"/>
                    <w:tr2bl w:val="nil"/>
                  </w:tcBorders>
                  <w:noWrap w:val="0"/>
                  <w:vAlign w:val="center"/>
                </w:tcPr>
                <w:p w14:paraId="3F0221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废水处理站废气经废气治理设施（低温等离子设备）处理后，由1根30m</w:t>
                  </w:r>
                  <w:r>
                    <w:rPr>
                      <w:rFonts w:hint="default" w:ascii="Times New Roman" w:hAnsi="Times New Roman" w:eastAsia="宋体" w:cs="Times New Roman"/>
                      <w:color w:val="000000" w:themeColor="text1"/>
                      <w:sz w:val="21"/>
                      <w:szCs w:val="21"/>
                      <w:highlight w:val="none"/>
                      <w14:textFill>
                        <w14:solidFill>
                          <w14:schemeClr w14:val="tx1"/>
                        </w14:solidFill>
                      </w14:textFill>
                    </w:rPr>
                    <w:t>高排气筒排放（DA00</w:t>
                  </w:r>
                  <w:r>
                    <w:rPr>
                      <w:rFonts w:hint="eastAsia" w:cs="Times New Roman"/>
                      <w:color w:val="000000" w:themeColor="text1"/>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r>
            <w:tr w14:paraId="63B0E09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9" w:type="pct"/>
                  <w:vMerge w:val="continue"/>
                  <w:tcBorders>
                    <w:tl2br w:val="nil"/>
                    <w:tr2bl w:val="nil"/>
                  </w:tcBorders>
                  <w:noWrap w:val="0"/>
                  <w:vAlign w:val="center"/>
                </w:tcPr>
                <w:p w14:paraId="16647C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18" w:type="pct"/>
                  <w:vMerge w:val="continue"/>
                  <w:tcBorders>
                    <w:tl2br w:val="nil"/>
                    <w:tr2bl w:val="nil"/>
                  </w:tcBorders>
                  <w:noWrap w:val="0"/>
                  <w:vAlign w:val="center"/>
                </w:tcPr>
                <w:p w14:paraId="241F5B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11" w:type="pct"/>
                  <w:vMerge w:val="continue"/>
                  <w:tcBorders>
                    <w:tl2br w:val="nil"/>
                    <w:tr2bl w:val="nil"/>
                  </w:tcBorders>
                  <w:noWrap w:val="0"/>
                  <w:vAlign w:val="center"/>
                </w:tcPr>
                <w:p w14:paraId="5EB205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p>
              </w:tc>
              <w:tc>
                <w:tcPr>
                  <w:tcW w:w="951" w:type="pct"/>
                  <w:tcBorders>
                    <w:tl2br w:val="nil"/>
                    <w:tr2bl w:val="nil"/>
                  </w:tcBorders>
                  <w:noWrap w:val="0"/>
                  <w:vAlign w:val="center"/>
                </w:tcPr>
                <w:p w14:paraId="4D1697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氨</w:t>
                  </w:r>
                </w:p>
              </w:tc>
              <w:tc>
                <w:tcPr>
                  <w:tcW w:w="2179" w:type="pct"/>
                  <w:vMerge w:val="continue"/>
                  <w:tcBorders>
                    <w:tl2br w:val="nil"/>
                    <w:tr2bl w:val="nil"/>
                  </w:tcBorders>
                  <w:noWrap w:val="0"/>
                  <w:vAlign w:val="center"/>
                </w:tcPr>
                <w:p w14:paraId="0B75AA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309DCD2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9" w:type="pct"/>
                  <w:vMerge w:val="continue"/>
                  <w:tcBorders>
                    <w:tl2br w:val="nil"/>
                    <w:tr2bl w:val="nil"/>
                  </w:tcBorders>
                  <w:noWrap w:val="0"/>
                  <w:vAlign w:val="center"/>
                </w:tcPr>
                <w:p w14:paraId="56F46C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18" w:type="pct"/>
                  <w:vMerge w:val="continue"/>
                  <w:tcBorders>
                    <w:tl2br w:val="nil"/>
                    <w:tr2bl w:val="nil"/>
                  </w:tcBorders>
                  <w:noWrap w:val="0"/>
                  <w:vAlign w:val="center"/>
                </w:tcPr>
                <w:p w14:paraId="102C2C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11" w:type="pct"/>
                  <w:vMerge w:val="continue"/>
                  <w:tcBorders>
                    <w:tl2br w:val="nil"/>
                    <w:tr2bl w:val="nil"/>
                  </w:tcBorders>
                  <w:noWrap w:val="0"/>
                  <w:vAlign w:val="center"/>
                </w:tcPr>
                <w:p w14:paraId="26F9DE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p>
              </w:tc>
              <w:tc>
                <w:tcPr>
                  <w:tcW w:w="951" w:type="pct"/>
                  <w:tcBorders>
                    <w:tl2br w:val="nil"/>
                    <w:tr2bl w:val="nil"/>
                  </w:tcBorders>
                  <w:noWrap w:val="0"/>
                  <w:vAlign w:val="center"/>
                </w:tcPr>
                <w:p w14:paraId="40B156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硫化氢</w:t>
                  </w:r>
                </w:p>
              </w:tc>
              <w:tc>
                <w:tcPr>
                  <w:tcW w:w="2179" w:type="pct"/>
                  <w:vMerge w:val="continue"/>
                  <w:tcBorders>
                    <w:tl2br w:val="nil"/>
                    <w:tr2bl w:val="nil"/>
                  </w:tcBorders>
                  <w:noWrap w:val="0"/>
                  <w:vAlign w:val="center"/>
                </w:tcPr>
                <w:p w14:paraId="6A8ECA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12A4E2F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9" w:type="pct"/>
                  <w:vMerge w:val="continue"/>
                  <w:tcBorders>
                    <w:tl2br w:val="nil"/>
                    <w:tr2bl w:val="nil"/>
                  </w:tcBorders>
                  <w:noWrap w:val="0"/>
                  <w:vAlign w:val="center"/>
                </w:tcPr>
                <w:p w14:paraId="6DAE10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18" w:type="pct"/>
                  <w:vMerge w:val="continue"/>
                  <w:tcBorders>
                    <w:tl2br w:val="nil"/>
                    <w:tr2bl w:val="nil"/>
                  </w:tcBorders>
                  <w:noWrap w:val="0"/>
                  <w:vAlign w:val="center"/>
                </w:tcPr>
                <w:p w14:paraId="1A7A16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11" w:type="pct"/>
                  <w:vMerge w:val="continue"/>
                  <w:tcBorders>
                    <w:tl2br w:val="nil"/>
                    <w:tr2bl w:val="nil"/>
                  </w:tcBorders>
                  <w:noWrap w:val="0"/>
                  <w:vAlign w:val="center"/>
                </w:tcPr>
                <w:p w14:paraId="5396E4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951" w:type="pct"/>
                  <w:tcBorders>
                    <w:tl2br w:val="nil"/>
                    <w:tr2bl w:val="nil"/>
                  </w:tcBorders>
                  <w:noWrap w:val="0"/>
                  <w:vAlign w:val="center"/>
                </w:tcPr>
                <w:p w14:paraId="73D28F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臭气浓度</w:t>
                  </w:r>
                </w:p>
              </w:tc>
              <w:tc>
                <w:tcPr>
                  <w:tcW w:w="2179" w:type="pct"/>
                  <w:vMerge w:val="continue"/>
                  <w:tcBorders>
                    <w:tl2br w:val="nil"/>
                    <w:tr2bl w:val="nil"/>
                  </w:tcBorders>
                  <w:noWrap w:val="0"/>
                  <w:vAlign w:val="center"/>
                </w:tcPr>
                <w:p w14:paraId="6F8AE2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152BDA2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9" w:type="pct"/>
                  <w:vMerge w:val="continue"/>
                  <w:tcBorders>
                    <w:tl2br w:val="nil"/>
                    <w:tr2bl w:val="nil"/>
                  </w:tcBorders>
                  <w:noWrap w:val="0"/>
                  <w:vAlign w:val="center"/>
                </w:tcPr>
                <w:p w14:paraId="4AFDDC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18" w:type="pct"/>
                  <w:tcBorders>
                    <w:tl2br w:val="nil"/>
                    <w:tr2bl w:val="nil"/>
                  </w:tcBorders>
                  <w:noWrap w:val="0"/>
                  <w:vAlign w:val="center"/>
                </w:tcPr>
                <w:p w14:paraId="7B4BFC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DA00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c>
                <w:tcPr>
                  <w:tcW w:w="811" w:type="pct"/>
                  <w:vMerge w:val="restart"/>
                  <w:tcBorders>
                    <w:tl2br w:val="nil"/>
                    <w:tr2bl w:val="nil"/>
                  </w:tcBorders>
                  <w:noWrap w:val="0"/>
                  <w:vAlign w:val="center"/>
                </w:tcPr>
                <w:p w14:paraId="123E9E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制剂车间</w:t>
                  </w:r>
                </w:p>
              </w:tc>
              <w:tc>
                <w:tcPr>
                  <w:tcW w:w="951" w:type="pct"/>
                  <w:tcBorders>
                    <w:tl2br w:val="nil"/>
                    <w:tr2bl w:val="nil"/>
                  </w:tcBorders>
                  <w:noWrap w:val="0"/>
                  <w:vAlign w:val="center"/>
                </w:tcPr>
                <w:p w14:paraId="3DD6B3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颗粒物</w:t>
                  </w:r>
                </w:p>
              </w:tc>
              <w:tc>
                <w:tcPr>
                  <w:tcW w:w="2179" w:type="pct"/>
                  <w:tcBorders>
                    <w:tl2br w:val="nil"/>
                    <w:tr2bl w:val="nil"/>
                  </w:tcBorders>
                  <w:noWrap w:val="0"/>
                  <w:vAlign w:val="center"/>
                </w:tcPr>
                <w:p w14:paraId="4AF975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制剂车间废气经</w:t>
                  </w:r>
                  <w:r>
                    <w:rPr>
                      <w:rFonts w:hint="eastAsia" w:eastAsia="宋体"/>
                      <w:color w:val="000000" w:themeColor="text1"/>
                      <w:sz w:val="21"/>
                      <w:szCs w:val="21"/>
                      <w:highlight w:val="none"/>
                      <w:lang w:val="en-US" w:eastAsia="zh-CN"/>
                      <w14:textFill>
                        <w14:solidFill>
                          <w14:schemeClr w14:val="tx1"/>
                        </w14:solidFill>
                      </w14:textFill>
                    </w:rPr>
                    <w:t>旋风除尘器+</w:t>
                  </w:r>
                  <w:r>
                    <w:rPr>
                      <w:rFonts w:hint="default"/>
                      <w:color w:val="000000" w:themeColor="text1"/>
                      <w:sz w:val="21"/>
                      <w:szCs w:val="21"/>
                      <w:highlight w:val="none"/>
                      <w14:textFill>
                        <w14:solidFill>
                          <w14:schemeClr w14:val="tx1"/>
                        </w14:solidFill>
                      </w14:textFill>
                    </w:rPr>
                    <w:t>布袋除尘器</w:t>
                  </w:r>
                  <w:r>
                    <w:rPr>
                      <w:rFonts w:hint="eastAsia" w:cs="Times New Roman"/>
                      <w:color w:val="000000" w:themeColor="text1"/>
                      <w:sz w:val="21"/>
                      <w:szCs w:val="21"/>
                      <w:highlight w:val="none"/>
                      <w:lang w:val="en-US" w:eastAsia="zh-CN"/>
                      <w14:textFill>
                        <w14:solidFill>
                          <w14:schemeClr w14:val="tx1"/>
                        </w14:solidFill>
                      </w14:textFill>
                    </w:rPr>
                    <w:t>处理后，由1根15m</w:t>
                  </w:r>
                  <w:r>
                    <w:rPr>
                      <w:rFonts w:hint="default" w:ascii="Times New Roman" w:hAnsi="Times New Roman" w:eastAsia="宋体" w:cs="Times New Roman"/>
                      <w:color w:val="000000" w:themeColor="text1"/>
                      <w:sz w:val="21"/>
                      <w:szCs w:val="21"/>
                      <w:highlight w:val="none"/>
                      <w14:textFill>
                        <w14:solidFill>
                          <w14:schemeClr w14:val="tx1"/>
                        </w14:solidFill>
                      </w14:textFill>
                    </w:rPr>
                    <w:t>高排气筒排放（DA00</w:t>
                  </w:r>
                  <w:r>
                    <w:rPr>
                      <w:rFonts w:hint="eastAsia"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r>
            <w:tr w14:paraId="5D9DD88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9" w:type="pct"/>
                  <w:vMerge w:val="continue"/>
                  <w:tcBorders>
                    <w:tl2br w:val="nil"/>
                    <w:tr2bl w:val="nil"/>
                  </w:tcBorders>
                  <w:noWrap w:val="0"/>
                  <w:vAlign w:val="center"/>
                </w:tcPr>
                <w:p w14:paraId="44EECE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18" w:type="pct"/>
                  <w:tcBorders>
                    <w:tl2br w:val="nil"/>
                    <w:tr2bl w:val="nil"/>
                  </w:tcBorders>
                  <w:noWrap w:val="0"/>
                  <w:vAlign w:val="center"/>
                </w:tcPr>
                <w:p w14:paraId="5BA541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DA00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6</w:t>
                  </w:r>
                </w:p>
              </w:tc>
              <w:tc>
                <w:tcPr>
                  <w:tcW w:w="811" w:type="pct"/>
                  <w:vMerge w:val="continue"/>
                  <w:tcBorders>
                    <w:tl2br w:val="nil"/>
                    <w:tr2bl w:val="nil"/>
                  </w:tcBorders>
                  <w:noWrap w:val="0"/>
                  <w:vAlign w:val="center"/>
                </w:tcPr>
                <w:p w14:paraId="425A9B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951" w:type="pct"/>
                  <w:tcBorders>
                    <w:tl2br w:val="nil"/>
                    <w:tr2bl w:val="nil"/>
                  </w:tcBorders>
                  <w:noWrap w:val="0"/>
                  <w:vAlign w:val="center"/>
                </w:tcPr>
                <w:p w14:paraId="05056E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颗粒物</w:t>
                  </w:r>
                </w:p>
              </w:tc>
              <w:tc>
                <w:tcPr>
                  <w:tcW w:w="2179" w:type="pct"/>
                  <w:tcBorders>
                    <w:tl2br w:val="nil"/>
                    <w:tr2bl w:val="nil"/>
                  </w:tcBorders>
                  <w:noWrap w:val="0"/>
                  <w:vAlign w:val="center"/>
                </w:tcPr>
                <w:p w14:paraId="1A0350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制剂车间废气经</w:t>
                  </w:r>
                  <w:r>
                    <w:rPr>
                      <w:rFonts w:hint="eastAsia" w:eastAsia="宋体"/>
                      <w:color w:val="000000" w:themeColor="text1"/>
                      <w:sz w:val="21"/>
                      <w:szCs w:val="21"/>
                      <w:highlight w:val="none"/>
                      <w:lang w:val="en-US" w:eastAsia="zh-CN"/>
                      <w14:textFill>
                        <w14:solidFill>
                          <w14:schemeClr w14:val="tx1"/>
                        </w14:solidFill>
                      </w14:textFill>
                    </w:rPr>
                    <w:t>旋风除尘器+</w:t>
                  </w:r>
                  <w:r>
                    <w:rPr>
                      <w:rFonts w:hint="default"/>
                      <w:color w:val="000000" w:themeColor="text1"/>
                      <w:sz w:val="21"/>
                      <w:szCs w:val="21"/>
                      <w:highlight w:val="none"/>
                      <w14:textFill>
                        <w14:solidFill>
                          <w14:schemeClr w14:val="tx1"/>
                        </w14:solidFill>
                      </w14:textFill>
                    </w:rPr>
                    <w:t>布袋除尘器</w:t>
                  </w:r>
                  <w:r>
                    <w:rPr>
                      <w:rFonts w:hint="eastAsia" w:cs="Times New Roman"/>
                      <w:color w:val="000000" w:themeColor="text1"/>
                      <w:sz w:val="21"/>
                      <w:szCs w:val="21"/>
                      <w:highlight w:val="none"/>
                      <w:lang w:val="en-US" w:eastAsia="zh-CN"/>
                      <w14:textFill>
                        <w14:solidFill>
                          <w14:schemeClr w14:val="tx1"/>
                        </w14:solidFill>
                      </w14:textFill>
                    </w:rPr>
                    <w:t>处理后，由1根15m</w:t>
                  </w:r>
                  <w:r>
                    <w:rPr>
                      <w:rFonts w:hint="default" w:ascii="Times New Roman" w:hAnsi="Times New Roman" w:eastAsia="宋体" w:cs="Times New Roman"/>
                      <w:color w:val="000000" w:themeColor="text1"/>
                      <w:sz w:val="21"/>
                      <w:szCs w:val="21"/>
                      <w:highlight w:val="none"/>
                      <w14:textFill>
                        <w14:solidFill>
                          <w14:schemeClr w14:val="tx1"/>
                        </w14:solidFill>
                      </w14:textFill>
                    </w:rPr>
                    <w:t>高排气筒排放（DA00</w:t>
                  </w:r>
                  <w:r>
                    <w:rPr>
                      <w:rFonts w:hint="eastAsia" w:cs="Times New Roman"/>
                      <w:color w:val="000000" w:themeColor="text1"/>
                      <w:sz w:val="21"/>
                      <w:szCs w:val="21"/>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r>
            <w:tr w14:paraId="004C713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9" w:type="pct"/>
                  <w:vMerge w:val="continue"/>
                  <w:tcBorders>
                    <w:tl2br w:val="nil"/>
                    <w:tr2bl w:val="nil"/>
                  </w:tcBorders>
                  <w:noWrap w:val="0"/>
                  <w:vAlign w:val="center"/>
                </w:tcPr>
                <w:p w14:paraId="2E7BC5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18" w:type="pct"/>
                  <w:tcBorders>
                    <w:tl2br w:val="nil"/>
                    <w:tr2bl w:val="nil"/>
                  </w:tcBorders>
                  <w:noWrap w:val="0"/>
                  <w:vAlign w:val="center"/>
                </w:tcPr>
                <w:p w14:paraId="795C07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DA00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7</w:t>
                  </w:r>
                </w:p>
              </w:tc>
              <w:tc>
                <w:tcPr>
                  <w:tcW w:w="811" w:type="pct"/>
                  <w:vMerge w:val="continue"/>
                  <w:tcBorders>
                    <w:tl2br w:val="nil"/>
                    <w:tr2bl w:val="nil"/>
                  </w:tcBorders>
                  <w:noWrap w:val="0"/>
                  <w:vAlign w:val="center"/>
                </w:tcPr>
                <w:p w14:paraId="4A31D2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951" w:type="pct"/>
                  <w:tcBorders>
                    <w:tl2br w:val="nil"/>
                    <w:tr2bl w:val="nil"/>
                  </w:tcBorders>
                  <w:noWrap w:val="0"/>
                  <w:vAlign w:val="center"/>
                </w:tcPr>
                <w:p w14:paraId="7FEB56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颗粒物</w:t>
                  </w:r>
                </w:p>
              </w:tc>
              <w:tc>
                <w:tcPr>
                  <w:tcW w:w="2179" w:type="pct"/>
                  <w:tcBorders>
                    <w:tl2br w:val="nil"/>
                    <w:tr2bl w:val="nil"/>
                  </w:tcBorders>
                  <w:noWrap w:val="0"/>
                  <w:vAlign w:val="center"/>
                </w:tcPr>
                <w:p w14:paraId="16CF55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制剂车间废气经</w:t>
                  </w:r>
                  <w:r>
                    <w:rPr>
                      <w:rFonts w:hint="eastAsia" w:eastAsia="宋体"/>
                      <w:color w:val="000000" w:themeColor="text1"/>
                      <w:sz w:val="21"/>
                      <w:szCs w:val="21"/>
                      <w:highlight w:val="none"/>
                      <w:lang w:val="en-US" w:eastAsia="zh-CN"/>
                      <w14:textFill>
                        <w14:solidFill>
                          <w14:schemeClr w14:val="tx1"/>
                        </w14:solidFill>
                      </w14:textFill>
                    </w:rPr>
                    <w:t>旋风除尘器+</w:t>
                  </w:r>
                  <w:r>
                    <w:rPr>
                      <w:rFonts w:hint="default"/>
                      <w:color w:val="000000" w:themeColor="text1"/>
                      <w:sz w:val="21"/>
                      <w:szCs w:val="21"/>
                      <w:highlight w:val="none"/>
                      <w14:textFill>
                        <w14:solidFill>
                          <w14:schemeClr w14:val="tx1"/>
                        </w14:solidFill>
                      </w14:textFill>
                    </w:rPr>
                    <w:t>布袋除尘器</w:t>
                  </w:r>
                  <w:r>
                    <w:rPr>
                      <w:rFonts w:hint="eastAsia" w:cs="Times New Roman"/>
                      <w:color w:val="000000" w:themeColor="text1"/>
                      <w:sz w:val="21"/>
                      <w:szCs w:val="21"/>
                      <w:highlight w:val="none"/>
                      <w:lang w:val="en-US" w:eastAsia="zh-CN"/>
                      <w14:textFill>
                        <w14:solidFill>
                          <w14:schemeClr w14:val="tx1"/>
                        </w14:solidFill>
                      </w14:textFill>
                    </w:rPr>
                    <w:t>处理后，由1根15m</w:t>
                  </w:r>
                  <w:r>
                    <w:rPr>
                      <w:rFonts w:hint="default" w:ascii="Times New Roman" w:hAnsi="Times New Roman" w:eastAsia="宋体" w:cs="Times New Roman"/>
                      <w:color w:val="000000" w:themeColor="text1"/>
                      <w:sz w:val="21"/>
                      <w:szCs w:val="21"/>
                      <w:highlight w:val="none"/>
                      <w14:textFill>
                        <w14:solidFill>
                          <w14:schemeClr w14:val="tx1"/>
                        </w14:solidFill>
                      </w14:textFill>
                    </w:rPr>
                    <w:t>高排气筒排放（DA00</w:t>
                  </w:r>
                  <w:r>
                    <w:rPr>
                      <w:rFonts w:hint="eastAsia" w:cs="Times New Roman"/>
                      <w:color w:val="000000" w:themeColor="text1"/>
                      <w:sz w:val="21"/>
                      <w:szCs w:val="21"/>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r>
            <w:tr w14:paraId="5A67E11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9" w:type="pct"/>
                  <w:vMerge w:val="continue"/>
                  <w:tcBorders>
                    <w:tl2br w:val="nil"/>
                    <w:tr2bl w:val="nil"/>
                  </w:tcBorders>
                  <w:noWrap w:val="0"/>
                  <w:vAlign w:val="center"/>
                </w:tcPr>
                <w:p w14:paraId="1988F7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18" w:type="pct"/>
                  <w:tcBorders>
                    <w:tl2br w:val="nil"/>
                    <w:tr2bl w:val="nil"/>
                  </w:tcBorders>
                  <w:noWrap w:val="0"/>
                  <w:vAlign w:val="center"/>
                </w:tcPr>
                <w:p w14:paraId="35CD94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DA00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8</w:t>
                  </w:r>
                </w:p>
              </w:tc>
              <w:tc>
                <w:tcPr>
                  <w:tcW w:w="811" w:type="pct"/>
                  <w:vMerge w:val="continue"/>
                  <w:tcBorders>
                    <w:tl2br w:val="nil"/>
                    <w:tr2bl w:val="nil"/>
                  </w:tcBorders>
                  <w:noWrap w:val="0"/>
                  <w:vAlign w:val="center"/>
                </w:tcPr>
                <w:p w14:paraId="5C5EE4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951" w:type="pct"/>
                  <w:tcBorders>
                    <w:tl2br w:val="nil"/>
                    <w:tr2bl w:val="nil"/>
                  </w:tcBorders>
                  <w:noWrap w:val="0"/>
                  <w:vAlign w:val="center"/>
                </w:tcPr>
                <w:p w14:paraId="552C06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颗粒物</w:t>
                  </w:r>
                </w:p>
              </w:tc>
              <w:tc>
                <w:tcPr>
                  <w:tcW w:w="2179" w:type="pct"/>
                  <w:tcBorders>
                    <w:tl2br w:val="nil"/>
                    <w:tr2bl w:val="nil"/>
                  </w:tcBorders>
                  <w:noWrap w:val="0"/>
                  <w:vAlign w:val="center"/>
                </w:tcPr>
                <w:p w14:paraId="566189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制剂车间废气经</w:t>
                  </w:r>
                  <w:r>
                    <w:rPr>
                      <w:rFonts w:hint="eastAsia" w:eastAsia="宋体"/>
                      <w:color w:val="000000" w:themeColor="text1"/>
                      <w:sz w:val="21"/>
                      <w:szCs w:val="21"/>
                      <w:highlight w:val="none"/>
                      <w:lang w:val="en-US" w:eastAsia="zh-CN"/>
                      <w14:textFill>
                        <w14:solidFill>
                          <w14:schemeClr w14:val="tx1"/>
                        </w14:solidFill>
                      </w14:textFill>
                    </w:rPr>
                    <w:t>旋风除尘器+</w:t>
                  </w:r>
                  <w:r>
                    <w:rPr>
                      <w:rFonts w:hint="default"/>
                      <w:color w:val="000000" w:themeColor="text1"/>
                      <w:sz w:val="21"/>
                      <w:szCs w:val="21"/>
                      <w:highlight w:val="none"/>
                      <w14:textFill>
                        <w14:solidFill>
                          <w14:schemeClr w14:val="tx1"/>
                        </w14:solidFill>
                      </w14:textFill>
                    </w:rPr>
                    <w:t>布袋除尘器</w:t>
                  </w:r>
                  <w:r>
                    <w:rPr>
                      <w:rFonts w:hint="eastAsia" w:cs="Times New Roman"/>
                      <w:color w:val="000000" w:themeColor="text1"/>
                      <w:sz w:val="21"/>
                      <w:szCs w:val="21"/>
                      <w:highlight w:val="none"/>
                      <w:lang w:val="en-US" w:eastAsia="zh-CN"/>
                      <w14:textFill>
                        <w14:solidFill>
                          <w14:schemeClr w14:val="tx1"/>
                        </w14:solidFill>
                      </w14:textFill>
                    </w:rPr>
                    <w:t>处理后，由1根15m</w:t>
                  </w:r>
                  <w:r>
                    <w:rPr>
                      <w:rFonts w:hint="default" w:ascii="Times New Roman" w:hAnsi="Times New Roman" w:eastAsia="宋体" w:cs="Times New Roman"/>
                      <w:color w:val="000000" w:themeColor="text1"/>
                      <w:sz w:val="21"/>
                      <w:szCs w:val="21"/>
                      <w:highlight w:val="none"/>
                      <w14:textFill>
                        <w14:solidFill>
                          <w14:schemeClr w14:val="tx1"/>
                        </w14:solidFill>
                      </w14:textFill>
                    </w:rPr>
                    <w:t>高排气筒排放（DA00</w:t>
                  </w:r>
                  <w:r>
                    <w:rPr>
                      <w:rFonts w:hint="eastAsia" w:cs="Times New Roman"/>
                      <w:color w:val="000000" w:themeColor="text1"/>
                      <w:sz w:val="21"/>
                      <w:szCs w:val="21"/>
                      <w:highlight w:val="none"/>
                      <w:lang w:val="en-US" w:eastAsia="zh-CN"/>
                      <w14:textFill>
                        <w14:solidFill>
                          <w14:schemeClr w14:val="tx1"/>
                        </w14:solidFill>
                      </w14:textFill>
                    </w:rPr>
                    <w:t>8</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r>
            <w:tr w14:paraId="3F74E58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9" w:type="pct"/>
                  <w:vMerge w:val="continue"/>
                  <w:tcBorders>
                    <w:tl2br w:val="nil"/>
                    <w:tr2bl w:val="nil"/>
                  </w:tcBorders>
                  <w:noWrap w:val="0"/>
                  <w:vAlign w:val="center"/>
                </w:tcPr>
                <w:p w14:paraId="44E8E8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18" w:type="pct"/>
                  <w:tcBorders>
                    <w:tl2br w:val="nil"/>
                    <w:tr2bl w:val="nil"/>
                  </w:tcBorders>
                  <w:noWrap w:val="0"/>
                  <w:vAlign w:val="center"/>
                </w:tcPr>
                <w:p w14:paraId="720523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DA00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9</w:t>
                  </w:r>
                </w:p>
              </w:tc>
              <w:tc>
                <w:tcPr>
                  <w:tcW w:w="811" w:type="pct"/>
                  <w:vMerge w:val="continue"/>
                  <w:tcBorders>
                    <w:tl2br w:val="nil"/>
                    <w:tr2bl w:val="nil"/>
                  </w:tcBorders>
                  <w:noWrap w:val="0"/>
                  <w:vAlign w:val="center"/>
                </w:tcPr>
                <w:p w14:paraId="5BC164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951" w:type="pct"/>
                  <w:tcBorders>
                    <w:tl2br w:val="nil"/>
                    <w:tr2bl w:val="nil"/>
                  </w:tcBorders>
                  <w:noWrap w:val="0"/>
                  <w:vAlign w:val="center"/>
                </w:tcPr>
                <w:p w14:paraId="0A5322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颗粒物</w:t>
                  </w:r>
                </w:p>
              </w:tc>
              <w:tc>
                <w:tcPr>
                  <w:tcW w:w="2179" w:type="pct"/>
                  <w:tcBorders>
                    <w:tl2br w:val="nil"/>
                    <w:tr2bl w:val="nil"/>
                  </w:tcBorders>
                  <w:noWrap w:val="0"/>
                  <w:vAlign w:val="center"/>
                </w:tcPr>
                <w:p w14:paraId="32C507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制剂车间废气经</w:t>
                  </w:r>
                  <w:r>
                    <w:rPr>
                      <w:rFonts w:hint="eastAsia" w:eastAsia="宋体"/>
                      <w:color w:val="000000" w:themeColor="text1"/>
                      <w:sz w:val="21"/>
                      <w:szCs w:val="21"/>
                      <w:highlight w:val="none"/>
                      <w:lang w:val="en-US" w:eastAsia="zh-CN"/>
                      <w14:textFill>
                        <w14:solidFill>
                          <w14:schemeClr w14:val="tx1"/>
                        </w14:solidFill>
                      </w14:textFill>
                    </w:rPr>
                    <w:t>旋风除尘器+</w:t>
                  </w:r>
                  <w:r>
                    <w:rPr>
                      <w:rFonts w:hint="default"/>
                      <w:color w:val="000000" w:themeColor="text1"/>
                      <w:sz w:val="21"/>
                      <w:szCs w:val="21"/>
                      <w:highlight w:val="none"/>
                      <w14:textFill>
                        <w14:solidFill>
                          <w14:schemeClr w14:val="tx1"/>
                        </w14:solidFill>
                      </w14:textFill>
                    </w:rPr>
                    <w:t>布袋除尘器</w:t>
                  </w:r>
                  <w:r>
                    <w:rPr>
                      <w:rFonts w:hint="eastAsia" w:cs="Times New Roman"/>
                      <w:color w:val="000000" w:themeColor="text1"/>
                      <w:sz w:val="21"/>
                      <w:szCs w:val="21"/>
                      <w:highlight w:val="none"/>
                      <w:lang w:val="en-US" w:eastAsia="zh-CN"/>
                      <w14:textFill>
                        <w14:solidFill>
                          <w14:schemeClr w14:val="tx1"/>
                        </w14:solidFill>
                      </w14:textFill>
                    </w:rPr>
                    <w:t>处理后，由1根15m</w:t>
                  </w:r>
                  <w:r>
                    <w:rPr>
                      <w:rFonts w:hint="default" w:ascii="Times New Roman" w:hAnsi="Times New Roman" w:eastAsia="宋体" w:cs="Times New Roman"/>
                      <w:color w:val="000000" w:themeColor="text1"/>
                      <w:sz w:val="21"/>
                      <w:szCs w:val="21"/>
                      <w:highlight w:val="none"/>
                      <w14:textFill>
                        <w14:solidFill>
                          <w14:schemeClr w14:val="tx1"/>
                        </w14:solidFill>
                      </w14:textFill>
                    </w:rPr>
                    <w:t>高排气筒排放（DA00</w:t>
                  </w:r>
                  <w:r>
                    <w:rPr>
                      <w:rFonts w:hint="eastAsia" w:cs="Times New Roman"/>
                      <w:color w:val="000000" w:themeColor="text1"/>
                      <w:sz w:val="21"/>
                      <w:szCs w:val="21"/>
                      <w:highlight w:val="none"/>
                      <w:lang w:val="en-US" w:eastAsia="zh-CN"/>
                      <w14:textFill>
                        <w14:solidFill>
                          <w14:schemeClr w14:val="tx1"/>
                        </w14:solidFill>
                      </w14:textFill>
                    </w:rPr>
                    <w:t>9</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r>
            <w:tr w14:paraId="279D084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9" w:type="pct"/>
                  <w:vMerge w:val="continue"/>
                  <w:tcBorders>
                    <w:tl2br w:val="nil"/>
                    <w:tr2bl w:val="nil"/>
                  </w:tcBorders>
                  <w:noWrap w:val="0"/>
                  <w:vAlign w:val="center"/>
                </w:tcPr>
                <w:p w14:paraId="4BDA48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18" w:type="pct"/>
                  <w:tcBorders>
                    <w:tl2br w:val="nil"/>
                    <w:tr2bl w:val="nil"/>
                  </w:tcBorders>
                  <w:noWrap w:val="0"/>
                  <w:vAlign w:val="center"/>
                </w:tcPr>
                <w:p w14:paraId="50AD3E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DA0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10</w:t>
                  </w:r>
                </w:p>
              </w:tc>
              <w:tc>
                <w:tcPr>
                  <w:tcW w:w="811" w:type="pct"/>
                  <w:vMerge w:val="continue"/>
                  <w:tcBorders>
                    <w:tl2br w:val="nil"/>
                    <w:tr2bl w:val="nil"/>
                  </w:tcBorders>
                  <w:noWrap w:val="0"/>
                  <w:vAlign w:val="center"/>
                </w:tcPr>
                <w:p w14:paraId="71E4F6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951" w:type="pct"/>
                  <w:tcBorders>
                    <w:tl2br w:val="nil"/>
                    <w:tr2bl w:val="nil"/>
                  </w:tcBorders>
                  <w:noWrap w:val="0"/>
                  <w:vAlign w:val="center"/>
                </w:tcPr>
                <w:p w14:paraId="50BFE2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颗粒物</w:t>
                  </w:r>
                </w:p>
              </w:tc>
              <w:tc>
                <w:tcPr>
                  <w:tcW w:w="2179" w:type="pct"/>
                  <w:tcBorders>
                    <w:tl2br w:val="nil"/>
                    <w:tr2bl w:val="nil"/>
                  </w:tcBorders>
                  <w:noWrap w:val="0"/>
                  <w:vAlign w:val="center"/>
                </w:tcPr>
                <w:p w14:paraId="07BB13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制剂车间废气经</w:t>
                  </w:r>
                  <w:r>
                    <w:rPr>
                      <w:rFonts w:hint="eastAsia" w:eastAsia="宋体"/>
                      <w:color w:val="000000" w:themeColor="text1"/>
                      <w:sz w:val="21"/>
                      <w:szCs w:val="21"/>
                      <w:highlight w:val="none"/>
                      <w:lang w:val="en-US" w:eastAsia="zh-CN"/>
                      <w14:textFill>
                        <w14:solidFill>
                          <w14:schemeClr w14:val="tx1"/>
                        </w14:solidFill>
                      </w14:textFill>
                    </w:rPr>
                    <w:t>旋风除尘器+</w:t>
                  </w:r>
                  <w:r>
                    <w:rPr>
                      <w:rFonts w:hint="default"/>
                      <w:color w:val="000000" w:themeColor="text1"/>
                      <w:sz w:val="21"/>
                      <w:szCs w:val="21"/>
                      <w:highlight w:val="none"/>
                      <w14:textFill>
                        <w14:solidFill>
                          <w14:schemeClr w14:val="tx1"/>
                        </w14:solidFill>
                      </w14:textFill>
                    </w:rPr>
                    <w:t>布袋除尘器</w:t>
                  </w:r>
                  <w:r>
                    <w:rPr>
                      <w:rFonts w:hint="eastAsia" w:cs="Times New Roman"/>
                      <w:color w:val="000000" w:themeColor="text1"/>
                      <w:sz w:val="21"/>
                      <w:szCs w:val="21"/>
                      <w:highlight w:val="none"/>
                      <w:lang w:val="en-US" w:eastAsia="zh-CN"/>
                      <w14:textFill>
                        <w14:solidFill>
                          <w14:schemeClr w14:val="tx1"/>
                        </w14:solidFill>
                      </w14:textFill>
                    </w:rPr>
                    <w:t>处理后，由1根15m</w:t>
                  </w:r>
                  <w:r>
                    <w:rPr>
                      <w:rFonts w:hint="default" w:ascii="Times New Roman" w:hAnsi="Times New Roman" w:eastAsia="宋体" w:cs="Times New Roman"/>
                      <w:color w:val="000000" w:themeColor="text1"/>
                      <w:sz w:val="21"/>
                      <w:szCs w:val="21"/>
                      <w:highlight w:val="none"/>
                      <w14:textFill>
                        <w14:solidFill>
                          <w14:schemeClr w14:val="tx1"/>
                        </w14:solidFill>
                      </w14:textFill>
                    </w:rPr>
                    <w:t>高排气筒排放（DA0</w:t>
                  </w:r>
                  <w:r>
                    <w:rPr>
                      <w:rFonts w:hint="eastAsia" w:cs="Times New Roman"/>
                      <w:color w:val="000000" w:themeColor="text1"/>
                      <w:sz w:val="21"/>
                      <w:szCs w:val="21"/>
                      <w:highlight w:val="none"/>
                      <w:lang w:val="en-US" w:eastAsia="zh-CN"/>
                      <w14:textFill>
                        <w14:solidFill>
                          <w14:schemeClr w14:val="tx1"/>
                        </w14:solidFill>
                      </w14:textFill>
                    </w:rPr>
                    <w:t>10</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r>
            <w:tr w14:paraId="1A5E4B2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9" w:type="pct"/>
                  <w:vMerge w:val="continue"/>
                  <w:tcBorders>
                    <w:tl2br w:val="nil"/>
                    <w:tr2bl w:val="nil"/>
                  </w:tcBorders>
                  <w:noWrap w:val="0"/>
                  <w:vAlign w:val="center"/>
                </w:tcPr>
                <w:p w14:paraId="073F68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18" w:type="pct"/>
                  <w:tcBorders>
                    <w:tl2br w:val="nil"/>
                    <w:tr2bl w:val="nil"/>
                  </w:tcBorders>
                  <w:noWrap w:val="0"/>
                  <w:vAlign w:val="center"/>
                </w:tcPr>
                <w:p w14:paraId="4CCD17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DA0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11</w:t>
                  </w:r>
                </w:p>
              </w:tc>
              <w:tc>
                <w:tcPr>
                  <w:tcW w:w="811" w:type="pct"/>
                  <w:vMerge w:val="continue"/>
                  <w:tcBorders>
                    <w:tl2br w:val="nil"/>
                    <w:tr2bl w:val="nil"/>
                  </w:tcBorders>
                  <w:noWrap w:val="0"/>
                  <w:vAlign w:val="center"/>
                </w:tcPr>
                <w:p w14:paraId="2F766B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951" w:type="pct"/>
                  <w:tcBorders>
                    <w:tl2br w:val="nil"/>
                    <w:tr2bl w:val="nil"/>
                  </w:tcBorders>
                  <w:noWrap w:val="0"/>
                  <w:vAlign w:val="center"/>
                </w:tcPr>
                <w:p w14:paraId="1B99B1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颗粒物</w:t>
                  </w:r>
                </w:p>
              </w:tc>
              <w:tc>
                <w:tcPr>
                  <w:tcW w:w="2179" w:type="pct"/>
                  <w:tcBorders>
                    <w:tl2br w:val="nil"/>
                    <w:tr2bl w:val="nil"/>
                  </w:tcBorders>
                  <w:noWrap w:val="0"/>
                  <w:vAlign w:val="center"/>
                </w:tcPr>
                <w:p w14:paraId="5B521F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制剂车间废气经</w:t>
                  </w:r>
                  <w:r>
                    <w:rPr>
                      <w:rFonts w:hint="eastAsia" w:eastAsia="宋体"/>
                      <w:color w:val="000000" w:themeColor="text1"/>
                      <w:sz w:val="21"/>
                      <w:szCs w:val="21"/>
                      <w:highlight w:val="none"/>
                      <w:lang w:val="en-US" w:eastAsia="zh-CN"/>
                      <w14:textFill>
                        <w14:solidFill>
                          <w14:schemeClr w14:val="tx1"/>
                        </w14:solidFill>
                      </w14:textFill>
                    </w:rPr>
                    <w:t>旋风除尘器+</w:t>
                  </w:r>
                  <w:r>
                    <w:rPr>
                      <w:rFonts w:hint="default"/>
                      <w:color w:val="000000" w:themeColor="text1"/>
                      <w:sz w:val="21"/>
                      <w:szCs w:val="21"/>
                      <w:highlight w:val="none"/>
                      <w14:textFill>
                        <w14:solidFill>
                          <w14:schemeClr w14:val="tx1"/>
                        </w14:solidFill>
                      </w14:textFill>
                    </w:rPr>
                    <w:t>布袋除尘器</w:t>
                  </w:r>
                  <w:r>
                    <w:rPr>
                      <w:rFonts w:hint="eastAsia" w:cs="Times New Roman"/>
                      <w:color w:val="000000" w:themeColor="text1"/>
                      <w:sz w:val="21"/>
                      <w:szCs w:val="21"/>
                      <w:highlight w:val="none"/>
                      <w:lang w:val="en-US" w:eastAsia="zh-CN"/>
                      <w14:textFill>
                        <w14:solidFill>
                          <w14:schemeClr w14:val="tx1"/>
                        </w14:solidFill>
                      </w14:textFill>
                    </w:rPr>
                    <w:t>处理后，由1根14m</w:t>
                  </w:r>
                  <w:r>
                    <w:rPr>
                      <w:rFonts w:hint="default" w:ascii="Times New Roman" w:hAnsi="Times New Roman" w:eastAsia="宋体" w:cs="Times New Roman"/>
                      <w:color w:val="000000" w:themeColor="text1"/>
                      <w:sz w:val="21"/>
                      <w:szCs w:val="21"/>
                      <w:highlight w:val="none"/>
                      <w14:textFill>
                        <w14:solidFill>
                          <w14:schemeClr w14:val="tx1"/>
                        </w14:solidFill>
                      </w14:textFill>
                    </w:rPr>
                    <w:t>高排气筒排放（DA0</w:t>
                  </w:r>
                  <w:r>
                    <w:rPr>
                      <w:rFonts w:hint="eastAsia" w:cs="Times New Roman"/>
                      <w:color w:val="000000" w:themeColor="text1"/>
                      <w:sz w:val="21"/>
                      <w:szCs w:val="21"/>
                      <w:highlight w:val="none"/>
                      <w:lang w:val="en-US" w:eastAsia="zh-CN"/>
                      <w14:textFill>
                        <w14:solidFill>
                          <w14:schemeClr w14:val="tx1"/>
                        </w14:solidFill>
                      </w14:textFill>
                    </w:rPr>
                    <w:t>11</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r>
            <w:tr w14:paraId="3C42511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9" w:type="pct"/>
                  <w:vMerge w:val="continue"/>
                  <w:tcBorders>
                    <w:tl2br w:val="nil"/>
                    <w:tr2bl w:val="nil"/>
                  </w:tcBorders>
                  <w:noWrap w:val="0"/>
                  <w:vAlign w:val="center"/>
                </w:tcPr>
                <w:p w14:paraId="2E8B1C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18" w:type="pct"/>
                  <w:tcBorders>
                    <w:tl2br w:val="nil"/>
                    <w:tr2bl w:val="nil"/>
                  </w:tcBorders>
                  <w:noWrap w:val="0"/>
                  <w:vAlign w:val="center"/>
                </w:tcPr>
                <w:p w14:paraId="0B1C0D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DA0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12</w:t>
                  </w:r>
                </w:p>
              </w:tc>
              <w:tc>
                <w:tcPr>
                  <w:tcW w:w="811" w:type="pct"/>
                  <w:vMerge w:val="continue"/>
                  <w:tcBorders>
                    <w:tl2br w:val="nil"/>
                    <w:tr2bl w:val="nil"/>
                  </w:tcBorders>
                  <w:noWrap w:val="0"/>
                  <w:vAlign w:val="center"/>
                </w:tcPr>
                <w:p w14:paraId="3EB5D9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951" w:type="pct"/>
                  <w:tcBorders>
                    <w:tl2br w:val="nil"/>
                    <w:tr2bl w:val="nil"/>
                  </w:tcBorders>
                  <w:noWrap w:val="0"/>
                  <w:vAlign w:val="center"/>
                </w:tcPr>
                <w:p w14:paraId="09F9BA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颗粒物</w:t>
                  </w:r>
                </w:p>
              </w:tc>
              <w:tc>
                <w:tcPr>
                  <w:tcW w:w="2179" w:type="pct"/>
                  <w:tcBorders>
                    <w:tl2br w:val="nil"/>
                    <w:tr2bl w:val="nil"/>
                  </w:tcBorders>
                  <w:noWrap w:val="0"/>
                  <w:vAlign w:val="center"/>
                </w:tcPr>
                <w:p w14:paraId="6BB881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制剂车间废气经</w:t>
                  </w:r>
                  <w:r>
                    <w:rPr>
                      <w:rFonts w:hint="eastAsia" w:eastAsia="宋体"/>
                      <w:color w:val="000000" w:themeColor="text1"/>
                      <w:sz w:val="21"/>
                      <w:szCs w:val="21"/>
                      <w:highlight w:val="none"/>
                      <w:lang w:val="en-US" w:eastAsia="zh-CN"/>
                      <w14:textFill>
                        <w14:solidFill>
                          <w14:schemeClr w14:val="tx1"/>
                        </w14:solidFill>
                      </w14:textFill>
                    </w:rPr>
                    <w:t>旋风除尘器+</w:t>
                  </w:r>
                  <w:r>
                    <w:rPr>
                      <w:rFonts w:hint="default"/>
                      <w:color w:val="000000" w:themeColor="text1"/>
                      <w:sz w:val="21"/>
                      <w:szCs w:val="21"/>
                      <w:highlight w:val="none"/>
                      <w14:textFill>
                        <w14:solidFill>
                          <w14:schemeClr w14:val="tx1"/>
                        </w14:solidFill>
                      </w14:textFill>
                    </w:rPr>
                    <w:t>布袋除尘器</w:t>
                  </w:r>
                  <w:r>
                    <w:rPr>
                      <w:rFonts w:hint="eastAsia" w:cs="Times New Roman"/>
                      <w:color w:val="000000" w:themeColor="text1"/>
                      <w:sz w:val="21"/>
                      <w:szCs w:val="21"/>
                      <w:highlight w:val="none"/>
                      <w:lang w:val="en-US" w:eastAsia="zh-CN"/>
                      <w14:textFill>
                        <w14:solidFill>
                          <w14:schemeClr w14:val="tx1"/>
                        </w14:solidFill>
                      </w14:textFill>
                    </w:rPr>
                    <w:t>处理后，由1根14m</w:t>
                  </w:r>
                  <w:r>
                    <w:rPr>
                      <w:rFonts w:hint="default" w:ascii="Times New Roman" w:hAnsi="Times New Roman" w:eastAsia="宋体" w:cs="Times New Roman"/>
                      <w:color w:val="000000" w:themeColor="text1"/>
                      <w:sz w:val="21"/>
                      <w:szCs w:val="21"/>
                      <w:highlight w:val="none"/>
                      <w14:textFill>
                        <w14:solidFill>
                          <w14:schemeClr w14:val="tx1"/>
                        </w14:solidFill>
                      </w14:textFill>
                    </w:rPr>
                    <w:t>高排气筒排放（DA0</w:t>
                  </w:r>
                  <w:r>
                    <w:rPr>
                      <w:rFonts w:hint="eastAsia" w:cs="Times New Roman"/>
                      <w:color w:val="000000" w:themeColor="text1"/>
                      <w:sz w:val="21"/>
                      <w:szCs w:val="21"/>
                      <w:highlight w:val="none"/>
                      <w:lang w:val="en-US" w:eastAsia="zh-CN"/>
                      <w14:textFill>
                        <w14:solidFill>
                          <w14:schemeClr w14:val="tx1"/>
                        </w14:solidFill>
                      </w14:textFill>
                    </w:rPr>
                    <w:t>12</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r>
            <w:tr w14:paraId="7A73D7C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9" w:type="pct"/>
                  <w:vMerge w:val="continue"/>
                  <w:tcBorders>
                    <w:tl2br w:val="nil"/>
                    <w:tr2bl w:val="nil"/>
                  </w:tcBorders>
                  <w:noWrap w:val="0"/>
                  <w:vAlign w:val="center"/>
                </w:tcPr>
                <w:p w14:paraId="0F345D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18" w:type="pct"/>
                  <w:tcBorders>
                    <w:tl2br w:val="nil"/>
                    <w:tr2bl w:val="nil"/>
                  </w:tcBorders>
                  <w:noWrap w:val="0"/>
                  <w:vAlign w:val="center"/>
                </w:tcPr>
                <w:p w14:paraId="644AFF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DA0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13</w:t>
                  </w:r>
                </w:p>
              </w:tc>
              <w:tc>
                <w:tcPr>
                  <w:tcW w:w="811" w:type="pct"/>
                  <w:vMerge w:val="continue"/>
                  <w:tcBorders>
                    <w:tl2br w:val="nil"/>
                    <w:tr2bl w:val="nil"/>
                  </w:tcBorders>
                  <w:noWrap w:val="0"/>
                  <w:vAlign w:val="center"/>
                </w:tcPr>
                <w:p w14:paraId="74ED88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951" w:type="pct"/>
                  <w:tcBorders>
                    <w:tl2br w:val="nil"/>
                    <w:tr2bl w:val="nil"/>
                  </w:tcBorders>
                  <w:noWrap w:val="0"/>
                  <w:vAlign w:val="center"/>
                </w:tcPr>
                <w:p w14:paraId="3C8599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颗粒物</w:t>
                  </w:r>
                </w:p>
              </w:tc>
              <w:tc>
                <w:tcPr>
                  <w:tcW w:w="2179" w:type="pct"/>
                  <w:tcBorders>
                    <w:tl2br w:val="nil"/>
                    <w:tr2bl w:val="nil"/>
                  </w:tcBorders>
                  <w:noWrap w:val="0"/>
                  <w:vAlign w:val="center"/>
                </w:tcPr>
                <w:p w14:paraId="1CA468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制剂车间废气经</w:t>
                  </w:r>
                  <w:r>
                    <w:rPr>
                      <w:rFonts w:hint="eastAsia" w:eastAsia="宋体"/>
                      <w:color w:val="000000" w:themeColor="text1"/>
                      <w:sz w:val="21"/>
                      <w:szCs w:val="21"/>
                      <w:highlight w:val="none"/>
                      <w:lang w:val="en-US" w:eastAsia="zh-CN"/>
                      <w14:textFill>
                        <w14:solidFill>
                          <w14:schemeClr w14:val="tx1"/>
                        </w14:solidFill>
                      </w14:textFill>
                    </w:rPr>
                    <w:t>旋风除尘器+</w:t>
                  </w:r>
                  <w:r>
                    <w:rPr>
                      <w:rFonts w:hint="default"/>
                      <w:color w:val="000000" w:themeColor="text1"/>
                      <w:sz w:val="21"/>
                      <w:szCs w:val="21"/>
                      <w:highlight w:val="none"/>
                      <w14:textFill>
                        <w14:solidFill>
                          <w14:schemeClr w14:val="tx1"/>
                        </w14:solidFill>
                      </w14:textFill>
                    </w:rPr>
                    <w:t>布袋除尘器</w:t>
                  </w:r>
                  <w:r>
                    <w:rPr>
                      <w:rFonts w:hint="eastAsia" w:cs="Times New Roman"/>
                      <w:color w:val="000000" w:themeColor="text1"/>
                      <w:sz w:val="21"/>
                      <w:szCs w:val="21"/>
                      <w:highlight w:val="none"/>
                      <w:lang w:val="en-US" w:eastAsia="zh-CN"/>
                      <w14:textFill>
                        <w14:solidFill>
                          <w14:schemeClr w14:val="tx1"/>
                        </w14:solidFill>
                      </w14:textFill>
                    </w:rPr>
                    <w:t>处理后，由1根20m</w:t>
                  </w:r>
                  <w:r>
                    <w:rPr>
                      <w:rFonts w:hint="default" w:ascii="Times New Roman" w:hAnsi="Times New Roman" w:eastAsia="宋体" w:cs="Times New Roman"/>
                      <w:color w:val="000000" w:themeColor="text1"/>
                      <w:sz w:val="21"/>
                      <w:szCs w:val="21"/>
                      <w:highlight w:val="none"/>
                      <w14:textFill>
                        <w14:solidFill>
                          <w14:schemeClr w14:val="tx1"/>
                        </w14:solidFill>
                      </w14:textFill>
                    </w:rPr>
                    <w:t>高排气筒排放（DA0</w:t>
                  </w:r>
                  <w:r>
                    <w:rPr>
                      <w:rFonts w:hint="eastAsia" w:cs="Times New Roman"/>
                      <w:color w:val="000000" w:themeColor="text1"/>
                      <w:sz w:val="21"/>
                      <w:szCs w:val="21"/>
                      <w:highlight w:val="none"/>
                      <w:lang w:val="en-US" w:eastAsia="zh-CN"/>
                      <w14:textFill>
                        <w14:solidFill>
                          <w14:schemeClr w14:val="tx1"/>
                        </w14:solidFill>
                      </w14:textFill>
                    </w:rPr>
                    <w:t>13</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r>
            <w:tr w14:paraId="192A696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9" w:type="pct"/>
                  <w:vMerge w:val="continue"/>
                  <w:tcBorders>
                    <w:tl2br w:val="nil"/>
                    <w:tr2bl w:val="nil"/>
                  </w:tcBorders>
                  <w:noWrap w:val="0"/>
                  <w:vAlign w:val="center"/>
                </w:tcPr>
                <w:p w14:paraId="1218C9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18" w:type="pct"/>
                  <w:tcBorders>
                    <w:tl2br w:val="nil"/>
                    <w:tr2bl w:val="nil"/>
                  </w:tcBorders>
                  <w:noWrap w:val="0"/>
                  <w:vAlign w:val="center"/>
                </w:tcPr>
                <w:p w14:paraId="2914D0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DA0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14</w:t>
                  </w:r>
                </w:p>
              </w:tc>
              <w:tc>
                <w:tcPr>
                  <w:tcW w:w="811" w:type="pct"/>
                  <w:tcBorders>
                    <w:tl2br w:val="nil"/>
                    <w:tr2bl w:val="nil"/>
                  </w:tcBorders>
                  <w:noWrap w:val="0"/>
                  <w:vAlign w:val="center"/>
                </w:tcPr>
                <w:p w14:paraId="7F2F61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前处理车间</w:t>
                  </w:r>
                </w:p>
              </w:tc>
              <w:tc>
                <w:tcPr>
                  <w:tcW w:w="951" w:type="pct"/>
                  <w:tcBorders>
                    <w:tl2br w:val="nil"/>
                    <w:tr2bl w:val="nil"/>
                  </w:tcBorders>
                  <w:noWrap w:val="0"/>
                  <w:vAlign w:val="center"/>
                </w:tcPr>
                <w:p w14:paraId="6E8CB5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颗粒物</w:t>
                  </w:r>
                </w:p>
              </w:tc>
              <w:tc>
                <w:tcPr>
                  <w:tcW w:w="2179" w:type="pct"/>
                  <w:tcBorders>
                    <w:tl2br w:val="nil"/>
                    <w:tr2bl w:val="nil"/>
                  </w:tcBorders>
                  <w:noWrap w:val="0"/>
                  <w:vAlign w:val="center"/>
                </w:tcPr>
                <w:p w14:paraId="02BA85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前处理车间</w:t>
                  </w:r>
                  <w:r>
                    <w:rPr>
                      <w:rFonts w:hint="eastAsia" w:cs="Times New Roman"/>
                      <w:color w:val="000000" w:themeColor="text1"/>
                      <w:sz w:val="21"/>
                      <w:szCs w:val="21"/>
                      <w:highlight w:val="none"/>
                      <w:lang w:val="en-US" w:eastAsia="zh-CN"/>
                      <w14:textFill>
                        <w14:solidFill>
                          <w14:schemeClr w14:val="tx1"/>
                        </w14:solidFill>
                      </w14:textFill>
                    </w:rPr>
                    <w:t>废气经布袋除尘器处理后，由1根17m</w:t>
                  </w:r>
                  <w:r>
                    <w:rPr>
                      <w:rFonts w:hint="default" w:ascii="Times New Roman" w:hAnsi="Times New Roman" w:eastAsia="宋体" w:cs="Times New Roman"/>
                      <w:color w:val="000000" w:themeColor="text1"/>
                      <w:sz w:val="21"/>
                      <w:szCs w:val="21"/>
                      <w:highlight w:val="none"/>
                      <w14:textFill>
                        <w14:solidFill>
                          <w14:schemeClr w14:val="tx1"/>
                        </w14:solidFill>
                      </w14:textFill>
                    </w:rPr>
                    <w:t>高排气筒排放（DA0</w:t>
                  </w:r>
                  <w:r>
                    <w:rPr>
                      <w:rFonts w:hint="eastAsia" w:cs="Times New Roman"/>
                      <w:color w:val="000000" w:themeColor="text1"/>
                      <w:sz w:val="21"/>
                      <w:szCs w:val="21"/>
                      <w:highlight w:val="none"/>
                      <w:lang w:val="en-US" w:eastAsia="zh-CN"/>
                      <w14:textFill>
                        <w14:solidFill>
                          <w14:schemeClr w14:val="tx1"/>
                        </w14:solidFill>
                      </w14:textFill>
                    </w:rPr>
                    <w:t>14</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r>
            <w:tr w14:paraId="620D631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9" w:type="pct"/>
                  <w:vMerge w:val="continue"/>
                  <w:tcBorders>
                    <w:tl2br w:val="nil"/>
                    <w:tr2bl w:val="nil"/>
                  </w:tcBorders>
                  <w:noWrap w:val="0"/>
                  <w:vAlign w:val="center"/>
                </w:tcPr>
                <w:p w14:paraId="3A0A1D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18" w:type="pct"/>
                  <w:tcBorders>
                    <w:tl2br w:val="nil"/>
                    <w:tr2bl w:val="nil"/>
                  </w:tcBorders>
                  <w:noWrap w:val="0"/>
                  <w:vAlign w:val="center"/>
                </w:tcPr>
                <w:p w14:paraId="4FF85B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DA01</w:t>
                  </w:r>
                  <w:r>
                    <w:rPr>
                      <w:rFonts w:hint="eastAsia" w:cs="Times New Roman"/>
                      <w:color w:val="000000" w:themeColor="text1"/>
                      <w:sz w:val="21"/>
                      <w:szCs w:val="21"/>
                      <w:highlight w:val="none"/>
                      <w:lang w:val="en-US" w:eastAsia="zh-CN"/>
                      <w14:textFill>
                        <w14:solidFill>
                          <w14:schemeClr w14:val="tx1"/>
                        </w14:solidFill>
                      </w14:textFill>
                    </w:rPr>
                    <w:t>5</w:t>
                  </w:r>
                </w:p>
              </w:tc>
              <w:tc>
                <w:tcPr>
                  <w:tcW w:w="811" w:type="pct"/>
                  <w:tcBorders>
                    <w:tl2br w:val="nil"/>
                    <w:tr2bl w:val="nil"/>
                  </w:tcBorders>
                  <w:noWrap w:val="0"/>
                  <w:vAlign w:val="center"/>
                </w:tcPr>
                <w:p w14:paraId="5E2D7B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危废贮存库</w:t>
                  </w:r>
                </w:p>
              </w:tc>
              <w:tc>
                <w:tcPr>
                  <w:tcW w:w="951" w:type="pct"/>
                  <w:tcBorders>
                    <w:tl2br w:val="nil"/>
                    <w:tr2bl w:val="nil"/>
                  </w:tcBorders>
                  <w:noWrap w:val="0"/>
                  <w:vAlign w:val="center"/>
                </w:tcPr>
                <w:p w14:paraId="06C5F0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非甲烷总烃</w:t>
                  </w:r>
                </w:p>
              </w:tc>
              <w:tc>
                <w:tcPr>
                  <w:tcW w:w="2179" w:type="pct"/>
                  <w:tcBorders>
                    <w:tl2br w:val="nil"/>
                    <w:tr2bl w:val="nil"/>
                  </w:tcBorders>
                  <w:noWrap w:val="0"/>
                  <w:vAlign w:val="center"/>
                </w:tcPr>
                <w:p w14:paraId="6D74EF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危废贮存库</w:t>
                  </w:r>
                  <w:r>
                    <w:rPr>
                      <w:rFonts w:hint="eastAsia" w:cs="Times New Roman"/>
                      <w:color w:val="000000" w:themeColor="text1"/>
                      <w:sz w:val="21"/>
                      <w:szCs w:val="21"/>
                      <w:highlight w:val="none"/>
                      <w:lang w:val="en-US" w:eastAsia="zh-CN"/>
                      <w14:textFill>
                        <w14:solidFill>
                          <w14:schemeClr w14:val="tx1"/>
                        </w14:solidFill>
                      </w14:textFill>
                    </w:rPr>
                    <w:t>废气经二级活性炭吸附设施处理后，由1根15m</w:t>
                  </w:r>
                  <w:r>
                    <w:rPr>
                      <w:rFonts w:hint="default" w:ascii="Times New Roman" w:hAnsi="Times New Roman" w:eastAsia="宋体" w:cs="Times New Roman"/>
                      <w:color w:val="000000" w:themeColor="text1"/>
                      <w:sz w:val="21"/>
                      <w:szCs w:val="21"/>
                      <w:highlight w:val="none"/>
                      <w14:textFill>
                        <w14:solidFill>
                          <w14:schemeClr w14:val="tx1"/>
                        </w14:solidFill>
                      </w14:textFill>
                    </w:rPr>
                    <w:t>高排气筒排放（DA0</w:t>
                  </w:r>
                  <w:r>
                    <w:rPr>
                      <w:rFonts w:hint="eastAsia" w:cs="Times New Roman"/>
                      <w:color w:val="000000" w:themeColor="text1"/>
                      <w:sz w:val="21"/>
                      <w:szCs w:val="21"/>
                      <w:highlight w:val="none"/>
                      <w:lang w:val="en-US" w:eastAsia="zh-CN"/>
                      <w14:textFill>
                        <w14:solidFill>
                          <w14:schemeClr w14:val="tx1"/>
                        </w14:solidFill>
                      </w14:textFill>
                    </w:rPr>
                    <w:t>15</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r>
            <w:tr w14:paraId="36C1560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9" w:type="pct"/>
                  <w:vMerge w:val="continue"/>
                  <w:tcBorders>
                    <w:tl2br w:val="nil"/>
                    <w:tr2bl w:val="nil"/>
                  </w:tcBorders>
                  <w:noWrap w:val="0"/>
                  <w:vAlign w:val="center"/>
                </w:tcPr>
                <w:p w14:paraId="603218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18" w:type="pct"/>
                  <w:tcBorders>
                    <w:tl2br w:val="nil"/>
                    <w:tr2bl w:val="nil"/>
                  </w:tcBorders>
                  <w:noWrap w:val="0"/>
                  <w:vAlign w:val="center"/>
                </w:tcPr>
                <w:p w14:paraId="70B443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厂区内</w:t>
                  </w:r>
                </w:p>
              </w:tc>
              <w:tc>
                <w:tcPr>
                  <w:tcW w:w="811" w:type="pct"/>
                  <w:tcBorders>
                    <w:tl2br w:val="nil"/>
                    <w:tr2bl w:val="nil"/>
                  </w:tcBorders>
                  <w:noWrap w:val="0"/>
                  <w:vAlign w:val="center"/>
                </w:tcPr>
                <w:p w14:paraId="7E8331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951" w:type="pct"/>
                  <w:tcBorders>
                    <w:tl2br w:val="nil"/>
                    <w:tr2bl w:val="nil"/>
                  </w:tcBorders>
                  <w:noWrap w:val="0"/>
                  <w:vAlign w:val="center"/>
                </w:tcPr>
                <w:p w14:paraId="6748B4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非甲烷总烃</w:t>
                  </w:r>
                </w:p>
              </w:tc>
              <w:tc>
                <w:tcPr>
                  <w:tcW w:w="2179" w:type="pct"/>
                  <w:tcBorders>
                    <w:tl2br w:val="nil"/>
                    <w:tr2bl w:val="nil"/>
                  </w:tcBorders>
                  <w:noWrap w:val="0"/>
                  <w:vAlign w:val="center"/>
                </w:tcPr>
                <w:p w14:paraId="693400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现有项目采用封闭料仓/库</w:t>
                  </w:r>
                </w:p>
              </w:tc>
            </w:tr>
            <w:tr w14:paraId="689C56E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9" w:type="pct"/>
                  <w:vMerge w:val="continue"/>
                  <w:tcBorders>
                    <w:tl2br w:val="nil"/>
                    <w:tr2bl w:val="nil"/>
                  </w:tcBorders>
                  <w:noWrap w:val="0"/>
                  <w:vAlign w:val="center"/>
                </w:tcPr>
                <w:p w14:paraId="0953C8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18" w:type="pct"/>
                  <w:vMerge w:val="restart"/>
                  <w:tcBorders>
                    <w:tl2br w:val="nil"/>
                    <w:tr2bl w:val="nil"/>
                  </w:tcBorders>
                  <w:noWrap w:val="0"/>
                  <w:vAlign w:val="center"/>
                </w:tcPr>
                <w:p w14:paraId="7FE74B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厂界</w:t>
                  </w:r>
                </w:p>
              </w:tc>
              <w:tc>
                <w:tcPr>
                  <w:tcW w:w="811" w:type="pct"/>
                  <w:vMerge w:val="restart"/>
                  <w:tcBorders>
                    <w:tl2br w:val="nil"/>
                    <w:tr2bl w:val="nil"/>
                  </w:tcBorders>
                  <w:noWrap w:val="0"/>
                  <w:vAlign w:val="center"/>
                </w:tcPr>
                <w:p w14:paraId="70C330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951" w:type="pct"/>
                  <w:tcBorders>
                    <w:tl2br w:val="nil"/>
                    <w:tr2bl w:val="nil"/>
                  </w:tcBorders>
                  <w:noWrap w:val="0"/>
                  <w:vAlign w:val="center"/>
                </w:tcPr>
                <w:p w14:paraId="65F205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非甲烷总烃</w:t>
                  </w:r>
                </w:p>
              </w:tc>
              <w:tc>
                <w:tcPr>
                  <w:tcW w:w="2179" w:type="pct"/>
                  <w:vMerge w:val="restart"/>
                  <w:tcBorders>
                    <w:tl2br w:val="nil"/>
                    <w:tr2bl w:val="nil"/>
                  </w:tcBorders>
                  <w:noWrap w:val="0"/>
                  <w:vAlign w:val="center"/>
                </w:tcPr>
                <w:p w14:paraId="07DB76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r>
            <w:tr w14:paraId="0BB509E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9" w:type="pct"/>
                  <w:vMerge w:val="continue"/>
                  <w:tcBorders>
                    <w:tl2br w:val="nil"/>
                    <w:tr2bl w:val="nil"/>
                  </w:tcBorders>
                  <w:noWrap w:val="0"/>
                  <w:vAlign w:val="center"/>
                </w:tcPr>
                <w:p w14:paraId="55E418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18" w:type="pct"/>
                  <w:vMerge w:val="continue"/>
                  <w:tcBorders>
                    <w:tl2br w:val="nil"/>
                    <w:tr2bl w:val="nil"/>
                  </w:tcBorders>
                  <w:noWrap w:val="0"/>
                  <w:vAlign w:val="center"/>
                </w:tcPr>
                <w:p w14:paraId="4524D7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11" w:type="pct"/>
                  <w:vMerge w:val="continue"/>
                  <w:tcBorders>
                    <w:tl2br w:val="nil"/>
                    <w:tr2bl w:val="nil"/>
                  </w:tcBorders>
                  <w:noWrap w:val="0"/>
                  <w:vAlign w:val="center"/>
                </w:tcPr>
                <w:p w14:paraId="008CC7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951" w:type="pct"/>
                  <w:tcBorders>
                    <w:tl2br w:val="nil"/>
                    <w:tr2bl w:val="nil"/>
                  </w:tcBorders>
                  <w:noWrap w:val="0"/>
                  <w:vAlign w:val="center"/>
                </w:tcPr>
                <w:p w14:paraId="5D6B2B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颗粒物</w:t>
                  </w:r>
                </w:p>
              </w:tc>
              <w:tc>
                <w:tcPr>
                  <w:tcW w:w="2179" w:type="pct"/>
                  <w:vMerge w:val="continue"/>
                  <w:tcBorders>
                    <w:tl2br w:val="nil"/>
                    <w:tr2bl w:val="nil"/>
                  </w:tcBorders>
                  <w:noWrap w:val="0"/>
                  <w:vAlign w:val="center"/>
                </w:tcPr>
                <w:p w14:paraId="76F786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cs="Times New Roman"/>
                      <w:color w:val="000000" w:themeColor="text1"/>
                      <w:sz w:val="21"/>
                      <w:szCs w:val="21"/>
                      <w:highlight w:val="none"/>
                      <w:lang w:val="en-US" w:eastAsia="zh-CN"/>
                      <w14:textFill>
                        <w14:solidFill>
                          <w14:schemeClr w14:val="tx1"/>
                        </w14:solidFill>
                      </w14:textFill>
                    </w:rPr>
                  </w:pPr>
                </w:p>
              </w:tc>
            </w:tr>
            <w:tr w14:paraId="471253E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9" w:type="pct"/>
                  <w:vMerge w:val="continue"/>
                  <w:tcBorders>
                    <w:tl2br w:val="nil"/>
                    <w:tr2bl w:val="nil"/>
                  </w:tcBorders>
                  <w:noWrap w:val="0"/>
                  <w:vAlign w:val="center"/>
                </w:tcPr>
                <w:p w14:paraId="6303B3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18" w:type="pct"/>
                  <w:vMerge w:val="continue"/>
                  <w:tcBorders>
                    <w:tl2br w:val="nil"/>
                    <w:tr2bl w:val="nil"/>
                  </w:tcBorders>
                  <w:noWrap w:val="0"/>
                  <w:vAlign w:val="center"/>
                </w:tcPr>
                <w:p w14:paraId="518C2E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11" w:type="pct"/>
                  <w:vMerge w:val="continue"/>
                  <w:tcBorders>
                    <w:tl2br w:val="nil"/>
                    <w:tr2bl w:val="nil"/>
                  </w:tcBorders>
                  <w:noWrap w:val="0"/>
                  <w:vAlign w:val="center"/>
                </w:tcPr>
                <w:p w14:paraId="4B838C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951" w:type="pct"/>
                  <w:tcBorders>
                    <w:tl2br w:val="nil"/>
                    <w:tr2bl w:val="nil"/>
                  </w:tcBorders>
                  <w:noWrap w:val="0"/>
                  <w:vAlign w:val="center"/>
                </w:tcPr>
                <w:p w14:paraId="2D0139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氨</w:t>
                  </w:r>
                </w:p>
              </w:tc>
              <w:tc>
                <w:tcPr>
                  <w:tcW w:w="2179" w:type="pct"/>
                  <w:vMerge w:val="continue"/>
                  <w:tcBorders>
                    <w:tl2br w:val="nil"/>
                    <w:tr2bl w:val="nil"/>
                  </w:tcBorders>
                  <w:noWrap w:val="0"/>
                  <w:vAlign w:val="center"/>
                </w:tcPr>
                <w:p w14:paraId="31D4AA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3C8387F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9" w:type="pct"/>
                  <w:vMerge w:val="continue"/>
                  <w:tcBorders>
                    <w:tl2br w:val="nil"/>
                    <w:tr2bl w:val="nil"/>
                  </w:tcBorders>
                  <w:noWrap w:val="0"/>
                  <w:vAlign w:val="center"/>
                </w:tcPr>
                <w:p w14:paraId="0762A7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18" w:type="pct"/>
                  <w:vMerge w:val="continue"/>
                  <w:tcBorders>
                    <w:tl2br w:val="nil"/>
                    <w:tr2bl w:val="nil"/>
                  </w:tcBorders>
                  <w:noWrap w:val="0"/>
                  <w:vAlign w:val="center"/>
                </w:tcPr>
                <w:p w14:paraId="2CD01D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11" w:type="pct"/>
                  <w:vMerge w:val="continue"/>
                  <w:tcBorders>
                    <w:tl2br w:val="nil"/>
                    <w:tr2bl w:val="nil"/>
                  </w:tcBorders>
                  <w:noWrap w:val="0"/>
                  <w:vAlign w:val="center"/>
                </w:tcPr>
                <w:p w14:paraId="6BC7FF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951" w:type="pct"/>
                  <w:tcBorders>
                    <w:tl2br w:val="nil"/>
                    <w:tr2bl w:val="nil"/>
                  </w:tcBorders>
                  <w:noWrap w:val="0"/>
                  <w:vAlign w:val="center"/>
                </w:tcPr>
                <w:p w14:paraId="144E58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硫化氢</w:t>
                  </w:r>
                </w:p>
              </w:tc>
              <w:tc>
                <w:tcPr>
                  <w:tcW w:w="2179" w:type="pct"/>
                  <w:vMerge w:val="continue"/>
                  <w:tcBorders>
                    <w:tl2br w:val="nil"/>
                    <w:tr2bl w:val="nil"/>
                  </w:tcBorders>
                  <w:noWrap w:val="0"/>
                  <w:vAlign w:val="center"/>
                </w:tcPr>
                <w:p w14:paraId="68646A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707440F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9" w:type="pct"/>
                  <w:vMerge w:val="continue"/>
                  <w:tcBorders>
                    <w:tl2br w:val="nil"/>
                    <w:tr2bl w:val="nil"/>
                  </w:tcBorders>
                  <w:noWrap w:val="0"/>
                  <w:vAlign w:val="center"/>
                </w:tcPr>
                <w:p w14:paraId="7B12B7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18" w:type="pct"/>
                  <w:vMerge w:val="continue"/>
                  <w:tcBorders>
                    <w:tl2br w:val="nil"/>
                    <w:tr2bl w:val="nil"/>
                  </w:tcBorders>
                  <w:noWrap w:val="0"/>
                  <w:vAlign w:val="center"/>
                </w:tcPr>
                <w:p w14:paraId="377B8D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11" w:type="pct"/>
                  <w:vMerge w:val="continue"/>
                  <w:tcBorders>
                    <w:tl2br w:val="nil"/>
                    <w:tr2bl w:val="nil"/>
                  </w:tcBorders>
                  <w:noWrap w:val="0"/>
                  <w:vAlign w:val="center"/>
                </w:tcPr>
                <w:p w14:paraId="61EFA0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951" w:type="pct"/>
                  <w:tcBorders>
                    <w:tl2br w:val="nil"/>
                    <w:tr2bl w:val="nil"/>
                  </w:tcBorders>
                  <w:noWrap w:val="0"/>
                  <w:vAlign w:val="center"/>
                </w:tcPr>
                <w:p w14:paraId="427F57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臭气浓度</w:t>
                  </w:r>
                </w:p>
              </w:tc>
              <w:tc>
                <w:tcPr>
                  <w:tcW w:w="2179" w:type="pct"/>
                  <w:vMerge w:val="continue"/>
                  <w:tcBorders>
                    <w:tl2br w:val="nil"/>
                    <w:tr2bl w:val="nil"/>
                  </w:tcBorders>
                  <w:noWrap w:val="0"/>
                  <w:vAlign w:val="center"/>
                </w:tcPr>
                <w:p w14:paraId="00F72C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bl>
          <w:p w14:paraId="1C3034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①</w:t>
            </w:r>
            <w:r>
              <w:rPr>
                <w:rFonts w:hint="eastAsia" w:cs="Times New Roman"/>
                <w:color w:val="000000" w:themeColor="text1"/>
                <w:sz w:val="24"/>
                <w:szCs w:val="24"/>
                <w:highlight w:val="none"/>
                <w:lang w:val="en-US" w:eastAsia="zh-CN"/>
                <w14:textFill>
                  <w14:solidFill>
                    <w14:schemeClr w14:val="tx1"/>
                  </w14:solidFill>
                </w14:textFill>
              </w:rPr>
              <w:t>锅炉废气</w:t>
            </w:r>
          </w:p>
          <w:p w14:paraId="771C84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现有项目锅炉废气运行时产生的颗粒物、二氧化硫、氮氧化物及烟气黑度由1根25m高排气筒排放（DA001）。根据2026年03月24日的例行检测报告（报告编号：LNKR-2026(W)-03-237）可知，颗粒物最大排放浓度为5.3</w:t>
            </w:r>
            <w:r>
              <w:rPr>
                <w:rFonts w:hint="default"/>
                <w:color w:val="000000" w:themeColor="text1"/>
                <w:sz w:val="24"/>
                <w:szCs w:val="24"/>
                <w:highlight w:val="none"/>
                <w14:textFill>
                  <w14:solidFill>
                    <w14:schemeClr w14:val="tx1"/>
                  </w14:solidFill>
                </w14:textFill>
              </w:rPr>
              <w:t>mg/m</w:t>
            </w:r>
            <w:r>
              <w:rPr>
                <w:rFonts w:hint="default"/>
                <w:color w:val="000000" w:themeColor="text1"/>
                <w:sz w:val="24"/>
                <w:szCs w:val="24"/>
                <w:highlight w:val="none"/>
                <w:vertAlign w:val="superscript"/>
                <w14:textFill>
                  <w14:solidFill>
                    <w14:schemeClr w14:val="tx1"/>
                  </w14:solidFill>
                </w14:textFill>
              </w:rPr>
              <w:t>3</w:t>
            </w:r>
            <w:r>
              <w:rPr>
                <w:rFonts w:hint="eastAsia" w:cs="Times New Roman"/>
                <w:color w:val="000000" w:themeColor="text1"/>
                <w:sz w:val="24"/>
                <w:szCs w:val="24"/>
                <w:highlight w:val="none"/>
                <w:lang w:val="en-US" w:eastAsia="zh-CN"/>
                <w14:textFill>
                  <w14:solidFill>
                    <w14:schemeClr w14:val="tx1"/>
                  </w14:solidFill>
                </w14:textFill>
              </w:rPr>
              <w:t>、二氧化硫最大排放浓度＜3</w:t>
            </w:r>
            <w:r>
              <w:rPr>
                <w:rFonts w:hint="default"/>
                <w:color w:val="000000" w:themeColor="text1"/>
                <w:sz w:val="24"/>
                <w:szCs w:val="24"/>
                <w:highlight w:val="none"/>
                <w14:textFill>
                  <w14:solidFill>
                    <w14:schemeClr w14:val="tx1"/>
                  </w14:solidFill>
                </w14:textFill>
              </w:rPr>
              <w:t>mg/m</w:t>
            </w:r>
            <w:r>
              <w:rPr>
                <w:rFonts w:hint="default"/>
                <w:color w:val="000000" w:themeColor="text1"/>
                <w:sz w:val="24"/>
                <w:szCs w:val="24"/>
                <w:highlight w:val="none"/>
                <w:vertAlign w:val="superscript"/>
                <w14:textFill>
                  <w14:solidFill>
                    <w14:schemeClr w14:val="tx1"/>
                  </w14:solidFill>
                </w14:textFill>
              </w:rPr>
              <w:t>3</w:t>
            </w:r>
            <w:r>
              <w:rPr>
                <w:rFonts w:hint="eastAsia" w:cs="Times New Roman"/>
                <w:color w:val="000000" w:themeColor="text1"/>
                <w:sz w:val="24"/>
                <w:szCs w:val="24"/>
                <w:highlight w:val="none"/>
                <w:lang w:val="en-US" w:eastAsia="zh-CN"/>
                <w14:textFill>
                  <w14:solidFill>
                    <w14:schemeClr w14:val="tx1"/>
                  </w14:solidFill>
                </w14:textFill>
              </w:rPr>
              <w:t>、氮氧化物最大排放浓度为60</w:t>
            </w:r>
            <w:r>
              <w:rPr>
                <w:rFonts w:hint="default"/>
                <w:color w:val="000000" w:themeColor="text1"/>
                <w:sz w:val="24"/>
                <w:szCs w:val="24"/>
                <w:highlight w:val="none"/>
                <w14:textFill>
                  <w14:solidFill>
                    <w14:schemeClr w14:val="tx1"/>
                  </w14:solidFill>
                </w14:textFill>
              </w:rPr>
              <w:t>mg/m</w:t>
            </w:r>
            <w:r>
              <w:rPr>
                <w:rFonts w:hint="default"/>
                <w:color w:val="000000" w:themeColor="text1"/>
                <w:sz w:val="24"/>
                <w:szCs w:val="24"/>
                <w:highlight w:val="none"/>
                <w:vertAlign w:val="superscript"/>
                <w14:textFill>
                  <w14:solidFill>
                    <w14:schemeClr w14:val="tx1"/>
                  </w14:solidFill>
                </w14:textFill>
              </w:rPr>
              <w:t>3</w:t>
            </w:r>
            <w:r>
              <w:rPr>
                <w:rFonts w:hint="eastAsia" w:cs="Times New Roman"/>
                <w:color w:val="000000" w:themeColor="text1"/>
                <w:sz w:val="24"/>
                <w:szCs w:val="24"/>
                <w:highlight w:val="none"/>
                <w:lang w:val="en-US" w:eastAsia="zh-CN"/>
                <w14:textFill>
                  <w14:solidFill>
                    <w14:schemeClr w14:val="tx1"/>
                  </w14:solidFill>
                </w14:textFill>
              </w:rPr>
              <w:t>、烟气黑度＜1级，均满足《锅炉大气污染物排放标准》(GB13271-2014)中表3燃气锅炉排放浓度限值要求。</w:t>
            </w:r>
          </w:p>
          <w:p w14:paraId="1B545C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cs="Times New Roman"/>
                <w:color w:val="000000" w:themeColor="text1"/>
                <w:sz w:val="24"/>
                <w:szCs w:val="24"/>
                <w:highlight w:val="none"/>
                <w:lang w:val="en-US" w:eastAsia="zh-CN"/>
                <w14:textFill>
                  <w14:solidFill>
                    <w14:schemeClr w14:val="tx1"/>
                  </w14:solidFill>
                </w14:textFill>
              </w:rPr>
            </w:pPr>
            <w:r>
              <w:rPr>
                <w:rFonts w:hint="default" w:cs="Times New Roman"/>
                <w:color w:val="000000" w:themeColor="text1"/>
                <w:sz w:val="24"/>
                <w:szCs w:val="24"/>
                <w:highlight w:val="none"/>
                <w:lang w:val="en-US" w:eastAsia="zh-CN"/>
                <w14:textFill>
                  <w14:solidFill>
                    <w14:schemeClr w14:val="tx1"/>
                  </w14:solidFill>
                </w14:textFill>
              </w:rPr>
              <w:t>②化验室废气</w:t>
            </w:r>
          </w:p>
          <w:p w14:paraId="7E456D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现有项目化验室产生的挥发性有机物（以非甲烷总烃计）由1根28m高排气筒排放（DA003）。根据2025年6月10日~11日的例行检测报告（报告编号：LNKR-2025(W)-06-644）可知，非甲烷总烃计最大排放浓度为9.06</w:t>
            </w:r>
            <w:r>
              <w:rPr>
                <w:rFonts w:hint="default"/>
                <w:color w:val="000000" w:themeColor="text1"/>
                <w:sz w:val="24"/>
                <w:szCs w:val="24"/>
                <w:highlight w:val="none"/>
                <w14:textFill>
                  <w14:solidFill>
                    <w14:schemeClr w14:val="tx1"/>
                  </w14:solidFill>
                </w14:textFill>
              </w:rPr>
              <w:t>mg/m</w:t>
            </w:r>
            <w:r>
              <w:rPr>
                <w:rFonts w:hint="default"/>
                <w:color w:val="000000" w:themeColor="text1"/>
                <w:sz w:val="24"/>
                <w:szCs w:val="24"/>
                <w:highlight w:val="none"/>
                <w:vertAlign w:val="superscript"/>
                <w14:textFill>
                  <w14:solidFill>
                    <w14:schemeClr w14:val="tx1"/>
                  </w14:solidFill>
                </w14:textFill>
              </w:rPr>
              <w:t>3</w:t>
            </w:r>
            <w:r>
              <w:rPr>
                <w:rFonts w:hint="eastAsia"/>
                <w:color w:val="000000" w:themeColor="text1"/>
                <w:sz w:val="24"/>
                <w:szCs w:val="24"/>
                <w:highlight w:val="none"/>
                <w:vertAlign w:val="baseli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满足《制药工业大气污染物排放标准》（GB37823-2019）排放限值要求。</w:t>
            </w:r>
          </w:p>
          <w:p w14:paraId="613073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cs="Times New Roman"/>
                <w:color w:val="000000" w:themeColor="text1"/>
                <w:sz w:val="24"/>
                <w:szCs w:val="24"/>
                <w:highlight w:val="none"/>
                <w:lang w:val="en-US" w:eastAsia="zh-CN"/>
                <w14:textFill>
                  <w14:solidFill>
                    <w14:schemeClr w14:val="tx1"/>
                  </w14:solidFill>
                </w14:textFill>
              </w:rPr>
            </w:pPr>
            <w:r>
              <w:rPr>
                <w:rFonts w:hint="default" w:cs="Times New Roman"/>
                <w:color w:val="000000" w:themeColor="text1"/>
                <w:sz w:val="24"/>
                <w:szCs w:val="24"/>
                <w:highlight w:val="none"/>
                <w:lang w:val="en-US" w:eastAsia="zh-CN"/>
                <w14:textFill>
                  <w14:solidFill>
                    <w14:schemeClr w14:val="tx1"/>
                  </w14:solidFill>
                </w14:textFill>
              </w:rPr>
              <w:t>③</w:t>
            </w:r>
            <w:r>
              <w:rPr>
                <w:rFonts w:hint="eastAsia" w:cs="Times New Roman"/>
                <w:color w:val="000000" w:themeColor="text1"/>
                <w:sz w:val="24"/>
                <w:szCs w:val="24"/>
                <w:highlight w:val="none"/>
                <w:lang w:val="en-US" w:eastAsia="zh-CN"/>
                <w14:textFill>
                  <w14:solidFill>
                    <w14:schemeClr w14:val="tx1"/>
                  </w14:solidFill>
                </w14:textFill>
              </w:rPr>
              <w:t>废水处理站废气</w:t>
            </w:r>
          </w:p>
          <w:p w14:paraId="612F8F8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现有项目废水处理站产生的非甲烷总烃、氨、硫化氢、臭气浓度经废气治理设施（低温等离子设备）处理后，由1根30m高排气筒排放（DA004）。根据2025年6月10日~11日的例行检测报告（报告编号：LNKR-2025(W)-06-644）可知，非甲烷总烃计最大排放浓度为41.9</w:t>
            </w:r>
            <w:r>
              <w:rPr>
                <w:rFonts w:hint="default"/>
                <w:color w:val="000000" w:themeColor="text1"/>
                <w:sz w:val="24"/>
                <w:szCs w:val="24"/>
                <w:highlight w:val="none"/>
                <w14:textFill>
                  <w14:solidFill>
                    <w14:schemeClr w14:val="tx1"/>
                  </w14:solidFill>
                </w14:textFill>
              </w:rPr>
              <w:t>mg/m</w:t>
            </w:r>
            <w:r>
              <w:rPr>
                <w:rFonts w:hint="default"/>
                <w:color w:val="000000" w:themeColor="text1"/>
                <w:sz w:val="24"/>
                <w:szCs w:val="24"/>
                <w:highlight w:val="none"/>
                <w:vertAlign w:val="superscript"/>
                <w14:textFill>
                  <w14:solidFill>
                    <w14:schemeClr w14:val="tx1"/>
                  </w14:solidFill>
                </w14:textFill>
              </w:rPr>
              <w:t>3</w:t>
            </w:r>
            <w:r>
              <w:rPr>
                <w:rFonts w:hint="eastAsia"/>
                <w:color w:val="000000" w:themeColor="text1"/>
                <w:sz w:val="24"/>
                <w:szCs w:val="24"/>
                <w:highlight w:val="none"/>
                <w:vertAlign w:val="baseli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氨最大排放浓度为0.94</w:t>
            </w:r>
            <w:r>
              <w:rPr>
                <w:rFonts w:hint="default"/>
                <w:color w:val="000000" w:themeColor="text1"/>
                <w:sz w:val="24"/>
                <w:szCs w:val="24"/>
                <w:highlight w:val="none"/>
                <w14:textFill>
                  <w14:solidFill>
                    <w14:schemeClr w14:val="tx1"/>
                  </w14:solidFill>
                </w14:textFill>
              </w:rPr>
              <w:t>mg/m</w:t>
            </w:r>
            <w:r>
              <w:rPr>
                <w:rFonts w:hint="default"/>
                <w:color w:val="000000" w:themeColor="text1"/>
                <w:sz w:val="24"/>
                <w:szCs w:val="24"/>
                <w:highlight w:val="none"/>
                <w:vertAlign w:val="superscript"/>
                <w14:textFill>
                  <w14:solidFill>
                    <w14:schemeClr w14:val="tx1"/>
                  </w14:solidFill>
                </w14:textFill>
              </w:rPr>
              <w:t>3</w:t>
            </w:r>
            <w:r>
              <w:rPr>
                <w:rFonts w:hint="eastAsia"/>
                <w:color w:val="000000" w:themeColor="text1"/>
                <w:sz w:val="24"/>
                <w:szCs w:val="24"/>
                <w:highlight w:val="none"/>
                <w:vertAlign w:val="baseli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硫化氢最大排放浓度为0.03</w:t>
            </w:r>
            <w:r>
              <w:rPr>
                <w:rFonts w:hint="default"/>
                <w:color w:val="000000" w:themeColor="text1"/>
                <w:sz w:val="24"/>
                <w:szCs w:val="24"/>
                <w:highlight w:val="none"/>
                <w14:textFill>
                  <w14:solidFill>
                    <w14:schemeClr w14:val="tx1"/>
                  </w14:solidFill>
                </w14:textFill>
              </w:rPr>
              <w:t>mg/m</w:t>
            </w:r>
            <w:r>
              <w:rPr>
                <w:rFonts w:hint="default"/>
                <w:color w:val="000000" w:themeColor="text1"/>
                <w:sz w:val="24"/>
                <w:szCs w:val="24"/>
                <w:highlight w:val="none"/>
                <w:vertAlign w:val="superscript"/>
                <w14:textFill>
                  <w14:solidFill>
                    <w14:schemeClr w14:val="tx1"/>
                  </w14:solidFill>
                </w14:textFill>
              </w:rPr>
              <w:t>3</w:t>
            </w:r>
            <w:r>
              <w:rPr>
                <w:rFonts w:hint="eastAsia"/>
                <w:color w:val="000000" w:themeColor="text1"/>
                <w:sz w:val="24"/>
                <w:szCs w:val="24"/>
                <w:highlight w:val="none"/>
                <w:vertAlign w:val="baseli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均满足《制药工业大气污染物排放标准》（GB37823-2019）排放限值要求；臭气浓度为1288（无量纲）</w:t>
            </w:r>
            <w:r>
              <w:rPr>
                <w:rFonts w:hint="default"/>
                <w:color w:val="000000" w:themeColor="text1"/>
                <w:sz w:val="24"/>
                <w:szCs w:val="24"/>
                <w:highlight w:val="none"/>
                <w14:textFill>
                  <w14:solidFill>
                    <w14:schemeClr w14:val="tx1"/>
                  </w14:solidFill>
                </w14:textFill>
              </w:rPr>
              <w:t>满足《恶臭污染物排放标准》（GB14554-93）</w:t>
            </w:r>
            <w:r>
              <w:rPr>
                <w:rFonts w:hint="eastAsia"/>
                <w:color w:val="000000" w:themeColor="text1"/>
                <w:sz w:val="24"/>
                <w:szCs w:val="24"/>
                <w:highlight w:val="none"/>
                <w:lang w:val="en-US" w:eastAsia="zh-CN"/>
                <w14:textFill>
                  <w14:solidFill>
                    <w14:schemeClr w14:val="tx1"/>
                  </w14:solidFill>
                </w14:textFill>
              </w:rPr>
              <w:t>表2排放标准值要求</w:t>
            </w:r>
            <w:r>
              <w:rPr>
                <w:rFonts w:hint="eastAsia"/>
                <w:color w:val="000000" w:themeColor="text1"/>
                <w:sz w:val="24"/>
                <w:szCs w:val="24"/>
                <w:highlight w:val="none"/>
                <w:vertAlign w:val="baseline"/>
                <w:lang w:eastAsia="zh-CN"/>
                <w14:textFill>
                  <w14:solidFill>
                    <w14:schemeClr w14:val="tx1"/>
                  </w14:solidFill>
                </w14:textFill>
              </w:rPr>
              <w:t>。</w:t>
            </w:r>
          </w:p>
          <w:p w14:paraId="1D3116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④制剂车间</w:t>
            </w:r>
            <w:r>
              <w:rPr>
                <w:rFonts w:hint="eastAsia" w:cs="Times New Roman"/>
                <w:color w:val="000000" w:themeColor="text1"/>
                <w:sz w:val="24"/>
                <w:szCs w:val="24"/>
                <w:highlight w:val="none"/>
                <w:lang w:val="en-US" w:eastAsia="zh-CN"/>
                <w14:textFill>
                  <w14:solidFill>
                    <w14:schemeClr w14:val="tx1"/>
                  </w14:solidFill>
                </w14:textFill>
              </w:rPr>
              <w:t>废气</w:t>
            </w:r>
          </w:p>
          <w:p w14:paraId="612540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现有项目制剂车间有DA005~DA013共计9根排气筒，运行产生的颗粒物经除尘设施处理后有组织排放，根据2025年6月10日~11日的例行检测报告（报告编号：LNKR-2025(W)-06-644）可知，DA005（排放口1）颗粒物最大排放浓度为2.3</w:t>
            </w:r>
            <w:r>
              <w:rPr>
                <w:rFonts w:hint="default"/>
                <w:color w:val="000000" w:themeColor="text1"/>
                <w:sz w:val="24"/>
                <w:szCs w:val="24"/>
                <w:highlight w:val="none"/>
                <w14:textFill>
                  <w14:solidFill>
                    <w14:schemeClr w14:val="tx1"/>
                  </w14:solidFill>
                </w14:textFill>
              </w:rPr>
              <w:t>mg/m</w:t>
            </w:r>
            <w:r>
              <w:rPr>
                <w:rFonts w:hint="default"/>
                <w:color w:val="000000" w:themeColor="text1"/>
                <w:sz w:val="24"/>
                <w:szCs w:val="24"/>
                <w:highlight w:val="none"/>
                <w:vertAlign w:val="superscript"/>
                <w14:textFill>
                  <w14:solidFill>
                    <w14:schemeClr w14:val="tx1"/>
                  </w14:solidFill>
                </w14:textFill>
              </w:rPr>
              <w:t>3</w:t>
            </w:r>
            <w:r>
              <w:rPr>
                <w:rFonts w:hint="eastAsia"/>
                <w:color w:val="000000" w:themeColor="text1"/>
                <w:sz w:val="24"/>
                <w:szCs w:val="24"/>
                <w:highlight w:val="none"/>
                <w:vertAlign w:val="baseli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DA006（排放口2）颗粒物最大排放浓度为3.8</w:t>
            </w:r>
            <w:r>
              <w:rPr>
                <w:rFonts w:hint="default"/>
                <w:color w:val="000000" w:themeColor="text1"/>
                <w:sz w:val="24"/>
                <w:szCs w:val="24"/>
                <w:highlight w:val="none"/>
                <w14:textFill>
                  <w14:solidFill>
                    <w14:schemeClr w14:val="tx1"/>
                  </w14:solidFill>
                </w14:textFill>
              </w:rPr>
              <w:t>mg/m</w:t>
            </w:r>
            <w:r>
              <w:rPr>
                <w:rFonts w:hint="default"/>
                <w:color w:val="000000" w:themeColor="text1"/>
                <w:sz w:val="24"/>
                <w:szCs w:val="24"/>
                <w:highlight w:val="none"/>
                <w:vertAlign w:val="superscript"/>
                <w14:textFill>
                  <w14:solidFill>
                    <w14:schemeClr w14:val="tx1"/>
                  </w14:solidFill>
                </w14:textFill>
              </w:rPr>
              <w:t>3</w:t>
            </w:r>
            <w:r>
              <w:rPr>
                <w:rFonts w:hint="eastAsia"/>
                <w:color w:val="000000" w:themeColor="text1"/>
                <w:sz w:val="24"/>
                <w:szCs w:val="24"/>
                <w:highlight w:val="none"/>
                <w:vertAlign w:val="baseli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DA007（排放口3）颗粒物最大排放浓度为2.5</w:t>
            </w:r>
            <w:r>
              <w:rPr>
                <w:rFonts w:hint="default"/>
                <w:color w:val="000000" w:themeColor="text1"/>
                <w:sz w:val="24"/>
                <w:szCs w:val="24"/>
                <w:highlight w:val="none"/>
                <w14:textFill>
                  <w14:solidFill>
                    <w14:schemeClr w14:val="tx1"/>
                  </w14:solidFill>
                </w14:textFill>
              </w:rPr>
              <w:t>mg/m</w:t>
            </w:r>
            <w:r>
              <w:rPr>
                <w:rFonts w:hint="default"/>
                <w:color w:val="000000" w:themeColor="text1"/>
                <w:sz w:val="24"/>
                <w:szCs w:val="24"/>
                <w:highlight w:val="none"/>
                <w:vertAlign w:val="superscript"/>
                <w14:textFill>
                  <w14:solidFill>
                    <w14:schemeClr w14:val="tx1"/>
                  </w14:solidFill>
                </w14:textFill>
              </w:rPr>
              <w:t>3</w:t>
            </w:r>
            <w:r>
              <w:rPr>
                <w:rFonts w:hint="eastAsia"/>
                <w:color w:val="000000" w:themeColor="text1"/>
                <w:sz w:val="24"/>
                <w:szCs w:val="24"/>
                <w:highlight w:val="none"/>
                <w:vertAlign w:val="baseli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DA008（排放口4）颗粒物最大排放浓度为2.3</w:t>
            </w:r>
            <w:r>
              <w:rPr>
                <w:rFonts w:hint="default"/>
                <w:color w:val="000000" w:themeColor="text1"/>
                <w:sz w:val="24"/>
                <w:szCs w:val="24"/>
                <w:highlight w:val="none"/>
                <w14:textFill>
                  <w14:solidFill>
                    <w14:schemeClr w14:val="tx1"/>
                  </w14:solidFill>
                </w14:textFill>
              </w:rPr>
              <w:t>mg/m</w:t>
            </w:r>
            <w:r>
              <w:rPr>
                <w:rFonts w:hint="default"/>
                <w:color w:val="000000" w:themeColor="text1"/>
                <w:sz w:val="24"/>
                <w:szCs w:val="24"/>
                <w:highlight w:val="none"/>
                <w:vertAlign w:val="superscript"/>
                <w14:textFill>
                  <w14:solidFill>
                    <w14:schemeClr w14:val="tx1"/>
                  </w14:solidFill>
                </w14:textFill>
              </w:rPr>
              <w:t>3</w:t>
            </w:r>
            <w:r>
              <w:rPr>
                <w:rFonts w:hint="eastAsia"/>
                <w:color w:val="000000" w:themeColor="text1"/>
                <w:sz w:val="24"/>
                <w:szCs w:val="24"/>
                <w:highlight w:val="none"/>
                <w:vertAlign w:val="baseli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DA009（排放口5）颗粒物最大排放浓度为4.8</w:t>
            </w:r>
            <w:r>
              <w:rPr>
                <w:rFonts w:hint="default"/>
                <w:color w:val="000000" w:themeColor="text1"/>
                <w:sz w:val="24"/>
                <w:szCs w:val="24"/>
                <w:highlight w:val="none"/>
                <w14:textFill>
                  <w14:solidFill>
                    <w14:schemeClr w14:val="tx1"/>
                  </w14:solidFill>
                </w14:textFill>
              </w:rPr>
              <w:t>mg/m</w:t>
            </w:r>
            <w:r>
              <w:rPr>
                <w:rFonts w:hint="default"/>
                <w:color w:val="000000" w:themeColor="text1"/>
                <w:sz w:val="24"/>
                <w:szCs w:val="24"/>
                <w:highlight w:val="none"/>
                <w:vertAlign w:val="superscript"/>
                <w14:textFill>
                  <w14:solidFill>
                    <w14:schemeClr w14:val="tx1"/>
                  </w14:solidFill>
                </w14:textFill>
              </w:rPr>
              <w:t>3</w:t>
            </w:r>
            <w:r>
              <w:rPr>
                <w:rFonts w:hint="eastAsia"/>
                <w:color w:val="000000" w:themeColor="text1"/>
                <w:sz w:val="24"/>
                <w:szCs w:val="24"/>
                <w:highlight w:val="none"/>
                <w:vertAlign w:val="baseli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DA010（排放口6）颗粒物最大排放浓度为5.4</w:t>
            </w:r>
            <w:r>
              <w:rPr>
                <w:rFonts w:hint="default"/>
                <w:color w:val="000000" w:themeColor="text1"/>
                <w:sz w:val="24"/>
                <w:szCs w:val="24"/>
                <w:highlight w:val="none"/>
                <w14:textFill>
                  <w14:solidFill>
                    <w14:schemeClr w14:val="tx1"/>
                  </w14:solidFill>
                </w14:textFill>
              </w:rPr>
              <w:t>mg/m</w:t>
            </w:r>
            <w:r>
              <w:rPr>
                <w:rFonts w:hint="default"/>
                <w:color w:val="000000" w:themeColor="text1"/>
                <w:sz w:val="24"/>
                <w:szCs w:val="24"/>
                <w:highlight w:val="none"/>
                <w:vertAlign w:val="superscript"/>
                <w14:textFill>
                  <w14:solidFill>
                    <w14:schemeClr w14:val="tx1"/>
                  </w14:solidFill>
                </w14:textFill>
              </w:rPr>
              <w:t>3</w:t>
            </w:r>
            <w:r>
              <w:rPr>
                <w:rFonts w:hint="eastAsia"/>
                <w:color w:val="000000" w:themeColor="text1"/>
                <w:sz w:val="24"/>
                <w:szCs w:val="24"/>
                <w:highlight w:val="none"/>
                <w:vertAlign w:val="baseli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DA011（排放口7）颗粒物最大排放浓度为2.6</w:t>
            </w:r>
            <w:r>
              <w:rPr>
                <w:rFonts w:hint="default"/>
                <w:color w:val="000000" w:themeColor="text1"/>
                <w:sz w:val="24"/>
                <w:szCs w:val="24"/>
                <w:highlight w:val="none"/>
                <w14:textFill>
                  <w14:solidFill>
                    <w14:schemeClr w14:val="tx1"/>
                  </w14:solidFill>
                </w14:textFill>
              </w:rPr>
              <w:t>mg/m</w:t>
            </w:r>
            <w:r>
              <w:rPr>
                <w:rFonts w:hint="default"/>
                <w:color w:val="000000" w:themeColor="text1"/>
                <w:sz w:val="24"/>
                <w:szCs w:val="24"/>
                <w:highlight w:val="none"/>
                <w:vertAlign w:val="superscript"/>
                <w14:textFill>
                  <w14:solidFill>
                    <w14:schemeClr w14:val="tx1"/>
                  </w14:solidFill>
                </w14:textFill>
              </w:rPr>
              <w:t>3</w:t>
            </w:r>
            <w:r>
              <w:rPr>
                <w:rFonts w:hint="eastAsia"/>
                <w:color w:val="000000" w:themeColor="text1"/>
                <w:sz w:val="24"/>
                <w:szCs w:val="24"/>
                <w:highlight w:val="none"/>
                <w:vertAlign w:val="baseli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DA012（排放口8）颗粒物最大排放浓度为7.4</w:t>
            </w:r>
            <w:r>
              <w:rPr>
                <w:rFonts w:hint="default"/>
                <w:color w:val="000000" w:themeColor="text1"/>
                <w:sz w:val="24"/>
                <w:szCs w:val="24"/>
                <w:highlight w:val="none"/>
                <w14:textFill>
                  <w14:solidFill>
                    <w14:schemeClr w14:val="tx1"/>
                  </w14:solidFill>
                </w14:textFill>
              </w:rPr>
              <w:t>mg/m</w:t>
            </w:r>
            <w:r>
              <w:rPr>
                <w:rFonts w:hint="default"/>
                <w:color w:val="000000" w:themeColor="text1"/>
                <w:sz w:val="24"/>
                <w:szCs w:val="24"/>
                <w:highlight w:val="none"/>
                <w:vertAlign w:val="superscript"/>
                <w14:textFill>
                  <w14:solidFill>
                    <w14:schemeClr w14:val="tx1"/>
                  </w14:solidFill>
                </w14:textFill>
              </w:rPr>
              <w:t>3</w:t>
            </w:r>
            <w:r>
              <w:rPr>
                <w:rFonts w:hint="eastAsia"/>
                <w:color w:val="000000" w:themeColor="text1"/>
                <w:sz w:val="24"/>
                <w:szCs w:val="24"/>
                <w:highlight w:val="none"/>
                <w:vertAlign w:val="baseli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DA013（排放口9）颗粒物最大排放浓度为2.5</w:t>
            </w:r>
            <w:r>
              <w:rPr>
                <w:rFonts w:hint="default"/>
                <w:color w:val="000000" w:themeColor="text1"/>
                <w:sz w:val="24"/>
                <w:szCs w:val="24"/>
                <w:highlight w:val="none"/>
                <w14:textFill>
                  <w14:solidFill>
                    <w14:schemeClr w14:val="tx1"/>
                  </w14:solidFill>
                </w14:textFill>
              </w:rPr>
              <w:t>mg/m</w:t>
            </w:r>
            <w:r>
              <w:rPr>
                <w:rFonts w:hint="default"/>
                <w:color w:val="000000" w:themeColor="text1"/>
                <w:sz w:val="24"/>
                <w:szCs w:val="24"/>
                <w:highlight w:val="none"/>
                <w:vertAlign w:val="superscript"/>
                <w14:textFill>
                  <w14:solidFill>
                    <w14:schemeClr w14:val="tx1"/>
                  </w14:solidFill>
                </w14:textFill>
              </w:rPr>
              <w:t>3</w:t>
            </w:r>
            <w:r>
              <w:rPr>
                <w:rFonts w:hint="eastAsia"/>
                <w:color w:val="000000" w:themeColor="text1"/>
                <w:sz w:val="24"/>
                <w:szCs w:val="24"/>
                <w:highlight w:val="none"/>
                <w:vertAlign w:val="baseline"/>
                <w:lang w:eastAsia="zh-CN"/>
                <w14:textFill>
                  <w14:solidFill>
                    <w14:schemeClr w14:val="tx1"/>
                  </w14:solidFill>
                </w14:textFill>
              </w:rPr>
              <w:t>，</w:t>
            </w:r>
            <w:r>
              <w:rPr>
                <w:rFonts w:hint="eastAsia"/>
                <w:color w:val="000000" w:themeColor="text1"/>
                <w:sz w:val="24"/>
                <w:szCs w:val="24"/>
                <w:highlight w:val="none"/>
                <w:vertAlign w:val="baseline"/>
                <w:lang w:val="en-US" w:eastAsia="zh-CN"/>
                <w14:textFill>
                  <w14:solidFill>
                    <w14:schemeClr w14:val="tx1"/>
                  </w14:solidFill>
                </w14:textFill>
              </w:rPr>
              <w:t>均</w:t>
            </w:r>
            <w:r>
              <w:rPr>
                <w:rFonts w:hint="eastAsia" w:cs="Times New Roman"/>
                <w:color w:val="000000" w:themeColor="text1"/>
                <w:sz w:val="24"/>
                <w:szCs w:val="24"/>
                <w:highlight w:val="none"/>
                <w:lang w:val="en-US" w:eastAsia="zh-CN"/>
                <w14:textFill>
                  <w14:solidFill>
                    <w14:schemeClr w14:val="tx1"/>
                  </w14:solidFill>
                </w14:textFill>
              </w:rPr>
              <w:t>满足《制药工业大气污染物排放标准》（GB37823-2019）排放限值要求。</w:t>
            </w:r>
          </w:p>
          <w:p w14:paraId="7A704E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⑤前处理车间</w:t>
            </w:r>
            <w:r>
              <w:rPr>
                <w:rFonts w:hint="eastAsia" w:cs="Times New Roman"/>
                <w:color w:val="000000" w:themeColor="text1"/>
                <w:sz w:val="24"/>
                <w:szCs w:val="24"/>
                <w:highlight w:val="none"/>
                <w:lang w:val="en-US" w:eastAsia="zh-CN"/>
                <w14:textFill>
                  <w14:solidFill>
                    <w14:schemeClr w14:val="tx1"/>
                  </w14:solidFill>
                </w14:textFill>
              </w:rPr>
              <w:t>废气</w:t>
            </w:r>
          </w:p>
          <w:p w14:paraId="699599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现有项目</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前处理车间</w:t>
            </w:r>
            <w:r>
              <w:rPr>
                <w:rFonts w:hint="eastAsia" w:cs="Times New Roman"/>
                <w:color w:val="000000" w:themeColor="text1"/>
                <w:sz w:val="24"/>
                <w:szCs w:val="24"/>
                <w:highlight w:val="none"/>
                <w:lang w:val="en-US" w:eastAsia="zh-CN"/>
                <w14:textFill>
                  <w14:solidFill>
                    <w14:schemeClr w14:val="tx1"/>
                  </w14:solidFill>
                </w14:textFill>
              </w:rPr>
              <w:t>运行时产生的颗粒物经除尘设施处理后，由1根17m高排气筒排放（DA014），根据2025年6月10日~11日的例行检测报告（报告编号：LNKR-2025(W)-06-644）可知，前处理粉碎排放口颗粒物最大排放浓度为2.7</w:t>
            </w:r>
            <w:r>
              <w:rPr>
                <w:rFonts w:hint="default"/>
                <w:color w:val="000000" w:themeColor="text1"/>
                <w:sz w:val="24"/>
                <w:szCs w:val="24"/>
                <w:highlight w:val="none"/>
                <w14:textFill>
                  <w14:solidFill>
                    <w14:schemeClr w14:val="tx1"/>
                  </w14:solidFill>
                </w14:textFill>
              </w:rPr>
              <w:t>mg/m</w:t>
            </w:r>
            <w:r>
              <w:rPr>
                <w:rFonts w:hint="default"/>
                <w:color w:val="000000" w:themeColor="text1"/>
                <w:sz w:val="24"/>
                <w:szCs w:val="24"/>
                <w:highlight w:val="none"/>
                <w:vertAlign w:val="superscript"/>
                <w14:textFill>
                  <w14:solidFill>
                    <w14:schemeClr w14:val="tx1"/>
                  </w14:solidFill>
                </w14:textFill>
              </w:rPr>
              <w:t>3</w:t>
            </w:r>
            <w:r>
              <w:rPr>
                <w:rFonts w:hint="eastAsia"/>
                <w:color w:val="000000" w:themeColor="text1"/>
                <w:sz w:val="24"/>
                <w:szCs w:val="24"/>
                <w:highlight w:val="none"/>
                <w:vertAlign w:val="baseli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满足《制药工业大气污染物排放标准》（GB37823-2019）排放限值要求。</w:t>
            </w:r>
          </w:p>
          <w:p w14:paraId="153185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⑥危废贮存库废气</w:t>
            </w:r>
          </w:p>
          <w:p w14:paraId="3ED32C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现有项目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危废贮存库</w:t>
            </w:r>
            <w:r>
              <w:rPr>
                <w:rFonts w:hint="eastAsia" w:cs="Times New Roman"/>
                <w:color w:val="000000" w:themeColor="text1"/>
                <w:sz w:val="24"/>
                <w:szCs w:val="24"/>
                <w:highlight w:val="none"/>
                <w:lang w:val="en-US" w:eastAsia="zh-CN"/>
                <w14:textFill>
                  <w14:solidFill>
                    <w14:schemeClr w14:val="tx1"/>
                  </w14:solidFill>
                </w14:textFill>
              </w:rPr>
              <w:t>产生的挥发性有机物（以非甲烷总烃计）经二级活性炭吸附设施处理后，由1根15m高排气筒排放（DA015），根据2025年6月10日~11日的例行检测报告（报告编号：LNKR-2025(W)-06-644）可知，</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危废贮存库</w:t>
            </w:r>
            <w:r>
              <w:rPr>
                <w:rFonts w:hint="eastAsia" w:cs="Times New Roman"/>
                <w:color w:val="000000" w:themeColor="text1"/>
                <w:sz w:val="24"/>
                <w:szCs w:val="24"/>
                <w:highlight w:val="none"/>
                <w:lang w:val="en-US" w:eastAsia="zh-CN"/>
                <w14:textFill>
                  <w14:solidFill>
                    <w14:schemeClr w14:val="tx1"/>
                  </w14:solidFill>
                </w14:textFill>
              </w:rPr>
              <w:t>废气排放口非甲烷总烃最大排放浓度为7.57</w:t>
            </w:r>
            <w:r>
              <w:rPr>
                <w:rFonts w:hint="default"/>
                <w:color w:val="000000" w:themeColor="text1"/>
                <w:sz w:val="24"/>
                <w:szCs w:val="24"/>
                <w:highlight w:val="none"/>
                <w14:textFill>
                  <w14:solidFill>
                    <w14:schemeClr w14:val="tx1"/>
                  </w14:solidFill>
                </w14:textFill>
              </w:rPr>
              <w:t>mg/m</w:t>
            </w:r>
            <w:r>
              <w:rPr>
                <w:rFonts w:hint="default"/>
                <w:color w:val="000000" w:themeColor="text1"/>
                <w:sz w:val="24"/>
                <w:szCs w:val="24"/>
                <w:highlight w:val="none"/>
                <w:vertAlign w:val="superscript"/>
                <w14:textFill>
                  <w14:solidFill>
                    <w14:schemeClr w14:val="tx1"/>
                  </w14:solidFill>
                </w14:textFill>
              </w:rPr>
              <w:t>3</w:t>
            </w:r>
            <w:r>
              <w:rPr>
                <w:rFonts w:hint="eastAsia"/>
                <w:color w:val="000000" w:themeColor="text1"/>
                <w:sz w:val="24"/>
                <w:szCs w:val="24"/>
                <w:highlight w:val="none"/>
                <w:vertAlign w:val="baseli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满足《制药工业大气污染物排放标准》（GB37823-2019）排放限值要求。</w:t>
            </w:r>
          </w:p>
          <w:p w14:paraId="47D948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⑦</w:t>
            </w:r>
            <w:r>
              <w:rPr>
                <w:rFonts w:hint="eastAsia" w:cs="Times New Roman"/>
                <w:color w:val="000000" w:themeColor="text1"/>
                <w:sz w:val="24"/>
                <w:szCs w:val="24"/>
                <w:highlight w:val="none"/>
                <w:lang w:val="en-US" w:eastAsia="zh-CN"/>
                <w14:textFill>
                  <w14:solidFill>
                    <w14:schemeClr w14:val="tx1"/>
                  </w14:solidFill>
                </w14:textFill>
              </w:rPr>
              <w:t>厂区内无组织废气</w:t>
            </w:r>
          </w:p>
          <w:p w14:paraId="0DB6A527">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根据2025年6月10日~11日的例行检测报告（报告编号：LNKR-2025(W)-06-644）可知，厂区内无组织废气污染物挥发性有机物（以非甲烷总烃计）最大浓度为3.18</w:t>
            </w:r>
            <w:r>
              <w:rPr>
                <w:rFonts w:hint="default"/>
                <w:color w:val="000000" w:themeColor="text1"/>
                <w:sz w:val="24"/>
                <w:szCs w:val="24"/>
                <w:highlight w:val="none"/>
                <w14:textFill>
                  <w14:solidFill>
                    <w14:schemeClr w14:val="tx1"/>
                  </w14:solidFill>
                </w14:textFill>
              </w:rPr>
              <w:t>mg/m</w:t>
            </w:r>
            <w:r>
              <w:rPr>
                <w:rFonts w:hint="default"/>
                <w:color w:val="000000" w:themeColor="text1"/>
                <w:sz w:val="24"/>
                <w:szCs w:val="24"/>
                <w:highlight w:val="none"/>
                <w:vertAlign w:val="superscript"/>
                <w14:textFill>
                  <w14:solidFill>
                    <w14:schemeClr w14:val="tx1"/>
                  </w14:solidFill>
                </w14:textFill>
              </w:rPr>
              <w:t>3</w:t>
            </w:r>
            <w:r>
              <w:rPr>
                <w:rFonts w:hint="eastAsia"/>
                <w:color w:val="000000" w:themeColor="text1"/>
                <w:sz w:val="24"/>
                <w:szCs w:val="24"/>
                <w:highlight w:val="none"/>
                <w:vertAlign w:val="baseli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满足《制药工业大气污染物排放标准》（GB37823-2019）厂区内无组织排放限值要求。</w:t>
            </w:r>
          </w:p>
          <w:p w14:paraId="4AE5EA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⑧</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厂界</w:t>
            </w:r>
            <w:r>
              <w:rPr>
                <w:rFonts w:hint="eastAsia" w:cs="Times New Roman"/>
                <w:color w:val="000000" w:themeColor="text1"/>
                <w:sz w:val="24"/>
                <w:szCs w:val="24"/>
                <w:highlight w:val="none"/>
                <w:lang w:val="en-US" w:eastAsia="zh-CN"/>
                <w14:textFill>
                  <w14:solidFill>
                    <w14:schemeClr w14:val="tx1"/>
                  </w14:solidFill>
                </w14:textFill>
              </w:rPr>
              <w:t>无组织废气</w:t>
            </w:r>
          </w:p>
          <w:p w14:paraId="5DD9AE2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color w:val="000000" w:themeColor="text1"/>
                <w:sz w:val="24"/>
                <w:szCs w:val="24"/>
                <w:highlight w:val="none"/>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根据2025年6月10日~11日的例行检测报告（报告编号：LNKR-2025(W)-06-644）可知，</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厂界</w:t>
            </w:r>
            <w:r>
              <w:rPr>
                <w:rFonts w:hint="eastAsia" w:cs="Times New Roman"/>
                <w:color w:val="000000" w:themeColor="text1"/>
                <w:sz w:val="24"/>
                <w:szCs w:val="24"/>
                <w:highlight w:val="none"/>
                <w:lang w:val="en-US" w:eastAsia="zh-CN"/>
                <w14:textFill>
                  <w14:solidFill>
                    <w14:schemeClr w14:val="tx1"/>
                  </w14:solidFill>
                </w14:textFill>
              </w:rPr>
              <w:t>无组织废气污染物非甲烷总烃最大浓度为0.72</w:t>
            </w:r>
            <w:r>
              <w:rPr>
                <w:rFonts w:hint="default"/>
                <w:color w:val="000000" w:themeColor="text1"/>
                <w:sz w:val="24"/>
                <w:szCs w:val="24"/>
                <w:highlight w:val="none"/>
                <w14:textFill>
                  <w14:solidFill>
                    <w14:schemeClr w14:val="tx1"/>
                  </w14:solidFill>
                </w14:textFill>
              </w:rPr>
              <w:t>mg/m</w:t>
            </w:r>
            <w:r>
              <w:rPr>
                <w:rFonts w:hint="default"/>
                <w:color w:val="000000" w:themeColor="text1"/>
                <w:sz w:val="24"/>
                <w:szCs w:val="24"/>
                <w:highlight w:val="none"/>
                <w:vertAlign w:val="superscript"/>
                <w14:textFill>
                  <w14:solidFill>
                    <w14:schemeClr w14:val="tx1"/>
                  </w14:solidFill>
                </w14:textFill>
              </w:rPr>
              <w:t>3</w:t>
            </w:r>
            <w:r>
              <w:rPr>
                <w:rFonts w:hint="eastAsia"/>
                <w:color w:val="000000" w:themeColor="text1"/>
                <w:sz w:val="24"/>
                <w:szCs w:val="24"/>
                <w:highlight w:val="none"/>
                <w:vertAlign w:val="baseli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颗粒物</w:t>
            </w:r>
            <w:r>
              <w:rPr>
                <w:rFonts w:hint="eastAsia" w:cs="Times New Roman"/>
                <w:color w:val="000000" w:themeColor="text1"/>
                <w:sz w:val="24"/>
                <w:szCs w:val="24"/>
                <w:highlight w:val="none"/>
                <w:lang w:val="en-US" w:eastAsia="zh-CN"/>
                <w14:textFill>
                  <w14:solidFill>
                    <w14:schemeClr w14:val="tx1"/>
                  </w14:solidFill>
                </w14:textFill>
              </w:rPr>
              <w:t>最大浓度为0.225</w:t>
            </w:r>
            <w:r>
              <w:rPr>
                <w:rFonts w:hint="default"/>
                <w:color w:val="000000" w:themeColor="text1"/>
                <w:sz w:val="24"/>
                <w:szCs w:val="24"/>
                <w:highlight w:val="none"/>
                <w14:textFill>
                  <w14:solidFill>
                    <w14:schemeClr w14:val="tx1"/>
                  </w14:solidFill>
                </w14:textFill>
              </w:rPr>
              <w:t>mg/m</w:t>
            </w:r>
            <w:r>
              <w:rPr>
                <w:rFonts w:hint="default"/>
                <w:color w:val="000000" w:themeColor="text1"/>
                <w:sz w:val="24"/>
                <w:szCs w:val="24"/>
                <w:highlight w:val="none"/>
                <w:vertAlign w:val="superscript"/>
                <w14:textFill>
                  <w14:solidFill>
                    <w14:schemeClr w14:val="tx1"/>
                  </w14:solidFill>
                </w14:textFill>
              </w:rPr>
              <w:t>3</w:t>
            </w:r>
            <w:r>
              <w:rPr>
                <w:rFonts w:hint="eastAsia"/>
                <w:color w:val="000000" w:themeColor="text1"/>
                <w:sz w:val="24"/>
                <w:szCs w:val="24"/>
                <w:highlight w:val="none"/>
                <w:vertAlign w:val="baseline"/>
                <w:lang w:eastAsia="zh-CN"/>
                <w14:textFill>
                  <w14:solidFill>
                    <w14:schemeClr w14:val="tx1"/>
                  </w14:solidFill>
                </w14:textFill>
              </w:rPr>
              <w:t>，</w:t>
            </w:r>
            <w:r>
              <w:rPr>
                <w:rFonts w:hint="default"/>
                <w:color w:val="000000" w:themeColor="text1"/>
                <w:sz w:val="24"/>
                <w:szCs w:val="24"/>
                <w:highlight w:val="none"/>
                <w14:textFill>
                  <w14:solidFill>
                    <w14:schemeClr w14:val="tx1"/>
                  </w14:solidFill>
                </w14:textFill>
              </w:rPr>
              <w:t>满足</w:t>
            </w:r>
            <w:r>
              <w:rPr>
                <w:rFonts w:hint="eastAsia"/>
                <w:color w:val="000000" w:themeColor="text1"/>
                <w:sz w:val="24"/>
                <w:szCs w:val="24"/>
                <w:highlight w:val="none"/>
                <w:lang w:eastAsia="zh-CN"/>
                <w14:textFill>
                  <w14:solidFill>
                    <w14:schemeClr w14:val="tx1"/>
                  </w14:solidFill>
                </w14:textFill>
              </w:rPr>
              <w:t>《大气污染物综合排放标准》（GB16297-1996）</w:t>
            </w:r>
            <w:r>
              <w:rPr>
                <w:rFonts w:hint="eastAsia"/>
                <w:color w:val="000000" w:themeColor="text1"/>
                <w:sz w:val="24"/>
                <w:szCs w:val="24"/>
                <w:highlight w:val="none"/>
                <w:lang w:val="en-US" w:eastAsia="zh-CN"/>
                <w14:textFill>
                  <w14:solidFill>
                    <w14:schemeClr w14:val="tx1"/>
                  </w14:solidFill>
                </w14:textFill>
              </w:rPr>
              <w:t>表2无组织排放监控浓度限值要求；厂界</w:t>
            </w:r>
            <w:r>
              <w:rPr>
                <w:rFonts w:hint="default"/>
                <w:color w:val="000000" w:themeColor="text1"/>
                <w:sz w:val="24"/>
                <w:szCs w:val="24"/>
                <w:highlight w:val="none"/>
                <w14:textFill>
                  <w14:solidFill>
                    <w14:schemeClr w14:val="tx1"/>
                  </w14:solidFill>
                </w14:textFill>
              </w:rPr>
              <w:t>无组织废气</w:t>
            </w:r>
            <w:r>
              <w:rPr>
                <w:rFonts w:hint="eastAsia" w:cs="Times New Roman"/>
                <w:color w:val="000000" w:themeColor="text1"/>
                <w:sz w:val="24"/>
                <w:szCs w:val="24"/>
                <w:highlight w:val="none"/>
                <w:lang w:val="en-US" w:eastAsia="zh-CN"/>
                <w14:textFill>
                  <w14:solidFill>
                    <w14:schemeClr w14:val="tx1"/>
                  </w14:solidFill>
                </w14:textFill>
              </w:rPr>
              <w:t>污染物</w:t>
            </w:r>
            <w:r>
              <w:rPr>
                <w:rFonts w:hint="default"/>
                <w:color w:val="000000" w:themeColor="text1"/>
                <w:sz w:val="24"/>
                <w:szCs w:val="24"/>
                <w:highlight w:val="none"/>
                <w14:textFill>
                  <w14:solidFill>
                    <w14:schemeClr w14:val="tx1"/>
                  </w14:solidFill>
                </w14:textFill>
              </w:rPr>
              <w:t>氨最大浓度为0.</w:t>
            </w:r>
            <w:r>
              <w:rPr>
                <w:rFonts w:hint="eastAsia"/>
                <w:color w:val="000000" w:themeColor="text1"/>
                <w:sz w:val="24"/>
                <w:szCs w:val="24"/>
                <w:highlight w:val="none"/>
                <w:lang w:val="en-US" w:eastAsia="zh-CN"/>
                <w14:textFill>
                  <w14:solidFill>
                    <w14:schemeClr w14:val="tx1"/>
                  </w14:solidFill>
                </w14:textFill>
              </w:rPr>
              <w:t>19</w:t>
            </w:r>
            <w:r>
              <w:rPr>
                <w:rFonts w:hint="default"/>
                <w:color w:val="000000" w:themeColor="text1"/>
                <w:sz w:val="24"/>
                <w:szCs w:val="24"/>
                <w:highlight w:val="none"/>
                <w14:textFill>
                  <w14:solidFill>
                    <w14:schemeClr w14:val="tx1"/>
                  </w14:solidFill>
                </w14:textFill>
              </w:rPr>
              <w:t>mg/m</w:t>
            </w:r>
            <w:r>
              <w:rPr>
                <w:rFonts w:hint="default"/>
                <w:color w:val="000000" w:themeColor="text1"/>
                <w:sz w:val="24"/>
                <w:szCs w:val="24"/>
                <w:highlight w:val="none"/>
                <w:vertAlign w:val="superscript"/>
                <w14:textFill>
                  <w14:solidFill>
                    <w14:schemeClr w14:val="tx1"/>
                  </w14:solidFill>
                </w14:textFill>
              </w:rPr>
              <w:t>3</w:t>
            </w:r>
            <w:r>
              <w:rPr>
                <w:rFonts w:hint="default"/>
                <w:color w:val="000000" w:themeColor="text1"/>
                <w:sz w:val="24"/>
                <w:szCs w:val="24"/>
                <w:highlight w:val="none"/>
                <w14:textFill>
                  <w14:solidFill>
                    <w14:schemeClr w14:val="tx1"/>
                  </w14:solidFill>
                </w14:textFill>
              </w:rPr>
              <w:t>、硫化氢最大浓度为0.00</w:t>
            </w:r>
            <w:r>
              <w:rPr>
                <w:rFonts w:hint="eastAsia"/>
                <w:color w:val="000000" w:themeColor="text1"/>
                <w:sz w:val="24"/>
                <w:szCs w:val="24"/>
                <w:highlight w:val="none"/>
                <w:lang w:val="en-US" w:eastAsia="zh-CN"/>
                <w14:textFill>
                  <w14:solidFill>
                    <w14:schemeClr w14:val="tx1"/>
                  </w14:solidFill>
                </w14:textFill>
              </w:rPr>
              <w:t>9</w:t>
            </w:r>
            <w:r>
              <w:rPr>
                <w:rFonts w:hint="default"/>
                <w:color w:val="000000" w:themeColor="text1"/>
                <w:sz w:val="24"/>
                <w:szCs w:val="24"/>
                <w:highlight w:val="none"/>
                <w14:textFill>
                  <w14:solidFill>
                    <w14:schemeClr w14:val="tx1"/>
                  </w14:solidFill>
                </w14:textFill>
              </w:rPr>
              <w:t>mg/m</w:t>
            </w:r>
            <w:r>
              <w:rPr>
                <w:rFonts w:hint="default"/>
                <w:color w:val="000000" w:themeColor="text1"/>
                <w:sz w:val="24"/>
                <w:szCs w:val="24"/>
                <w:highlight w:val="none"/>
                <w:vertAlign w:val="superscript"/>
                <w14:textFill>
                  <w14:solidFill>
                    <w14:schemeClr w14:val="tx1"/>
                  </w14:solidFill>
                </w14:textFill>
              </w:rPr>
              <w:t>3</w:t>
            </w:r>
            <w:r>
              <w:rPr>
                <w:rFonts w:hint="eastAsia"/>
                <w:color w:val="000000" w:themeColor="text1"/>
                <w:sz w:val="24"/>
                <w:szCs w:val="24"/>
                <w:highlight w:val="none"/>
                <w:vertAlign w:val="baseline"/>
                <w:lang w:eastAsia="zh-CN"/>
                <w14:textFill>
                  <w14:solidFill>
                    <w14:schemeClr w14:val="tx1"/>
                  </w14:solidFill>
                </w14:textFill>
              </w:rPr>
              <w:t>、</w:t>
            </w:r>
            <w:r>
              <w:rPr>
                <w:rFonts w:hint="eastAsia"/>
                <w:color w:val="000000" w:themeColor="text1"/>
                <w:sz w:val="24"/>
                <w:szCs w:val="24"/>
                <w:highlight w:val="none"/>
                <w:vertAlign w:val="baseline"/>
                <w:lang w:val="en-US" w:eastAsia="zh-CN"/>
                <w14:textFill>
                  <w14:solidFill>
                    <w14:schemeClr w14:val="tx1"/>
                  </w14:solidFill>
                </w14:textFill>
              </w:rPr>
              <w:t>臭气浓度＜10（无量纲），</w:t>
            </w:r>
            <w:r>
              <w:rPr>
                <w:rFonts w:hint="default"/>
                <w:color w:val="000000" w:themeColor="text1"/>
                <w:sz w:val="24"/>
                <w:szCs w:val="24"/>
                <w:highlight w:val="none"/>
                <w14:textFill>
                  <w14:solidFill>
                    <w14:schemeClr w14:val="tx1"/>
                  </w14:solidFill>
                </w14:textFill>
              </w:rPr>
              <w:t>均满足《恶臭污染物排放标准》（GB14554-93）表1</w:t>
            </w:r>
            <w:r>
              <w:rPr>
                <w:rFonts w:hint="eastAsia"/>
                <w:color w:val="000000" w:themeColor="text1"/>
                <w:sz w:val="24"/>
                <w:szCs w:val="24"/>
                <w:highlight w:val="none"/>
                <w:lang w:val="en-US" w:eastAsia="zh-CN"/>
                <w14:textFill>
                  <w14:solidFill>
                    <w14:schemeClr w14:val="tx1"/>
                  </w14:solidFill>
                </w14:textFill>
              </w:rPr>
              <w:t>中二级新扩改建</w:t>
            </w:r>
            <w:r>
              <w:rPr>
                <w:rFonts w:hint="default"/>
                <w:color w:val="000000" w:themeColor="text1"/>
                <w:sz w:val="24"/>
                <w:szCs w:val="24"/>
                <w:highlight w:val="none"/>
                <w14:textFill>
                  <w14:solidFill>
                    <w14:schemeClr w14:val="tx1"/>
                  </w14:solidFill>
                </w14:textFill>
              </w:rPr>
              <w:t>标准值</w:t>
            </w:r>
            <w:r>
              <w:rPr>
                <w:rFonts w:hint="eastAsia"/>
                <w:color w:val="000000" w:themeColor="text1"/>
                <w:sz w:val="24"/>
                <w:szCs w:val="24"/>
                <w:highlight w:val="none"/>
                <w:lang w:val="en-US" w:eastAsia="zh-CN"/>
                <w14:textFill>
                  <w14:solidFill>
                    <w14:schemeClr w14:val="tx1"/>
                  </w14:solidFill>
                </w14:textFill>
              </w:rPr>
              <w:t>要求</w:t>
            </w:r>
            <w:r>
              <w:rPr>
                <w:rFonts w:hint="default"/>
                <w:color w:val="000000" w:themeColor="text1"/>
                <w:sz w:val="24"/>
                <w:szCs w:val="24"/>
                <w:highlight w:val="none"/>
                <w14:textFill>
                  <w14:solidFill>
                    <w14:schemeClr w14:val="tx1"/>
                  </w14:solidFill>
                </w14:textFill>
              </w:rPr>
              <w:t>。</w:t>
            </w:r>
          </w:p>
          <w:p w14:paraId="511C7467">
            <w:pPr>
              <w:keepNext w:val="0"/>
              <w:keepLines w:val="0"/>
              <w:pageBreakBefore w:val="0"/>
              <w:widowControl w:val="0"/>
              <w:numPr>
                <w:ilvl w:val="0"/>
                <w:numId w:val="22"/>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废水</w:t>
            </w:r>
          </w:p>
          <w:p w14:paraId="26D98CA3">
            <w:pPr>
              <w:keepNext w:val="0"/>
              <w:keepLines w:val="0"/>
              <w:pageBreakBefore w:val="0"/>
              <w:widowControl w:val="0"/>
              <w:numPr>
                <w:ilvl w:val="0"/>
                <w:numId w:val="0"/>
              </w:numPr>
              <w:suppressLineNumbers w:val="0"/>
              <w:kinsoku/>
              <w:wordWrap w:val="0"/>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default"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现有项目废水包括</w:t>
            </w:r>
            <w:r>
              <w:rPr>
                <w:rFonts w:hint="eastAsia" w:cs="Times New Roman"/>
                <w:color w:val="000000" w:themeColor="text1"/>
                <w:sz w:val="24"/>
                <w:szCs w:val="24"/>
                <w:highlight w:val="none"/>
                <w:lang w:val="en-US" w:eastAsia="zh-CN"/>
                <w14:textFill>
                  <w14:solidFill>
                    <w14:schemeClr w14:val="tx1"/>
                  </w14:solidFill>
                </w14:textFill>
              </w:rPr>
              <w:t>职工生活污水和生产废水。</w:t>
            </w:r>
            <w:r>
              <w:rPr>
                <w:rFonts w:hint="eastAsia" w:eastAsia="新宋体" w:cs="Times New Roman"/>
                <w:color w:val="000000" w:themeColor="text1"/>
                <w:sz w:val="24"/>
                <w:szCs w:val="24"/>
                <w:highlight w:val="none"/>
                <w:lang w:val="en-US" w:eastAsia="zh-CN"/>
                <w14:textFill>
                  <w14:solidFill>
                    <w14:schemeClr w14:val="tx1"/>
                  </w14:solidFill>
                </w14:textFill>
              </w:rPr>
              <w:t>现有项目</w:t>
            </w:r>
            <w:r>
              <w:rPr>
                <w:rFonts w:hint="eastAsia" w:ascii="Times New Roman" w:hAnsi="Times New Roman" w:eastAsia="新宋体" w:cs="Times New Roman"/>
                <w:color w:val="000000" w:themeColor="text1"/>
                <w:sz w:val="24"/>
                <w:szCs w:val="24"/>
                <w:highlight w:val="none"/>
                <w:lang w:eastAsia="zh-CN"/>
                <w14:textFill>
                  <w14:solidFill>
                    <w14:schemeClr w14:val="tx1"/>
                  </w14:solidFill>
                </w14:textFill>
              </w:rPr>
              <w:t>产生的废水进入厂内污水处理站</w:t>
            </w:r>
            <w:r>
              <w:rPr>
                <w:rFonts w:hint="eastAsia" w:eastAsia="新宋体"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eastAsia="新宋体" w:cs="Times New Roman"/>
                <w:color w:val="000000" w:themeColor="text1"/>
                <w:sz w:val="24"/>
                <w:szCs w:val="24"/>
                <w:highlight w:val="none"/>
                <w:lang w:eastAsia="zh-CN"/>
                <w14:textFill>
                  <w14:solidFill>
                    <w14:schemeClr w14:val="tx1"/>
                  </w14:solidFill>
                </w14:textFill>
              </w:rPr>
              <w:t>800m</w:t>
            </w:r>
            <w:r>
              <w:rPr>
                <w:rFonts w:hint="eastAsia" w:eastAsia="新宋体" w:cs="Times New Roman"/>
                <w:color w:val="000000" w:themeColor="text1"/>
                <w:sz w:val="24"/>
                <w:szCs w:val="24"/>
                <w:highlight w:val="none"/>
                <w:vertAlign w:val="superscript"/>
                <w:lang w:val="en-US" w:eastAsia="zh-CN"/>
                <w14:textFill>
                  <w14:solidFill>
                    <w14:schemeClr w14:val="tx1"/>
                  </w14:solidFill>
                </w14:textFill>
              </w:rPr>
              <w:t>3</w:t>
            </w:r>
            <w:r>
              <w:rPr>
                <w:rFonts w:hint="eastAsia" w:ascii="Times New Roman" w:hAnsi="Times New Roman" w:eastAsia="新宋体" w:cs="Times New Roman"/>
                <w:color w:val="000000" w:themeColor="text1"/>
                <w:sz w:val="24"/>
                <w:szCs w:val="24"/>
                <w:highlight w:val="none"/>
                <w:lang w:eastAsia="zh-CN"/>
                <w14:textFill>
                  <w14:solidFill>
                    <w14:schemeClr w14:val="tx1"/>
                  </w14:solidFill>
                </w14:textFill>
              </w:rPr>
              <w:t>/d</w:t>
            </w:r>
            <w:r>
              <w:rPr>
                <w:rFonts w:hint="eastAsia" w:eastAsia="新宋体"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eastAsia="新宋体" w:cs="Times New Roman"/>
                <w:color w:val="000000" w:themeColor="text1"/>
                <w:sz w:val="24"/>
                <w:szCs w:val="24"/>
                <w:highlight w:val="none"/>
                <w:lang w:eastAsia="zh-CN"/>
                <w14:textFill>
                  <w14:solidFill>
                    <w14:schemeClr w14:val="tx1"/>
                  </w14:solidFill>
                </w14:textFill>
              </w:rPr>
              <w:t>进行处理，处理达标后，排入厂区污水管网后排入高新区市政管网最终排入</w:t>
            </w:r>
            <w:r>
              <w:rPr>
                <w:rFonts w:hint="eastAsia" w:cs="Times New Roman"/>
                <w:color w:val="000000" w:themeColor="text1"/>
                <w:sz w:val="24"/>
                <w:szCs w:val="24"/>
                <w:highlight w:val="none"/>
                <w:lang w:eastAsia="zh-CN"/>
                <w14:textFill>
                  <w14:solidFill>
                    <w14:schemeClr w14:val="tx1"/>
                  </w14:solidFill>
                </w14:textFill>
              </w:rPr>
              <w:t>石桥子污水处理厂</w:t>
            </w:r>
            <w:r>
              <w:rPr>
                <w:rFonts w:hint="eastAsia" w:ascii="Times New Roman" w:hAnsi="Times New Roman" w:eastAsia="新宋体" w:cs="Times New Roman"/>
                <w:color w:val="000000" w:themeColor="text1"/>
                <w:sz w:val="24"/>
                <w:szCs w:val="24"/>
                <w:highlight w:val="no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根据2026年03月24日的例行检测报告（报告编号：LNKR-2026(W)-03-237）可知，废水总排口污染物pH为7.1~7.2</w:t>
            </w:r>
            <w:r>
              <w:rPr>
                <w:rFonts w:hint="eastAsia"/>
                <w:color w:val="000000" w:themeColor="text1"/>
                <w:sz w:val="24"/>
                <w:szCs w:val="24"/>
                <w:highlight w:val="none"/>
                <w:vertAlign w:val="baseline"/>
                <w:lang w:val="en-US" w:eastAsia="zh-CN"/>
                <w14:textFill>
                  <w14:solidFill>
                    <w14:schemeClr w14:val="tx1"/>
                  </w14:solidFill>
                </w14:textFill>
              </w:rPr>
              <w:t>（无量纲）</w:t>
            </w:r>
            <w:r>
              <w:rPr>
                <w:rFonts w:hint="eastAsia" w:cs="Times New Roman"/>
                <w:color w:val="000000" w:themeColor="text1"/>
                <w:sz w:val="24"/>
                <w:szCs w:val="24"/>
                <w:highlight w:val="none"/>
                <w:lang w:val="en-US" w:eastAsia="zh-CN"/>
                <w14:textFill>
                  <w14:solidFill>
                    <w14:schemeClr w14:val="tx1"/>
                  </w14:solidFill>
                </w14:textFill>
              </w:rPr>
              <w:t>、色度为9倍、五日生化需氧量最大排放浓度为30.7mg/L、化学需氧量最大排放浓度为96mg/L、悬浮物最大排放浓度为18mg/L、氨氮最大排放浓度为2.82mg/L、总氮最大排放浓度为6.83mg/L、总磷最大排放浓度为1.92mg/L、动植物油最大排放浓度＜0.06mg/L、氰化物最大排放浓度＜0.004mg/L、总有机碳最大排放浓度为4.7mg/L，满足</w:t>
            </w: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《污水综合排放标准》（GB8978-1996）表4</w:t>
            </w:r>
            <w:r>
              <w:rPr>
                <w:rFonts w:hint="eastAsia"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三级标准</w:t>
            </w:r>
            <w:r>
              <w:rPr>
                <w:rFonts w:hint="eastAsia" w:cs="Times New Roman"/>
                <w:b w:val="0"/>
                <w:color w:val="000000" w:themeColor="text1"/>
                <w:kern w:val="2"/>
                <w:sz w:val="24"/>
                <w:szCs w:val="24"/>
                <w:highlight w:val="none"/>
                <w:lang w:val="en-US" w:eastAsia="zh-CN" w:bidi="ar-SA"/>
                <w14:textFill>
                  <w14:solidFill>
                    <w14:schemeClr w14:val="tx1"/>
                  </w14:solidFill>
                </w14:textFill>
              </w:rPr>
              <w:t>和</w:t>
            </w: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《辽宁省污水综合排放标准》(DB21/1627-2008)中表2标准</w:t>
            </w:r>
            <w:r>
              <w:rPr>
                <w:rFonts w:hint="eastAsia" w:cs="Times New Roman"/>
                <w:b w:val="0"/>
                <w:color w:val="000000" w:themeColor="text1"/>
                <w:kern w:val="2"/>
                <w:sz w:val="24"/>
                <w:szCs w:val="24"/>
                <w:highlight w:val="none"/>
                <w:lang w:val="en-US" w:eastAsia="zh-CN" w:bidi="ar-SA"/>
                <w14:textFill>
                  <w14:solidFill>
                    <w14:schemeClr w14:val="tx1"/>
                  </w14:solidFill>
                </w14:textFill>
              </w:rPr>
              <w:t>要求。</w:t>
            </w:r>
          </w:p>
          <w:p w14:paraId="4B10EDCF">
            <w:pPr>
              <w:keepNext w:val="0"/>
              <w:keepLines w:val="0"/>
              <w:pageBreakBefore w:val="0"/>
              <w:widowControl w:val="0"/>
              <w:numPr>
                <w:ilvl w:val="0"/>
                <w:numId w:val="22"/>
              </w:numPr>
              <w:suppressLineNumbers w:val="0"/>
              <w:kinsoku/>
              <w:wordWrap/>
              <w:overflowPunct/>
              <w:topLinePunct w:val="0"/>
              <w:autoSpaceDE/>
              <w:autoSpaceDN/>
              <w:bidi w:val="0"/>
              <w:adjustRightInd/>
              <w:snapToGrid/>
              <w:spacing w:before="157" w:beforeLines="50" w:beforeAutospacing="0" w:after="0" w:afterAutospacing="0" w:line="360" w:lineRule="auto"/>
              <w:ind w:left="0" w:leftChars="0" w:right="0"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噪声</w:t>
            </w:r>
          </w:p>
          <w:p w14:paraId="4B318E3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default" w:ascii="Times New Roman" w:hAnsi="Times New Roman" w:eastAsia="宋体" w:cs="Times New Roman"/>
                <w:color w:val="000000" w:themeColor="text1"/>
                <w:spacing w:val="-2"/>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根据2026年03月24日的例行检测报告（报告编号：LNKR-2026(W)-03-237）可知，</w:t>
            </w:r>
            <w:r>
              <w:rPr>
                <w:rFonts w:hint="default" w:ascii="Times New Roman" w:hAnsi="Times New Roman" w:eastAsia="宋体" w:cs="Times New Roman"/>
                <w:color w:val="000000" w:themeColor="text1"/>
                <w:spacing w:val="-2"/>
                <w:sz w:val="24"/>
                <w:szCs w:val="24"/>
                <w:highlight w:val="none"/>
                <w:lang w:val="en-US" w:eastAsia="zh-CN"/>
                <w14:textFill>
                  <w14:solidFill>
                    <w14:schemeClr w14:val="tx1"/>
                  </w14:solidFill>
                </w14:textFill>
              </w:rPr>
              <w:t>现有项目</w:t>
            </w:r>
            <w:r>
              <w:rPr>
                <w:rFonts w:hint="eastAsia" w:cs="Times New Roman"/>
                <w:color w:val="000000" w:themeColor="text1"/>
                <w:spacing w:val="-2"/>
                <w:sz w:val="24"/>
                <w:szCs w:val="24"/>
                <w:highlight w:val="none"/>
                <w:lang w:val="en-US" w:eastAsia="zh-CN"/>
                <w14:textFill>
                  <w14:solidFill>
                    <w14:schemeClr w14:val="tx1"/>
                  </w14:solidFill>
                </w14:textFill>
              </w:rPr>
              <w:t>南、西</w:t>
            </w:r>
            <w:r>
              <w:rPr>
                <w:rFonts w:hint="default" w:ascii="Times New Roman" w:hAnsi="Times New Roman" w:eastAsia="宋体" w:cs="Times New Roman"/>
                <w:color w:val="000000" w:themeColor="text1"/>
                <w:spacing w:val="-2"/>
                <w:sz w:val="24"/>
                <w:szCs w:val="24"/>
                <w:highlight w:val="none"/>
                <w:lang w:val="en-US" w:eastAsia="zh-CN"/>
                <w14:textFill>
                  <w14:solidFill>
                    <w14:schemeClr w14:val="tx1"/>
                  </w14:solidFill>
                </w14:textFill>
              </w:rPr>
              <w:t>厂界噪声</w:t>
            </w:r>
            <w:r>
              <w:rPr>
                <w:rFonts w:hint="default" w:ascii="Times New Roman" w:hAnsi="Times New Roman" w:eastAsia="宋体" w:cs="Times New Roman"/>
                <w:color w:val="000000" w:themeColor="text1"/>
                <w:spacing w:val="-2"/>
                <w:sz w:val="24"/>
                <w:szCs w:val="24"/>
                <w:highlight w:val="none"/>
                <w14:textFill>
                  <w14:solidFill>
                    <w14:schemeClr w14:val="tx1"/>
                  </w14:solidFill>
                </w14:textFill>
              </w:rPr>
              <w:t>符合《工业企业厂界环境噪声排放标准》（GB 12348-2008）</w:t>
            </w:r>
            <w:r>
              <w:rPr>
                <w:rFonts w:hint="eastAsia" w:cs="Times New Roman"/>
                <w:color w:val="000000" w:themeColor="text1"/>
                <w:spacing w:val="-2"/>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pacing w:val="-2"/>
                <w:sz w:val="24"/>
                <w:szCs w:val="24"/>
                <w:highlight w:val="none"/>
                <w14:textFill>
                  <w14:solidFill>
                    <w14:schemeClr w14:val="tx1"/>
                  </w14:solidFill>
                </w14:textFill>
              </w:rPr>
              <w:t>类标准限值要求</w:t>
            </w:r>
            <w:r>
              <w:rPr>
                <w:rFonts w:hint="eastAsia" w:cs="Times New Roman"/>
                <w:color w:val="000000" w:themeColor="text1"/>
                <w:spacing w:val="-2"/>
                <w:sz w:val="24"/>
                <w:szCs w:val="24"/>
                <w:highlight w:val="none"/>
                <w:lang w:eastAsia="zh-CN"/>
                <w14:textFill>
                  <w14:solidFill>
                    <w14:schemeClr w14:val="tx1"/>
                  </w14:solidFill>
                </w14:textFill>
              </w:rPr>
              <w:t>；</w:t>
            </w:r>
            <w:r>
              <w:rPr>
                <w:rFonts w:hint="eastAsia" w:cs="Times New Roman"/>
                <w:color w:val="000000" w:themeColor="text1"/>
                <w:spacing w:val="-2"/>
                <w:sz w:val="24"/>
                <w:szCs w:val="24"/>
                <w:highlight w:val="none"/>
                <w:lang w:val="en-US" w:eastAsia="zh-CN"/>
                <w14:textFill>
                  <w14:solidFill>
                    <w14:schemeClr w14:val="tx1"/>
                  </w14:solidFill>
                </w14:textFill>
              </w:rPr>
              <w:t>东、北</w:t>
            </w:r>
            <w:r>
              <w:rPr>
                <w:rFonts w:hint="default" w:ascii="Times New Roman" w:hAnsi="Times New Roman" w:eastAsia="宋体" w:cs="Times New Roman"/>
                <w:color w:val="000000" w:themeColor="text1"/>
                <w:spacing w:val="-2"/>
                <w:sz w:val="24"/>
                <w:szCs w:val="24"/>
                <w:highlight w:val="none"/>
                <w:lang w:val="en-US" w:eastAsia="zh-CN"/>
                <w14:textFill>
                  <w14:solidFill>
                    <w14:schemeClr w14:val="tx1"/>
                  </w14:solidFill>
                </w14:textFill>
              </w:rPr>
              <w:t>厂界噪声</w:t>
            </w:r>
            <w:r>
              <w:rPr>
                <w:rFonts w:hint="default" w:ascii="Times New Roman" w:hAnsi="Times New Roman" w:eastAsia="宋体" w:cs="Times New Roman"/>
                <w:color w:val="000000" w:themeColor="text1"/>
                <w:spacing w:val="-2"/>
                <w:sz w:val="24"/>
                <w:szCs w:val="24"/>
                <w:highlight w:val="none"/>
                <w14:textFill>
                  <w14:solidFill>
                    <w14:schemeClr w14:val="tx1"/>
                  </w14:solidFill>
                </w14:textFill>
              </w:rPr>
              <w:t>符合《工业企业厂界环境噪声排放标准》（GB 12348-2008）</w:t>
            </w:r>
            <w:r>
              <w:rPr>
                <w:rFonts w:hint="eastAsia" w:cs="Times New Roman"/>
                <w:color w:val="000000" w:themeColor="text1"/>
                <w:spacing w:val="-2"/>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pacing w:val="-2"/>
                <w:sz w:val="24"/>
                <w:szCs w:val="24"/>
                <w:highlight w:val="none"/>
                <w14:textFill>
                  <w14:solidFill>
                    <w14:schemeClr w14:val="tx1"/>
                  </w14:solidFill>
                </w14:textFill>
              </w:rPr>
              <w:t>类标准限值要求</w:t>
            </w:r>
            <w:r>
              <w:rPr>
                <w:rFonts w:hint="default" w:ascii="Times New Roman" w:hAnsi="Times New Roman" w:eastAsia="宋体" w:cs="Times New Roman"/>
                <w:color w:val="000000" w:themeColor="text1"/>
                <w:spacing w:val="-2"/>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2"/>
                <w:sz w:val="24"/>
                <w:szCs w:val="24"/>
                <w:highlight w:val="none"/>
                <w:lang w:val="en-US" w:eastAsia="zh-CN"/>
                <w14:textFill>
                  <w14:solidFill>
                    <w14:schemeClr w14:val="tx1"/>
                  </w14:solidFill>
                </w14:textFill>
              </w:rPr>
              <w:t>检测结果见</w:t>
            </w:r>
            <w:r>
              <w:rPr>
                <w:rFonts w:hint="eastAsia" w:cs="Times New Roman"/>
                <w:color w:val="000000" w:themeColor="text1"/>
                <w:spacing w:val="-2"/>
                <w:sz w:val="24"/>
                <w:szCs w:val="24"/>
                <w:highlight w:val="none"/>
                <w:lang w:val="en-US" w:eastAsia="zh-CN"/>
                <w14:textFill>
                  <w14:solidFill>
                    <w14:schemeClr w14:val="tx1"/>
                  </w14:solidFill>
                </w14:textFill>
              </w:rPr>
              <w:t>下</w:t>
            </w:r>
            <w:r>
              <w:rPr>
                <w:rFonts w:hint="default" w:ascii="Times New Roman" w:hAnsi="Times New Roman" w:eastAsia="宋体" w:cs="Times New Roman"/>
                <w:color w:val="000000" w:themeColor="text1"/>
                <w:spacing w:val="-2"/>
                <w:sz w:val="24"/>
                <w:szCs w:val="24"/>
                <w:highlight w:val="none"/>
                <w:lang w:val="en-US" w:eastAsia="zh-CN"/>
                <w14:textFill>
                  <w14:solidFill>
                    <w14:schemeClr w14:val="tx1"/>
                  </w14:solidFill>
                </w14:textFill>
              </w:rPr>
              <w:t>表。</w:t>
            </w:r>
          </w:p>
          <w:p w14:paraId="5E3F7504">
            <w:pPr>
              <w:keepNext w:val="0"/>
              <w:keepLines w:val="0"/>
              <w:numPr>
                <w:ilvl w:val="0"/>
                <w:numId w:val="5"/>
              </w:numPr>
              <w:suppressLineNumbers w:val="0"/>
              <w:snapToGrid w:val="0"/>
              <w:spacing w:before="0" w:beforeLines="0" w:beforeAutospacing="0" w:after="0" w:afterLines="0" w:afterAutospacing="0"/>
              <w:ind w:left="0" w:leftChars="0" w:right="0" w:rightChars="0" w:firstLine="0" w:firstLineChars="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 xml:space="preserve"> </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厂界噪声排放情况</w:t>
            </w:r>
          </w:p>
          <w:tbl>
            <w:tblPr>
              <w:tblStyle w:val="76"/>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403"/>
              <w:gridCol w:w="830"/>
              <w:gridCol w:w="829"/>
              <w:gridCol w:w="829"/>
              <w:gridCol w:w="834"/>
              <w:gridCol w:w="831"/>
              <w:gridCol w:w="828"/>
              <w:gridCol w:w="832"/>
              <w:gridCol w:w="831"/>
            </w:tblGrid>
            <w:tr w14:paraId="4C2BE53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83" w:hRule="atLeast"/>
                <w:jc w:val="center"/>
              </w:trPr>
              <w:tc>
                <w:tcPr>
                  <w:tcW w:w="1401" w:type="dxa"/>
                  <w:vMerge w:val="restart"/>
                  <w:tcBorders>
                    <w:tl2br w:val="nil"/>
                    <w:tr2bl w:val="nil"/>
                  </w:tcBorders>
                  <w:noWrap w:val="0"/>
                  <w:vAlign w:val="center"/>
                </w:tcPr>
                <w:p w14:paraId="3B761D31">
                  <w:pPr>
                    <w:pStyle w:val="110"/>
                    <w:keepNext w:val="0"/>
                    <w:keepLines w:val="0"/>
                    <w:pageBreakBefore w:val="0"/>
                    <w:widowControl w:val="0"/>
                    <w:kinsoku/>
                    <w:wordWrap/>
                    <w:overflowPunct/>
                    <w:topLinePunct w:val="0"/>
                    <w:autoSpaceDE w:val="0"/>
                    <w:autoSpaceDN w:val="0"/>
                    <w:bidi w:val="0"/>
                    <w:adjustRightInd w:val="0"/>
                    <w:snapToGrid w:val="0"/>
                    <w:spacing w:line="400" w:lineRule="exact"/>
                    <w:ind w:left="0"/>
                    <w:jc w:val="center"/>
                    <w:textAlignment w:val="baseline"/>
                    <w:rPr>
                      <w:b/>
                      <w:bCs/>
                      <w:color w:val="000000" w:themeColor="text1"/>
                      <w:sz w:val="21"/>
                      <w:szCs w:val="21"/>
                      <w:highlight w:val="none"/>
                      <w14:textFill>
                        <w14:solidFill>
                          <w14:schemeClr w14:val="tx1"/>
                        </w14:solidFill>
                      </w14:textFill>
                    </w:rPr>
                  </w:pPr>
                  <w:r>
                    <w:rPr>
                      <w:b/>
                      <w:bCs/>
                      <w:color w:val="000000" w:themeColor="text1"/>
                      <w:spacing w:val="7"/>
                      <w:sz w:val="21"/>
                      <w:szCs w:val="21"/>
                      <w:highlight w:val="none"/>
                      <w14:textFill>
                        <w14:solidFill>
                          <w14:schemeClr w14:val="tx1"/>
                        </w14:solidFill>
                      </w14:textFill>
                    </w:rPr>
                    <w:t>监测日期</w:t>
                  </w:r>
                </w:p>
              </w:tc>
              <w:tc>
                <w:tcPr>
                  <w:tcW w:w="6636" w:type="dxa"/>
                  <w:gridSpan w:val="8"/>
                  <w:tcBorders>
                    <w:tl2br w:val="nil"/>
                    <w:tr2bl w:val="nil"/>
                  </w:tcBorders>
                  <w:noWrap w:val="0"/>
                  <w:vAlign w:val="center"/>
                </w:tcPr>
                <w:p w14:paraId="316088CA">
                  <w:pPr>
                    <w:pStyle w:val="110"/>
                    <w:keepNext w:val="0"/>
                    <w:keepLines w:val="0"/>
                    <w:pageBreakBefore w:val="0"/>
                    <w:widowControl w:val="0"/>
                    <w:kinsoku/>
                    <w:wordWrap/>
                    <w:overflowPunct/>
                    <w:topLinePunct w:val="0"/>
                    <w:autoSpaceDE w:val="0"/>
                    <w:autoSpaceDN w:val="0"/>
                    <w:bidi w:val="0"/>
                    <w:adjustRightInd w:val="0"/>
                    <w:snapToGrid w:val="0"/>
                    <w:spacing w:line="400" w:lineRule="exact"/>
                    <w:ind w:left="0"/>
                    <w:jc w:val="center"/>
                    <w:textAlignment w:val="baseline"/>
                    <w:rPr>
                      <w:b/>
                      <w:bCs/>
                      <w:color w:val="000000" w:themeColor="text1"/>
                      <w:sz w:val="21"/>
                      <w:szCs w:val="21"/>
                      <w:highlight w:val="none"/>
                      <w14:textFill>
                        <w14:solidFill>
                          <w14:schemeClr w14:val="tx1"/>
                        </w14:solidFill>
                      </w14:textFill>
                    </w:rPr>
                  </w:pPr>
                  <w:r>
                    <w:rPr>
                      <w:b/>
                      <w:bCs/>
                      <w:color w:val="000000" w:themeColor="text1"/>
                      <w:spacing w:val="7"/>
                      <w:sz w:val="21"/>
                      <w:szCs w:val="21"/>
                      <w:highlight w:val="none"/>
                      <w14:textFill>
                        <w14:solidFill>
                          <w14:schemeClr w14:val="tx1"/>
                        </w14:solidFill>
                      </w14:textFill>
                    </w:rPr>
                    <w:t>监测点位</w:t>
                  </w:r>
                  <w:r>
                    <w:rPr>
                      <w:rFonts w:ascii="Times New Roman" w:hAnsi="Times New Roman" w:eastAsia="Times New Roman" w:cs="Times New Roman"/>
                      <w:b/>
                      <w:bCs/>
                      <w:color w:val="000000" w:themeColor="text1"/>
                      <w:spacing w:val="7"/>
                      <w:sz w:val="21"/>
                      <w:szCs w:val="21"/>
                      <w:highlight w:val="none"/>
                      <w14:textFill>
                        <w14:solidFill>
                          <w14:schemeClr w14:val="tx1"/>
                        </w14:solidFill>
                      </w14:textFill>
                    </w:rPr>
                    <w:t>/</w:t>
                  </w:r>
                  <w:r>
                    <w:rPr>
                      <w:b/>
                      <w:bCs/>
                      <w:color w:val="000000" w:themeColor="text1"/>
                      <w:spacing w:val="7"/>
                      <w:sz w:val="21"/>
                      <w:szCs w:val="21"/>
                      <w:highlight w:val="none"/>
                      <w14:textFill>
                        <w14:solidFill>
                          <w14:schemeClr w14:val="tx1"/>
                        </w14:solidFill>
                      </w14:textFill>
                    </w:rPr>
                    <w:t>昼间</w:t>
                  </w:r>
                  <w:r>
                    <w:rPr>
                      <w:b/>
                      <w:bCs/>
                      <w:color w:val="000000" w:themeColor="text1"/>
                      <w:spacing w:val="-31"/>
                      <w:sz w:val="21"/>
                      <w:szCs w:val="21"/>
                      <w:highlight w:val="none"/>
                      <w14:textFill>
                        <w14:solidFill>
                          <w14:schemeClr w14:val="tx1"/>
                        </w14:solidFill>
                      </w14:textFill>
                    </w:rPr>
                    <w:t xml:space="preserve"> </w:t>
                  </w:r>
                  <w:r>
                    <w:rPr>
                      <w:rFonts w:ascii="Times New Roman" w:hAnsi="Times New Roman" w:eastAsia="Times New Roman" w:cs="Times New Roman"/>
                      <w:b/>
                      <w:bCs/>
                      <w:color w:val="000000" w:themeColor="text1"/>
                      <w:sz w:val="21"/>
                      <w:szCs w:val="21"/>
                      <w:highlight w:val="none"/>
                      <w14:textFill>
                        <w14:solidFill>
                          <w14:schemeClr w14:val="tx1"/>
                        </w14:solidFill>
                      </w14:textFill>
                    </w:rPr>
                    <w:t>Leq</w:t>
                  </w:r>
                  <w:r>
                    <w:rPr>
                      <w:rFonts w:ascii="Times New Roman" w:hAnsi="Times New Roman" w:eastAsia="Times New Roman" w:cs="Times New Roman"/>
                      <w:b/>
                      <w:bCs/>
                      <w:color w:val="000000" w:themeColor="text1"/>
                      <w:spacing w:val="7"/>
                      <w:sz w:val="21"/>
                      <w:szCs w:val="21"/>
                      <w:highlight w:val="none"/>
                      <w14:textFill>
                        <w14:solidFill>
                          <w14:schemeClr w14:val="tx1"/>
                        </w14:solidFill>
                      </w14:textFill>
                    </w:rPr>
                    <w:t xml:space="preserve"> </w:t>
                  </w:r>
                  <w:r>
                    <w:rPr>
                      <w:b/>
                      <w:bCs/>
                      <w:color w:val="000000" w:themeColor="text1"/>
                      <w:spacing w:val="7"/>
                      <w:sz w:val="21"/>
                      <w:szCs w:val="21"/>
                      <w:highlight w:val="none"/>
                      <w14:textFill>
                        <w14:solidFill>
                          <w14:schemeClr w14:val="tx1"/>
                        </w14:solidFill>
                      </w14:textFill>
                    </w:rPr>
                    <w:t>值（</w:t>
                  </w:r>
                  <w:r>
                    <w:rPr>
                      <w:rFonts w:ascii="Times New Roman" w:hAnsi="Times New Roman" w:eastAsia="Times New Roman" w:cs="Times New Roman"/>
                      <w:b/>
                      <w:bCs/>
                      <w:color w:val="000000" w:themeColor="text1"/>
                      <w:sz w:val="21"/>
                      <w:szCs w:val="21"/>
                      <w:highlight w:val="none"/>
                      <w14:textFill>
                        <w14:solidFill>
                          <w14:schemeClr w14:val="tx1"/>
                        </w14:solidFill>
                      </w14:textFill>
                    </w:rPr>
                    <w:t>dB</w:t>
                  </w:r>
                  <w:r>
                    <w:rPr>
                      <w:rFonts w:ascii="Times New Roman" w:hAnsi="Times New Roman" w:eastAsia="Times New Roman" w:cs="Times New Roman"/>
                      <w:b/>
                      <w:bCs/>
                      <w:color w:val="000000" w:themeColor="text1"/>
                      <w:spacing w:val="7"/>
                      <w:sz w:val="21"/>
                      <w:szCs w:val="21"/>
                      <w:highlight w:val="none"/>
                      <w14:textFill>
                        <w14:solidFill>
                          <w14:schemeClr w14:val="tx1"/>
                        </w14:solidFill>
                      </w14:textFill>
                    </w:rPr>
                    <w:t>(A)</w:t>
                  </w:r>
                  <w:r>
                    <w:rPr>
                      <w:b/>
                      <w:bCs/>
                      <w:color w:val="000000" w:themeColor="text1"/>
                      <w:spacing w:val="7"/>
                      <w:sz w:val="21"/>
                      <w:szCs w:val="21"/>
                      <w:highlight w:val="none"/>
                      <w14:textFill>
                        <w14:solidFill>
                          <w14:schemeClr w14:val="tx1"/>
                        </w14:solidFill>
                      </w14:textFill>
                    </w:rPr>
                    <w:t>）</w:t>
                  </w:r>
                </w:p>
              </w:tc>
            </w:tr>
            <w:tr w14:paraId="1434DA3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8" w:hRule="atLeast"/>
                <w:jc w:val="center"/>
              </w:trPr>
              <w:tc>
                <w:tcPr>
                  <w:tcW w:w="1401" w:type="dxa"/>
                  <w:vMerge w:val="continue"/>
                  <w:tcBorders>
                    <w:tl2br w:val="nil"/>
                    <w:tr2bl w:val="nil"/>
                  </w:tcBorders>
                  <w:noWrap w:val="0"/>
                  <w:vAlign w:val="center"/>
                </w:tcPr>
                <w:p w14:paraId="4554E9F5">
                  <w:pPr>
                    <w:keepNext w:val="0"/>
                    <w:keepLines w:val="0"/>
                    <w:pageBreakBefore w:val="0"/>
                    <w:widowControl w:val="0"/>
                    <w:kinsoku/>
                    <w:wordWrap/>
                    <w:overflowPunct/>
                    <w:topLinePunct w:val="0"/>
                    <w:autoSpaceDE w:val="0"/>
                    <w:autoSpaceDN w:val="0"/>
                    <w:bidi w:val="0"/>
                    <w:adjustRightInd w:val="0"/>
                    <w:snapToGrid w:val="0"/>
                    <w:spacing w:line="400" w:lineRule="exact"/>
                    <w:ind w:left="0"/>
                    <w:jc w:val="center"/>
                    <w:textAlignment w:val="baseline"/>
                    <w:rPr>
                      <w:rFonts w:ascii="Arial"/>
                      <w:b/>
                      <w:bCs/>
                      <w:color w:val="000000" w:themeColor="text1"/>
                      <w:sz w:val="21"/>
                      <w:szCs w:val="21"/>
                      <w:highlight w:val="none"/>
                      <w14:textFill>
                        <w14:solidFill>
                          <w14:schemeClr w14:val="tx1"/>
                        </w14:solidFill>
                      </w14:textFill>
                    </w:rPr>
                  </w:pPr>
                </w:p>
              </w:tc>
              <w:tc>
                <w:tcPr>
                  <w:tcW w:w="1657" w:type="dxa"/>
                  <w:gridSpan w:val="2"/>
                  <w:tcBorders>
                    <w:tl2br w:val="nil"/>
                    <w:tr2bl w:val="nil"/>
                  </w:tcBorders>
                  <w:noWrap w:val="0"/>
                  <w:vAlign w:val="center"/>
                </w:tcPr>
                <w:p w14:paraId="31A03401">
                  <w:pPr>
                    <w:pStyle w:val="110"/>
                    <w:keepNext w:val="0"/>
                    <w:keepLines w:val="0"/>
                    <w:pageBreakBefore w:val="0"/>
                    <w:widowControl w:val="0"/>
                    <w:kinsoku/>
                    <w:wordWrap/>
                    <w:overflowPunct/>
                    <w:topLinePunct w:val="0"/>
                    <w:autoSpaceDE w:val="0"/>
                    <w:autoSpaceDN w:val="0"/>
                    <w:bidi w:val="0"/>
                    <w:adjustRightInd w:val="0"/>
                    <w:snapToGrid w:val="0"/>
                    <w:spacing w:line="400" w:lineRule="exact"/>
                    <w:ind w:left="0"/>
                    <w:jc w:val="center"/>
                    <w:textAlignment w:val="baseline"/>
                    <w:rPr>
                      <w:b/>
                      <w:bCs/>
                      <w:color w:val="000000" w:themeColor="text1"/>
                      <w:sz w:val="21"/>
                      <w:szCs w:val="21"/>
                      <w:highlight w:val="none"/>
                      <w14:textFill>
                        <w14:solidFill>
                          <w14:schemeClr w14:val="tx1"/>
                        </w14:solidFill>
                      </w14:textFill>
                    </w:rPr>
                  </w:pPr>
                  <w:r>
                    <w:rPr>
                      <w:b/>
                      <w:bCs/>
                      <w:color w:val="000000" w:themeColor="text1"/>
                      <w:spacing w:val="4"/>
                      <w:sz w:val="21"/>
                      <w:szCs w:val="21"/>
                      <w:highlight w:val="none"/>
                      <w14:textFill>
                        <w14:solidFill>
                          <w14:schemeClr w14:val="tx1"/>
                        </w14:solidFill>
                      </w14:textFill>
                    </w:rPr>
                    <w:t>厂界东侧</w:t>
                  </w:r>
                  <w:r>
                    <w:rPr>
                      <w:b/>
                      <w:bCs/>
                      <w:color w:val="000000" w:themeColor="text1"/>
                      <w:spacing w:val="20"/>
                      <w:sz w:val="21"/>
                      <w:szCs w:val="21"/>
                      <w:highlight w:val="none"/>
                      <w14:textFill>
                        <w14:solidFill>
                          <w14:schemeClr w14:val="tx1"/>
                        </w14:solidFill>
                      </w14:textFill>
                    </w:rPr>
                    <w:t xml:space="preserve"> </w:t>
                  </w:r>
                </w:p>
              </w:tc>
              <w:tc>
                <w:tcPr>
                  <w:tcW w:w="1661" w:type="dxa"/>
                  <w:gridSpan w:val="2"/>
                  <w:tcBorders>
                    <w:tl2br w:val="nil"/>
                    <w:tr2bl w:val="nil"/>
                  </w:tcBorders>
                  <w:noWrap w:val="0"/>
                  <w:vAlign w:val="center"/>
                </w:tcPr>
                <w:p w14:paraId="1E3A0F19">
                  <w:pPr>
                    <w:pStyle w:val="110"/>
                    <w:keepNext w:val="0"/>
                    <w:keepLines w:val="0"/>
                    <w:pageBreakBefore w:val="0"/>
                    <w:widowControl w:val="0"/>
                    <w:kinsoku/>
                    <w:wordWrap/>
                    <w:overflowPunct/>
                    <w:topLinePunct w:val="0"/>
                    <w:autoSpaceDE w:val="0"/>
                    <w:autoSpaceDN w:val="0"/>
                    <w:bidi w:val="0"/>
                    <w:adjustRightInd w:val="0"/>
                    <w:snapToGrid w:val="0"/>
                    <w:spacing w:line="400" w:lineRule="exact"/>
                    <w:ind w:left="0"/>
                    <w:jc w:val="center"/>
                    <w:textAlignment w:val="baseline"/>
                    <w:rPr>
                      <w:b/>
                      <w:bCs/>
                      <w:color w:val="000000" w:themeColor="text1"/>
                      <w:sz w:val="21"/>
                      <w:szCs w:val="21"/>
                      <w:highlight w:val="none"/>
                      <w14:textFill>
                        <w14:solidFill>
                          <w14:schemeClr w14:val="tx1"/>
                        </w14:solidFill>
                      </w14:textFill>
                    </w:rPr>
                  </w:pPr>
                  <w:r>
                    <w:rPr>
                      <w:b/>
                      <w:bCs/>
                      <w:color w:val="000000" w:themeColor="text1"/>
                      <w:spacing w:val="4"/>
                      <w:sz w:val="21"/>
                      <w:szCs w:val="21"/>
                      <w:highlight w:val="none"/>
                      <w14:textFill>
                        <w14:solidFill>
                          <w14:schemeClr w14:val="tx1"/>
                        </w14:solidFill>
                      </w14:textFill>
                    </w:rPr>
                    <w:t>厂界南侧</w:t>
                  </w:r>
                </w:p>
              </w:tc>
              <w:tc>
                <w:tcPr>
                  <w:tcW w:w="1657" w:type="dxa"/>
                  <w:gridSpan w:val="2"/>
                  <w:tcBorders>
                    <w:tl2br w:val="nil"/>
                    <w:tr2bl w:val="nil"/>
                  </w:tcBorders>
                  <w:noWrap w:val="0"/>
                  <w:vAlign w:val="center"/>
                </w:tcPr>
                <w:p w14:paraId="2F108A32">
                  <w:pPr>
                    <w:pStyle w:val="110"/>
                    <w:keepNext w:val="0"/>
                    <w:keepLines w:val="0"/>
                    <w:pageBreakBefore w:val="0"/>
                    <w:widowControl w:val="0"/>
                    <w:kinsoku/>
                    <w:wordWrap/>
                    <w:overflowPunct/>
                    <w:topLinePunct w:val="0"/>
                    <w:autoSpaceDE w:val="0"/>
                    <w:autoSpaceDN w:val="0"/>
                    <w:bidi w:val="0"/>
                    <w:adjustRightInd w:val="0"/>
                    <w:snapToGrid w:val="0"/>
                    <w:spacing w:line="400" w:lineRule="exact"/>
                    <w:ind w:left="0"/>
                    <w:jc w:val="center"/>
                    <w:textAlignment w:val="baseline"/>
                    <w:rPr>
                      <w:b/>
                      <w:bCs/>
                      <w:color w:val="000000" w:themeColor="text1"/>
                      <w:sz w:val="21"/>
                      <w:szCs w:val="21"/>
                      <w:highlight w:val="none"/>
                      <w14:textFill>
                        <w14:solidFill>
                          <w14:schemeClr w14:val="tx1"/>
                        </w14:solidFill>
                      </w14:textFill>
                    </w:rPr>
                  </w:pPr>
                  <w:r>
                    <w:rPr>
                      <w:b/>
                      <w:bCs/>
                      <w:color w:val="000000" w:themeColor="text1"/>
                      <w:spacing w:val="4"/>
                      <w:sz w:val="21"/>
                      <w:szCs w:val="21"/>
                      <w:highlight w:val="none"/>
                      <w14:textFill>
                        <w14:solidFill>
                          <w14:schemeClr w14:val="tx1"/>
                        </w14:solidFill>
                      </w14:textFill>
                    </w:rPr>
                    <w:t>厂界西侧</w:t>
                  </w:r>
                </w:p>
              </w:tc>
              <w:tc>
                <w:tcPr>
                  <w:tcW w:w="1661" w:type="dxa"/>
                  <w:gridSpan w:val="2"/>
                  <w:tcBorders>
                    <w:tl2br w:val="nil"/>
                    <w:tr2bl w:val="nil"/>
                  </w:tcBorders>
                  <w:noWrap w:val="0"/>
                  <w:vAlign w:val="center"/>
                </w:tcPr>
                <w:p w14:paraId="4494C2BE">
                  <w:pPr>
                    <w:pStyle w:val="110"/>
                    <w:keepNext w:val="0"/>
                    <w:keepLines w:val="0"/>
                    <w:pageBreakBefore w:val="0"/>
                    <w:widowControl w:val="0"/>
                    <w:kinsoku/>
                    <w:wordWrap/>
                    <w:overflowPunct/>
                    <w:topLinePunct w:val="0"/>
                    <w:autoSpaceDE w:val="0"/>
                    <w:autoSpaceDN w:val="0"/>
                    <w:bidi w:val="0"/>
                    <w:adjustRightInd w:val="0"/>
                    <w:snapToGrid w:val="0"/>
                    <w:spacing w:line="400" w:lineRule="exact"/>
                    <w:ind w:left="0"/>
                    <w:jc w:val="center"/>
                    <w:textAlignment w:val="baseline"/>
                    <w:rPr>
                      <w:b/>
                      <w:bCs/>
                      <w:color w:val="000000" w:themeColor="text1"/>
                      <w:sz w:val="21"/>
                      <w:szCs w:val="21"/>
                      <w:highlight w:val="none"/>
                      <w14:textFill>
                        <w14:solidFill>
                          <w14:schemeClr w14:val="tx1"/>
                        </w14:solidFill>
                      </w14:textFill>
                    </w:rPr>
                  </w:pPr>
                  <w:r>
                    <w:rPr>
                      <w:b/>
                      <w:bCs/>
                      <w:color w:val="000000" w:themeColor="text1"/>
                      <w:spacing w:val="4"/>
                      <w:sz w:val="21"/>
                      <w:szCs w:val="21"/>
                      <w:highlight w:val="none"/>
                      <w14:textFill>
                        <w14:solidFill>
                          <w14:schemeClr w14:val="tx1"/>
                        </w14:solidFill>
                      </w14:textFill>
                    </w:rPr>
                    <w:t>厂界北侧</w:t>
                  </w:r>
                </w:p>
              </w:tc>
            </w:tr>
            <w:tr w14:paraId="563D255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8" w:hRule="atLeast"/>
                <w:jc w:val="center"/>
              </w:trPr>
              <w:tc>
                <w:tcPr>
                  <w:tcW w:w="1401" w:type="dxa"/>
                  <w:vMerge w:val="continue"/>
                  <w:tcBorders>
                    <w:tl2br w:val="nil"/>
                    <w:tr2bl w:val="nil"/>
                  </w:tcBorders>
                  <w:noWrap w:val="0"/>
                  <w:vAlign w:val="center"/>
                </w:tcPr>
                <w:p w14:paraId="0D4987D9">
                  <w:pPr>
                    <w:keepNext w:val="0"/>
                    <w:keepLines w:val="0"/>
                    <w:pageBreakBefore w:val="0"/>
                    <w:widowControl w:val="0"/>
                    <w:kinsoku/>
                    <w:wordWrap/>
                    <w:overflowPunct/>
                    <w:topLinePunct w:val="0"/>
                    <w:autoSpaceDE w:val="0"/>
                    <w:autoSpaceDN w:val="0"/>
                    <w:bidi w:val="0"/>
                    <w:adjustRightInd w:val="0"/>
                    <w:snapToGrid w:val="0"/>
                    <w:spacing w:line="400" w:lineRule="exact"/>
                    <w:ind w:left="0"/>
                    <w:jc w:val="center"/>
                    <w:textAlignment w:val="baseline"/>
                    <w:rPr>
                      <w:rFonts w:ascii="Arial"/>
                      <w:b/>
                      <w:bCs/>
                      <w:color w:val="000000" w:themeColor="text1"/>
                      <w:sz w:val="21"/>
                      <w:szCs w:val="21"/>
                      <w:highlight w:val="none"/>
                      <w14:textFill>
                        <w14:solidFill>
                          <w14:schemeClr w14:val="tx1"/>
                        </w14:solidFill>
                      </w14:textFill>
                    </w:rPr>
                  </w:pPr>
                </w:p>
              </w:tc>
              <w:tc>
                <w:tcPr>
                  <w:tcW w:w="829" w:type="dxa"/>
                  <w:tcBorders>
                    <w:tl2br w:val="nil"/>
                    <w:tr2bl w:val="nil"/>
                  </w:tcBorders>
                  <w:noWrap w:val="0"/>
                  <w:vAlign w:val="center"/>
                </w:tcPr>
                <w:p w14:paraId="6B3EA017">
                  <w:pPr>
                    <w:pStyle w:val="110"/>
                    <w:keepNext w:val="0"/>
                    <w:keepLines w:val="0"/>
                    <w:pageBreakBefore w:val="0"/>
                    <w:widowControl w:val="0"/>
                    <w:kinsoku/>
                    <w:wordWrap/>
                    <w:overflowPunct/>
                    <w:topLinePunct w:val="0"/>
                    <w:autoSpaceDE w:val="0"/>
                    <w:autoSpaceDN w:val="0"/>
                    <w:bidi w:val="0"/>
                    <w:adjustRightInd w:val="0"/>
                    <w:snapToGrid w:val="0"/>
                    <w:spacing w:line="400" w:lineRule="exact"/>
                    <w:ind w:left="0"/>
                    <w:jc w:val="center"/>
                    <w:textAlignment w:val="baseline"/>
                    <w:rPr>
                      <w:b/>
                      <w:bCs/>
                      <w:color w:val="000000" w:themeColor="text1"/>
                      <w:sz w:val="21"/>
                      <w:szCs w:val="21"/>
                      <w:highlight w:val="none"/>
                      <w14:textFill>
                        <w14:solidFill>
                          <w14:schemeClr w14:val="tx1"/>
                        </w14:solidFill>
                      </w14:textFill>
                    </w:rPr>
                  </w:pPr>
                  <w:r>
                    <w:rPr>
                      <w:b/>
                      <w:bCs/>
                      <w:color w:val="000000" w:themeColor="text1"/>
                      <w:spacing w:val="1"/>
                      <w:sz w:val="21"/>
                      <w:szCs w:val="21"/>
                      <w:highlight w:val="none"/>
                      <w14:textFill>
                        <w14:solidFill>
                          <w14:schemeClr w14:val="tx1"/>
                        </w14:solidFill>
                      </w14:textFill>
                    </w:rPr>
                    <w:t>昼</w:t>
                  </w:r>
                </w:p>
              </w:tc>
              <w:tc>
                <w:tcPr>
                  <w:tcW w:w="828" w:type="dxa"/>
                  <w:tcBorders>
                    <w:tl2br w:val="nil"/>
                    <w:tr2bl w:val="nil"/>
                  </w:tcBorders>
                  <w:noWrap w:val="0"/>
                  <w:vAlign w:val="center"/>
                </w:tcPr>
                <w:p w14:paraId="76D63627">
                  <w:pPr>
                    <w:pStyle w:val="110"/>
                    <w:keepNext w:val="0"/>
                    <w:keepLines w:val="0"/>
                    <w:pageBreakBefore w:val="0"/>
                    <w:widowControl w:val="0"/>
                    <w:kinsoku/>
                    <w:wordWrap/>
                    <w:overflowPunct/>
                    <w:topLinePunct w:val="0"/>
                    <w:autoSpaceDE w:val="0"/>
                    <w:autoSpaceDN w:val="0"/>
                    <w:bidi w:val="0"/>
                    <w:adjustRightInd w:val="0"/>
                    <w:snapToGrid w:val="0"/>
                    <w:spacing w:line="400" w:lineRule="exact"/>
                    <w:ind w:left="0"/>
                    <w:jc w:val="center"/>
                    <w:textAlignment w:val="baseline"/>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夜</w:t>
                  </w:r>
                </w:p>
              </w:tc>
              <w:tc>
                <w:tcPr>
                  <w:tcW w:w="828" w:type="dxa"/>
                  <w:tcBorders>
                    <w:tl2br w:val="nil"/>
                    <w:tr2bl w:val="nil"/>
                  </w:tcBorders>
                  <w:noWrap w:val="0"/>
                  <w:vAlign w:val="center"/>
                </w:tcPr>
                <w:p w14:paraId="5D0CF4E9">
                  <w:pPr>
                    <w:pStyle w:val="110"/>
                    <w:keepNext w:val="0"/>
                    <w:keepLines w:val="0"/>
                    <w:pageBreakBefore w:val="0"/>
                    <w:widowControl w:val="0"/>
                    <w:kinsoku/>
                    <w:wordWrap/>
                    <w:overflowPunct/>
                    <w:topLinePunct w:val="0"/>
                    <w:autoSpaceDE w:val="0"/>
                    <w:autoSpaceDN w:val="0"/>
                    <w:bidi w:val="0"/>
                    <w:adjustRightInd w:val="0"/>
                    <w:snapToGrid w:val="0"/>
                    <w:spacing w:line="400" w:lineRule="exact"/>
                    <w:ind w:left="0"/>
                    <w:jc w:val="center"/>
                    <w:textAlignment w:val="baseline"/>
                    <w:rPr>
                      <w:b/>
                      <w:bCs/>
                      <w:color w:val="000000" w:themeColor="text1"/>
                      <w:sz w:val="21"/>
                      <w:szCs w:val="21"/>
                      <w:highlight w:val="none"/>
                      <w14:textFill>
                        <w14:solidFill>
                          <w14:schemeClr w14:val="tx1"/>
                        </w14:solidFill>
                      </w14:textFill>
                    </w:rPr>
                  </w:pPr>
                  <w:r>
                    <w:rPr>
                      <w:b/>
                      <w:bCs/>
                      <w:color w:val="000000" w:themeColor="text1"/>
                      <w:spacing w:val="1"/>
                      <w:sz w:val="21"/>
                      <w:szCs w:val="21"/>
                      <w:highlight w:val="none"/>
                      <w14:textFill>
                        <w14:solidFill>
                          <w14:schemeClr w14:val="tx1"/>
                        </w14:solidFill>
                      </w14:textFill>
                    </w:rPr>
                    <w:t>昼</w:t>
                  </w:r>
                </w:p>
              </w:tc>
              <w:tc>
                <w:tcPr>
                  <w:tcW w:w="833" w:type="dxa"/>
                  <w:tcBorders>
                    <w:tl2br w:val="nil"/>
                    <w:tr2bl w:val="nil"/>
                  </w:tcBorders>
                  <w:noWrap w:val="0"/>
                  <w:vAlign w:val="center"/>
                </w:tcPr>
                <w:p w14:paraId="6FFAA211">
                  <w:pPr>
                    <w:pStyle w:val="110"/>
                    <w:keepNext w:val="0"/>
                    <w:keepLines w:val="0"/>
                    <w:pageBreakBefore w:val="0"/>
                    <w:widowControl w:val="0"/>
                    <w:kinsoku/>
                    <w:wordWrap/>
                    <w:overflowPunct/>
                    <w:topLinePunct w:val="0"/>
                    <w:autoSpaceDE w:val="0"/>
                    <w:autoSpaceDN w:val="0"/>
                    <w:bidi w:val="0"/>
                    <w:adjustRightInd w:val="0"/>
                    <w:snapToGrid w:val="0"/>
                    <w:spacing w:line="400" w:lineRule="exact"/>
                    <w:ind w:left="0"/>
                    <w:jc w:val="center"/>
                    <w:textAlignment w:val="baseline"/>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夜</w:t>
                  </w:r>
                </w:p>
              </w:tc>
              <w:tc>
                <w:tcPr>
                  <w:tcW w:w="830" w:type="dxa"/>
                  <w:tcBorders>
                    <w:tl2br w:val="nil"/>
                    <w:tr2bl w:val="nil"/>
                  </w:tcBorders>
                  <w:noWrap w:val="0"/>
                  <w:vAlign w:val="center"/>
                </w:tcPr>
                <w:p w14:paraId="17D72ECD">
                  <w:pPr>
                    <w:pStyle w:val="110"/>
                    <w:keepNext w:val="0"/>
                    <w:keepLines w:val="0"/>
                    <w:pageBreakBefore w:val="0"/>
                    <w:widowControl w:val="0"/>
                    <w:kinsoku/>
                    <w:wordWrap/>
                    <w:overflowPunct/>
                    <w:topLinePunct w:val="0"/>
                    <w:autoSpaceDE w:val="0"/>
                    <w:autoSpaceDN w:val="0"/>
                    <w:bidi w:val="0"/>
                    <w:adjustRightInd w:val="0"/>
                    <w:snapToGrid w:val="0"/>
                    <w:spacing w:line="400" w:lineRule="exact"/>
                    <w:ind w:left="0"/>
                    <w:jc w:val="center"/>
                    <w:textAlignment w:val="baseline"/>
                    <w:rPr>
                      <w:b/>
                      <w:bCs/>
                      <w:color w:val="000000" w:themeColor="text1"/>
                      <w:sz w:val="21"/>
                      <w:szCs w:val="21"/>
                      <w:highlight w:val="none"/>
                      <w14:textFill>
                        <w14:solidFill>
                          <w14:schemeClr w14:val="tx1"/>
                        </w14:solidFill>
                      </w14:textFill>
                    </w:rPr>
                  </w:pPr>
                  <w:r>
                    <w:rPr>
                      <w:b/>
                      <w:bCs/>
                      <w:color w:val="000000" w:themeColor="text1"/>
                      <w:spacing w:val="1"/>
                      <w:sz w:val="21"/>
                      <w:szCs w:val="21"/>
                      <w:highlight w:val="none"/>
                      <w14:textFill>
                        <w14:solidFill>
                          <w14:schemeClr w14:val="tx1"/>
                        </w14:solidFill>
                      </w14:textFill>
                    </w:rPr>
                    <w:t>昼</w:t>
                  </w:r>
                </w:p>
              </w:tc>
              <w:tc>
                <w:tcPr>
                  <w:tcW w:w="827" w:type="dxa"/>
                  <w:tcBorders>
                    <w:tl2br w:val="nil"/>
                    <w:tr2bl w:val="nil"/>
                  </w:tcBorders>
                  <w:noWrap w:val="0"/>
                  <w:vAlign w:val="center"/>
                </w:tcPr>
                <w:p w14:paraId="68299377">
                  <w:pPr>
                    <w:pStyle w:val="110"/>
                    <w:keepNext w:val="0"/>
                    <w:keepLines w:val="0"/>
                    <w:pageBreakBefore w:val="0"/>
                    <w:widowControl w:val="0"/>
                    <w:kinsoku/>
                    <w:wordWrap/>
                    <w:overflowPunct/>
                    <w:topLinePunct w:val="0"/>
                    <w:autoSpaceDE w:val="0"/>
                    <w:autoSpaceDN w:val="0"/>
                    <w:bidi w:val="0"/>
                    <w:adjustRightInd w:val="0"/>
                    <w:snapToGrid w:val="0"/>
                    <w:spacing w:line="400" w:lineRule="exact"/>
                    <w:ind w:left="0"/>
                    <w:jc w:val="center"/>
                    <w:textAlignment w:val="baseline"/>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夜</w:t>
                  </w:r>
                </w:p>
              </w:tc>
              <w:tc>
                <w:tcPr>
                  <w:tcW w:w="831" w:type="dxa"/>
                  <w:tcBorders>
                    <w:tl2br w:val="nil"/>
                    <w:tr2bl w:val="nil"/>
                  </w:tcBorders>
                  <w:noWrap w:val="0"/>
                  <w:vAlign w:val="center"/>
                </w:tcPr>
                <w:p w14:paraId="187CA579">
                  <w:pPr>
                    <w:pStyle w:val="110"/>
                    <w:keepNext w:val="0"/>
                    <w:keepLines w:val="0"/>
                    <w:pageBreakBefore w:val="0"/>
                    <w:widowControl w:val="0"/>
                    <w:kinsoku/>
                    <w:wordWrap/>
                    <w:overflowPunct/>
                    <w:topLinePunct w:val="0"/>
                    <w:autoSpaceDE w:val="0"/>
                    <w:autoSpaceDN w:val="0"/>
                    <w:bidi w:val="0"/>
                    <w:adjustRightInd w:val="0"/>
                    <w:snapToGrid w:val="0"/>
                    <w:spacing w:line="400" w:lineRule="exact"/>
                    <w:ind w:left="0"/>
                    <w:jc w:val="center"/>
                    <w:textAlignment w:val="baseline"/>
                    <w:rPr>
                      <w:b/>
                      <w:bCs/>
                      <w:color w:val="000000" w:themeColor="text1"/>
                      <w:sz w:val="21"/>
                      <w:szCs w:val="21"/>
                      <w:highlight w:val="none"/>
                      <w14:textFill>
                        <w14:solidFill>
                          <w14:schemeClr w14:val="tx1"/>
                        </w14:solidFill>
                      </w14:textFill>
                    </w:rPr>
                  </w:pPr>
                  <w:r>
                    <w:rPr>
                      <w:b/>
                      <w:bCs/>
                      <w:color w:val="000000" w:themeColor="text1"/>
                      <w:spacing w:val="1"/>
                      <w:sz w:val="21"/>
                      <w:szCs w:val="21"/>
                      <w:highlight w:val="none"/>
                      <w14:textFill>
                        <w14:solidFill>
                          <w14:schemeClr w14:val="tx1"/>
                        </w14:solidFill>
                      </w14:textFill>
                    </w:rPr>
                    <w:t>昼</w:t>
                  </w:r>
                </w:p>
              </w:tc>
              <w:tc>
                <w:tcPr>
                  <w:tcW w:w="830" w:type="dxa"/>
                  <w:tcBorders>
                    <w:tl2br w:val="nil"/>
                    <w:tr2bl w:val="nil"/>
                  </w:tcBorders>
                  <w:noWrap w:val="0"/>
                  <w:vAlign w:val="center"/>
                </w:tcPr>
                <w:p w14:paraId="0D95C48B">
                  <w:pPr>
                    <w:pStyle w:val="110"/>
                    <w:keepNext w:val="0"/>
                    <w:keepLines w:val="0"/>
                    <w:pageBreakBefore w:val="0"/>
                    <w:widowControl w:val="0"/>
                    <w:kinsoku/>
                    <w:wordWrap/>
                    <w:overflowPunct/>
                    <w:topLinePunct w:val="0"/>
                    <w:autoSpaceDE w:val="0"/>
                    <w:autoSpaceDN w:val="0"/>
                    <w:bidi w:val="0"/>
                    <w:adjustRightInd w:val="0"/>
                    <w:snapToGrid w:val="0"/>
                    <w:spacing w:line="400" w:lineRule="exact"/>
                    <w:ind w:left="0"/>
                    <w:jc w:val="center"/>
                    <w:textAlignment w:val="baseline"/>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夜</w:t>
                  </w:r>
                </w:p>
              </w:tc>
            </w:tr>
            <w:tr w14:paraId="452A53E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9" w:hRule="atLeast"/>
                <w:jc w:val="center"/>
              </w:trPr>
              <w:tc>
                <w:tcPr>
                  <w:tcW w:w="1401" w:type="dxa"/>
                  <w:tcBorders>
                    <w:tl2br w:val="nil"/>
                    <w:tr2bl w:val="nil"/>
                  </w:tcBorders>
                  <w:noWrap w:val="0"/>
                  <w:vAlign w:val="center"/>
                </w:tcPr>
                <w:p w14:paraId="43E8D45D">
                  <w:pPr>
                    <w:keepNext w:val="0"/>
                    <w:keepLines w:val="0"/>
                    <w:pageBreakBefore w:val="0"/>
                    <w:widowControl w:val="0"/>
                    <w:kinsoku/>
                    <w:wordWrap/>
                    <w:overflowPunct/>
                    <w:topLinePunct w:val="0"/>
                    <w:autoSpaceDE w:val="0"/>
                    <w:autoSpaceDN w:val="0"/>
                    <w:bidi w:val="0"/>
                    <w:adjustRightInd w:val="0"/>
                    <w:snapToGrid w:val="0"/>
                    <w:spacing w:line="400" w:lineRule="exact"/>
                    <w:ind w:left="0"/>
                    <w:jc w:val="center"/>
                    <w:textAlignment w:val="baseline"/>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ascii="Times New Roman" w:hAnsi="Times New Roman" w:eastAsia="Times New Roman" w:cs="Times New Roman"/>
                      <w:b w:val="0"/>
                      <w:bCs w:val="0"/>
                      <w:color w:val="000000" w:themeColor="text1"/>
                      <w:spacing w:val="4"/>
                      <w:sz w:val="21"/>
                      <w:szCs w:val="21"/>
                      <w:highlight w:val="none"/>
                      <w14:textFill>
                        <w14:solidFill>
                          <w14:schemeClr w14:val="tx1"/>
                        </w14:solidFill>
                      </w14:textFill>
                    </w:rPr>
                    <w:t>202</w:t>
                  </w:r>
                  <w:r>
                    <w:rPr>
                      <w:rFonts w:hint="eastAsia" w:cs="Times New Roman"/>
                      <w:b w:val="0"/>
                      <w:bCs w:val="0"/>
                      <w:color w:val="000000" w:themeColor="text1"/>
                      <w:spacing w:val="4"/>
                      <w:sz w:val="21"/>
                      <w:szCs w:val="21"/>
                      <w:highlight w:val="none"/>
                      <w:lang w:val="en-US" w:eastAsia="zh-CN"/>
                      <w14:textFill>
                        <w14:solidFill>
                          <w14:schemeClr w14:val="tx1"/>
                        </w14:solidFill>
                      </w14:textFill>
                    </w:rPr>
                    <w:t>6</w:t>
                  </w:r>
                  <w:r>
                    <w:rPr>
                      <w:rFonts w:ascii="Times New Roman" w:hAnsi="Times New Roman" w:eastAsia="Times New Roman" w:cs="Times New Roman"/>
                      <w:b w:val="0"/>
                      <w:bCs w:val="0"/>
                      <w:color w:val="000000" w:themeColor="text1"/>
                      <w:spacing w:val="4"/>
                      <w:sz w:val="21"/>
                      <w:szCs w:val="21"/>
                      <w:highlight w:val="none"/>
                      <w14:textFill>
                        <w14:solidFill>
                          <w14:schemeClr w14:val="tx1"/>
                        </w14:solidFill>
                      </w14:textFill>
                    </w:rPr>
                    <w:t>.</w:t>
                  </w:r>
                  <w:r>
                    <w:rPr>
                      <w:rFonts w:hint="eastAsia" w:eastAsia="宋体" w:cs="Times New Roman"/>
                      <w:b w:val="0"/>
                      <w:bCs w:val="0"/>
                      <w:color w:val="000000" w:themeColor="text1"/>
                      <w:spacing w:val="4"/>
                      <w:sz w:val="21"/>
                      <w:szCs w:val="21"/>
                      <w:highlight w:val="none"/>
                      <w:lang w:val="en-US" w:eastAsia="zh-CN"/>
                      <w14:textFill>
                        <w14:solidFill>
                          <w14:schemeClr w14:val="tx1"/>
                        </w14:solidFill>
                      </w14:textFill>
                    </w:rPr>
                    <w:t>0</w:t>
                  </w:r>
                  <w:r>
                    <w:rPr>
                      <w:rFonts w:hint="eastAsia" w:cs="Times New Roman"/>
                      <w:b w:val="0"/>
                      <w:bCs w:val="0"/>
                      <w:color w:val="000000" w:themeColor="text1"/>
                      <w:spacing w:val="4"/>
                      <w:sz w:val="21"/>
                      <w:szCs w:val="21"/>
                      <w:highlight w:val="none"/>
                      <w:lang w:val="en-US" w:eastAsia="zh-CN"/>
                      <w14:textFill>
                        <w14:solidFill>
                          <w14:schemeClr w14:val="tx1"/>
                        </w14:solidFill>
                      </w14:textFill>
                    </w:rPr>
                    <w:t>3</w:t>
                  </w:r>
                  <w:r>
                    <w:rPr>
                      <w:rFonts w:ascii="Times New Roman" w:hAnsi="Times New Roman" w:eastAsia="Times New Roman" w:cs="Times New Roman"/>
                      <w:b w:val="0"/>
                      <w:bCs w:val="0"/>
                      <w:color w:val="000000" w:themeColor="text1"/>
                      <w:spacing w:val="4"/>
                      <w:sz w:val="21"/>
                      <w:szCs w:val="21"/>
                      <w:highlight w:val="none"/>
                      <w14:textFill>
                        <w14:solidFill>
                          <w14:schemeClr w14:val="tx1"/>
                        </w14:solidFill>
                      </w14:textFill>
                    </w:rPr>
                    <w:t>.</w:t>
                  </w:r>
                  <w:r>
                    <w:rPr>
                      <w:rFonts w:hint="eastAsia" w:eastAsia="宋体" w:cs="Times New Roman"/>
                      <w:b w:val="0"/>
                      <w:bCs w:val="0"/>
                      <w:color w:val="000000" w:themeColor="text1"/>
                      <w:spacing w:val="4"/>
                      <w:sz w:val="21"/>
                      <w:szCs w:val="21"/>
                      <w:highlight w:val="none"/>
                      <w:lang w:val="en-US" w:eastAsia="zh-CN"/>
                      <w14:textFill>
                        <w14:solidFill>
                          <w14:schemeClr w14:val="tx1"/>
                        </w14:solidFill>
                      </w14:textFill>
                    </w:rPr>
                    <w:t>11</w:t>
                  </w:r>
                </w:p>
              </w:tc>
              <w:tc>
                <w:tcPr>
                  <w:tcW w:w="829" w:type="dxa"/>
                  <w:tcBorders>
                    <w:tl2br w:val="nil"/>
                    <w:tr2bl w:val="nil"/>
                  </w:tcBorders>
                  <w:noWrap w:val="0"/>
                  <w:vAlign w:val="center"/>
                </w:tcPr>
                <w:p w14:paraId="5ADD26C1">
                  <w:pPr>
                    <w:keepNext w:val="0"/>
                    <w:keepLines w:val="0"/>
                    <w:pageBreakBefore w:val="0"/>
                    <w:widowControl w:val="0"/>
                    <w:kinsoku/>
                    <w:wordWrap/>
                    <w:overflowPunct/>
                    <w:topLinePunct w:val="0"/>
                    <w:autoSpaceDE w:val="0"/>
                    <w:autoSpaceDN w:val="0"/>
                    <w:bidi w:val="0"/>
                    <w:adjustRightInd w:val="0"/>
                    <w:snapToGrid w:val="0"/>
                    <w:spacing w:line="400" w:lineRule="exact"/>
                    <w:ind w:left="0"/>
                    <w:jc w:val="center"/>
                    <w:textAlignment w:val="baseline"/>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51</w:t>
                  </w:r>
                </w:p>
              </w:tc>
              <w:tc>
                <w:tcPr>
                  <w:tcW w:w="828" w:type="dxa"/>
                  <w:tcBorders>
                    <w:tl2br w:val="nil"/>
                    <w:tr2bl w:val="nil"/>
                  </w:tcBorders>
                  <w:noWrap w:val="0"/>
                  <w:vAlign w:val="center"/>
                </w:tcPr>
                <w:p w14:paraId="2ACB92B9">
                  <w:pPr>
                    <w:keepNext w:val="0"/>
                    <w:keepLines w:val="0"/>
                    <w:pageBreakBefore w:val="0"/>
                    <w:widowControl w:val="0"/>
                    <w:kinsoku/>
                    <w:wordWrap/>
                    <w:overflowPunct/>
                    <w:topLinePunct w:val="0"/>
                    <w:autoSpaceDE w:val="0"/>
                    <w:autoSpaceDN w:val="0"/>
                    <w:bidi w:val="0"/>
                    <w:adjustRightInd w:val="0"/>
                    <w:snapToGrid w:val="0"/>
                    <w:spacing w:line="400" w:lineRule="exact"/>
                    <w:ind w:left="0"/>
                    <w:jc w:val="center"/>
                    <w:textAlignment w:val="baseline"/>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42</w:t>
                  </w:r>
                </w:p>
              </w:tc>
              <w:tc>
                <w:tcPr>
                  <w:tcW w:w="828" w:type="dxa"/>
                  <w:tcBorders>
                    <w:tl2br w:val="nil"/>
                    <w:tr2bl w:val="nil"/>
                  </w:tcBorders>
                  <w:noWrap w:val="0"/>
                  <w:vAlign w:val="center"/>
                </w:tcPr>
                <w:p w14:paraId="219B733A">
                  <w:pPr>
                    <w:keepNext w:val="0"/>
                    <w:keepLines w:val="0"/>
                    <w:pageBreakBefore w:val="0"/>
                    <w:widowControl w:val="0"/>
                    <w:kinsoku/>
                    <w:wordWrap/>
                    <w:overflowPunct/>
                    <w:topLinePunct w:val="0"/>
                    <w:autoSpaceDE w:val="0"/>
                    <w:autoSpaceDN w:val="0"/>
                    <w:bidi w:val="0"/>
                    <w:adjustRightInd w:val="0"/>
                    <w:snapToGrid w:val="0"/>
                    <w:spacing w:line="400" w:lineRule="exact"/>
                    <w:ind w:left="0"/>
                    <w:jc w:val="center"/>
                    <w:textAlignment w:val="baseline"/>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52</w:t>
                  </w:r>
                </w:p>
              </w:tc>
              <w:tc>
                <w:tcPr>
                  <w:tcW w:w="833" w:type="dxa"/>
                  <w:tcBorders>
                    <w:tl2br w:val="nil"/>
                    <w:tr2bl w:val="nil"/>
                  </w:tcBorders>
                  <w:noWrap w:val="0"/>
                  <w:vAlign w:val="center"/>
                </w:tcPr>
                <w:p w14:paraId="12A052D6">
                  <w:pPr>
                    <w:keepNext w:val="0"/>
                    <w:keepLines w:val="0"/>
                    <w:pageBreakBefore w:val="0"/>
                    <w:widowControl w:val="0"/>
                    <w:kinsoku/>
                    <w:wordWrap/>
                    <w:overflowPunct/>
                    <w:topLinePunct w:val="0"/>
                    <w:autoSpaceDE w:val="0"/>
                    <w:autoSpaceDN w:val="0"/>
                    <w:bidi w:val="0"/>
                    <w:adjustRightInd w:val="0"/>
                    <w:snapToGrid w:val="0"/>
                    <w:spacing w:line="400" w:lineRule="exact"/>
                    <w:ind w:left="0"/>
                    <w:jc w:val="center"/>
                    <w:textAlignment w:val="baseline"/>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42</w:t>
                  </w:r>
                </w:p>
              </w:tc>
              <w:tc>
                <w:tcPr>
                  <w:tcW w:w="830" w:type="dxa"/>
                  <w:tcBorders>
                    <w:tl2br w:val="nil"/>
                    <w:tr2bl w:val="nil"/>
                  </w:tcBorders>
                  <w:noWrap w:val="0"/>
                  <w:vAlign w:val="center"/>
                </w:tcPr>
                <w:p w14:paraId="16454197">
                  <w:pPr>
                    <w:keepNext w:val="0"/>
                    <w:keepLines w:val="0"/>
                    <w:pageBreakBefore w:val="0"/>
                    <w:widowControl w:val="0"/>
                    <w:kinsoku/>
                    <w:wordWrap/>
                    <w:overflowPunct/>
                    <w:topLinePunct w:val="0"/>
                    <w:autoSpaceDE w:val="0"/>
                    <w:autoSpaceDN w:val="0"/>
                    <w:bidi w:val="0"/>
                    <w:adjustRightInd w:val="0"/>
                    <w:snapToGrid w:val="0"/>
                    <w:spacing w:line="400" w:lineRule="exact"/>
                    <w:ind w:left="0"/>
                    <w:jc w:val="center"/>
                    <w:textAlignment w:val="baseline"/>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53</w:t>
                  </w:r>
                </w:p>
              </w:tc>
              <w:tc>
                <w:tcPr>
                  <w:tcW w:w="827" w:type="dxa"/>
                  <w:tcBorders>
                    <w:tl2br w:val="nil"/>
                    <w:tr2bl w:val="nil"/>
                  </w:tcBorders>
                  <w:noWrap w:val="0"/>
                  <w:vAlign w:val="center"/>
                </w:tcPr>
                <w:p w14:paraId="740F791C">
                  <w:pPr>
                    <w:keepNext w:val="0"/>
                    <w:keepLines w:val="0"/>
                    <w:pageBreakBefore w:val="0"/>
                    <w:widowControl w:val="0"/>
                    <w:kinsoku/>
                    <w:wordWrap/>
                    <w:overflowPunct/>
                    <w:topLinePunct w:val="0"/>
                    <w:autoSpaceDE w:val="0"/>
                    <w:autoSpaceDN w:val="0"/>
                    <w:bidi w:val="0"/>
                    <w:adjustRightInd w:val="0"/>
                    <w:snapToGrid w:val="0"/>
                    <w:spacing w:line="400" w:lineRule="exact"/>
                    <w:ind w:left="0"/>
                    <w:jc w:val="center"/>
                    <w:textAlignment w:val="baseline"/>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41</w:t>
                  </w:r>
                </w:p>
              </w:tc>
              <w:tc>
                <w:tcPr>
                  <w:tcW w:w="831" w:type="dxa"/>
                  <w:tcBorders>
                    <w:tl2br w:val="nil"/>
                    <w:tr2bl w:val="nil"/>
                  </w:tcBorders>
                  <w:noWrap w:val="0"/>
                  <w:vAlign w:val="center"/>
                </w:tcPr>
                <w:p w14:paraId="614AFD6E">
                  <w:pPr>
                    <w:keepNext w:val="0"/>
                    <w:keepLines w:val="0"/>
                    <w:pageBreakBefore w:val="0"/>
                    <w:widowControl w:val="0"/>
                    <w:kinsoku/>
                    <w:wordWrap/>
                    <w:overflowPunct/>
                    <w:topLinePunct w:val="0"/>
                    <w:autoSpaceDE w:val="0"/>
                    <w:autoSpaceDN w:val="0"/>
                    <w:bidi w:val="0"/>
                    <w:adjustRightInd w:val="0"/>
                    <w:snapToGrid w:val="0"/>
                    <w:spacing w:line="400" w:lineRule="exact"/>
                    <w:ind w:left="0"/>
                    <w:jc w:val="center"/>
                    <w:textAlignment w:val="baseline"/>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53</w:t>
                  </w:r>
                </w:p>
              </w:tc>
              <w:tc>
                <w:tcPr>
                  <w:tcW w:w="830" w:type="dxa"/>
                  <w:tcBorders>
                    <w:tl2br w:val="nil"/>
                    <w:tr2bl w:val="nil"/>
                  </w:tcBorders>
                  <w:noWrap w:val="0"/>
                  <w:vAlign w:val="center"/>
                </w:tcPr>
                <w:p w14:paraId="1DDB8C40">
                  <w:pPr>
                    <w:keepNext w:val="0"/>
                    <w:keepLines w:val="0"/>
                    <w:pageBreakBefore w:val="0"/>
                    <w:widowControl w:val="0"/>
                    <w:kinsoku/>
                    <w:wordWrap/>
                    <w:overflowPunct/>
                    <w:topLinePunct w:val="0"/>
                    <w:autoSpaceDE w:val="0"/>
                    <w:autoSpaceDN w:val="0"/>
                    <w:bidi w:val="0"/>
                    <w:adjustRightInd w:val="0"/>
                    <w:snapToGrid w:val="0"/>
                    <w:spacing w:line="400" w:lineRule="exact"/>
                    <w:ind w:left="0"/>
                    <w:jc w:val="center"/>
                    <w:textAlignment w:val="baseline"/>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43</w:t>
                  </w:r>
                </w:p>
              </w:tc>
            </w:tr>
            <w:tr w14:paraId="37FA7E2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8" w:hRule="atLeast"/>
                <w:jc w:val="center"/>
              </w:trPr>
              <w:tc>
                <w:tcPr>
                  <w:tcW w:w="1401" w:type="dxa"/>
                  <w:tcBorders>
                    <w:tl2br w:val="nil"/>
                    <w:tr2bl w:val="nil"/>
                  </w:tcBorders>
                  <w:noWrap w:val="0"/>
                  <w:vAlign w:val="center"/>
                </w:tcPr>
                <w:p w14:paraId="3183724D">
                  <w:pPr>
                    <w:pStyle w:val="110"/>
                    <w:keepNext w:val="0"/>
                    <w:keepLines w:val="0"/>
                    <w:pageBreakBefore w:val="0"/>
                    <w:widowControl w:val="0"/>
                    <w:kinsoku/>
                    <w:wordWrap/>
                    <w:overflowPunct/>
                    <w:topLinePunct w:val="0"/>
                    <w:autoSpaceDE w:val="0"/>
                    <w:autoSpaceDN w:val="0"/>
                    <w:bidi w:val="0"/>
                    <w:adjustRightInd w:val="0"/>
                    <w:snapToGrid w:val="0"/>
                    <w:spacing w:line="400" w:lineRule="exact"/>
                    <w:ind w:left="0"/>
                    <w:jc w:val="center"/>
                    <w:textAlignment w:val="baseline"/>
                    <w:rPr>
                      <w:b w:val="0"/>
                      <w:bCs w:val="0"/>
                      <w:color w:val="000000" w:themeColor="text1"/>
                      <w:sz w:val="21"/>
                      <w:szCs w:val="21"/>
                      <w:highlight w:val="none"/>
                      <w14:textFill>
                        <w14:solidFill>
                          <w14:schemeClr w14:val="tx1"/>
                        </w14:solidFill>
                      </w14:textFill>
                    </w:rPr>
                  </w:pPr>
                  <w:r>
                    <w:rPr>
                      <w:b w:val="0"/>
                      <w:bCs w:val="0"/>
                      <w:color w:val="000000" w:themeColor="text1"/>
                      <w:spacing w:val="6"/>
                      <w:sz w:val="21"/>
                      <w:szCs w:val="21"/>
                      <w:highlight w:val="none"/>
                      <w14:textFill>
                        <w14:solidFill>
                          <w14:schemeClr w14:val="tx1"/>
                        </w14:solidFill>
                      </w14:textFill>
                    </w:rPr>
                    <w:t>标准限值</w:t>
                  </w:r>
                </w:p>
              </w:tc>
              <w:tc>
                <w:tcPr>
                  <w:tcW w:w="829" w:type="dxa"/>
                  <w:tcBorders>
                    <w:tl2br w:val="nil"/>
                    <w:tr2bl w:val="nil"/>
                  </w:tcBorders>
                  <w:noWrap w:val="0"/>
                  <w:vAlign w:val="center"/>
                </w:tcPr>
                <w:p w14:paraId="0A99EE76">
                  <w:pPr>
                    <w:keepNext w:val="0"/>
                    <w:keepLines w:val="0"/>
                    <w:pageBreakBefore w:val="0"/>
                    <w:widowControl w:val="0"/>
                    <w:kinsoku/>
                    <w:wordWrap/>
                    <w:overflowPunct/>
                    <w:topLinePunct w:val="0"/>
                    <w:autoSpaceDE w:val="0"/>
                    <w:autoSpaceDN w:val="0"/>
                    <w:bidi w:val="0"/>
                    <w:adjustRightInd w:val="0"/>
                    <w:snapToGrid w:val="0"/>
                    <w:spacing w:line="400" w:lineRule="exact"/>
                    <w:ind w:left="0"/>
                    <w:jc w:val="center"/>
                    <w:textAlignment w:val="baseline"/>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pacing w:val="1"/>
                      <w:sz w:val="21"/>
                      <w:szCs w:val="21"/>
                      <w:highlight w:val="none"/>
                      <w:lang w:val="en-US" w:eastAsia="zh-CN"/>
                      <w14:textFill>
                        <w14:solidFill>
                          <w14:schemeClr w14:val="tx1"/>
                        </w14:solidFill>
                      </w14:textFill>
                    </w:rPr>
                    <w:t>65</w:t>
                  </w:r>
                </w:p>
              </w:tc>
              <w:tc>
                <w:tcPr>
                  <w:tcW w:w="828" w:type="dxa"/>
                  <w:tcBorders>
                    <w:tl2br w:val="nil"/>
                    <w:tr2bl w:val="nil"/>
                  </w:tcBorders>
                  <w:noWrap w:val="0"/>
                  <w:vAlign w:val="center"/>
                </w:tcPr>
                <w:p w14:paraId="2547CB44">
                  <w:pPr>
                    <w:keepNext w:val="0"/>
                    <w:keepLines w:val="0"/>
                    <w:pageBreakBefore w:val="0"/>
                    <w:widowControl w:val="0"/>
                    <w:kinsoku/>
                    <w:wordWrap/>
                    <w:overflowPunct/>
                    <w:topLinePunct w:val="0"/>
                    <w:autoSpaceDE w:val="0"/>
                    <w:autoSpaceDN w:val="0"/>
                    <w:bidi w:val="0"/>
                    <w:adjustRightInd w:val="0"/>
                    <w:snapToGrid w:val="0"/>
                    <w:spacing w:line="400" w:lineRule="exact"/>
                    <w:ind w:left="0"/>
                    <w:jc w:val="center"/>
                    <w:textAlignment w:val="baseline"/>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pacing w:val="1"/>
                      <w:sz w:val="21"/>
                      <w:szCs w:val="21"/>
                      <w:highlight w:val="none"/>
                      <w:lang w:val="en-US" w:eastAsia="zh-CN"/>
                      <w14:textFill>
                        <w14:solidFill>
                          <w14:schemeClr w14:val="tx1"/>
                        </w14:solidFill>
                      </w14:textFill>
                    </w:rPr>
                    <w:t>55</w:t>
                  </w:r>
                </w:p>
              </w:tc>
              <w:tc>
                <w:tcPr>
                  <w:tcW w:w="828" w:type="dxa"/>
                  <w:tcBorders>
                    <w:tl2br w:val="nil"/>
                    <w:tr2bl w:val="nil"/>
                  </w:tcBorders>
                  <w:noWrap w:val="0"/>
                  <w:vAlign w:val="center"/>
                </w:tcPr>
                <w:p w14:paraId="51CA941B">
                  <w:pPr>
                    <w:keepNext w:val="0"/>
                    <w:keepLines w:val="0"/>
                    <w:pageBreakBefore w:val="0"/>
                    <w:widowControl w:val="0"/>
                    <w:kinsoku/>
                    <w:wordWrap/>
                    <w:overflowPunct/>
                    <w:topLinePunct w:val="0"/>
                    <w:autoSpaceDE w:val="0"/>
                    <w:autoSpaceDN w:val="0"/>
                    <w:bidi w:val="0"/>
                    <w:adjustRightInd w:val="0"/>
                    <w:snapToGrid w:val="0"/>
                    <w:spacing w:line="400" w:lineRule="exact"/>
                    <w:ind w:left="0" w:leftChars="0"/>
                    <w:jc w:val="center"/>
                    <w:textAlignment w:val="baseline"/>
                    <w:rPr>
                      <w:rFonts w:ascii="Times New Roman" w:hAnsi="Times New Roman" w:eastAsia="Times New Roman" w:cs="Times New Roman"/>
                      <w:b w:val="0"/>
                      <w:bCs w:val="0"/>
                      <w:color w:val="000000" w:themeColor="text1"/>
                      <w:sz w:val="21"/>
                      <w:szCs w:val="21"/>
                      <w:highlight w:val="none"/>
                      <w14:textFill>
                        <w14:solidFill>
                          <w14:schemeClr w14:val="tx1"/>
                        </w14:solidFill>
                      </w14:textFill>
                    </w:rPr>
                  </w:pPr>
                  <w:r>
                    <w:rPr>
                      <w:rFonts w:hint="eastAsia" w:cs="Times New Roman"/>
                      <w:b w:val="0"/>
                      <w:bCs w:val="0"/>
                      <w:color w:val="000000" w:themeColor="text1"/>
                      <w:spacing w:val="1"/>
                      <w:sz w:val="21"/>
                      <w:szCs w:val="21"/>
                      <w:highlight w:val="none"/>
                      <w:lang w:val="en-US" w:eastAsia="zh-CN"/>
                      <w14:textFill>
                        <w14:solidFill>
                          <w14:schemeClr w14:val="tx1"/>
                        </w14:solidFill>
                      </w14:textFill>
                    </w:rPr>
                    <w:t>60</w:t>
                  </w:r>
                </w:p>
              </w:tc>
              <w:tc>
                <w:tcPr>
                  <w:tcW w:w="833" w:type="dxa"/>
                  <w:tcBorders>
                    <w:tl2br w:val="nil"/>
                    <w:tr2bl w:val="nil"/>
                  </w:tcBorders>
                  <w:noWrap w:val="0"/>
                  <w:vAlign w:val="center"/>
                </w:tcPr>
                <w:p w14:paraId="6EEFCE89">
                  <w:pPr>
                    <w:keepNext w:val="0"/>
                    <w:keepLines w:val="0"/>
                    <w:pageBreakBefore w:val="0"/>
                    <w:widowControl w:val="0"/>
                    <w:kinsoku/>
                    <w:wordWrap/>
                    <w:overflowPunct/>
                    <w:topLinePunct w:val="0"/>
                    <w:autoSpaceDE w:val="0"/>
                    <w:autoSpaceDN w:val="0"/>
                    <w:bidi w:val="0"/>
                    <w:adjustRightInd w:val="0"/>
                    <w:snapToGrid w:val="0"/>
                    <w:spacing w:line="400" w:lineRule="exact"/>
                    <w:ind w:left="0" w:leftChars="0"/>
                    <w:jc w:val="center"/>
                    <w:textAlignment w:val="baseline"/>
                    <w:rPr>
                      <w:rFonts w:ascii="Times New Roman" w:hAnsi="Times New Roman" w:eastAsia="Times New Roman" w:cs="Times New Roman"/>
                      <w:b w:val="0"/>
                      <w:bCs w:val="0"/>
                      <w:color w:val="000000" w:themeColor="text1"/>
                      <w:sz w:val="21"/>
                      <w:szCs w:val="21"/>
                      <w:highlight w:val="none"/>
                      <w14:textFill>
                        <w14:solidFill>
                          <w14:schemeClr w14:val="tx1"/>
                        </w14:solidFill>
                      </w14:textFill>
                    </w:rPr>
                  </w:pPr>
                  <w:r>
                    <w:rPr>
                      <w:rFonts w:hint="eastAsia" w:cs="Times New Roman"/>
                      <w:b w:val="0"/>
                      <w:bCs w:val="0"/>
                      <w:color w:val="000000" w:themeColor="text1"/>
                      <w:spacing w:val="1"/>
                      <w:sz w:val="21"/>
                      <w:szCs w:val="21"/>
                      <w:highlight w:val="none"/>
                      <w:lang w:val="en-US" w:eastAsia="zh-CN"/>
                      <w14:textFill>
                        <w14:solidFill>
                          <w14:schemeClr w14:val="tx1"/>
                        </w14:solidFill>
                      </w14:textFill>
                    </w:rPr>
                    <w:t>50</w:t>
                  </w:r>
                </w:p>
              </w:tc>
              <w:tc>
                <w:tcPr>
                  <w:tcW w:w="830" w:type="dxa"/>
                  <w:tcBorders>
                    <w:tl2br w:val="nil"/>
                    <w:tr2bl w:val="nil"/>
                  </w:tcBorders>
                  <w:noWrap w:val="0"/>
                  <w:vAlign w:val="center"/>
                </w:tcPr>
                <w:p w14:paraId="7F6516DE">
                  <w:pPr>
                    <w:keepNext w:val="0"/>
                    <w:keepLines w:val="0"/>
                    <w:pageBreakBefore w:val="0"/>
                    <w:widowControl w:val="0"/>
                    <w:kinsoku/>
                    <w:wordWrap/>
                    <w:overflowPunct/>
                    <w:topLinePunct w:val="0"/>
                    <w:autoSpaceDE w:val="0"/>
                    <w:autoSpaceDN w:val="0"/>
                    <w:bidi w:val="0"/>
                    <w:adjustRightInd w:val="0"/>
                    <w:snapToGrid w:val="0"/>
                    <w:spacing w:line="400" w:lineRule="exact"/>
                    <w:ind w:left="0" w:leftChars="0"/>
                    <w:jc w:val="center"/>
                    <w:textAlignment w:val="baseline"/>
                    <w:rPr>
                      <w:rFonts w:ascii="Times New Roman" w:hAnsi="Times New Roman" w:eastAsia="Times New Roman" w:cs="Times New Roman"/>
                      <w:b w:val="0"/>
                      <w:bCs w:val="0"/>
                      <w:color w:val="000000" w:themeColor="text1"/>
                      <w:sz w:val="21"/>
                      <w:szCs w:val="21"/>
                      <w:highlight w:val="none"/>
                      <w14:textFill>
                        <w14:solidFill>
                          <w14:schemeClr w14:val="tx1"/>
                        </w14:solidFill>
                      </w14:textFill>
                    </w:rPr>
                  </w:pPr>
                  <w:r>
                    <w:rPr>
                      <w:rFonts w:hint="eastAsia" w:cs="Times New Roman"/>
                      <w:b w:val="0"/>
                      <w:bCs w:val="0"/>
                      <w:color w:val="000000" w:themeColor="text1"/>
                      <w:spacing w:val="1"/>
                      <w:sz w:val="21"/>
                      <w:szCs w:val="21"/>
                      <w:highlight w:val="none"/>
                      <w:lang w:val="en-US" w:eastAsia="zh-CN"/>
                      <w14:textFill>
                        <w14:solidFill>
                          <w14:schemeClr w14:val="tx1"/>
                        </w14:solidFill>
                      </w14:textFill>
                    </w:rPr>
                    <w:t>60</w:t>
                  </w:r>
                </w:p>
              </w:tc>
              <w:tc>
                <w:tcPr>
                  <w:tcW w:w="827" w:type="dxa"/>
                  <w:tcBorders>
                    <w:tl2br w:val="nil"/>
                    <w:tr2bl w:val="nil"/>
                  </w:tcBorders>
                  <w:noWrap w:val="0"/>
                  <w:vAlign w:val="center"/>
                </w:tcPr>
                <w:p w14:paraId="2540649E">
                  <w:pPr>
                    <w:keepNext w:val="0"/>
                    <w:keepLines w:val="0"/>
                    <w:pageBreakBefore w:val="0"/>
                    <w:widowControl w:val="0"/>
                    <w:kinsoku/>
                    <w:wordWrap/>
                    <w:overflowPunct/>
                    <w:topLinePunct w:val="0"/>
                    <w:autoSpaceDE w:val="0"/>
                    <w:autoSpaceDN w:val="0"/>
                    <w:bidi w:val="0"/>
                    <w:adjustRightInd w:val="0"/>
                    <w:snapToGrid w:val="0"/>
                    <w:spacing w:line="400" w:lineRule="exact"/>
                    <w:ind w:left="0" w:leftChars="0"/>
                    <w:jc w:val="center"/>
                    <w:textAlignment w:val="baseline"/>
                    <w:rPr>
                      <w:rFonts w:ascii="Times New Roman" w:hAnsi="Times New Roman" w:eastAsia="Times New Roman" w:cs="Times New Roman"/>
                      <w:b w:val="0"/>
                      <w:bCs w:val="0"/>
                      <w:color w:val="000000" w:themeColor="text1"/>
                      <w:sz w:val="21"/>
                      <w:szCs w:val="21"/>
                      <w:highlight w:val="none"/>
                      <w14:textFill>
                        <w14:solidFill>
                          <w14:schemeClr w14:val="tx1"/>
                        </w14:solidFill>
                      </w14:textFill>
                    </w:rPr>
                  </w:pPr>
                  <w:r>
                    <w:rPr>
                      <w:rFonts w:hint="eastAsia" w:cs="Times New Roman"/>
                      <w:b w:val="0"/>
                      <w:bCs w:val="0"/>
                      <w:color w:val="000000" w:themeColor="text1"/>
                      <w:spacing w:val="1"/>
                      <w:sz w:val="21"/>
                      <w:szCs w:val="21"/>
                      <w:highlight w:val="none"/>
                      <w:lang w:val="en-US" w:eastAsia="zh-CN"/>
                      <w14:textFill>
                        <w14:solidFill>
                          <w14:schemeClr w14:val="tx1"/>
                        </w14:solidFill>
                      </w14:textFill>
                    </w:rPr>
                    <w:t>50</w:t>
                  </w:r>
                </w:p>
              </w:tc>
              <w:tc>
                <w:tcPr>
                  <w:tcW w:w="831" w:type="dxa"/>
                  <w:tcBorders>
                    <w:tl2br w:val="nil"/>
                    <w:tr2bl w:val="nil"/>
                  </w:tcBorders>
                  <w:noWrap w:val="0"/>
                  <w:vAlign w:val="center"/>
                </w:tcPr>
                <w:p w14:paraId="3C15A507">
                  <w:pPr>
                    <w:keepNext w:val="0"/>
                    <w:keepLines w:val="0"/>
                    <w:pageBreakBefore w:val="0"/>
                    <w:widowControl w:val="0"/>
                    <w:kinsoku/>
                    <w:wordWrap/>
                    <w:overflowPunct/>
                    <w:topLinePunct w:val="0"/>
                    <w:autoSpaceDE w:val="0"/>
                    <w:autoSpaceDN w:val="0"/>
                    <w:bidi w:val="0"/>
                    <w:adjustRightInd w:val="0"/>
                    <w:snapToGrid w:val="0"/>
                    <w:spacing w:line="400" w:lineRule="exact"/>
                    <w:ind w:left="0" w:leftChars="0"/>
                    <w:jc w:val="center"/>
                    <w:textAlignment w:val="baseline"/>
                    <w:rPr>
                      <w:rFonts w:ascii="Times New Roman" w:hAnsi="Times New Roman" w:eastAsia="Times New Roman" w:cs="Times New Roman"/>
                      <w:b w:val="0"/>
                      <w:bCs w:val="0"/>
                      <w:color w:val="000000" w:themeColor="text1"/>
                      <w:sz w:val="21"/>
                      <w:szCs w:val="21"/>
                      <w:highlight w:val="none"/>
                      <w14:textFill>
                        <w14:solidFill>
                          <w14:schemeClr w14:val="tx1"/>
                        </w14:solidFill>
                      </w14:textFill>
                    </w:rPr>
                  </w:pPr>
                  <w:r>
                    <w:rPr>
                      <w:rFonts w:hint="eastAsia" w:cs="Times New Roman"/>
                      <w:b w:val="0"/>
                      <w:bCs w:val="0"/>
                      <w:color w:val="000000" w:themeColor="text1"/>
                      <w:spacing w:val="1"/>
                      <w:sz w:val="21"/>
                      <w:szCs w:val="21"/>
                      <w:highlight w:val="none"/>
                      <w:lang w:val="en-US" w:eastAsia="zh-CN"/>
                      <w14:textFill>
                        <w14:solidFill>
                          <w14:schemeClr w14:val="tx1"/>
                        </w14:solidFill>
                      </w14:textFill>
                    </w:rPr>
                    <w:t>65</w:t>
                  </w:r>
                </w:p>
              </w:tc>
              <w:tc>
                <w:tcPr>
                  <w:tcW w:w="830" w:type="dxa"/>
                  <w:tcBorders>
                    <w:tl2br w:val="nil"/>
                    <w:tr2bl w:val="nil"/>
                  </w:tcBorders>
                  <w:noWrap w:val="0"/>
                  <w:vAlign w:val="center"/>
                </w:tcPr>
                <w:p w14:paraId="1D340F4D">
                  <w:pPr>
                    <w:keepNext w:val="0"/>
                    <w:keepLines w:val="0"/>
                    <w:pageBreakBefore w:val="0"/>
                    <w:widowControl w:val="0"/>
                    <w:kinsoku/>
                    <w:wordWrap/>
                    <w:overflowPunct/>
                    <w:topLinePunct w:val="0"/>
                    <w:autoSpaceDE w:val="0"/>
                    <w:autoSpaceDN w:val="0"/>
                    <w:bidi w:val="0"/>
                    <w:adjustRightInd w:val="0"/>
                    <w:snapToGrid w:val="0"/>
                    <w:spacing w:line="400" w:lineRule="exact"/>
                    <w:ind w:left="0" w:leftChars="0"/>
                    <w:jc w:val="center"/>
                    <w:textAlignment w:val="baseline"/>
                    <w:rPr>
                      <w:rFonts w:ascii="Times New Roman" w:hAnsi="Times New Roman" w:eastAsia="Times New Roman" w:cs="Times New Roman"/>
                      <w:b w:val="0"/>
                      <w:bCs w:val="0"/>
                      <w:color w:val="000000" w:themeColor="text1"/>
                      <w:sz w:val="21"/>
                      <w:szCs w:val="21"/>
                      <w:highlight w:val="none"/>
                      <w14:textFill>
                        <w14:solidFill>
                          <w14:schemeClr w14:val="tx1"/>
                        </w14:solidFill>
                      </w14:textFill>
                    </w:rPr>
                  </w:pPr>
                  <w:r>
                    <w:rPr>
                      <w:rFonts w:hint="eastAsia" w:cs="Times New Roman"/>
                      <w:b w:val="0"/>
                      <w:bCs w:val="0"/>
                      <w:color w:val="000000" w:themeColor="text1"/>
                      <w:spacing w:val="1"/>
                      <w:sz w:val="21"/>
                      <w:szCs w:val="21"/>
                      <w:highlight w:val="none"/>
                      <w:lang w:val="en-US" w:eastAsia="zh-CN"/>
                      <w14:textFill>
                        <w14:solidFill>
                          <w14:schemeClr w14:val="tx1"/>
                        </w14:solidFill>
                      </w14:textFill>
                    </w:rPr>
                    <w:t>55</w:t>
                  </w:r>
                </w:p>
              </w:tc>
            </w:tr>
            <w:tr w14:paraId="2FD94F6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82" w:hRule="atLeast"/>
                <w:jc w:val="center"/>
              </w:trPr>
              <w:tc>
                <w:tcPr>
                  <w:tcW w:w="1401" w:type="dxa"/>
                  <w:tcBorders>
                    <w:tl2br w:val="nil"/>
                    <w:tr2bl w:val="nil"/>
                  </w:tcBorders>
                  <w:noWrap w:val="0"/>
                  <w:vAlign w:val="center"/>
                </w:tcPr>
                <w:p w14:paraId="3BF90397">
                  <w:pPr>
                    <w:pStyle w:val="110"/>
                    <w:keepNext w:val="0"/>
                    <w:keepLines w:val="0"/>
                    <w:pageBreakBefore w:val="0"/>
                    <w:widowControl w:val="0"/>
                    <w:kinsoku/>
                    <w:wordWrap/>
                    <w:overflowPunct/>
                    <w:topLinePunct w:val="0"/>
                    <w:autoSpaceDE w:val="0"/>
                    <w:autoSpaceDN w:val="0"/>
                    <w:bidi w:val="0"/>
                    <w:adjustRightInd w:val="0"/>
                    <w:snapToGrid w:val="0"/>
                    <w:spacing w:line="400" w:lineRule="exact"/>
                    <w:ind w:left="0"/>
                    <w:jc w:val="center"/>
                    <w:textAlignment w:val="baseline"/>
                    <w:rPr>
                      <w:b w:val="0"/>
                      <w:bCs w:val="0"/>
                      <w:color w:val="000000" w:themeColor="text1"/>
                      <w:sz w:val="21"/>
                      <w:szCs w:val="21"/>
                      <w:highlight w:val="none"/>
                      <w14:textFill>
                        <w14:solidFill>
                          <w14:schemeClr w14:val="tx1"/>
                        </w14:solidFill>
                      </w14:textFill>
                    </w:rPr>
                  </w:pPr>
                  <w:r>
                    <w:rPr>
                      <w:b w:val="0"/>
                      <w:bCs w:val="0"/>
                      <w:color w:val="000000" w:themeColor="text1"/>
                      <w:spacing w:val="6"/>
                      <w:sz w:val="21"/>
                      <w:szCs w:val="21"/>
                      <w:highlight w:val="none"/>
                      <w14:textFill>
                        <w14:solidFill>
                          <w14:schemeClr w14:val="tx1"/>
                        </w14:solidFill>
                      </w14:textFill>
                    </w:rPr>
                    <w:t>达标情况</w:t>
                  </w:r>
                </w:p>
              </w:tc>
              <w:tc>
                <w:tcPr>
                  <w:tcW w:w="829" w:type="dxa"/>
                  <w:tcBorders>
                    <w:tl2br w:val="nil"/>
                    <w:tr2bl w:val="nil"/>
                  </w:tcBorders>
                  <w:noWrap w:val="0"/>
                  <w:vAlign w:val="center"/>
                </w:tcPr>
                <w:p w14:paraId="3220B9CD">
                  <w:pPr>
                    <w:pStyle w:val="110"/>
                    <w:keepNext w:val="0"/>
                    <w:keepLines w:val="0"/>
                    <w:pageBreakBefore w:val="0"/>
                    <w:widowControl w:val="0"/>
                    <w:kinsoku/>
                    <w:wordWrap/>
                    <w:overflowPunct/>
                    <w:topLinePunct w:val="0"/>
                    <w:autoSpaceDE w:val="0"/>
                    <w:autoSpaceDN w:val="0"/>
                    <w:bidi w:val="0"/>
                    <w:adjustRightInd w:val="0"/>
                    <w:snapToGrid w:val="0"/>
                    <w:spacing w:line="400" w:lineRule="exact"/>
                    <w:ind w:left="0"/>
                    <w:jc w:val="center"/>
                    <w:textAlignment w:val="baseline"/>
                    <w:rPr>
                      <w:b w:val="0"/>
                      <w:bCs w:val="0"/>
                      <w:color w:val="000000" w:themeColor="text1"/>
                      <w:sz w:val="21"/>
                      <w:szCs w:val="21"/>
                      <w:highlight w:val="none"/>
                      <w14:textFill>
                        <w14:solidFill>
                          <w14:schemeClr w14:val="tx1"/>
                        </w14:solidFill>
                      </w14:textFill>
                    </w:rPr>
                  </w:pPr>
                  <w:r>
                    <w:rPr>
                      <w:b w:val="0"/>
                      <w:bCs w:val="0"/>
                      <w:color w:val="000000" w:themeColor="text1"/>
                      <w:spacing w:val="4"/>
                      <w:sz w:val="21"/>
                      <w:szCs w:val="21"/>
                      <w:highlight w:val="none"/>
                      <w14:textFill>
                        <w14:solidFill>
                          <w14:schemeClr w14:val="tx1"/>
                        </w14:solidFill>
                      </w14:textFill>
                    </w:rPr>
                    <w:t>达标</w:t>
                  </w:r>
                </w:p>
              </w:tc>
              <w:tc>
                <w:tcPr>
                  <w:tcW w:w="828" w:type="dxa"/>
                  <w:tcBorders>
                    <w:tl2br w:val="nil"/>
                    <w:tr2bl w:val="nil"/>
                  </w:tcBorders>
                  <w:noWrap w:val="0"/>
                  <w:vAlign w:val="center"/>
                </w:tcPr>
                <w:p w14:paraId="77A26F84">
                  <w:pPr>
                    <w:pStyle w:val="110"/>
                    <w:keepNext w:val="0"/>
                    <w:keepLines w:val="0"/>
                    <w:pageBreakBefore w:val="0"/>
                    <w:widowControl w:val="0"/>
                    <w:kinsoku/>
                    <w:wordWrap/>
                    <w:overflowPunct/>
                    <w:topLinePunct w:val="0"/>
                    <w:autoSpaceDE w:val="0"/>
                    <w:autoSpaceDN w:val="0"/>
                    <w:bidi w:val="0"/>
                    <w:adjustRightInd w:val="0"/>
                    <w:snapToGrid w:val="0"/>
                    <w:spacing w:line="400" w:lineRule="exact"/>
                    <w:ind w:left="0"/>
                    <w:jc w:val="center"/>
                    <w:textAlignment w:val="baseline"/>
                    <w:rPr>
                      <w:b w:val="0"/>
                      <w:bCs w:val="0"/>
                      <w:color w:val="000000" w:themeColor="text1"/>
                      <w:sz w:val="21"/>
                      <w:szCs w:val="21"/>
                      <w:highlight w:val="none"/>
                      <w14:textFill>
                        <w14:solidFill>
                          <w14:schemeClr w14:val="tx1"/>
                        </w14:solidFill>
                      </w14:textFill>
                    </w:rPr>
                  </w:pPr>
                  <w:r>
                    <w:rPr>
                      <w:b w:val="0"/>
                      <w:bCs w:val="0"/>
                      <w:color w:val="000000" w:themeColor="text1"/>
                      <w:spacing w:val="4"/>
                      <w:sz w:val="21"/>
                      <w:szCs w:val="21"/>
                      <w:highlight w:val="none"/>
                      <w14:textFill>
                        <w14:solidFill>
                          <w14:schemeClr w14:val="tx1"/>
                        </w14:solidFill>
                      </w14:textFill>
                    </w:rPr>
                    <w:t>达标</w:t>
                  </w:r>
                </w:p>
              </w:tc>
              <w:tc>
                <w:tcPr>
                  <w:tcW w:w="828" w:type="dxa"/>
                  <w:tcBorders>
                    <w:tl2br w:val="nil"/>
                    <w:tr2bl w:val="nil"/>
                  </w:tcBorders>
                  <w:noWrap w:val="0"/>
                  <w:vAlign w:val="center"/>
                </w:tcPr>
                <w:p w14:paraId="7C4B681C">
                  <w:pPr>
                    <w:pStyle w:val="110"/>
                    <w:keepNext w:val="0"/>
                    <w:keepLines w:val="0"/>
                    <w:pageBreakBefore w:val="0"/>
                    <w:widowControl w:val="0"/>
                    <w:kinsoku/>
                    <w:wordWrap/>
                    <w:overflowPunct/>
                    <w:topLinePunct w:val="0"/>
                    <w:autoSpaceDE w:val="0"/>
                    <w:autoSpaceDN w:val="0"/>
                    <w:bidi w:val="0"/>
                    <w:adjustRightInd w:val="0"/>
                    <w:snapToGrid w:val="0"/>
                    <w:spacing w:line="400" w:lineRule="exact"/>
                    <w:ind w:left="0"/>
                    <w:jc w:val="center"/>
                    <w:textAlignment w:val="baseline"/>
                    <w:rPr>
                      <w:b w:val="0"/>
                      <w:bCs w:val="0"/>
                      <w:color w:val="000000" w:themeColor="text1"/>
                      <w:sz w:val="21"/>
                      <w:szCs w:val="21"/>
                      <w:highlight w:val="none"/>
                      <w14:textFill>
                        <w14:solidFill>
                          <w14:schemeClr w14:val="tx1"/>
                        </w14:solidFill>
                      </w14:textFill>
                    </w:rPr>
                  </w:pPr>
                  <w:r>
                    <w:rPr>
                      <w:b w:val="0"/>
                      <w:bCs w:val="0"/>
                      <w:color w:val="000000" w:themeColor="text1"/>
                      <w:spacing w:val="4"/>
                      <w:sz w:val="21"/>
                      <w:szCs w:val="21"/>
                      <w:highlight w:val="none"/>
                      <w14:textFill>
                        <w14:solidFill>
                          <w14:schemeClr w14:val="tx1"/>
                        </w14:solidFill>
                      </w14:textFill>
                    </w:rPr>
                    <w:t>达标</w:t>
                  </w:r>
                </w:p>
              </w:tc>
              <w:tc>
                <w:tcPr>
                  <w:tcW w:w="833" w:type="dxa"/>
                  <w:tcBorders>
                    <w:tl2br w:val="nil"/>
                    <w:tr2bl w:val="nil"/>
                  </w:tcBorders>
                  <w:noWrap w:val="0"/>
                  <w:vAlign w:val="center"/>
                </w:tcPr>
                <w:p w14:paraId="635AF3A2">
                  <w:pPr>
                    <w:pStyle w:val="110"/>
                    <w:keepNext w:val="0"/>
                    <w:keepLines w:val="0"/>
                    <w:pageBreakBefore w:val="0"/>
                    <w:widowControl w:val="0"/>
                    <w:kinsoku/>
                    <w:wordWrap/>
                    <w:overflowPunct/>
                    <w:topLinePunct w:val="0"/>
                    <w:autoSpaceDE w:val="0"/>
                    <w:autoSpaceDN w:val="0"/>
                    <w:bidi w:val="0"/>
                    <w:adjustRightInd w:val="0"/>
                    <w:snapToGrid w:val="0"/>
                    <w:spacing w:line="400" w:lineRule="exact"/>
                    <w:ind w:left="0"/>
                    <w:jc w:val="center"/>
                    <w:textAlignment w:val="baseline"/>
                    <w:rPr>
                      <w:b w:val="0"/>
                      <w:bCs w:val="0"/>
                      <w:color w:val="000000" w:themeColor="text1"/>
                      <w:sz w:val="21"/>
                      <w:szCs w:val="21"/>
                      <w:highlight w:val="none"/>
                      <w14:textFill>
                        <w14:solidFill>
                          <w14:schemeClr w14:val="tx1"/>
                        </w14:solidFill>
                      </w14:textFill>
                    </w:rPr>
                  </w:pPr>
                  <w:r>
                    <w:rPr>
                      <w:b w:val="0"/>
                      <w:bCs w:val="0"/>
                      <w:color w:val="000000" w:themeColor="text1"/>
                      <w:spacing w:val="4"/>
                      <w:sz w:val="21"/>
                      <w:szCs w:val="21"/>
                      <w:highlight w:val="none"/>
                      <w14:textFill>
                        <w14:solidFill>
                          <w14:schemeClr w14:val="tx1"/>
                        </w14:solidFill>
                      </w14:textFill>
                    </w:rPr>
                    <w:t>达标</w:t>
                  </w:r>
                </w:p>
              </w:tc>
              <w:tc>
                <w:tcPr>
                  <w:tcW w:w="830" w:type="dxa"/>
                  <w:tcBorders>
                    <w:tl2br w:val="nil"/>
                    <w:tr2bl w:val="nil"/>
                  </w:tcBorders>
                  <w:noWrap w:val="0"/>
                  <w:vAlign w:val="center"/>
                </w:tcPr>
                <w:p w14:paraId="17778F7E">
                  <w:pPr>
                    <w:pStyle w:val="110"/>
                    <w:keepNext w:val="0"/>
                    <w:keepLines w:val="0"/>
                    <w:pageBreakBefore w:val="0"/>
                    <w:widowControl w:val="0"/>
                    <w:kinsoku/>
                    <w:wordWrap/>
                    <w:overflowPunct/>
                    <w:topLinePunct w:val="0"/>
                    <w:autoSpaceDE w:val="0"/>
                    <w:autoSpaceDN w:val="0"/>
                    <w:bidi w:val="0"/>
                    <w:adjustRightInd w:val="0"/>
                    <w:snapToGrid w:val="0"/>
                    <w:spacing w:line="400" w:lineRule="exact"/>
                    <w:ind w:left="0"/>
                    <w:jc w:val="center"/>
                    <w:textAlignment w:val="baseline"/>
                    <w:rPr>
                      <w:b w:val="0"/>
                      <w:bCs w:val="0"/>
                      <w:color w:val="000000" w:themeColor="text1"/>
                      <w:sz w:val="21"/>
                      <w:szCs w:val="21"/>
                      <w:highlight w:val="none"/>
                      <w14:textFill>
                        <w14:solidFill>
                          <w14:schemeClr w14:val="tx1"/>
                        </w14:solidFill>
                      </w14:textFill>
                    </w:rPr>
                  </w:pPr>
                  <w:r>
                    <w:rPr>
                      <w:b w:val="0"/>
                      <w:bCs w:val="0"/>
                      <w:color w:val="000000" w:themeColor="text1"/>
                      <w:spacing w:val="4"/>
                      <w:sz w:val="21"/>
                      <w:szCs w:val="21"/>
                      <w:highlight w:val="none"/>
                      <w14:textFill>
                        <w14:solidFill>
                          <w14:schemeClr w14:val="tx1"/>
                        </w14:solidFill>
                      </w14:textFill>
                    </w:rPr>
                    <w:t>达标</w:t>
                  </w:r>
                </w:p>
              </w:tc>
              <w:tc>
                <w:tcPr>
                  <w:tcW w:w="827" w:type="dxa"/>
                  <w:tcBorders>
                    <w:tl2br w:val="nil"/>
                    <w:tr2bl w:val="nil"/>
                  </w:tcBorders>
                  <w:noWrap w:val="0"/>
                  <w:vAlign w:val="center"/>
                </w:tcPr>
                <w:p w14:paraId="70392DC8">
                  <w:pPr>
                    <w:pStyle w:val="110"/>
                    <w:keepNext w:val="0"/>
                    <w:keepLines w:val="0"/>
                    <w:pageBreakBefore w:val="0"/>
                    <w:widowControl w:val="0"/>
                    <w:kinsoku/>
                    <w:wordWrap/>
                    <w:overflowPunct/>
                    <w:topLinePunct w:val="0"/>
                    <w:autoSpaceDE w:val="0"/>
                    <w:autoSpaceDN w:val="0"/>
                    <w:bidi w:val="0"/>
                    <w:adjustRightInd w:val="0"/>
                    <w:snapToGrid w:val="0"/>
                    <w:spacing w:line="400" w:lineRule="exact"/>
                    <w:ind w:left="0"/>
                    <w:jc w:val="center"/>
                    <w:textAlignment w:val="baseline"/>
                    <w:rPr>
                      <w:b w:val="0"/>
                      <w:bCs w:val="0"/>
                      <w:color w:val="000000" w:themeColor="text1"/>
                      <w:sz w:val="21"/>
                      <w:szCs w:val="21"/>
                      <w:highlight w:val="none"/>
                      <w14:textFill>
                        <w14:solidFill>
                          <w14:schemeClr w14:val="tx1"/>
                        </w14:solidFill>
                      </w14:textFill>
                    </w:rPr>
                  </w:pPr>
                  <w:r>
                    <w:rPr>
                      <w:b w:val="0"/>
                      <w:bCs w:val="0"/>
                      <w:color w:val="000000" w:themeColor="text1"/>
                      <w:spacing w:val="4"/>
                      <w:sz w:val="21"/>
                      <w:szCs w:val="21"/>
                      <w:highlight w:val="none"/>
                      <w14:textFill>
                        <w14:solidFill>
                          <w14:schemeClr w14:val="tx1"/>
                        </w14:solidFill>
                      </w14:textFill>
                    </w:rPr>
                    <w:t>达标</w:t>
                  </w:r>
                </w:p>
              </w:tc>
              <w:tc>
                <w:tcPr>
                  <w:tcW w:w="831" w:type="dxa"/>
                  <w:tcBorders>
                    <w:tl2br w:val="nil"/>
                    <w:tr2bl w:val="nil"/>
                  </w:tcBorders>
                  <w:noWrap w:val="0"/>
                  <w:vAlign w:val="center"/>
                </w:tcPr>
                <w:p w14:paraId="04C36F5C">
                  <w:pPr>
                    <w:pStyle w:val="110"/>
                    <w:keepNext w:val="0"/>
                    <w:keepLines w:val="0"/>
                    <w:pageBreakBefore w:val="0"/>
                    <w:widowControl w:val="0"/>
                    <w:kinsoku/>
                    <w:wordWrap/>
                    <w:overflowPunct/>
                    <w:topLinePunct w:val="0"/>
                    <w:autoSpaceDE w:val="0"/>
                    <w:autoSpaceDN w:val="0"/>
                    <w:bidi w:val="0"/>
                    <w:adjustRightInd w:val="0"/>
                    <w:snapToGrid w:val="0"/>
                    <w:spacing w:line="400" w:lineRule="exact"/>
                    <w:ind w:left="0"/>
                    <w:jc w:val="center"/>
                    <w:textAlignment w:val="baseline"/>
                    <w:rPr>
                      <w:b w:val="0"/>
                      <w:bCs w:val="0"/>
                      <w:color w:val="000000" w:themeColor="text1"/>
                      <w:sz w:val="21"/>
                      <w:szCs w:val="21"/>
                      <w:highlight w:val="none"/>
                      <w14:textFill>
                        <w14:solidFill>
                          <w14:schemeClr w14:val="tx1"/>
                        </w14:solidFill>
                      </w14:textFill>
                    </w:rPr>
                  </w:pPr>
                  <w:r>
                    <w:rPr>
                      <w:b w:val="0"/>
                      <w:bCs w:val="0"/>
                      <w:color w:val="000000" w:themeColor="text1"/>
                      <w:spacing w:val="4"/>
                      <w:sz w:val="21"/>
                      <w:szCs w:val="21"/>
                      <w:highlight w:val="none"/>
                      <w14:textFill>
                        <w14:solidFill>
                          <w14:schemeClr w14:val="tx1"/>
                        </w14:solidFill>
                      </w14:textFill>
                    </w:rPr>
                    <w:t>达标</w:t>
                  </w:r>
                </w:p>
              </w:tc>
              <w:tc>
                <w:tcPr>
                  <w:tcW w:w="830" w:type="dxa"/>
                  <w:tcBorders>
                    <w:tl2br w:val="nil"/>
                    <w:tr2bl w:val="nil"/>
                  </w:tcBorders>
                  <w:noWrap w:val="0"/>
                  <w:vAlign w:val="center"/>
                </w:tcPr>
                <w:p w14:paraId="1168BEFF">
                  <w:pPr>
                    <w:pStyle w:val="110"/>
                    <w:keepNext w:val="0"/>
                    <w:keepLines w:val="0"/>
                    <w:pageBreakBefore w:val="0"/>
                    <w:widowControl w:val="0"/>
                    <w:kinsoku/>
                    <w:wordWrap/>
                    <w:overflowPunct/>
                    <w:topLinePunct w:val="0"/>
                    <w:autoSpaceDE w:val="0"/>
                    <w:autoSpaceDN w:val="0"/>
                    <w:bidi w:val="0"/>
                    <w:adjustRightInd w:val="0"/>
                    <w:snapToGrid w:val="0"/>
                    <w:spacing w:line="400" w:lineRule="exact"/>
                    <w:ind w:left="0"/>
                    <w:jc w:val="center"/>
                    <w:textAlignment w:val="baseline"/>
                    <w:rPr>
                      <w:b w:val="0"/>
                      <w:bCs w:val="0"/>
                      <w:color w:val="000000" w:themeColor="text1"/>
                      <w:sz w:val="21"/>
                      <w:szCs w:val="21"/>
                      <w:highlight w:val="none"/>
                      <w14:textFill>
                        <w14:solidFill>
                          <w14:schemeClr w14:val="tx1"/>
                        </w14:solidFill>
                      </w14:textFill>
                    </w:rPr>
                  </w:pPr>
                  <w:r>
                    <w:rPr>
                      <w:b w:val="0"/>
                      <w:bCs w:val="0"/>
                      <w:color w:val="000000" w:themeColor="text1"/>
                      <w:spacing w:val="4"/>
                      <w:sz w:val="21"/>
                      <w:szCs w:val="21"/>
                      <w:highlight w:val="none"/>
                      <w14:textFill>
                        <w14:solidFill>
                          <w14:schemeClr w14:val="tx1"/>
                        </w14:solidFill>
                      </w14:textFill>
                    </w:rPr>
                    <w:t>达标</w:t>
                  </w:r>
                </w:p>
              </w:tc>
            </w:tr>
          </w:tbl>
          <w:p w14:paraId="2C38B8D8">
            <w:pPr>
              <w:keepNext w:val="0"/>
              <w:keepLines w:val="0"/>
              <w:pageBreakBefore w:val="0"/>
              <w:widowControl w:val="0"/>
              <w:numPr>
                <w:ilvl w:val="0"/>
                <w:numId w:val="22"/>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76" w:firstLineChars="200"/>
              <w:jc w:val="left"/>
              <w:textAlignment w:val="auto"/>
              <w:rPr>
                <w:rFonts w:hint="default"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t>固体废物</w:t>
            </w:r>
          </w:p>
          <w:p w14:paraId="711EBAF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根据</w:t>
            </w:r>
            <w:r>
              <w:rPr>
                <w:rFonts w:hint="eastAsia" w:cs="Times New Roman"/>
                <w:color w:val="000000" w:themeColor="text1"/>
                <w:sz w:val="24"/>
                <w:szCs w:val="24"/>
                <w:highlight w:val="none"/>
                <w:lang w:val="en-US" w:eastAsia="zh-CN"/>
                <w14:textFill>
                  <w14:solidFill>
                    <w14:schemeClr w14:val="tx1"/>
                  </w14:solidFill>
                </w14:textFill>
              </w:rPr>
              <w:t>辽宁华润本溪三药有限公司提供的现有环评、验收及排污许可等资料</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，现有项目固体废物产生及处置情况见</w:t>
            </w:r>
            <w:r>
              <w:rPr>
                <w:rFonts w:hint="eastAsia" w:cs="Times New Roman"/>
                <w:color w:val="000000" w:themeColor="text1"/>
                <w:sz w:val="24"/>
                <w:szCs w:val="24"/>
                <w:highlight w:val="none"/>
                <w:lang w:val="en-US" w:eastAsia="zh-CN"/>
                <w14:textFill>
                  <w14:solidFill>
                    <w14:schemeClr w14:val="tx1"/>
                  </w14:solidFill>
                </w14:textFill>
              </w:rPr>
              <w:t>下</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表。</w:t>
            </w:r>
          </w:p>
          <w:p w14:paraId="123DFD89">
            <w:pPr>
              <w:keepNext w:val="0"/>
              <w:keepLines w:val="0"/>
              <w:numPr>
                <w:ilvl w:val="0"/>
                <w:numId w:val="5"/>
              </w:numPr>
              <w:suppressLineNumbers w:val="0"/>
              <w:snapToGrid w:val="0"/>
              <w:spacing w:before="0" w:beforeLines="0" w:beforeAutospacing="0" w:after="0" w:afterLines="0" w:afterAutospacing="0"/>
              <w:ind w:left="0" w:leftChars="0" w:right="0" w:rightChars="0" w:firstLine="0" w:firstLineChars="0"/>
              <w:jc w:val="center"/>
              <w:rPr>
                <w:rFonts w:hint="default"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 xml:space="preserve">  现有项目固体废物产生及处置情况</w:t>
            </w:r>
          </w:p>
          <w:tbl>
            <w:tblPr>
              <w:tblStyle w:val="76"/>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967"/>
              <w:gridCol w:w="1095"/>
              <w:gridCol w:w="1200"/>
              <w:gridCol w:w="3782"/>
            </w:tblGrid>
            <w:tr w14:paraId="087AA8B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967" w:type="dxa"/>
                  <w:tcBorders>
                    <w:tl2br w:val="nil"/>
                    <w:tr2bl w:val="nil"/>
                  </w:tcBorders>
                  <w:noWrap w:val="0"/>
                  <w:vAlign w:val="center"/>
                </w:tcPr>
                <w:p w14:paraId="2F882564">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固体废物名称</w:t>
                  </w:r>
                </w:p>
              </w:tc>
              <w:tc>
                <w:tcPr>
                  <w:tcW w:w="1095" w:type="dxa"/>
                  <w:tcBorders>
                    <w:tl2br w:val="nil"/>
                    <w:tr2bl w:val="nil"/>
                  </w:tcBorders>
                  <w:noWrap w:val="0"/>
                  <w:vAlign w:val="center"/>
                </w:tcPr>
                <w:p w14:paraId="2447470D">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性质</w:t>
                  </w:r>
                </w:p>
              </w:tc>
              <w:tc>
                <w:tcPr>
                  <w:tcW w:w="1200" w:type="dxa"/>
                  <w:tcBorders>
                    <w:tl2br w:val="nil"/>
                    <w:tr2bl w:val="nil"/>
                  </w:tcBorders>
                  <w:noWrap w:val="0"/>
                  <w:vAlign w:val="center"/>
                </w:tcPr>
                <w:p w14:paraId="0D84763D">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产生量t/a</w:t>
                  </w:r>
                </w:p>
              </w:tc>
              <w:tc>
                <w:tcPr>
                  <w:tcW w:w="3782" w:type="dxa"/>
                  <w:tcBorders>
                    <w:tl2br w:val="nil"/>
                    <w:tr2bl w:val="nil"/>
                  </w:tcBorders>
                  <w:noWrap w:val="0"/>
                  <w:vAlign w:val="center"/>
                </w:tcPr>
                <w:p w14:paraId="3BBB9161">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处理处置方式</w:t>
                  </w:r>
                </w:p>
              </w:tc>
            </w:tr>
            <w:tr w14:paraId="31C4456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967" w:type="dxa"/>
                  <w:tcBorders>
                    <w:tl2br w:val="nil"/>
                    <w:tr2bl w:val="nil"/>
                  </w:tcBorders>
                  <w:noWrap w:val="0"/>
                  <w:vAlign w:val="center"/>
                </w:tcPr>
                <w:p w14:paraId="2B30D56C">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中药渣</w:t>
                  </w:r>
                </w:p>
              </w:tc>
              <w:tc>
                <w:tcPr>
                  <w:tcW w:w="1095" w:type="dxa"/>
                  <w:vMerge w:val="restart"/>
                  <w:tcBorders>
                    <w:tl2br w:val="nil"/>
                    <w:tr2bl w:val="nil"/>
                  </w:tcBorders>
                  <w:noWrap w:val="0"/>
                  <w:vAlign w:val="center"/>
                </w:tcPr>
                <w:p w14:paraId="32D97D51">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一般固体废物</w:t>
                  </w:r>
                </w:p>
              </w:tc>
              <w:tc>
                <w:tcPr>
                  <w:tcW w:w="1200" w:type="dxa"/>
                  <w:tcBorders>
                    <w:tl2br w:val="nil"/>
                    <w:tr2bl w:val="nil"/>
                  </w:tcBorders>
                  <w:noWrap w:val="0"/>
                  <w:vAlign w:val="center"/>
                </w:tcPr>
                <w:p w14:paraId="56203D89">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6596</w:t>
                  </w:r>
                </w:p>
              </w:tc>
              <w:tc>
                <w:tcPr>
                  <w:tcW w:w="3782" w:type="dxa"/>
                  <w:vMerge w:val="restart"/>
                  <w:tcBorders>
                    <w:tl2br w:val="nil"/>
                    <w:tr2bl w:val="nil"/>
                  </w:tcBorders>
                  <w:noWrap w:val="0"/>
                  <w:vAlign w:val="center"/>
                </w:tcPr>
                <w:p w14:paraId="480868E0">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集中收集后暂存于一般固废暂存区，</w:t>
                  </w:r>
                  <w:r>
                    <w:rPr>
                      <w:rFonts w:hint="eastAsia" w:cs="Times New Roman"/>
                      <w:color w:val="000000" w:themeColor="text1"/>
                      <w:kern w:val="2"/>
                      <w:sz w:val="21"/>
                      <w:szCs w:val="21"/>
                      <w:highlight w:val="none"/>
                      <w:lang w:val="en-US" w:eastAsia="zh-CN" w:bidi="ar"/>
                      <w14:textFill>
                        <w14:solidFill>
                          <w14:schemeClr w14:val="tx1"/>
                        </w14:solidFill>
                      </w14:textFill>
                    </w:rPr>
                    <w:t>交由有利用、处置能力的企业依法依规进行利用处置</w:t>
                  </w:r>
                </w:p>
              </w:tc>
            </w:tr>
            <w:tr w14:paraId="1DF8129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967" w:type="dxa"/>
                  <w:tcBorders>
                    <w:tl2br w:val="nil"/>
                    <w:tr2bl w:val="nil"/>
                  </w:tcBorders>
                  <w:noWrap w:val="0"/>
                  <w:vAlign w:val="center"/>
                </w:tcPr>
                <w:p w14:paraId="70B5570C">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废包装材料</w:t>
                  </w:r>
                </w:p>
              </w:tc>
              <w:tc>
                <w:tcPr>
                  <w:tcW w:w="1095" w:type="dxa"/>
                  <w:vMerge w:val="continue"/>
                  <w:tcBorders>
                    <w:tl2br w:val="nil"/>
                    <w:tr2bl w:val="nil"/>
                  </w:tcBorders>
                  <w:noWrap w:val="0"/>
                  <w:vAlign w:val="center"/>
                </w:tcPr>
                <w:p w14:paraId="13EF7DA7">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200" w:type="dxa"/>
                  <w:tcBorders>
                    <w:tl2br w:val="nil"/>
                    <w:tr2bl w:val="nil"/>
                  </w:tcBorders>
                  <w:noWrap w:val="0"/>
                  <w:vAlign w:val="center"/>
                </w:tcPr>
                <w:p w14:paraId="744A682E">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2.3</w:t>
                  </w:r>
                </w:p>
              </w:tc>
              <w:tc>
                <w:tcPr>
                  <w:tcW w:w="3782" w:type="dxa"/>
                  <w:vMerge w:val="continue"/>
                  <w:tcBorders>
                    <w:tl2br w:val="nil"/>
                    <w:tr2bl w:val="nil"/>
                  </w:tcBorders>
                  <w:noWrap w:val="0"/>
                  <w:vAlign w:val="center"/>
                </w:tcPr>
                <w:p w14:paraId="597C4626">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0DCD7A8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967" w:type="dxa"/>
                  <w:tcBorders>
                    <w:tl2br w:val="nil"/>
                    <w:tr2bl w:val="nil"/>
                  </w:tcBorders>
                  <w:noWrap w:val="0"/>
                  <w:vAlign w:val="center"/>
                </w:tcPr>
                <w:p w14:paraId="6149FAFC">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污水处理站污泥</w:t>
                  </w:r>
                </w:p>
              </w:tc>
              <w:tc>
                <w:tcPr>
                  <w:tcW w:w="1095" w:type="dxa"/>
                  <w:vMerge w:val="continue"/>
                  <w:tcBorders>
                    <w:tl2br w:val="nil"/>
                    <w:tr2bl w:val="nil"/>
                  </w:tcBorders>
                  <w:noWrap w:val="0"/>
                  <w:vAlign w:val="center"/>
                </w:tcPr>
                <w:p w14:paraId="2AF70924">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1200" w:type="dxa"/>
                  <w:tcBorders>
                    <w:tl2br w:val="nil"/>
                    <w:tr2bl w:val="nil"/>
                  </w:tcBorders>
                  <w:noWrap w:val="0"/>
                  <w:vAlign w:val="center"/>
                </w:tcPr>
                <w:p w14:paraId="15716485">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12.3</w:t>
                  </w:r>
                </w:p>
              </w:tc>
              <w:tc>
                <w:tcPr>
                  <w:tcW w:w="3782" w:type="dxa"/>
                  <w:vMerge w:val="continue"/>
                  <w:tcBorders>
                    <w:tl2br w:val="nil"/>
                    <w:tr2bl w:val="nil"/>
                  </w:tcBorders>
                  <w:noWrap w:val="0"/>
                  <w:vAlign w:val="center"/>
                </w:tcPr>
                <w:p w14:paraId="1F6B287E">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51A9038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967" w:type="dxa"/>
                  <w:tcBorders>
                    <w:tl2br w:val="nil"/>
                    <w:tr2bl w:val="nil"/>
                  </w:tcBorders>
                  <w:noWrap w:val="0"/>
                  <w:vAlign w:val="center"/>
                </w:tcPr>
                <w:p w14:paraId="77301029">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除尘灰</w:t>
                  </w:r>
                </w:p>
              </w:tc>
              <w:tc>
                <w:tcPr>
                  <w:tcW w:w="1095" w:type="dxa"/>
                  <w:vMerge w:val="continue"/>
                  <w:tcBorders>
                    <w:tl2br w:val="nil"/>
                    <w:tr2bl w:val="nil"/>
                  </w:tcBorders>
                  <w:noWrap w:val="0"/>
                  <w:vAlign w:val="center"/>
                </w:tcPr>
                <w:p w14:paraId="1FE99A91">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1200" w:type="dxa"/>
                  <w:tcBorders>
                    <w:tl2br w:val="nil"/>
                    <w:tr2bl w:val="nil"/>
                  </w:tcBorders>
                  <w:noWrap w:val="0"/>
                  <w:vAlign w:val="center"/>
                </w:tcPr>
                <w:p w14:paraId="2CD88360">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3.4</w:t>
                  </w:r>
                </w:p>
              </w:tc>
              <w:tc>
                <w:tcPr>
                  <w:tcW w:w="3782" w:type="dxa"/>
                  <w:vMerge w:val="continue"/>
                  <w:tcBorders>
                    <w:tl2br w:val="nil"/>
                    <w:tr2bl w:val="nil"/>
                  </w:tcBorders>
                  <w:noWrap w:val="0"/>
                  <w:vAlign w:val="center"/>
                </w:tcPr>
                <w:p w14:paraId="7B45AD90">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005EC0F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967" w:type="dxa"/>
                  <w:tcBorders>
                    <w:tl2br w:val="nil"/>
                    <w:tr2bl w:val="nil"/>
                  </w:tcBorders>
                  <w:noWrap w:val="0"/>
                  <w:vAlign w:val="center"/>
                </w:tcPr>
                <w:p w14:paraId="2585217A">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废布袋</w:t>
                  </w:r>
                </w:p>
              </w:tc>
              <w:tc>
                <w:tcPr>
                  <w:tcW w:w="1095" w:type="dxa"/>
                  <w:vMerge w:val="continue"/>
                  <w:tcBorders>
                    <w:tl2br w:val="nil"/>
                    <w:tr2bl w:val="nil"/>
                  </w:tcBorders>
                  <w:noWrap w:val="0"/>
                  <w:vAlign w:val="center"/>
                </w:tcPr>
                <w:p w14:paraId="32CCC324">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1200" w:type="dxa"/>
                  <w:tcBorders>
                    <w:tl2br w:val="nil"/>
                    <w:tr2bl w:val="nil"/>
                  </w:tcBorders>
                  <w:noWrap w:val="0"/>
                  <w:vAlign w:val="center"/>
                </w:tcPr>
                <w:p w14:paraId="564CFD8E">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w:t>
                  </w:r>
                  <w:r>
                    <w:rPr>
                      <w:rFonts w:hint="eastAsia" w:cs="Times New Roman"/>
                      <w:color w:val="000000" w:themeColor="text1"/>
                      <w:sz w:val="21"/>
                      <w:szCs w:val="21"/>
                      <w:highlight w:val="none"/>
                      <w:lang w:val="en-US" w:eastAsia="zh-CN"/>
                      <w14:textFill>
                        <w14:solidFill>
                          <w14:schemeClr w14:val="tx1"/>
                        </w14:solidFill>
                      </w14:textFill>
                    </w:rPr>
                    <w:t>05</w:t>
                  </w:r>
                </w:p>
              </w:tc>
              <w:tc>
                <w:tcPr>
                  <w:tcW w:w="3782" w:type="dxa"/>
                  <w:vMerge w:val="continue"/>
                  <w:tcBorders>
                    <w:tl2br w:val="nil"/>
                    <w:tr2bl w:val="nil"/>
                  </w:tcBorders>
                  <w:noWrap w:val="0"/>
                  <w:vAlign w:val="center"/>
                </w:tcPr>
                <w:p w14:paraId="73B84F71">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4853EE3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967" w:type="dxa"/>
                  <w:tcBorders>
                    <w:tl2br w:val="nil"/>
                    <w:tr2bl w:val="nil"/>
                  </w:tcBorders>
                  <w:noWrap w:val="0"/>
                  <w:vAlign w:val="center"/>
                </w:tcPr>
                <w:p w14:paraId="6BE38397">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废离子交换树脂</w:t>
                  </w:r>
                </w:p>
              </w:tc>
              <w:tc>
                <w:tcPr>
                  <w:tcW w:w="1095" w:type="dxa"/>
                  <w:vMerge w:val="continue"/>
                  <w:tcBorders>
                    <w:tl2br w:val="nil"/>
                    <w:tr2bl w:val="nil"/>
                  </w:tcBorders>
                  <w:noWrap w:val="0"/>
                  <w:vAlign w:val="center"/>
                </w:tcPr>
                <w:p w14:paraId="358417BE">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1200" w:type="dxa"/>
                  <w:tcBorders>
                    <w:tl2br w:val="nil"/>
                    <w:tr2bl w:val="nil"/>
                  </w:tcBorders>
                  <w:noWrap w:val="0"/>
                  <w:vAlign w:val="center"/>
                </w:tcPr>
                <w:p w14:paraId="335C0C3D">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0.8</w:t>
                  </w:r>
                </w:p>
              </w:tc>
              <w:tc>
                <w:tcPr>
                  <w:tcW w:w="3782" w:type="dxa"/>
                  <w:vMerge w:val="continue"/>
                  <w:tcBorders>
                    <w:tl2br w:val="nil"/>
                    <w:tr2bl w:val="nil"/>
                  </w:tcBorders>
                  <w:noWrap w:val="0"/>
                  <w:vAlign w:val="center"/>
                </w:tcPr>
                <w:p w14:paraId="0FFEA681">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7543764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967" w:type="dxa"/>
                  <w:tcBorders>
                    <w:tl2br w:val="nil"/>
                    <w:tr2bl w:val="nil"/>
                  </w:tcBorders>
                  <w:noWrap w:val="0"/>
                  <w:vAlign w:val="center"/>
                </w:tcPr>
                <w:p w14:paraId="4A5D9F74">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cs="Times New Roman"/>
                      <w:color w:val="000000" w:themeColor="text1"/>
                      <w:sz w:val="21"/>
                      <w:szCs w:val="21"/>
                      <w:highlight w:val="none"/>
                      <w:lang w:val="en-US" w:eastAsia="zh-CN"/>
                      <w14:textFill>
                        <w14:solidFill>
                          <w14:schemeClr w14:val="tx1"/>
                        </w14:solidFill>
                      </w14:textFill>
                    </w:rPr>
                  </w:pPr>
                  <w:r>
                    <w:rPr>
                      <w:rFonts w:hint="default" w:cs="Times New Roman"/>
                      <w:color w:val="000000" w:themeColor="text1"/>
                      <w:sz w:val="21"/>
                      <w:szCs w:val="21"/>
                      <w:highlight w:val="none"/>
                      <w:lang w:val="en-US" w:eastAsia="zh-CN"/>
                      <w14:textFill>
                        <w14:solidFill>
                          <w14:schemeClr w14:val="tx1"/>
                        </w14:solidFill>
                      </w14:textFill>
                    </w:rPr>
                    <w:t>废试剂瓶</w:t>
                  </w:r>
                </w:p>
              </w:tc>
              <w:tc>
                <w:tcPr>
                  <w:tcW w:w="1095" w:type="dxa"/>
                  <w:vMerge w:val="restart"/>
                  <w:tcBorders>
                    <w:tl2br w:val="nil"/>
                    <w:tr2bl w:val="nil"/>
                  </w:tcBorders>
                  <w:noWrap w:val="0"/>
                  <w:vAlign w:val="center"/>
                </w:tcPr>
                <w:p w14:paraId="46D848EC">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危险废物</w:t>
                  </w:r>
                </w:p>
              </w:tc>
              <w:tc>
                <w:tcPr>
                  <w:tcW w:w="1200" w:type="dxa"/>
                  <w:tcBorders>
                    <w:tl2br w:val="nil"/>
                    <w:tr2bl w:val="nil"/>
                  </w:tcBorders>
                  <w:noWrap w:val="0"/>
                  <w:vAlign w:val="center"/>
                </w:tcPr>
                <w:p w14:paraId="62176F8F">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w:t>
                  </w:r>
                </w:p>
              </w:tc>
              <w:tc>
                <w:tcPr>
                  <w:tcW w:w="3782" w:type="dxa"/>
                  <w:vMerge w:val="restart"/>
                  <w:tcBorders>
                    <w:tl2br w:val="nil"/>
                    <w:tr2bl w:val="nil"/>
                  </w:tcBorders>
                  <w:noWrap w:val="0"/>
                  <w:vAlign w:val="center"/>
                </w:tcPr>
                <w:p w14:paraId="69BC9D5E">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收集后暂存</w:t>
                  </w:r>
                  <w:r>
                    <w:rPr>
                      <w:rFonts w:hint="eastAsia" w:cs="Times New Roman"/>
                      <w:color w:val="000000" w:themeColor="text1"/>
                      <w:sz w:val="21"/>
                      <w:szCs w:val="21"/>
                      <w:highlight w:val="none"/>
                      <w:lang w:val="en-US" w:eastAsia="zh-CN"/>
                      <w14:textFill>
                        <w14:solidFill>
                          <w14:schemeClr w14:val="tx1"/>
                        </w14:solidFill>
                      </w14:textFill>
                    </w:rPr>
                    <w:t>于</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现有危废</w:t>
                  </w:r>
                  <w:r>
                    <w:rPr>
                      <w:rFonts w:hint="eastAsia" w:cs="Times New Roman"/>
                      <w:color w:val="000000" w:themeColor="text1"/>
                      <w:sz w:val="21"/>
                      <w:szCs w:val="21"/>
                      <w:highlight w:val="none"/>
                      <w:lang w:val="en-US" w:eastAsia="zh-CN"/>
                      <w14:textFill>
                        <w14:solidFill>
                          <w14:schemeClr w14:val="tx1"/>
                        </w14:solidFill>
                      </w14:textFill>
                    </w:rPr>
                    <w:t>贮存库</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，定期委托辽宁绿源再生能源开发有限公司处置。</w:t>
                  </w:r>
                </w:p>
              </w:tc>
            </w:tr>
            <w:tr w14:paraId="5C6869A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967" w:type="dxa"/>
                  <w:tcBorders>
                    <w:tl2br w:val="nil"/>
                    <w:tr2bl w:val="nil"/>
                  </w:tcBorders>
                  <w:noWrap w:val="0"/>
                  <w:vAlign w:val="center"/>
                </w:tcPr>
                <w:p w14:paraId="4E1A67AB">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化学检验废液</w:t>
                  </w:r>
                </w:p>
              </w:tc>
              <w:tc>
                <w:tcPr>
                  <w:tcW w:w="1095" w:type="dxa"/>
                  <w:vMerge w:val="continue"/>
                  <w:tcBorders>
                    <w:tl2br w:val="nil"/>
                    <w:tr2bl w:val="nil"/>
                  </w:tcBorders>
                  <w:noWrap w:val="0"/>
                  <w:vAlign w:val="center"/>
                </w:tcPr>
                <w:p w14:paraId="338C9CC3">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1200" w:type="dxa"/>
                  <w:tcBorders>
                    <w:tl2br w:val="nil"/>
                    <w:tr2bl w:val="nil"/>
                  </w:tcBorders>
                  <w:noWrap w:val="0"/>
                  <w:vAlign w:val="center"/>
                </w:tcPr>
                <w:p w14:paraId="0F604819">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w:t>
                  </w:r>
                </w:p>
              </w:tc>
              <w:tc>
                <w:tcPr>
                  <w:tcW w:w="3782" w:type="dxa"/>
                  <w:vMerge w:val="continue"/>
                  <w:tcBorders>
                    <w:tl2br w:val="nil"/>
                    <w:tr2bl w:val="nil"/>
                  </w:tcBorders>
                  <w:noWrap w:val="0"/>
                  <w:vAlign w:val="center"/>
                </w:tcPr>
                <w:p w14:paraId="224D5734">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60A70E2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967" w:type="dxa"/>
                  <w:tcBorders>
                    <w:tl2br w:val="nil"/>
                    <w:tr2bl w:val="nil"/>
                  </w:tcBorders>
                  <w:noWrap w:val="0"/>
                  <w:vAlign w:val="center"/>
                </w:tcPr>
                <w:p w14:paraId="5F916941">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废弃薄层板</w:t>
                  </w:r>
                </w:p>
              </w:tc>
              <w:tc>
                <w:tcPr>
                  <w:tcW w:w="1095" w:type="dxa"/>
                  <w:vMerge w:val="continue"/>
                  <w:tcBorders>
                    <w:tl2br w:val="nil"/>
                    <w:tr2bl w:val="nil"/>
                  </w:tcBorders>
                  <w:noWrap w:val="0"/>
                  <w:vAlign w:val="center"/>
                </w:tcPr>
                <w:p w14:paraId="568E80E1">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1200" w:type="dxa"/>
                  <w:tcBorders>
                    <w:tl2br w:val="nil"/>
                    <w:tr2bl w:val="nil"/>
                  </w:tcBorders>
                  <w:noWrap w:val="0"/>
                  <w:vAlign w:val="center"/>
                </w:tcPr>
                <w:p w14:paraId="2701FBFC">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0.255</w:t>
                  </w:r>
                </w:p>
              </w:tc>
              <w:tc>
                <w:tcPr>
                  <w:tcW w:w="3782" w:type="dxa"/>
                  <w:vMerge w:val="continue"/>
                  <w:tcBorders>
                    <w:tl2br w:val="nil"/>
                    <w:tr2bl w:val="nil"/>
                  </w:tcBorders>
                  <w:noWrap w:val="0"/>
                  <w:vAlign w:val="center"/>
                </w:tcPr>
                <w:p w14:paraId="46FA63CD">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690EAC2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967" w:type="dxa"/>
                  <w:tcBorders>
                    <w:tl2br w:val="nil"/>
                    <w:tr2bl w:val="nil"/>
                  </w:tcBorders>
                  <w:noWrap w:val="0"/>
                  <w:vAlign w:val="center"/>
                </w:tcPr>
                <w:p w14:paraId="778A667B">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废试药</w:t>
                  </w:r>
                </w:p>
              </w:tc>
              <w:tc>
                <w:tcPr>
                  <w:tcW w:w="1095" w:type="dxa"/>
                  <w:vMerge w:val="continue"/>
                  <w:tcBorders>
                    <w:tl2br w:val="nil"/>
                    <w:tr2bl w:val="nil"/>
                  </w:tcBorders>
                  <w:noWrap w:val="0"/>
                  <w:vAlign w:val="center"/>
                </w:tcPr>
                <w:p w14:paraId="6FE63E4A">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1200" w:type="dxa"/>
                  <w:tcBorders>
                    <w:tl2br w:val="nil"/>
                    <w:tr2bl w:val="nil"/>
                  </w:tcBorders>
                  <w:noWrap w:val="0"/>
                  <w:vAlign w:val="center"/>
                </w:tcPr>
                <w:p w14:paraId="2516FBAA">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0.02</w:t>
                  </w:r>
                </w:p>
              </w:tc>
              <w:tc>
                <w:tcPr>
                  <w:tcW w:w="3782" w:type="dxa"/>
                  <w:vMerge w:val="continue"/>
                  <w:tcBorders>
                    <w:tl2br w:val="nil"/>
                    <w:tr2bl w:val="nil"/>
                  </w:tcBorders>
                  <w:noWrap w:val="0"/>
                  <w:vAlign w:val="center"/>
                </w:tcPr>
                <w:p w14:paraId="2C2B8181">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17874B6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967" w:type="dxa"/>
                  <w:tcBorders>
                    <w:tl2br w:val="nil"/>
                    <w:tr2bl w:val="nil"/>
                  </w:tcBorders>
                  <w:noWrap w:val="0"/>
                  <w:vAlign w:val="center"/>
                </w:tcPr>
                <w:p w14:paraId="4E089F1D">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在线废液</w:t>
                  </w:r>
                </w:p>
              </w:tc>
              <w:tc>
                <w:tcPr>
                  <w:tcW w:w="1095" w:type="dxa"/>
                  <w:vMerge w:val="continue"/>
                  <w:tcBorders>
                    <w:tl2br w:val="nil"/>
                    <w:tr2bl w:val="nil"/>
                  </w:tcBorders>
                  <w:noWrap w:val="0"/>
                  <w:vAlign w:val="center"/>
                </w:tcPr>
                <w:p w14:paraId="704BAF8E">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1200" w:type="dxa"/>
                  <w:tcBorders>
                    <w:tl2br w:val="nil"/>
                    <w:tr2bl w:val="nil"/>
                  </w:tcBorders>
                  <w:noWrap w:val="0"/>
                  <w:vAlign w:val="center"/>
                </w:tcPr>
                <w:p w14:paraId="623FFD6D">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0.65</w:t>
                  </w:r>
                </w:p>
              </w:tc>
              <w:tc>
                <w:tcPr>
                  <w:tcW w:w="3782" w:type="dxa"/>
                  <w:vMerge w:val="continue"/>
                  <w:tcBorders>
                    <w:tl2br w:val="nil"/>
                    <w:tr2bl w:val="nil"/>
                  </w:tcBorders>
                  <w:noWrap w:val="0"/>
                  <w:vAlign w:val="center"/>
                </w:tcPr>
                <w:p w14:paraId="3B488CA8">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1D56CCB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967" w:type="dxa"/>
                  <w:tcBorders>
                    <w:tl2br w:val="nil"/>
                    <w:tr2bl w:val="nil"/>
                  </w:tcBorders>
                  <w:noWrap w:val="0"/>
                  <w:vAlign w:val="center"/>
                </w:tcPr>
                <w:p w14:paraId="1D82D3CC">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废机油</w:t>
                  </w:r>
                </w:p>
              </w:tc>
              <w:tc>
                <w:tcPr>
                  <w:tcW w:w="1095" w:type="dxa"/>
                  <w:vMerge w:val="continue"/>
                  <w:tcBorders>
                    <w:tl2br w:val="nil"/>
                    <w:tr2bl w:val="nil"/>
                  </w:tcBorders>
                  <w:noWrap w:val="0"/>
                  <w:vAlign w:val="center"/>
                </w:tcPr>
                <w:p w14:paraId="56070EE9">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1200" w:type="dxa"/>
                  <w:tcBorders>
                    <w:tl2br w:val="nil"/>
                    <w:tr2bl w:val="nil"/>
                  </w:tcBorders>
                  <w:noWrap w:val="0"/>
                  <w:vAlign w:val="center"/>
                </w:tcPr>
                <w:p w14:paraId="6C7841F1">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0.25</w:t>
                  </w:r>
                </w:p>
              </w:tc>
              <w:tc>
                <w:tcPr>
                  <w:tcW w:w="3782" w:type="dxa"/>
                  <w:vMerge w:val="continue"/>
                  <w:tcBorders>
                    <w:tl2br w:val="nil"/>
                    <w:tr2bl w:val="nil"/>
                  </w:tcBorders>
                  <w:noWrap w:val="0"/>
                  <w:vAlign w:val="center"/>
                </w:tcPr>
                <w:p w14:paraId="40269551">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6B8CE04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967" w:type="dxa"/>
                  <w:tcBorders>
                    <w:tl2br w:val="nil"/>
                    <w:tr2bl w:val="nil"/>
                  </w:tcBorders>
                  <w:noWrap w:val="0"/>
                  <w:vAlign w:val="center"/>
                </w:tcPr>
                <w:p w14:paraId="0666A846">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废机油桶</w:t>
                  </w:r>
                </w:p>
              </w:tc>
              <w:tc>
                <w:tcPr>
                  <w:tcW w:w="1095" w:type="dxa"/>
                  <w:vMerge w:val="continue"/>
                  <w:tcBorders>
                    <w:tl2br w:val="nil"/>
                    <w:tr2bl w:val="nil"/>
                  </w:tcBorders>
                  <w:noWrap w:val="0"/>
                  <w:vAlign w:val="center"/>
                </w:tcPr>
                <w:p w14:paraId="248CF947">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1200" w:type="dxa"/>
                  <w:tcBorders>
                    <w:tl2br w:val="nil"/>
                    <w:tr2bl w:val="nil"/>
                  </w:tcBorders>
                  <w:noWrap w:val="0"/>
                  <w:vAlign w:val="center"/>
                </w:tcPr>
                <w:p w14:paraId="0DB68523">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0.2</w:t>
                  </w:r>
                </w:p>
              </w:tc>
              <w:tc>
                <w:tcPr>
                  <w:tcW w:w="3782" w:type="dxa"/>
                  <w:vMerge w:val="continue"/>
                  <w:tcBorders>
                    <w:tl2br w:val="nil"/>
                    <w:tr2bl w:val="nil"/>
                  </w:tcBorders>
                  <w:noWrap w:val="0"/>
                  <w:vAlign w:val="center"/>
                </w:tcPr>
                <w:p w14:paraId="145528DE">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59772FD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967" w:type="dxa"/>
                  <w:tcBorders>
                    <w:tl2br w:val="nil"/>
                    <w:tr2bl w:val="nil"/>
                  </w:tcBorders>
                  <w:noWrap w:val="0"/>
                  <w:vAlign w:val="center"/>
                </w:tcPr>
                <w:p w14:paraId="72913CBC">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废活性炭</w:t>
                  </w:r>
                </w:p>
              </w:tc>
              <w:tc>
                <w:tcPr>
                  <w:tcW w:w="1095" w:type="dxa"/>
                  <w:vMerge w:val="continue"/>
                  <w:tcBorders>
                    <w:tl2br w:val="nil"/>
                    <w:tr2bl w:val="nil"/>
                  </w:tcBorders>
                  <w:noWrap w:val="0"/>
                  <w:vAlign w:val="center"/>
                </w:tcPr>
                <w:p w14:paraId="304F1149">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1200" w:type="dxa"/>
                  <w:tcBorders>
                    <w:tl2br w:val="nil"/>
                    <w:tr2bl w:val="nil"/>
                  </w:tcBorders>
                  <w:noWrap w:val="0"/>
                  <w:vAlign w:val="center"/>
                </w:tcPr>
                <w:p w14:paraId="06A4A4B6">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1.5485</w:t>
                  </w:r>
                </w:p>
              </w:tc>
              <w:tc>
                <w:tcPr>
                  <w:tcW w:w="3782" w:type="dxa"/>
                  <w:vMerge w:val="continue"/>
                  <w:tcBorders>
                    <w:tl2br w:val="nil"/>
                    <w:tr2bl w:val="nil"/>
                  </w:tcBorders>
                  <w:noWrap w:val="0"/>
                  <w:vAlign w:val="center"/>
                </w:tcPr>
                <w:p w14:paraId="018C23E4">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286EBBA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967" w:type="dxa"/>
                  <w:tcBorders>
                    <w:tl2br w:val="nil"/>
                    <w:tr2bl w:val="nil"/>
                  </w:tcBorders>
                  <w:noWrap w:val="0"/>
                  <w:vAlign w:val="center"/>
                </w:tcPr>
                <w:p w14:paraId="28B9A83E">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废硒鼓墨盒</w:t>
                  </w:r>
                </w:p>
              </w:tc>
              <w:tc>
                <w:tcPr>
                  <w:tcW w:w="1095" w:type="dxa"/>
                  <w:vMerge w:val="continue"/>
                  <w:tcBorders>
                    <w:tl2br w:val="nil"/>
                    <w:tr2bl w:val="nil"/>
                  </w:tcBorders>
                  <w:noWrap w:val="0"/>
                  <w:vAlign w:val="center"/>
                </w:tcPr>
                <w:p w14:paraId="0A246274">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p>
              </w:tc>
              <w:tc>
                <w:tcPr>
                  <w:tcW w:w="1200" w:type="dxa"/>
                  <w:tcBorders>
                    <w:tl2br w:val="nil"/>
                    <w:tr2bl w:val="nil"/>
                  </w:tcBorders>
                  <w:noWrap w:val="0"/>
                  <w:vAlign w:val="center"/>
                </w:tcPr>
                <w:p w14:paraId="40D2B95F">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0.5</w:t>
                  </w:r>
                </w:p>
              </w:tc>
              <w:tc>
                <w:tcPr>
                  <w:tcW w:w="3782" w:type="dxa"/>
                  <w:vMerge w:val="continue"/>
                  <w:tcBorders>
                    <w:tl2br w:val="nil"/>
                    <w:tr2bl w:val="nil"/>
                  </w:tcBorders>
                  <w:noWrap w:val="0"/>
                  <w:vAlign w:val="center"/>
                </w:tcPr>
                <w:p w14:paraId="4E2774B0">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459EBE5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967" w:type="dxa"/>
                  <w:tcBorders>
                    <w:tl2br w:val="nil"/>
                    <w:tr2bl w:val="nil"/>
                  </w:tcBorders>
                  <w:noWrap w:val="0"/>
                  <w:vAlign w:val="center"/>
                </w:tcPr>
                <w:p w14:paraId="7600C906">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生活垃圾</w:t>
                  </w:r>
                </w:p>
              </w:tc>
              <w:tc>
                <w:tcPr>
                  <w:tcW w:w="1095" w:type="dxa"/>
                  <w:tcBorders>
                    <w:tl2br w:val="nil"/>
                    <w:tr2bl w:val="nil"/>
                  </w:tcBorders>
                  <w:noWrap w:val="0"/>
                  <w:vAlign w:val="center"/>
                </w:tcPr>
                <w:p w14:paraId="021ED642">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生活垃圾</w:t>
                  </w:r>
                </w:p>
              </w:tc>
              <w:tc>
                <w:tcPr>
                  <w:tcW w:w="1200" w:type="dxa"/>
                  <w:tcBorders>
                    <w:tl2br w:val="nil"/>
                    <w:tr2bl w:val="nil"/>
                  </w:tcBorders>
                  <w:noWrap w:val="0"/>
                  <w:vAlign w:val="center"/>
                </w:tcPr>
                <w:p w14:paraId="4E2C445D">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53.5</w:t>
                  </w:r>
                </w:p>
              </w:tc>
              <w:tc>
                <w:tcPr>
                  <w:tcW w:w="3782" w:type="dxa"/>
                  <w:tcBorders>
                    <w:tl2br w:val="nil"/>
                    <w:tr2bl w:val="nil"/>
                  </w:tcBorders>
                  <w:noWrap w:val="0"/>
                  <w:vAlign w:val="center"/>
                </w:tcPr>
                <w:p w14:paraId="3EB43FA5">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集中收集后由环卫部门统一处理。</w:t>
                  </w:r>
                </w:p>
              </w:tc>
            </w:tr>
          </w:tbl>
          <w:p w14:paraId="69191BBE">
            <w:pPr>
              <w:keepNext w:val="0"/>
              <w:keepLines w:val="0"/>
              <w:pageBreakBefore w:val="0"/>
              <w:widowControl w:val="0"/>
              <w:numPr>
                <w:ilvl w:val="0"/>
                <w:numId w:val="18"/>
              </w:numPr>
              <w:suppressLineNumbers w:val="0"/>
              <w:kinsoku/>
              <w:wordWrap/>
              <w:overflowPunct/>
              <w:topLinePunct w:val="0"/>
              <w:autoSpaceDE/>
              <w:autoSpaceDN/>
              <w:bidi w:val="0"/>
              <w:adjustRightInd/>
              <w:snapToGrid/>
              <w:spacing w:before="157" w:beforeLines="50" w:beforeAutospacing="0" w:after="0" w:afterAutospacing="0" w:line="360" w:lineRule="auto"/>
              <w:ind w:left="0" w:leftChars="0" w:right="0" w:firstLine="0" w:firstLineChars="0"/>
              <w:jc w:val="left"/>
              <w:textAlignment w:val="auto"/>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现有</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项目</w:t>
            </w:r>
            <w:r>
              <w:rPr>
                <w:rFonts w:hint="eastAsia" w:cs="Times New Roman"/>
                <w:b/>
                <w:bCs/>
                <w:color w:val="000000" w:themeColor="text1"/>
                <w:sz w:val="24"/>
                <w:szCs w:val="24"/>
                <w:highlight w:val="none"/>
                <w:lang w:val="en-US" w:eastAsia="zh-CN"/>
                <w14:textFill>
                  <w14:solidFill>
                    <w14:schemeClr w14:val="tx1"/>
                  </w14:solidFill>
                </w14:textFill>
              </w:rPr>
              <w:t>污染物排放情况</w:t>
            </w:r>
          </w:p>
          <w:p w14:paraId="4FE6C9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根据现有项目</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环评、验收报告及例行检测报告</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，现有项目污染物排放量汇总见下表。</w:t>
            </w:r>
          </w:p>
          <w:p w14:paraId="75B6C97C">
            <w:pPr>
              <w:keepNext w:val="0"/>
              <w:keepLines w:val="0"/>
              <w:pageBreakBefore w:val="0"/>
              <w:widowControl w:val="0"/>
              <w:numPr>
                <w:ilvl w:val="0"/>
                <w:numId w:val="5"/>
              </w:numPr>
              <w:suppressLineNumbers w:val="0"/>
              <w:kinsoku/>
              <w:wordWrap/>
              <w:overflowPunct/>
              <w:topLinePunct w:val="0"/>
              <w:autoSpaceDE/>
              <w:autoSpaceDN/>
              <w:bidi w:val="0"/>
              <w:adjustRightInd/>
              <w:snapToGrid w:val="0"/>
              <w:spacing w:before="157" w:beforeLines="50" w:beforeAutospacing="0" w:after="0" w:afterLines="0" w:afterAutospacing="0"/>
              <w:ind w:left="0" w:leftChars="0" w:right="0" w:rightChars="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 xml:space="preserve">  现有项目污染物排放量汇总表</w:t>
            </w:r>
          </w:p>
          <w:tbl>
            <w:tblPr>
              <w:tblStyle w:val="35"/>
              <w:tblW w:w="4911"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089"/>
              <w:gridCol w:w="3877"/>
              <w:gridCol w:w="2938"/>
            </w:tblGrid>
            <w:tr w14:paraId="78A90CB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27" w:hRule="atLeast"/>
                <w:jc w:val="center"/>
              </w:trPr>
              <w:tc>
                <w:tcPr>
                  <w:tcW w:w="688" w:type="pct"/>
                  <w:tcBorders>
                    <w:tl2br w:val="nil"/>
                    <w:tr2bl w:val="nil"/>
                  </w:tcBorders>
                  <w:noWrap/>
                  <w:vAlign w:val="center"/>
                </w:tcPr>
                <w:p w14:paraId="282DF4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类别</w:t>
                  </w:r>
                </w:p>
              </w:tc>
              <w:tc>
                <w:tcPr>
                  <w:tcW w:w="2452" w:type="pct"/>
                  <w:tcBorders>
                    <w:tl2br w:val="nil"/>
                    <w:tr2bl w:val="nil"/>
                  </w:tcBorders>
                  <w:noWrap/>
                  <w:vAlign w:val="center"/>
                </w:tcPr>
                <w:p w14:paraId="4A8F32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污染物</w:t>
                  </w:r>
                </w:p>
              </w:tc>
              <w:tc>
                <w:tcPr>
                  <w:tcW w:w="1858" w:type="pct"/>
                  <w:tcBorders>
                    <w:tl2br w:val="nil"/>
                    <w:tr2bl w:val="nil"/>
                  </w:tcBorders>
                  <w:noWrap/>
                  <w:vAlign w:val="center"/>
                </w:tcPr>
                <w:p w14:paraId="7ED364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排放量（固废为产生量）</w:t>
                  </w:r>
                  <w:r>
                    <w:rPr>
                      <w:rFonts w:hint="eastAsia" w:cs="Times New Roman"/>
                      <w:b/>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t/a</w:t>
                  </w:r>
                  <w:r>
                    <w:rPr>
                      <w:rFonts w:hint="eastAsia" w:cs="Times New Roman"/>
                      <w:b/>
                      <w:bCs/>
                      <w:color w:val="000000" w:themeColor="text1"/>
                      <w:sz w:val="21"/>
                      <w:szCs w:val="21"/>
                      <w:highlight w:val="none"/>
                      <w:lang w:val="en-US" w:eastAsia="zh-CN"/>
                      <w14:textFill>
                        <w14:solidFill>
                          <w14:schemeClr w14:val="tx1"/>
                        </w14:solidFill>
                      </w14:textFill>
                    </w:rPr>
                    <w:t>）</w:t>
                  </w:r>
                </w:p>
              </w:tc>
            </w:tr>
            <w:tr w14:paraId="4959C31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74" w:hRule="atLeast"/>
                <w:jc w:val="center"/>
              </w:trPr>
              <w:tc>
                <w:tcPr>
                  <w:tcW w:w="688" w:type="pct"/>
                  <w:vMerge w:val="restart"/>
                  <w:tcBorders>
                    <w:tl2br w:val="nil"/>
                    <w:tr2bl w:val="nil"/>
                  </w:tcBorders>
                  <w:noWrap/>
                  <w:vAlign w:val="center"/>
                </w:tcPr>
                <w:p w14:paraId="066554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废气</w:t>
                  </w:r>
                </w:p>
              </w:tc>
              <w:tc>
                <w:tcPr>
                  <w:tcW w:w="2452" w:type="pct"/>
                  <w:tcBorders>
                    <w:tl2br w:val="nil"/>
                    <w:tr2bl w:val="nil"/>
                  </w:tcBorders>
                  <w:noWrap/>
                  <w:vAlign w:val="center"/>
                </w:tcPr>
                <w:p w14:paraId="5B227B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颗粒物</w:t>
                  </w:r>
                </w:p>
              </w:tc>
              <w:tc>
                <w:tcPr>
                  <w:tcW w:w="1858" w:type="pct"/>
                  <w:tcBorders>
                    <w:tl2br w:val="nil"/>
                    <w:tr2bl w:val="nil"/>
                  </w:tcBorders>
                  <w:noWrap/>
                  <w:vAlign w:val="center"/>
                </w:tcPr>
                <w:p w14:paraId="363BFE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1.40</w:t>
                  </w:r>
                </w:p>
              </w:tc>
            </w:tr>
            <w:tr w14:paraId="489DB11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55" w:hRule="atLeast"/>
                <w:jc w:val="center"/>
              </w:trPr>
              <w:tc>
                <w:tcPr>
                  <w:tcW w:w="688" w:type="pct"/>
                  <w:vMerge w:val="continue"/>
                  <w:tcBorders>
                    <w:tl2br w:val="nil"/>
                    <w:tr2bl w:val="nil"/>
                  </w:tcBorders>
                  <w:noWrap/>
                  <w:vAlign w:val="center"/>
                </w:tcPr>
                <w:p w14:paraId="75D999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52" w:type="pct"/>
                  <w:tcBorders>
                    <w:tl2br w:val="nil"/>
                    <w:tr2bl w:val="nil"/>
                  </w:tcBorders>
                  <w:shd w:val="clear" w:color="auto" w:fill="auto"/>
                  <w:noWrap/>
                  <w:vAlign w:val="center"/>
                </w:tcPr>
                <w:p w14:paraId="299A96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非甲烷总烃</w:t>
                  </w:r>
                </w:p>
              </w:tc>
              <w:tc>
                <w:tcPr>
                  <w:tcW w:w="1858" w:type="pct"/>
                  <w:tcBorders>
                    <w:tl2br w:val="nil"/>
                    <w:tr2bl w:val="nil"/>
                  </w:tcBorders>
                  <w:shd w:val="clear" w:color="auto" w:fill="auto"/>
                  <w:noWrap/>
                  <w:vAlign w:val="center"/>
                </w:tcPr>
                <w:p w14:paraId="36C847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0.2626</w:t>
                  </w:r>
                </w:p>
              </w:tc>
            </w:tr>
            <w:tr w14:paraId="3B508AF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55" w:hRule="atLeast"/>
                <w:jc w:val="center"/>
              </w:trPr>
              <w:tc>
                <w:tcPr>
                  <w:tcW w:w="688" w:type="pct"/>
                  <w:vMerge w:val="continue"/>
                  <w:tcBorders>
                    <w:tl2br w:val="nil"/>
                    <w:tr2bl w:val="nil"/>
                  </w:tcBorders>
                  <w:noWrap/>
                  <w:vAlign w:val="center"/>
                </w:tcPr>
                <w:p w14:paraId="421D20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52" w:type="pct"/>
                  <w:tcBorders>
                    <w:tl2br w:val="nil"/>
                    <w:tr2bl w:val="nil"/>
                  </w:tcBorders>
                  <w:shd w:val="clear" w:color="auto" w:fill="auto"/>
                  <w:noWrap/>
                  <w:vAlign w:val="center"/>
                </w:tcPr>
                <w:p w14:paraId="1F9231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二氧化硫</w:t>
                  </w:r>
                </w:p>
              </w:tc>
              <w:tc>
                <w:tcPr>
                  <w:tcW w:w="1858" w:type="pct"/>
                  <w:tcBorders>
                    <w:tl2br w:val="nil"/>
                    <w:tr2bl w:val="nil"/>
                  </w:tcBorders>
                  <w:shd w:val="clear" w:color="auto" w:fill="auto"/>
                  <w:noWrap/>
                  <w:vAlign w:val="center"/>
                </w:tcPr>
                <w:p w14:paraId="08DDA7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0.069</w:t>
                  </w:r>
                </w:p>
              </w:tc>
            </w:tr>
            <w:tr w14:paraId="6645474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55" w:hRule="atLeast"/>
                <w:jc w:val="center"/>
              </w:trPr>
              <w:tc>
                <w:tcPr>
                  <w:tcW w:w="688" w:type="pct"/>
                  <w:vMerge w:val="continue"/>
                  <w:tcBorders>
                    <w:tl2br w:val="nil"/>
                    <w:tr2bl w:val="nil"/>
                  </w:tcBorders>
                  <w:noWrap/>
                  <w:vAlign w:val="center"/>
                </w:tcPr>
                <w:p w14:paraId="523DB5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52" w:type="pct"/>
                  <w:tcBorders>
                    <w:tl2br w:val="nil"/>
                    <w:tr2bl w:val="nil"/>
                  </w:tcBorders>
                  <w:shd w:val="clear" w:color="auto" w:fill="auto"/>
                  <w:noWrap/>
                  <w:vAlign w:val="center"/>
                </w:tcPr>
                <w:p w14:paraId="7C689E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氮氧化物</w:t>
                  </w:r>
                </w:p>
              </w:tc>
              <w:tc>
                <w:tcPr>
                  <w:tcW w:w="1858" w:type="pct"/>
                  <w:tcBorders>
                    <w:tl2br w:val="nil"/>
                    <w:tr2bl w:val="nil"/>
                  </w:tcBorders>
                  <w:shd w:val="clear" w:color="auto" w:fill="auto"/>
                  <w:noWrap/>
                  <w:vAlign w:val="center"/>
                </w:tcPr>
                <w:p w14:paraId="64DECE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0.308</w:t>
                  </w:r>
                </w:p>
              </w:tc>
            </w:tr>
            <w:tr w14:paraId="088907A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9" w:hRule="atLeast"/>
                <w:jc w:val="center"/>
              </w:trPr>
              <w:tc>
                <w:tcPr>
                  <w:tcW w:w="688" w:type="pct"/>
                  <w:vMerge w:val="restart"/>
                  <w:tcBorders>
                    <w:tl2br w:val="nil"/>
                    <w:tr2bl w:val="nil"/>
                  </w:tcBorders>
                  <w:noWrap/>
                  <w:vAlign w:val="center"/>
                </w:tcPr>
                <w:p w14:paraId="2C9850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废水</w:t>
                  </w:r>
                </w:p>
              </w:tc>
              <w:tc>
                <w:tcPr>
                  <w:tcW w:w="2452" w:type="pct"/>
                  <w:tcBorders>
                    <w:tl2br w:val="nil"/>
                    <w:tr2bl w:val="nil"/>
                  </w:tcBorders>
                  <w:noWrap/>
                  <w:vAlign w:val="center"/>
                </w:tcPr>
                <w:p w14:paraId="70D56B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废水量</w:t>
                  </w:r>
                </w:p>
              </w:tc>
              <w:tc>
                <w:tcPr>
                  <w:tcW w:w="1858" w:type="pct"/>
                  <w:tcBorders>
                    <w:tl2br w:val="nil"/>
                    <w:tr2bl w:val="nil"/>
                  </w:tcBorders>
                  <w:noWrap/>
                  <w:vAlign w:val="center"/>
                </w:tcPr>
                <w:p w14:paraId="350AFA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453906.6m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/a</w:t>
                  </w:r>
                </w:p>
              </w:tc>
            </w:tr>
            <w:tr w14:paraId="1158500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9" w:hRule="atLeast"/>
                <w:jc w:val="center"/>
              </w:trPr>
              <w:tc>
                <w:tcPr>
                  <w:tcW w:w="688" w:type="pct"/>
                  <w:vMerge w:val="continue"/>
                  <w:tcBorders>
                    <w:tl2br w:val="nil"/>
                    <w:tr2bl w:val="nil"/>
                  </w:tcBorders>
                  <w:noWrap/>
                  <w:vAlign w:val="center"/>
                </w:tcPr>
                <w:p w14:paraId="46AF1C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52" w:type="pct"/>
                  <w:tcBorders>
                    <w:tl2br w:val="nil"/>
                    <w:tr2bl w:val="nil"/>
                  </w:tcBorders>
                  <w:shd w:val="clear" w:color="auto" w:fill="auto"/>
                  <w:noWrap/>
                  <w:vAlign w:val="center"/>
                </w:tcPr>
                <w:p w14:paraId="1472F0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悬浮物</w:t>
                  </w:r>
                </w:p>
              </w:tc>
              <w:tc>
                <w:tcPr>
                  <w:tcW w:w="1858" w:type="pct"/>
                  <w:tcBorders>
                    <w:tl2br w:val="nil"/>
                    <w:tr2bl w:val="nil"/>
                  </w:tcBorders>
                  <w:shd w:val="clear" w:color="auto" w:fill="auto"/>
                  <w:noWrap/>
                  <w:vAlign w:val="center"/>
                </w:tcPr>
                <w:p w14:paraId="7C38E1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8.1703</w:t>
                  </w:r>
                </w:p>
              </w:tc>
            </w:tr>
            <w:tr w14:paraId="554D167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55" w:hRule="atLeast"/>
                <w:jc w:val="center"/>
              </w:trPr>
              <w:tc>
                <w:tcPr>
                  <w:tcW w:w="688" w:type="pct"/>
                  <w:vMerge w:val="continue"/>
                  <w:tcBorders>
                    <w:tl2br w:val="nil"/>
                    <w:tr2bl w:val="nil"/>
                  </w:tcBorders>
                  <w:noWrap/>
                  <w:vAlign w:val="center"/>
                </w:tcPr>
                <w:p w14:paraId="172163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52" w:type="pct"/>
                  <w:tcBorders>
                    <w:tl2br w:val="nil"/>
                    <w:tr2bl w:val="nil"/>
                  </w:tcBorders>
                  <w:noWrap/>
                  <w:vAlign w:val="center"/>
                </w:tcPr>
                <w:p w14:paraId="0FE7B3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五日生化需氧量</w:t>
                  </w:r>
                </w:p>
              </w:tc>
              <w:tc>
                <w:tcPr>
                  <w:tcW w:w="1858" w:type="pct"/>
                  <w:tcBorders>
                    <w:tl2br w:val="nil"/>
                    <w:tr2bl w:val="nil"/>
                  </w:tcBorders>
                  <w:noWrap/>
                  <w:vAlign w:val="center"/>
                </w:tcPr>
                <w:p w14:paraId="2708EA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13.9349</w:t>
                  </w:r>
                </w:p>
              </w:tc>
            </w:tr>
            <w:tr w14:paraId="7906936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55" w:hRule="atLeast"/>
                <w:jc w:val="center"/>
              </w:trPr>
              <w:tc>
                <w:tcPr>
                  <w:tcW w:w="688" w:type="pct"/>
                  <w:vMerge w:val="continue"/>
                  <w:tcBorders>
                    <w:tl2br w:val="nil"/>
                    <w:tr2bl w:val="nil"/>
                  </w:tcBorders>
                  <w:noWrap/>
                  <w:vAlign w:val="center"/>
                </w:tcPr>
                <w:p w14:paraId="181771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52" w:type="pct"/>
                  <w:tcBorders>
                    <w:tl2br w:val="nil"/>
                    <w:tr2bl w:val="nil"/>
                  </w:tcBorders>
                  <w:noWrap/>
                  <w:vAlign w:val="center"/>
                </w:tcPr>
                <w:p w14:paraId="6EAFF4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化学需氧量</w:t>
                  </w:r>
                </w:p>
              </w:tc>
              <w:tc>
                <w:tcPr>
                  <w:tcW w:w="1858" w:type="pct"/>
                  <w:tcBorders>
                    <w:tl2br w:val="nil"/>
                    <w:tr2bl w:val="nil"/>
                  </w:tcBorders>
                  <w:noWrap/>
                  <w:vAlign w:val="center"/>
                </w:tcPr>
                <w:p w14:paraId="5DC842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43.5750</w:t>
                  </w:r>
                </w:p>
              </w:tc>
            </w:tr>
            <w:tr w14:paraId="5C2C1BB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55" w:hRule="atLeast"/>
                <w:jc w:val="center"/>
              </w:trPr>
              <w:tc>
                <w:tcPr>
                  <w:tcW w:w="688" w:type="pct"/>
                  <w:vMerge w:val="continue"/>
                  <w:tcBorders>
                    <w:tl2br w:val="nil"/>
                    <w:tr2bl w:val="nil"/>
                  </w:tcBorders>
                  <w:noWrap/>
                  <w:vAlign w:val="center"/>
                </w:tcPr>
                <w:p w14:paraId="09740B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52" w:type="pct"/>
                  <w:tcBorders>
                    <w:tl2br w:val="nil"/>
                    <w:tr2bl w:val="nil"/>
                  </w:tcBorders>
                  <w:shd w:val="clear" w:color="auto" w:fill="auto"/>
                  <w:noWrap/>
                  <w:vAlign w:val="center"/>
                </w:tcPr>
                <w:p w14:paraId="59D9EB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氨氮</w:t>
                  </w:r>
                </w:p>
              </w:tc>
              <w:tc>
                <w:tcPr>
                  <w:tcW w:w="1858" w:type="pct"/>
                  <w:tcBorders>
                    <w:tl2br w:val="nil"/>
                    <w:tr2bl w:val="nil"/>
                  </w:tcBorders>
                  <w:shd w:val="clear" w:color="auto" w:fill="auto"/>
                  <w:noWrap/>
                  <w:vAlign w:val="center"/>
                </w:tcPr>
                <w:p w14:paraId="64758F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1.280</w:t>
                  </w:r>
                </w:p>
              </w:tc>
            </w:tr>
            <w:tr w14:paraId="4F510B9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55" w:hRule="atLeast"/>
                <w:jc w:val="center"/>
              </w:trPr>
              <w:tc>
                <w:tcPr>
                  <w:tcW w:w="688" w:type="pct"/>
                  <w:vMerge w:val="continue"/>
                  <w:tcBorders>
                    <w:tl2br w:val="nil"/>
                    <w:tr2bl w:val="nil"/>
                  </w:tcBorders>
                  <w:noWrap/>
                  <w:vAlign w:val="center"/>
                </w:tcPr>
                <w:p w14:paraId="619DBF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52" w:type="pct"/>
                  <w:tcBorders>
                    <w:tl2br w:val="nil"/>
                    <w:tr2bl w:val="nil"/>
                  </w:tcBorders>
                  <w:shd w:val="clear" w:color="auto" w:fill="auto"/>
                  <w:noWrap/>
                  <w:vAlign w:val="center"/>
                </w:tcPr>
                <w:p w14:paraId="5DC634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总氮</w:t>
                  </w:r>
                </w:p>
              </w:tc>
              <w:tc>
                <w:tcPr>
                  <w:tcW w:w="1858" w:type="pct"/>
                  <w:tcBorders>
                    <w:tl2br w:val="nil"/>
                    <w:tr2bl w:val="nil"/>
                  </w:tcBorders>
                  <w:shd w:val="clear" w:color="auto" w:fill="auto"/>
                  <w:noWrap/>
                  <w:vAlign w:val="center"/>
                </w:tcPr>
                <w:p w14:paraId="0185BE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3.1002</w:t>
                  </w:r>
                </w:p>
              </w:tc>
            </w:tr>
            <w:tr w14:paraId="2E64B00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9" w:hRule="atLeast"/>
                <w:jc w:val="center"/>
              </w:trPr>
              <w:tc>
                <w:tcPr>
                  <w:tcW w:w="688" w:type="pct"/>
                  <w:vMerge w:val="continue"/>
                  <w:tcBorders>
                    <w:tl2br w:val="nil"/>
                    <w:tr2bl w:val="nil"/>
                  </w:tcBorders>
                  <w:noWrap/>
                  <w:vAlign w:val="center"/>
                </w:tcPr>
                <w:p w14:paraId="310B3E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52" w:type="pct"/>
                  <w:tcBorders>
                    <w:tl2br w:val="nil"/>
                    <w:tr2bl w:val="nil"/>
                  </w:tcBorders>
                  <w:shd w:val="clear" w:color="auto" w:fill="auto"/>
                  <w:noWrap/>
                  <w:vAlign w:val="center"/>
                </w:tcPr>
                <w:p w14:paraId="25F875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总磷</w:t>
                  </w:r>
                </w:p>
              </w:tc>
              <w:tc>
                <w:tcPr>
                  <w:tcW w:w="1858" w:type="pct"/>
                  <w:tcBorders>
                    <w:tl2br w:val="nil"/>
                    <w:tr2bl w:val="nil"/>
                  </w:tcBorders>
                  <w:shd w:val="clear" w:color="auto" w:fill="auto"/>
                  <w:noWrap/>
                  <w:vAlign w:val="center"/>
                </w:tcPr>
                <w:p w14:paraId="31971C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0.8715</w:t>
                  </w:r>
                </w:p>
              </w:tc>
            </w:tr>
            <w:tr w14:paraId="26715F7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9" w:hRule="atLeast"/>
                <w:jc w:val="center"/>
              </w:trPr>
              <w:tc>
                <w:tcPr>
                  <w:tcW w:w="688" w:type="pct"/>
                  <w:vMerge w:val="continue"/>
                  <w:tcBorders>
                    <w:tl2br w:val="nil"/>
                    <w:tr2bl w:val="nil"/>
                  </w:tcBorders>
                  <w:noWrap/>
                  <w:vAlign w:val="center"/>
                </w:tcPr>
                <w:p w14:paraId="386E8E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52" w:type="pct"/>
                  <w:tcBorders>
                    <w:tl2br w:val="nil"/>
                    <w:tr2bl w:val="nil"/>
                  </w:tcBorders>
                  <w:shd w:val="clear" w:color="auto" w:fill="auto"/>
                  <w:noWrap/>
                  <w:vAlign w:val="center"/>
                </w:tcPr>
                <w:p w14:paraId="2976BB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动植物油</w:t>
                  </w:r>
                </w:p>
              </w:tc>
              <w:tc>
                <w:tcPr>
                  <w:tcW w:w="1858" w:type="pct"/>
                  <w:tcBorders>
                    <w:tl2br w:val="nil"/>
                    <w:tr2bl w:val="nil"/>
                  </w:tcBorders>
                  <w:shd w:val="clear" w:color="auto" w:fill="auto"/>
                  <w:noWrap/>
                  <w:vAlign w:val="center"/>
                </w:tcPr>
                <w:p w14:paraId="5F4B54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0.0272</w:t>
                  </w:r>
                </w:p>
              </w:tc>
            </w:tr>
            <w:tr w14:paraId="46CD3CE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9" w:hRule="atLeast"/>
                <w:jc w:val="center"/>
              </w:trPr>
              <w:tc>
                <w:tcPr>
                  <w:tcW w:w="688" w:type="pct"/>
                  <w:vMerge w:val="continue"/>
                  <w:tcBorders>
                    <w:tl2br w:val="nil"/>
                    <w:tr2bl w:val="nil"/>
                  </w:tcBorders>
                  <w:noWrap/>
                  <w:vAlign w:val="center"/>
                </w:tcPr>
                <w:p w14:paraId="576E59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52" w:type="pct"/>
                  <w:tcBorders>
                    <w:tl2br w:val="nil"/>
                    <w:tr2bl w:val="nil"/>
                  </w:tcBorders>
                  <w:shd w:val="clear" w:color="auto" w:fill="auto"/>
                  <w:noWrap/>
                  <w:vAlign w:val="center"/>
                </w:tcPr>
                <w:p w14:paraId="7E0ED1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总氰化物</w:t>
                  </w:r>
                </w:p>
              </w:tc>
              <w:tc>
                <w:tcPr>
                  <w:tcW w:w="1858" w:type="pct"/>
                  <w:tcBorders>
                    <w:tl2br w:val="nil"/>
                    <w:tr2bl w:val="nil"/>
                  </w:tcBorders>
                  <w:shd w:val="clear" w:color="auto" w:fill="auto"/>
                  <w:noWrap/>
                  <w:vAlign w:val="center"/>
                </w:tcPr>
                <w:p w14:paraId="71E5B8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0.0018</w:t>
                  </w:r>
                </w:p>
              </w:tc>
            </w:tr>
            <w:tr w14:paraId="27C1348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9" w:hRule="atLeast"/>
                <w:jc w:val="center"/>
              </w:trPr>
              <w:tc>
                <w:tcPr>
                  <w:tcW w:w="688" w:type="pct"/>
                  <w:vMerge w:val="continue"/>
                  <w:tcBorders>
                    <w:tl2br w:val="nil"/>
                    <w:tr2bl w:val="nil"/>
                  </w:tcBorders>
                  <w:noWrap/>
                  <w:vAlign w:val="center"/>
                </w:tcPr>
                <w:p w14:paraId="1C1F5D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52" w:type="pct"/>
                  <w:tcBorders>
                    <w:tl2br w:val="nil"/>
                    <w:tr2bl w:val="nil"/>
                  </w:tcBorders>
                  <w:shd w:val="clear" w:color="auto" w:fill="auto"/>
                  <w:noWrap/>
                  <w:vAlign w:val="center"/>
                </w:tcPr>
                <w:p w14:paraId="13463A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总有机碳</w:t>
                  </w:r>
                </w:p>
              </w:tc>
              <w:tc>
                <w:tcPr>
                  <w:tcW w:w="1858" w:type="pct"/>
                  <w:tcBorders>
                    <w:tl2br w:val="nil"/>
                    <w:tr2bl w:val="nil"/>
                  </w:tcBorders>
                  <w:shd w:val="clear" w:color="auto" w:fill="auto"/>
                  <w:noWrap/>
                  <w:vAlign w:val="center"/>
                </w:tcPr>
                <w:p w14:paraId="577C2A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2.1334</w:t>
                  </w:r>
                </w:p>
              </w:tc>
            </w:tr>
            <w:tr w14:paraId="0B74174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9" w:hRule="atLeast"/>
                <w:jc w:val="center"/>
              </w:trPr>
              <w:tc>
                <w:tcPr>
                  <w:tcW w:w="688" w:type="pct"/>
                  <w:vMerge w:val="continue"/>
                  <w:tcBorders>
                    <w:tl2br w:val="nil"/>
                    <w:tr2bl w:val="nil"/>
                  </w:tcBorders>
                  <w:noWrap/>
                  <w:vAlign w:val="center"/>
                </w:tcPr>
                <w:p w14:paraId="421F94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52" w:type="pct"/>
                  <w:tcBorders>
                    <w:tl2br w:val="nil"/>
                    <w:tr2bl w:val="nil"/>
                  </w:tcBorders>
                  <w:noWrap/>
                  <w:vAlign w:val="center"/>
                </w:tcPr>
                <w:p w14:paraId="3EEAC7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pH</w:t>
                  </w:r>
                </w:p>
              </w:tc>
              <w:tc>
                <w:tcPr>
                  <w:tcW w:w="1858" w:type="pct"/>
                  <w:tcBorders>
                    <w:tl2br w:val="nil"/>
                    <w:tr2bl w:val="nil"/>
                  </w:tcBorders>
                  <w:noWrap/>
                  <w:vAlign w:val="center"/>
                </w:tcPr>
                <w:p w14:paraId="349C4F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7.2</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（无量纲）</w:t>
                  </w:r>
                </w:p>
              </w:tc>
            </w:tr>
            <w:tr w14:paraId="5C234DC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9" w:hRule="atLeast"/>
                <w:jc w:val="center"/>
              </w:trPr>
              <w:tc>
                <w:tcPr>
                  <w:tcW w:w="688" w:type="pct"/>
                  <w:vMerge w:val="continue"/>
                  <w:tcBorders>
                    <w:tl2br w:val="nil"/>
                    <w:tr2bl w:val="nil"/>
                  </w:tcBorders>
                  <w:noWrap/>
                  <w:vAlign w:val="center"/>
                </w:tcPr>
                <w:p w14:paraId="303D67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52" w:type="pct"/>
                  <w:tcBorders>
                    <w:tl2br w:val="nil"/>
                    <w:tr2bl w:val="nil"/>
                  </w:tcBorders>
                  <w:noWrap/>
                  <w:vAlign w:val="center"/>
                </w:tcPr>
                <w:p w14:paraId="430558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色度</w:t>
                  </w:r>
                </w:p>
              </w:tc>
              <w:tc>
                <w:tcPr>
                  <w:tcW w:w="1858" w:type="pct"/>
                  <w:tcBorders>
                    <w:tl2br w:val="nil"/>
                    <w:tr2bl w:val="nil"/>
                  </w:tcBorders>
                  <w:noWrap/>
                  <w:vAlign w:val="center"/>
                </w:tcPr>
                <w:p w14:paraId="19DC00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9倍</w:t>
                  </w:r>
                </w:p>
              </w:tc>
            </w:tr>
            <w:tr w14:paraId="14BE163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9" w:hRule="atLeast"/>
                <w:jc w:val="center"/>
              </w:trPr>
              <w:tc>
                <w:tcPr>
                  <w:tcW w:w="688" w:type="pct"/>
                  <w:vMerge w:val="restart"/>
                  <w:tcBorders>
                    <w:tl2br w:val="nil"/>
                    <w:tr2bl w:val="nil"/>
                  </w:tcBorders>
                  <w:noWrap/>
                  <w:vAlign w:val="center"/>
                </w:tcPr>
                <w:p w14:paraId="46A0A0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固体废物</w:t>
                  </w:r>
                </w:p>
              </w:tc>
              <w:tc>
                <w:tcPr>
                  <w:tcW w:w="2452" w:type="pct"/>
                  <w:tcBorders>
                    <w:tl2br w:val="nil"/>
                    <w:tr2bl w:val="nil"/>
                  </w:tcBorders>
                  <w:shd w:val="clear" w:color="auto" w:fill="auto"/>
                  <w:noWrap/>
                  <w:vAlign w:val="center"/>
                </w:tcPr>
                <w:p w14:paraId="7D22C54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中药渣</w:t>
                  </w:r>
                </w:p>
              </w:tc>
              <w:tc>
                <w:tcPr>
                  <w:tcW w:w="1858" w:type="pct"/>
                  <w:tcBorders>
                    <w:tl2br w:val="nil"/>
                    <w:tr2bl w:val="nil"/>
                  </w:tcBorders>
                  <w:shd w:val="clear" w:color="auto" w:fill="auto"/>
                  <w:noWrap/>
                  <w:vAlign w:val="center"/>
                </w:tcPr>
                <w:p w14:paraId="2397B69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6596</w:t>
                  </w:r>
                </w:p>
              </w:tc>
            </w:tr>
            <w:tr w14:paraId="00EA369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9" w:hRule="atLeast"/>
                <w:jc w:val="center"/>
              </w:trPr>
              <w:tc>
                <w:tcPr>
                  <w:tcW w:w="688" w:type="pct"/>
                  <w:vMerge w:val="continue"/>
                  <w:tcBorders>
                    <w:tl2br w:val="nil"/>
                    <w:tr2bl w:val="nil"/>
                  </w:tcBorders>
                  <w:noWrap/>
                  <w:vAlign w:val="center"/>
                </w:tcPr>
                <w:p w14:paraId="2FD692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52" w:type="pct"/>
                  <w:tcBorders>
                    <w:tl2br w:val="nil"/>
                    <w:tr2bl w:val="nil"/>
                  </w:tcBorders>
                  <w:shd w:val="clear" w:color="auto" w:fill="auto"/>
                  <w:noWrap/>
                  <w:vAlign w:val="center"/>
                </w:tcPr>
                <w:p w14:paraId="42F8B62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废包装材料</w:t>
                  </w:r>
                </w:p>
              </w:tc>
              <w:tc>
                <w:tcPr>
                  <w:tcW w:w="1858" w:type="pct"/>
                  <w:tcBorders>
                    <w:tl2br w:val="nil"/>
                    <w:tr2bl w:val="nil"/>
                  </w:tcBorders>
                  <w:shd w:val="clear" w:color="auto" w:fill="auto"/>
                  <w:noWrap/>
                  <w:vAlign w:val="center"/>
                </w:tcPr>
                <w:p w14:paraId="7305894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2.3</w:t>
                  </w:r>
                </w:p>
              </w:tc>
            </w:tr>
            <w:tr w14:paraId="13C14EB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9" w:hRule="atLeast"/>
                <w:jc w:val="center"/>
              </w:trPr>
              <w:tc>
                <w:tcPr>
                  <w:tcW w:w="688" w:type="pct"/>
                  <w:vMerge w:val="continue"/>
                  <w:tcBorders>
                    <w:tl2br w:val="nil"/>
                    <w:tr2bl w:val="nil"/>
                  </w:tcBorders>
                  <w:noWrap/>
                  <w:vAlign w:val="center"/>
                </w:tcPr>
                <w:p w14:paraId="4FD33E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52" w:type="pct"/>
                  <w:tcBorders>
                    <w:tl2br w:val="nil"/>
                    <w:tr2bl w:val="nil"/>
                  </w:tcBorders>
                  <w:shd w:val="clear" w:color="auto" w:fill="auto"/>
                  <w:noWrap/>
                  <w:vAlign w:val="center"/>
                </w:tcPr>
                <w:p w14:paraId="6372468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污水处理站污泥</w:t>
                  </w:r>
                </w:p>
              </w:tc>
              <w:tc>
                <w:tcPr>
                  <w:tcW w:w="1858" w:type="pct"/>
                  <w:tcBorders>
                    <w:tl2br w:val="nil"/>
                    <w:tr2bl w:val="nil"/>
                  </w:tcBorders>
                  <w:shd w:val="clear" w:color="auto" w:fill="auto"/>
                  <w:noWrap/>
                  <w:vAlign w:val="center"/>
                </w:tcPr>
                <w:p w14:paraId="6D13B34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12.3</w:t>
                  </w:r>
                </w:p>
              </w:tc>
            </w:tr>
            <w:tr w14:paraId="33ADBF3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9" w:hRule="atLeast"/>
                <w:jc w:val="center"/>
              </w:trPr>
              <w:tc>
                <w:tcPr>
                  <w:tcW w:w="688" w:type="pct"/>
                  <w:vMerge w:val="continue"/>
                  <w:tcBorders>
                    <w:tl2br w:val="nil"/>
                    <w:tr2bl w:val="nil"/>
                  </w:tcBorders>
                  <w:noWrap/>
                  <w:vAlign w:val="center"/>
                </w:tcPr>
                <w:p w14:paraId="202258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52" w:type="pct"/>
                  <w:tcBorders>
                    <w:tl2br w:val="nil"/>
                    <w:tr2bl w:val="nil"/>
                  </w:tcBorders>
                  <w:shd w:val="clear" w:color="auto" w:fill="auto"/>
                  <w:noWrap/>
                  <w:vAlign w:val="center"/>
                </w:tcPr>
                <w:p w14:paraId="350DAB2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除尘灰</w:t>
                  </w:r>
                </w:p>
              </w:tc>
              <w:tc>
                <w:tcPr>
                  <w:tcW w:w="1858" w:type="pct"/>
                  <w:tcBorders>
                    <w:tl2br w:val="nil"/>
                    <w:tr2bl w:val="nil"/>
                  </w:tcBorders>
                  <w:shd w:val="clear" w:color="auto" w:fill="auto"/>
                  <w:noWrap/>
                  <w:vAlign w:val="center"/>
                </w:tcPr>
                <w:p w14:paraId="7AE1292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3.4</w:t>
                  </w:r>
                </w:p>
              </w:tc>
            </w:tr>
            <w:tr w14:paraId="7305333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9" w:hRule="atLeast"/>
                <w:jc w:val="center"/>
              </w:trPr>
              <w:tc>
                <w:tcPr>
                  <w:tcW w:w="688" w:type="pct"/>
                  <w:vMerge w:val="continue"/>
                  <w:tcBorders>
                    <w:tl2br w:val="nil"/>
                    <w:tr2bl w:val="nil"/>
                  </w:tcBorders>
                  <w:noWrap/>
                  <w:vAlign w:val="center"/>
                </w:tcPr>
                <w:p w14:paraId="5AD30B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52" w:type="pct"/>
                  <w:tcBorders>
                    <w:tl2br w:val="nil"/>
                    <w:tr2bl w:val="nil"/>
                  </w:tcBorders>
                  <w:shd w:val="clear" w:color="auto" w:fill="auto"/>
                  <w:noWrap/>
                  <w:vAlign w:val="center"/>
                </w:tcPr>
                <w:p w14:paraId="1497FB7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废布袋</w:t>
                  </w:r>
                </w:p>
              </w:tc>
              <w:tc>
                <w:tcPr>
                  <w:tcW w:w="1858" w:type="pct"/>
                  <w:tcBorders>
                    <w:tl2br w:val="nil"/>
                    <w:tr2bl w:val="nil"/>
                  </w:tcBorders>
                  <w:shd w:val="clear" w:color="auto" w:fill="auto"/>
                  <w:noWrap/>
                  <w:vAlign w:val="center"/>
                </w:tcPr>
                <w:p w14:paraId="4D2BF82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w:t>
                  </w:r>
                  <w:r>
                    <w:rPr>
                      <w:rFonts w:hint="eastAsia" w:cs="Times New Roman"/>
                      <w:color w:val="000000" w:themeColor="text1"/>
                      <w:sz w:val="21"/>
                      <w:szCs w:val="21"/>
                      <w:highlight w:val="none"/>
                      <w:lang w:val="en-US" w:eastAsia="zh-CN"/>
                      <w14:textFill>
                        <w14:solidFill>
                          <w14:schemeClr w14:val="tx1"/>
                        </w14:solidFill>
                      </w14:textFill>
                    </w:rPr>
                    <w:t>05</w:t>
                  </w:r>
                </w:p>
              </w:tc>
            </w:tr>
            <w:tr w14:paraId="3EA2867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9" w:hRule="atLeast"/>
                <w:jc w:val="center"/>
              </w:trPr>
              <w:tc>
                <w:tcPr>
                  <w:tcW w:w="688" w:type="pct"/>
                  <w:vMerge w:val="continue"/>
                  <w:tcBorders>
                    <w:tl2br w:val="nil"/>
                    <w:tr2bl w:val="nil"/>
                  </w:tcBorders>
                  <w:noWrap/>
                  <w:vAlign w:val="center"/>
                </w:tcPr>
                <w:p w14:paraId="0C44E8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52" w:type="pct"/>
                  <w:tcBorders>
                    <w:tl2br w:val="nil"/>
                    <w:tr2bl w:val="nil"/>
                  </w:tcBorders>
                  <w:shd w:val="clear" w:color="auto" w:fill="auto"/>
                  <w:noWrap/>
                  <w:vAlign w:val="center"/>
                </w:tcPr>
                <w:p w14:paraId="5372C95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废离子交换树脂</w:t>
                  </w:r>
                </w:p>
              </w:tc>
              <w:tc>
                <w:tcPr>
                  <w:tcW w:w="1858" w:type="pct"/>
                  <w:tcBorders>
                    <w:tl2br w:val="nil"/>
                    <w:tr2bl w:val="nil"/>
                  </w:tcBorders>
                  <w:shd w:val="clear" w:color="auto" w:fill="auto"/>
                  <w:noWrap/>
                  <w:vAlign w:val="center"/>
                </w:tcPr>
                <w:p w14:paraId="5E3611E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0.8</w:t>
                  </w:r>
                </w:p>
              </w:tc>
            </w:tr>
            <w:tr w14:paraId="1243B84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9" w:hRule="atLeast"/>
                <w:jc w:val="center"/>
              </w:trPr>
              <w:tc>
                <w:tcPr>
                  <w:tcW w:w="688" w:type="pct"/>
                  <w:vMerge w:val="continue"/>
                  <w:tcBorders>
                    <w:tl2br w:val="nil"/>
                    <w:tr2bl w:val="nil"/>
                  </w:tcBorders>
                  <w:noWrap/>
                  <w:vAlign w:val="center"/>
                </w:tcPr>
                <w:p w14:paraId="2CB97A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52" w:type="pct"/>
                  <w:tcBorders>
                    <w:tl2br w:val="nil"/>
                    <w:tr2bl w:val="nil"/>
                  </w:tcBorders>
                  <w:shd w:val="clear" w:color="auto" w:fill="auto"/>
                  <w:noWrap/>
                  <w:vAlign w:val="center"/>
                </w:tcPr>
                <w:p w14:paraId="7E2A346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化学检验废液</w:t>
                  </w:r>
                </w:p>
              </w:tc>
              <w:tc>
                <w:tcPr>
                  <w:tcW w:w="1858" w:type="pct"/>
                  <w:tcBorders>
                    <w:tl2br w:val="nil"/>
                    <w:tr2bl w:val="nil"/>
                  </w:tcBorders>
                  <w:shd w:val="clear" w:color="auto" w:fill="auto"/>
                  <w:noWrap/>
                  <w:vAlign w:val="center"/>
                </w:tcPr>
                <w:p w14:paraId="143BCE6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w:t>
                  </w:r>
                </w:p>
              </w:tc>
            </w:tr>
            <w:tr w14:paraId="3C568D5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9" w:hRule="atLeast"/>
                <w:jc w:val="center"/>
              </w:trPr>
              <w:tc>
                <w:tcPr>
                  <w:tcW w:w="688" w:type="pct"/>
                  <w:vMerge w:val="continue"/>
                  <w:tcBorders>
                    <w:tl2br w:val="nil"/>
                    <w:tr2bl w:val="nil"/>
                  </w:tcBorders>
                  <w:noWrap/>
                  <w:vAlign w:val="center"/>
                </w:tcPr>
                <w:p w14:paraId="7AC812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52" w:type="pct"/>
                  <w:tcBorders>
                    <w:tl2br w:val="nil"/>
                    <w:tr2bl w:val="nil"/>
                  </w:tcBorders>
                  <w:shd w:val="clear" w:color="auto" w:fill="auto"/>
                  <w:noWrap/>
                  <w:vAlign w:val="center"/>
                </w:tcPr>
                <w:p w14:paraId="40A5E4A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废化学试剂瓶</w:t>
                  </w:r>
                </w:p>
              </w:tc>
              <w:tc>
                <w:tcPr>
                  <w:tcW w:w="1858" w:type="pct"/>
                  <w:tcBorders>
                    <w:tl2br w:val="nil"/>
                    <w:tr2bl w:val="nil"/>
                  </w:tcBorders>
                  <w:shd w:val="clear" w:color="auto" w:fill="auto"/>
                  <w:noWrap/>
                  <w:vAlign w:val="center"/>
                </w:tcPr>
                <w:p w14:paraId="484980C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w:t>
                  </w:r>
                </w:p>
              </w:tc>
            </w:tr>
            <w:tr w14:paraId="31E6FE2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9" w:hRule="atLeast"/>
                <w:jc w:val="center"/>
              </w:trPr>
              <w:tc>
                <w:tcPr>
                  <w:tcW w:w="688" w:type="pct"/>
                  <w:vMerge w:val="continue"/>
                  <w:tcBorders>
                    <w:tl2br w:val="nil"/>
                    <w:tr2bl w:val="nil"/>
                  </w:tcBorders>
                  <w:noWrap/>
                  <w:vAlign w:val="center"/>
                </w:tcPr>
                <w:p w14:paraId="43F42F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52" w:type="pct"/>
                  <w:tcBorders>
                    <w:tl2br w:val="nil"/>
                    <w:tr2bl w:val="nil"/>
                  </w:tcBorders>
                  <w:shd w:val="clear" w:color="auto" w:fill="auto"/>
                  <w:noWrap/>
                  <w:vAlign w:val="center"/>
                </w:tcPr>
                <w:p w14:paraId="4DEA6C0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废弃薄层板</w:t>
                  </w:r>
                </w:p>
              </w:tc>
              <w:tc>
                <w:tcPr>
                  <w:tcW w:w="1858" w:type="pct"/>
                  <w:tcBorders>
                    <w:tl2br w:val="nil"/>
                    <w:tr2bl w:val="nil"/>
                  </w:tcBorders>
                  <w:shd w:val="clear" w:color="auto" w:fill="auto"/>
                  <w:noWrap/>
                  <w:vAlign w:val="center"/>
                </w:tcPr>
                <w:p w14:paraId="22ED421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0.255</w:t>
                  </w:r>
                </w:p>
              </w:tc>
            </w:tr>
            <w:tr w14:paraId="7153594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9" w:hRule="atLeast"/>
                <w:jc w:val="center"/>
              </w:trPr>
              <w:tc>
                <w:tcPr>
                  <w:tcW w:w="688" w:type="pct"/>
                  <w:vMerge w:val="continue"/>
                  <w:tcBorders>
                    <w:tl2br w:val="nil"/>
                    <w:tr2bl w:val="nil"/>
                  </w:tcBorders>
                  <w:noWrap/>
                  <w:vAlign w:val="center"/>
                </w:tcPr>
                <w:p w14:paraId="32E816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52" w:type="pct"/>
                  <w:tcBorders>
                    <w:tl2br w:val="nil"/>
                    <w:tr2bl w:val="nil"/>
                  </w:tcBorders>
                  <w:shd w:val="clear" w:color="auto" w:fill="auto"/>
                  <w:noWrap/>
                  <w:vAlign w:val="center"/>
                </w:tcPr>
                <w:p w14:paraId="4705E96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废试药</w:t>
                  </w:r>
                </w:p>
              </w:tc>
              <w:tc>
                <w:tcPr>
                  <w:tcW w:w="1858" w:type="pct"/>
                  <w:tcBorders>
                    <w:tl2br w:val="nil"/>
                    <w:tr2bl w:val="nil"/>
                  </w:tcBorders>
                  <w:shd w:val="clear" w:color="auto" w:fill="auto"/>
                  <w:noWrap/>
                  <w:vAlign w:val="center"/>
                </w:tcPr>
                <w:p w14:paraId="4BBBB43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default"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0.02</w:t>
                  </w:r>
                </w:p>
              </w:tc>
            </w:tr>
            <w:tr w14:paraId="355A878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9" w:hRule="atLeast"/>
                <w:jc w:val="center"/>
              </w:trPr>
              <w:tc>
                <w:tcPr>
                  <w:tcW w:w="688" w:type="pct"/>
                  <w:vMerge w:val="continue"/>
                  <w:tcBorders>
                    <w:tl2br w:val="nil"/>
                    <w:tr2bl w:val="nil"/>
                  </w:tcBorders>
                  <w:noWrap/>
                  <w:vAlign w:val="center"/>
                </w:tcPr>
                <w:p w14:paraId="41409F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52" w:type="pct"/>
                  <w:tcBorders>
                    <w:tl2br w:val="nil"/>
                    <w:tr2bl w:val="nil"/>
                  </w:tcBorders>
                  <w:shd w:val="clear" w:color="auto" w:fill="auto"/>
                  <w:noWrap/>
                  <w:vAlign w:val="center"/>
                </w:tcPr>
                <w:p w14:paraId="1B5DCE8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在线废液</w:t>
                  </w:r>
                </w:p>
              </w:tc>
              <w:tc>
                <w:tcPr>
                  <w:tcW w:w="1858" w:type="pct"/>
                  <w:tcBorders>
                    <w:tl2br w:val="nil"/>
                    <w:tr2bl w:val="nil"/>
                  </w:tcBorders>
                  <w:shd w:val="clear" w:color="auto" w:fill="auto"/>
                  <w:noWrap/>
                  <w:vAlign w:val="center"/>
                </w:tcPr>
                <w:p w14:paraId="2581ECB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0.65</w:t>
                  </w:r>
                </w:p>
              </w:tc>
            </w:tr>
            <w:tr w14:paraId="1492714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9" w:hRule="atLeast"/>
                <w:jc w:val="center"/>
              </w:trPr>
              <w:tc>
                <w:tcPr>
                  <w:tcW w:w="688" w:type="pct"/>
                  <w:vMerge w:val="continue"/>
                  <w:tcBorders>
                    <w:tl2br w:val="nil"/>
                    <w:tr2bl w:val="nil"/>
                  </w:tcBorders>
                  <w:noWrap/>
                  <w:vAlign w:val="center"/>
                </w:tcPr>
                <w:p w14:paraId="51DF27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52" w:type="pct"/>
                  <w:tcBorders>
                    <w:tl2br w:val="nil"/>
                    <w:tr2bl w:val="nil"/>
                  </w:tcBorders>
                  <w:shd w:val="clear" w:color="auto" w:fill="auto"/>
                  <w:noWrap/>
                  <w:vAlign w:val="center"/>
                </w:tcPr>
                <w:p w14:paraId="4963DD9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废机油</w:t>
                  </w:r>
                </w:p>
              </w:tc>
              <w:tc>
                <w:tcPr>
                  <w:tcW w:w="1858" w:type="pct"/>
                  <w:tcBorders>
                    <w:tl2br w:val="nil"/>
                    <w:tr2bl w:val="nil"/>
                  </w:tcBorders>
                  <w:shd w:val="clear" w:color="auto" w:fill="auto"/>
                  <w:noWrap/>
                  <w:vAlign w:val="center"/>
                </w:tcPr>
                <w:p w14:paraId="649AB0F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0.25</w:t>
                  </w:r>
                </w:p>
              </w:tc>
            </w:tr>
            <w:tr w14:paraId="11F8F74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9" w:hRule="atLeast"/>
                <w:jc w:val="center"/>
              </w:trPr>
              <w:tc>
                <w:tcPr>
                  <w:tcW w:w="688" w:type="pct"/>
                  <w:vMerge w:val="continue"/>
                  <w:tcBorders>
                    <w:tl2br w:val="nil"/>
                    <w:tr2bl w:val="nil"/>
                  </w:tcBorders>
                  <w:noWrap/>
                  <w:vAlign w:val="center"/>
                </w:tcPr>
                <w:p w14:paraId="0AAB93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52" w:type="pct"/>
                  <w:tcBorders>
                    <w:tl2br w:val="nil"/>
                    <w:tr2bl w:val="nil"/>
                  </w:tcBorders>
                  <w:shd w:val="clear" w:color="auto" w:fill="auto"/>
                  <w:noWrap/>
                  <w:vAlign w:val="center"/>
                </w:tcPr>
                <w:p w14:paraId="1D98AFF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废机油桶</w:t>
                  </w:r>
                </w:p>
              </w:tc>
              <w:tc>
                <w:tcPr>
                  <w:tcW w:w="1858" w:type="pct"/>
                  <w:tcBorders>
                    <w:tl2br w:val="nil"/>
                    <w:tr2bl w:val="nil"/>
                  </w:tcBorders>
                  <w:shd w:val="clear" w:color="auto" w:fill="auto"/>
                  <w:noWrap/>
                  <w:vAlign w:val="center"/>
                </w:tcPr>
                <w:p w14:paraId="6DBC9F6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0.2</w:t>
                  </w:r>
                </w:p>
              </w:tc>
            </w:tr>
            <w:tr w14:paraId="64BD352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9" w:hRule="atLeast"/>
                <w:jc w:val="center"/>
              </w:trPr>
              <w:tc>
                <w:tcPr>
                  <w:tcW w:w="688" w:type="pct"/>
                  <w:vMerge w:val="continue"/>
                  <w:tcBorders>
                    <w:tl2br w:val="nil"/>
                    <w:tr2bl w:val="nil"/>
                  </w:tcBorders>
                  <w:noWrap/>
                  <w:vAlign w:val="center"/>
                </w:tcPr>
                <w:p w14:paraId="19CE61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52" w:type="pct"/>
                  <w:tcBorders>
                    <w:tl2br w:val="nil"/>
                    <w:tr2bl w:val="nil"/>
                  </w:tcBorders>
                  <w:shd w:val="clear" w:color="auto" w:fill="auto"/>
                  <w:noWrap/>
                  <w:vAlign w:val="center"/>
                </w:tcPr>
                <w:p w14:paraId="39750CA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废活性炭</w:t>
                  </w:r>
                </w:p>
              </w:tc>
              <w:tc>
                <w:tcPr>
                  <w:tcW w:w="1858" w:type="pct"/>
                  <w:tcBorders>
                    <w:tl2br w:val="nil"/>
                    <w:tr2bl w:val="nil"/>
                  </w:tcBorders>
                  <w:shd w:val="clear" w:color="auto" w:fill="auto"/>
                  <w:noWrap/>
                  <w:vAlign w:val="center"/>
                </w:tcPr>
                <w:p w14:paraId="432312B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1.5485</w:t>
                  </w:r>
                </w:p>
              </w:tc>
            </w:tr>
            <w:tr w14:paraId="7DB6FD7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9" w:hRule="atLeast"/>
                <w:jc w:val="center"/>
              </w:trPr>
              <w:tc>
                <w:tcPr>
                  <w:tcW w:w="688" w:type="pct"/>
                  <w:vMerge w:val="continue"/>
                  <w:tcBorders>
                    <w:tl2br w:val="nil"/>
                    <w:tr2bl w:val="nil"/>
                  </w:tcBorders>
                  <w:noWrap/>
                  <w:vAlign w:val="center"/>
                </w:tcPr>
                <w:p w14:paraId="7840DB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52" w:type="pct"/>
                  <w:tcBorders>
                    <w:tl2br w:val="nil"/>
                    <w:tr2bl w:val="nil"/>
                  </w:tcBorders>
                  <w:shd w:val="clear" w:color="auto" w:fill="auto"/>
                  <w:noWrap/>
                  <w:vAlign w:val="center"/>
                </w:tcPr>
                <w:p w14:paraId="2438271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废硒鼓墨盒</w:t>
                  </w:r>
                </w:p>
              </w:tc>
              <w:tc>
                <w:tcPr>
                  <w:tcW w:w="1858" w:type="pct"/>
                  <w:tcBorders>
                    <w:tl2br w:val="nil"/>
                    <w:tr2bl w:val="nil"/>
                  </w:tcBorders>
                  <w:shd w:val="clear" w:color="auto" w:fill="auto"/>
                  <w:noWrap/>
                  <w:vAlign w:val="center"/>
                </w:tcPr>
                <w:p w14:paraId="48329C3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0.5</w:t>
                  </w:r>
                </w:p>
              </w:tc>
            </w:tr>
            <w:tr w14:paraId="48A2D0F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9" w:hRule="atLeast"/>
                <w:jc w:val="center"/>
              </w:trPr>
              <w:tc>
                <w:tcPr>
                  <w:tcW w:w="688" w:type="pct"/>
                  <w:vMerge w:val="continue"/>
                  <w:tcBorders>
                    <w:tl2br w:val="nil"/>
                    <w:tr2bl w:val="nil"/>
                  </w:tcBorders>
                  <w:noWrap/>
                  <w:vAlign w:val="center"/>
                </w:tcPr>
                <w:p w14:paraId="31D161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452" w:type="pct"/>
                  <w:tcBorders>
                    <w:tl2br w:val="nil"/>
                    <w:tr2bl w:val="nil"/>
                  </w:tcBorders>
                  <w:shd w:val="clear" w:color="auto" w:fill="auto"/>
                  <w:noWrap/>
                  <w:vAlign w:val="center"/>
                </w:tcPr>
                <w:p w14:paraId="77071E2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生活垃圾</w:t>
                  </w:r>
                </w:p>
              </w:tc>
              <w:tc>
                <w:tcPr>
                  <w:tcW w:w="1858" w:type="pct"/>
                  <w:tcBorders>
                    <w:tl2br w:val="nil"/>
                    <w:tr2bl w:val="nil"/>
                  </w:tcBorders>
                  <w:shd w:val="clear" w:color="auto" w:fill="auto"/>
                  <w:noWrap/>
                  <w:vAlign w:val="center"/>
                </w:tcPr>
                <w:p w14:paraId="729202B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53.5</w:t>
                  </w:r>
                </w:p>
              </w:tc>
            </w:tr>
          </w:tbl>
          <w:p w14:paraId="1D9355EE">
            <w:pPr>
              <w:keepNext w:val="0"/>
              <w:keepLines w:val="0"/>
              <w:pageBreakBefore w:val="0"/>
              <w:widowControl w:val="0"/>
              <w:numPr>
                <w:ilvl w:val="0"/>
                <w:numId w:val="18"/>
              </w:numPr>
              <w:suppressLineNumbers w:val="0"/>
              <w:kinsoku/>
              <w:wordWrap/>
              <w:overflowPunct/>
              <w:topLinePunct w:val="0"/>
              <w:autoSpaceDE/>
              <w:autoSpaceDN/>
              <w:bidi w:val="0"/>
              <w:adjustRightInd/>
              <w:snapToGrid/>
              <w:spacing w:before="157" w:beforeLines="50" w:beforeAutospacing="0" w:after="0" w:afterAutospacing="0" w:line="360" w:lineRule="auto"/>
              <w:ind w:left="0" w:leftChars="0" w:right="0" w:firstLine="0" w:firstLineChars="0"/>
              <w:jc w:val="left"/>
              <w:textAlignment w:val="auto"/>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与项目有关的原有环境污染问题</w:t>
            </w:r>
          </w:p>
          <w:p w14:paraId="5792C823">
            <w:pPr>
              <w:keepNext w:val="0"/>
              <w:keepLines w:val="0"/>
              <w:suppressLineNumbers w:val="0"/>
              <w:bidi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现有项目已落实环评及批复要求，各环保措施稳定运行，各污染物能够达标排放，固废处置合理。运营期间无环保投诉等事件发生，无与本项目有关的原有环境污染问题。</w:t>
            </w:r>
          </w:p>
          <w:p w14:paraId="2517B6D3">
            <w:pPr>
              <w:keepNext w:val="0"/>
              <w:keepLines w:val="0"/>
              <w:suppressLineNumbers w:val="0"/>
              <w:bidi w:val="0"/>
              <w:spacing w:before="0" w:beforeAutospacing="0" w:after="0" w:afterAutospacing="0" w:line="360" w:lineRule="auto"/>
              <w:ind w:left="0" w:right="0" w:firstLine="480" w:firstLineChars="200"/>
              <w:rPr>
                <w:rFonts w:hint="default" w:cs="Times New Roman"/>
                <w:b w:val="0"/>
                <w:bCs w:val="0"/>
                <w:color w:val="000000" w:themeColor="text1"/>
                <w:kern w:val="0"/>
                <w:sz w:val="24"/>
                <w:szCs w:val="24"/>
                <w:highlight w:val="none"/>
                <w:lang w:val="en-US" w:eastAsia="zh-CN" w:bidi="ar-SA"/>
                <w14:textFill>
                  <w14:solidFill>
                    <w14:schemeClr w14:val="tx1"/>
                  </w14:solidFill>
                </w14:textFill>
              </w:rPr>
            </w:pPr>
          </w:p>
          <w:p w14:paraId="4B672FE1">
            <w:pPr>
              <w:pStyle w:val="25"/>
              <w:keepNext w:val="0"/>
              <w:keepLines w:val="0"/>
              <w:suppressLineNumbers w:val="0"/>
              <w:spacing w:before="0" w:beforeAutospacing="0" w:afterAutospacing="0"/>
              <w:ind w:right="0"/>
              <w:rPr>
                <w:rFonts w:hint="default" w:cs="Times New Roman"/>
                <w:b w:val="0"/>
                <w:bCs w:val="0"/>
                <w:color w:val="000000" w:themeColor="text1"/>
                <w:kern w:val="0"/>
                <w:sz w:val="24"/>
                <w:szCs w:val="24"/>
                <w:highlight w:val="none"/>
                <w:lang w:val="en-US" w:eastAsia="zh-CN" w:bidi="ar-SA"/>
                <w14:textFill>
                  <w14:solidFill>
                    <w14:schemeClr w14:val="tx1"/>
                  </w14:solidFill>
                </w14:textFill>
              </w:rPr>
            </w:pPr>
          </w:p>
          <w:p w14:paraId="67159D83">
            <w:pPr>
              <w:keepNext w:val="0"/>
              <w:keepLines w:val="0"/>
              <w:suppressLineNumbers w:val="0"/>
              <w:spacing w:before="0" w:beforeAutospacing="0" w:after="0" w:afterAutospacing="0"/>
              <w:ind w:left="0" w:right="0"/>
              <w:rPr>
                <w:rFonts w:hint="default" w:cs="Times New Roman"/>
                <w:b w:val="0"/>
                <w:bCs w:val="0"/>
                <w:color w:val="000000" w:themeColor="text1"/>
                <w:kern w:val="0"/>
                <w:sz w:val="24"/>
                <w:szCs w:val="24"/>
                <w:highlight w:val="none"/>
                <w:lang w:val="en-US" w:eastAsia="zh-CN" w:bidi="ar-SA"/>
                <w14:textFill>
                  <w14:solidFill>
                    <w14:schemeClr w14:val="tx1"/>
                  </w14:solidFill>
                </w14:textFill>
              </w:rPr>
            </w:pPr>
          </w:p>
          <w:p w14:paraId="30EEB6AA">
            <w:pPr>
              <w:pStyle w:val="25"/>
              <w:keepNext w:val="0"/>
              <w:keepLines w:val="0"/>
              <w:suppressLineNumbers w:val="0"/>
              <w:spacing w:before="0" w:beforeAutospacing="0" w:afterAutospacing="0"/>
              <w:ind w:right="0"/>
              <w:rPr>
                <w:rFonts w:hint="default" w:cs="Times New Roman"/>
                <w:b w:val="0"/>
                <w:bCs w:val="0"/>
                <w:color w:val="000000" w:themeColor="text1"/>
                <w:kern w:val="0"/>
                <w:sz w:val="24"/>
                <w:szCs w:val="24"/>
                <w:highlight w:val="none"/>
                <w:lang w:val="en-US" w:eastAsia="zh-CN" w:bidi="ar-SA"/>
                <w14:textFill>
                  <w14:solidFill>
                    <w14:schemeClr w14:val="tx1"/>
                  </w14:solidFill>
                </w14:textFill>
              </w:rPr>
            </w:pPr>
          </w:p>
          <w:p w14:paraId="3D0E356D">
            <w:pPr>
              <w:keepNext w:val="0"/>
              <w:keepLines w:val="0"/>
              <w:suppressLineNumbers w:val="0"/>
              <w:spacing w:before="0" w:beforeAutospacing="0" w:after="0" w:afterAutospacing="0"/>
              <w:ind w:left="0" w:right="0"/>
              <w:rPr>
                <w:rFonts w:hint="default" w:cs="Times New Roman"/>
                <w:b w:val="0"/>
                <w:bCs w:val="0"/>
                <w:color w:val="000000" w:themeColor="text1"/>
                <w:kern w:val="0"/>
                <w:sz w:val="24"/>
                <w:szCs w:val="24"/>
                <w:highlight w:val="none"/>
                <w:lang w:val="en-US" w:eastAsia="zh-CN" w:bidi="ar-SA"/>
                <w14:textFill>
                  <w14:solidFill>
                    <w14:schemeClr w14:val="tx1"/>
                  </w14:solidFill>
                </w14:textFill>
              </w:rPr>
            </w:pPr>
          </w:p>
          <w:p w14:paraId="213BF086">
            <w:pPr>
              <w:pStyle w:val="25"/>
              <w:keepNext w:val="0"/>
              <w:keepLines w:val="0"/>
              <w:suppressLineNumbers w:val="0"/>
              <w:spacing w:before="0" w:beforeAutospacing="0" w:afterAutospacing="0"/>
              <w:ind w:right="0"/>
              <w:rPr>
                <w:rFonts w:hint="default" w:cs="Times New Roman"/>
                <w:b w:val="0"/>
                <w:bCs w:val="0"/>
                <w:color w:val="000000" w:themeColor="text1"/>
                <w:kern w:val="0"/>
                <w:sz w:val="24"/>
                <w:szCs w:val="24"/>
                <w:highlight w:val="none"/>
                <w:lang w:val="en-US" w:eastAsia="zh-CN" w:bidi="ar-SA"/>
                <w14:textFill>
                  <w14:solidFill>
                    <w14:schemeClr w14:val="tx1"/>
                  </w14:solidFill>
                </w14:textFill>
              </w:rPr>
            </w:pPr>
          </w:p>
          <w:p w14:paraId="26D6442D">
            <w:pPr>
              <w:keepNext w:val="0"/>
              <w:keepLines w:val="0"/>
              <w:suppressLineNumbers w:val="0"/>
              <w:spacing w:before="0" w:beforeAutospacing="0" w:after="0" w:afterAutospacing="0"/>
              <w:ind w:left="0" w:right="0"/>
              <w:rPr>
                <w:rFonts w:hint="default" w:cs="Times New Roman"/>
                <w:b w:val="0"/>
                <w:bCs w:val="0"/>
                <w:color w:val="000000" w:themeColor="text1"/>
                <w:kern w:val="0"/>
                <w:sz w:val="24"/>
                <w:szCs w:val="24"/>
                <w:highlight w:val="none"/>
                <w:lang w:val="en-US" w:eastAsia="zh-CN" w:bidi="ar-SA"/>
                <w14:textFill>
                  <w14:solidFill>
                    <w14:schemeClr w14:val="tx1"/>
                  </w14:solidFill>
                </w14:textFill>
              </w:rPr>
            </w:pPr>
          </w:p>
          <w:p w14:paraId="44788D26">
            <w:pPr>
              <w:pStyle w:val="25"/>
              <w:keepNext w:val="0"/>
              <w:keepLines w:val="0"/>
              <w:suppressLineNumbers w:val="0"/>
              <w:spacing w:before="0" w:beforeAutospacing="0" w:afterAutospacing="0"/>
              <w:ind w:right="0"/>
              <w:rPr>
                <w:rFonts w:hint="default" w:cs="Times New Roman"/>
                <w:b w:val="0"/>
                <w:bCs w:val="0"/>
                <w:color w:val="000000" w:themeColor="text1"/>
                <w:kern w:val="0"/>
                <w:sz w:val="24"/>
                <w:szCs w:val="24"/>
                <w:highlight w:val="none"/>
                <w:lang w:val="en-US" w:eastAsia="zh-CN" w:bidi="ar-SA"/>
                <w14:textFill>
                  <w14:solidFill>
                    <w14:schemeClr w14:val="tx1"/>
                  </w14:solidFill>
                </w14:textFill>
              </w:rPr>
            </w:pPr>
          </w:p>
          <w:p w14:paraId="4251D87F">
            <w:pPr>
              <w:keepNext w:val="0"/>
              <w:keepLines w:val="0"/>
              <w:suppressLineNumbers w:val="0"/>
              <w:spacing w:before="0" w:beforeAutospacing="0" w:after="0" w:afterAutospacing="0"/>
              <w:ind w:left="0" w:right="0"/>
              <w:rPr>
                <w:rFonts w:hint="default" w:cs="Times New Roman"/>
                <w:b w:val="0"/>
                <w:bCs w:val="0"/>
                <w:color w:val="000000" w:themeColor="text1"/>
                <w:kern w:val="0"/>
                <w:sz w:val="24"/>
                <w:szCs w:val="24"/>
                <w:highlight w:val="none"/>
                <w:lang w:val="en-US" w:eastAsia="zh-CN" w:bidi="ar-SA"/>
                <w14:textFill>
                  <w14:solidFill>
                    <w14:schemeClr w14:val="tx1"/>
                  </w14:solidFill>
                </w14:textFill>
              </w:rPr>
            </w:pPr>
          </w:p>
          <w:p w14:paraId="35480E47">
            <w:pPr>
              <w:pStyle w:val="25"/>
              <w:keepNext w:val="0"/>
              <w:keepLines w:val="0"/>
              <w:suppressLineNumbers w:val="0"/>
              <w:spacing w:before="0" w:beforeAutospacing="0" w:afterAutospacing="0"/>
              <w:ind w:right="0"/>
              <w:rPr>
                <w:rFonts w:hint="default" w:cs="Times New Roman"/>
                <w:b w:val="0"/>
                <w:bCs w:val="0"/>
                <w:color w:val="000000" w:themeColor="text1"/>
                <w:kern w:val="0"/>
                <w:sz w:val="24"/>
                <w:szCs w:val="24"/>
                <w:highlight w:val="none"/>
                <w:lang w:val="en-US" w:eastAsia="zh-CN" w:bidi="ar-SA"/>
                <w14:textFill>
                  <w14:solidFill>
                    <w14:schemeClr w14:val="tx1"/>
                  </w14:solidFill>
                </w14:textFill>
              </w:rPr>
            </w:pPr>
          </w:p>
          <w:p w14:paraId="158EDCCF">
            <w:pPr>
              <w:keepNext w:val="0"/>
              <w:keepLines w:val="0"/>
              <w:suppressLineNumbers w:val="0"/>
              <w:spacing w:before="0" w:beforeAutospacing="0" w:after="0" w:afterAutospacing="0"/>
              <w:ind w:left="0" w:right="0"/>
              <w:rPr>
                <w:rFonts w:hint="default" w:cs="Times New Roman"/>
                <w:b w:val="0"/>
                <w:bCs w:val="0"/>
                <w:color w:val="000000" w:themeColor="text1"/>
                <w:kern w:val="0"/>
                <w:sz w:val="24"/>
                <w:szCs w:val="24"/>
                <w:highlight w:val="none"/>
                <w:lang w:val="en-US" w:eastAsia="zh-CN" w:bidi="ar-SA"/>
                <w14:textFill>
                  <w14:solidFill>
                    <w14:schemeClr w14:val="tx1"/>
                  </w14:solidFill>
                </w14:textFill>
              </w:rPr>
            </w:pPr>
          </w:p>
          <w:p w14:paraId="2B221A9D">
            <w:pPr>
              <w:pStyle w:val="25"/>
              <w:keepNext w:val="0"/>
              <w:keepLines w:val="0"/>
              <w:suppressLineNumbers w:val="0"/>
              <w:spacing w:before="0" w:beforeAutospacing="0" w:afterAutospacing="0"/>
              <w:ind w:right="0"/>
              <w:rPr>
                <w:rFonts w:hint="default" w:cs="Times New Roman"/>
                <w:b w:val="0"/>
                <w:bCs w:val="0"/>
                <w:color w:val="000000" w:themeColor="text1"/>
                <w:kern w:val="0"/>
                <w:sz w:val="24"/>
                <w:szCs w:val="24"/>
                <w:highlight w:val="none"/>
                <w:lang w:val="en-US" w:eastAsia="zh-CN" w:bidi="ar-SA"/>
                <w14:textFill>
                  <w14:solidFill>
                    <w14:schemeClr w14:val="tx1"/>
                  </w14:solidFill>
                </w14:textFill>
              </w:rPr>
            </w:pPr>
          </w:p>
          <w:p w14:paraId="78385D56">
            <w:pPr>
              <w:keepNext w:val="0"/>
              <w:keepLines w:val="0"/>
              <w:suppressLineNumbers w:val="0"/>
              <w:spacing w:before="0" w:beforeAutospacing="0" w:after="0" w:afterAutospacing="0"/>
              <w:ind w:left="0" w:right="0"/>
              <w:rPr>
                <w:rFonts w:hint="default" w:cs="Times New Roman"/>
                <w:b w:val="0"/>
                <w:bCs w:val="0"/>
                <w:color w:val="000000" w:themeColor="text1"/>
                <w:kern w:val="0"/>
                <w:sz w:val="24"/>
                <w:szCs w:val="24"/>
                <w:highlight w:val="none"/>
                <w:lang w:val="en-US" w:eastAsia="zh-CN" w:bidi="ar-SA"/>
                <w14:textFill>
                  <w14:solidFill>
                    <w14:schemeClr w14:val="tx1"/>
                  </w14:solidFill>
                </w14:textFill>
              </w:rPr>
            </w:pPr>
          </w:p>
          <w:p w14:paraId="252BD251">
            <w:pPr>
              <w:pStyle w:val="25"/>
              <w:keepNext w:val="0"/>
              <w:keepLines w:val="0"/>
              <w:suppressLineNumbers w:val="0"/>
              <w:spacing w:before="0" w:beforeAutospacing="0" w:afterAutospacing="0"/>
              <w:ind w:right="0"/>
              <w:rPr>
                <w:rFonts w:hint="default" w:cs="Times New Roman"/>
                <w:b w:val="0"/>
                <w:bCs w:val="0"/>
                <w:color w:val="000000" w:themeColor="text1"/>
                <w:kern w:val="0"/>
                <w:sz w:val="24"/>
                <w:szCs w:val="24"/>
                <w:highlight w:val="none"/>
                <w:lang w:val="en-US" w:eastAsia="zh-CN" w:bidi="ar-SA"/>
                <w14:textFill>
                  <w14:solidFill>
                    <w14:schemeClr w14:val="tx1"/>
                  </w14:solidFill>
                </w14:textFill>
              </w:rPr>
            </w:pPr>
          </w:p>
          <w:p w14:paraId="2B96AE5A">
            <w:pPr>
              <w:keepNext w:val="0"/>
              <w:keepLines w:val="0"/>
              <w:suppressLineNumbers w:val="0"/>
              <w:spacing w:before="0" w:beforeAutospacing="0" w:after="0" w:afterAutospacing="0"/>
              <w:ind w:left="0" w:right="0"/>
              <w:rPr>
                <w:rFonts w:hint="default" w:cs="Times New Roman"/>
                <w:b w:val="0"/>
                <w:bCs w:val="0"/>
                <w:color w:val="000000" w:themeColor="text1"/>
                <w:kern w:val="0"/>
                <w:sz w:val="24"/>
                <w:szCs w:val="24"/>
                <w:highlight w:val="none"/>
                <w:lang w:val="en-US" w:eastAsia="zh-CN" w:bidi="ar-SA"/>
                <w14:textFill>
                  <w14:solidFill>
                    <w14:schemeClr w14:val="tx1"/>
                  </w14:solidFill>
                </w14:textFill>
              </w:rPr>
            </w:pPr>
          </w:p>
          <w:p w14:paraId="636F5B0D">
            <w:pPr>
              <w:pStyle w:val="25"/>
              <w:keepNext w:val="0"/>
              <w:keepLines w:val="0"/>
              <w:suppressLineNumbers w:val="0"/>
              <w:spacing w:before="0" w:beforeAutospacing="0" w:afterAutospacing="0"/>
              <w:ind w:right="0"/>
              <w:rPr>
                <w:rFonts w:hint="default"/>
                <w:color w:val="000000" w:themeColor="text1"/>
                <w:highlight w:val="none"/>
                <w:lang w:val="en-US" w:eastAsia="zh-CN"/>
                <w14:textFill>
                  <w14:solidFill>
                    <w14:schemeClr w14:val="tx1"/>
                  </w14:solidFill>
                </w14:textFill>
              </w:rPr>
            </w:pPr>
          </w:p>
        </w:tc>
      </w:tr>
    </w:tbl>
    <w:p w14:paraId="057B1740">
      <w:pPr>
        <w:rPr>
          <w:color w:val="000000" w:themeColor="text1"/>
          <w:highlight w:val="none"/>
          <w14:textFill>
            <w14:solidFill>
              <w14:schemeClr w14:val="tx1"/>
            </w14:solidFill>
          </w14:textFill>
        </w:rPr>
        <w:sectPr>
          <w:pgSz w:w="11906" w:h="16838"/>
          <w:pgMar w:top="1701" w:right="1531" w:bottom="1701" w:left="1531" w:header="851" w:footer="992" w:gutter="0"/>
          <w:pgBorders>
            <w:top w:val="none" w:sz="0" w:space="0"/>
            <w:left w:val="none" w:sz="0" w:space="0"/>
            <w:bottom w:val="none" w:sz="0" w:space="0"/>
            <w:right w:val="none" w:sz="0" w:space="0"/>
          </w:pgBorders>
          <w:pgNumType w:fmt="numberInDash" w:start="1"/>
          <w:cols w:space="0" w:num="1"/>
          <w:rtlGutter w:val="0"/>
          <w:docGrid w:type="lines" w:linePitch="312" w:charSpace="0"/>
        </w:sectPr>
      </w:pPr>
    </w:p>
    <w:p w14:paraId="402594A9">
      <w:pPr>
        <w:pStyle w:val="8"/>
        <w:jc w:val="center"/>
        <w:outlineLvl w:val="0"/>
        <w:rPr>
          <w:rFonts w:ascii="黑体" w:hAnsi="黑体" w:eastAsia="黑体"/>
          <w:snapToGrid w:val="0"/>
          <w:color w:val="000000" w:themeColor="text1"/>
          <w:sz w:val="30"/>
          <w:szCs w:val="30"/>
          <w:highlight w:val="none"/>
          <w14:textFill>
            <w14:solidFill>
              <w14:schemeClr w14:val="tx1"/>
            </w14:solidFill>
          </w14:textFill>
        </w:rPr>
      </w:pPr>
      <w:r>
        <w:rPr>
          <w:rFonts w:hint="eastAsia" w:ascii="黑体" w:hAnsi="黑体" w:eastAsia="黑体"/>
          <w:snapToGrid w:val="0"/>
          <w:color w:val="000000" w:themeColor="text1"/>
          <w:sz w:val="30"/>
          <w:szCs w:val="30"/>
          <w:highlight w:val="none"/>
          <w14:textFill>
            <w14:solidFill>
              <w14:schemeClr w14:val="tx1"/>
            </w14:solidFill>
          </w14:textFill>
        </w:rPr>
        <w:t>三、区域环境质量现状、环境保护目标及评价标准</w:t>
      </w:r>
    </w:p>
    <w:tbl>
      <w:tblPr>
        <w:tblStyle w:val="3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28"/>
        <w:gridCol w:w="8533"/>
      </w:tblGrid>
      <w:tr w14:paraId="0727D9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528" w:type="dxa"/>
            <w:vAlign w:val="center"/>
          </w:tcPr>
          <w:p w14:paraId="7DD0128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区域</w:t>
            </w:r>
          </w:p>
          <w:p w14:paraId="4F1050B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环境</w:t>
            </w:r>
          </w:p>
          <w:p w14:paraId="6D9789B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质量</w:t>
            </w:r>
          </w:p>
          <w:p w14:paraId="3101E94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现状</w:t>
            </w:r>
          </w:p>
        </w:tc>
        <w:tc>
          <w:tcPr>
            <w:tcW w:w="8533" w:type="dxa"/>
            <w:vAlign w:val="center"/>
          </w:tcPr>
          <w:p w14:paraId="64166BE3">
            <w:pPr>
              <w:keepNext w:val="0"/>
              <w:keepLines w:val="0"/>
              <w:numPr>
                <w:ilvl w:val="0"/>
                <w:numId w:val="23"/>
              </w:numPr>
              <w:suppressLineNumbers w:val="0"/>
              <w:adjustRightInd w:val="0"/>
              <w:snapToGrid w:val="0"/>
              <w:spacing w:before="0" w:beforeAutospacing="0" w:after="0" w:afterAutospacing="0" w:line="360" w:lineRule="auto"/>
              <w:ind w:right="0"/>
              <w:jc w:val="left"/>
              <w:rPr>
                <w:rFonts w:hint="default" w:ascii="Times New Roman" w:hAnsi="Times New Roman" w:cs="Times New Roman"/>
                <w:b/>
                <w:bCs/>
                <w:color w:val="000000" w:themeColor="text1"/>
                <w:kern w:val="0"/>
                <w:sz w:val="24"/>
                <w:szCs w:val="24"/>
                <w:highlight w:val="none"/>
                <w14:textFill>
                  <w14:solidFill>
                    <w14:schemeClr w14:val="tx1"/>
                  </w14:solidFill>
                </w14:textFill>
              </w:rPr>
            </w:pPr>
            <w:r>
              <w:rPr>
                <w:rFonts w:hint="default" w:ascii="Times New Roman" w:hAnsi="Times New Roman" w:cs="Times New Roman"/>
                <w:b/>
                <w:bCs/>
                <w:color w:val="000000" w:themeColor="text1"/>
                <w:kern w:val="0"/>
                <w:sz w:val="24"/>
                <w:szCs w:val="24"/>
                <w:highlight w:val="none"/>
                <w14:textFill>
                  <w14:solidFill>
                    <w14:schemeClr w14:val="tx1"/>
                  </w14:solidFill>
                </w14:textFill>
              </w:rPr>
              <w:t>大气环境</w:t>
            </w:r>
          </w:p>
          <w:p w14:paraId="20EB0196">
            <w:pPr>
              <w:pStyle w:val="51"/>
              <w:keepNext w:val="0"/>
              <w:keepLines w:val="0"/>
              <w:suppressLineNumbers w:val="0"/>
              <w:spacing w:before="0" w:beforeAutospacing="0" w:after="0" w:afterAutospacing="0"/>
              <w:ind w:left="0" w:right="0" w:firstLine="0" w:firstLineChars="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（1）</w:t>
            </w:r>
            <w:r>
              <w:rPr>
                <w:rFonts w:hint="default" w:ascii="Times New Roman" w:hAnsi="Times New Roman" w:cs="Times New Roman"/>
                <w:b w:val="0"/>
                <w:bCs w:val="0"/>
                <w:color w:val="000000" w:themeColor="text1"/>
                <w:sz w:val="24"/>
                <w:szCs w:val="24"/>
                <w:highlight w:val="none"/>
                <w14:textFill>
                  <w14:solidFill>
                    <w14:schemeClr w14:val="tx1"/>
                  </w14:solidFill>
                </w14:textFill>
              </w:rPr>
              <w:t>常规污染物环境质量现状</w:t>
            </w:r>
          </w:p>
          <w:p w14:paraId="3CBE7F8F">
            <w:pPr>
              <w:keepNext w:val="0"/>
              <w:keepLines w:val="0"/>
              <w:pageBreakBefore w:val="0"/>
              <w:widowControl w:val="0"/>
              <w:suppressLineNumbers w:val="0"/>
              <w:kinsoku/>
              <w:wordWrap/>
              <w:overflowPunct/>
              <w:topLinePunct w:val="0"/>
              <w:autoSpaceDE/>
              <w:autoSpaceDN/>
              <w:bidi w:val="0"/>
              <w:adjustRightInd w:val="0"/>
              <w:snapToGrid/>
              <w:spacing w:before="72" w:beforeLines="30" w:beforeAutospacing="0" w:after="72" w:afterLines="3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本次评价收集</w:t>
            </w:r>
            <w:r>
              <w:rPr>
                <w:rFonts w:hint="default" w:ascii="Times New Roman" w:hAnsi="Times New Roman" w:cs="Times New Roman"/>
                <w:color w:val="000000" w:themeColor="text1"/>
                <w:sz w:val="24"/>
                <w:szCs w:val="24"/>
                <w:highlight w:val="none"/>
                <w:lang w:val="en-US" w:eastAsia="zh-CN" w:bidi="en-US"/>
                <w14:textFill>
                  <w14:solidFill>
                    <w14:schemeClr w14:val="tx1"/>
                  </w14:solidFill>
                </w14:textFill>
              </w:rPr>
              <w:t>《</w:t>
            </w:r>
            <w:r>
              <w:rPr>
                <w:rFonts w:hint="eastAsia" w:cs="Times New Roman"/>
                <w:color w:val="000000" w:themeColor="text1"/>
                <w:sz w:val="24"/>
                <w:szCs w:val="24"/>
                <w:highlight w:val="none"/>
                <w:lang w:val="en-US" w:eastAsia="zh-CN" w:bidi="en-US"/>
                <w14:textFill>
                  <w14:solidFill>
                    <w14:schemeClr w14:val="tx1"/>
                  </w14:solidFill>
                </w14:textFill>
              </w:rPr>
              <w:t>本溪市</w:t>
            </w:r>
            <w:r>
              <w:rPr>
                <w:rFonts w:hint="default" w:ascii="Times New Roman" w:hAnsi="Times New Roman" w:cs="Times New Roman"/>
                <w:color w:val="000000" w:themeColor="text1"/>
                <w:sz w:val="24"/>
                <w:szCs w:val="24"/>
                <w:highlight w:val="none"/>
                <w:lang w:val="en-US" w:eastAsia="zh-CN" w:bidi="en-US"/>
                <w14:textFill>
                  <w14:solidFill>
                    <w14:schemeClr w14:val="tx1"/>
                  </w14:solidFill>
                </w14:textFill>
              </w:rPr>
              <w:t>生态环境质量</w:t>
            </w:r>
            <w:r>
              <w:rPr>
                <w:rFonts w:hint="eastAsia" w:cs="Times New Roman"/>
                <w:color w:val="000000" w:themeColor="text1"/>
                <w:sz w:val="24"/>
                <w:szCs w:val="24"/>
                <w:highlight w:val="none"/>
                <w:lang w:val="en-US" w:eastAsia="zh-CN" w:bidi="en-US"/>
                <w14:textFill>
                  <w14:solidFill>
                    <w14:schemeClr w14:val="tx1"/>
                  </w14:solidFill>
                </w14:textFill>
              </w:rPr>
              <w:t>简报2025年度</w:t>
            </w:r>
            <w:r>
              <w:rPr>
                <w:rFonts w:hint="default" w:ascii="Times New Roman" w:hAnsi="Times New Roman" w:cs="Times New Roman"/>
                <w:color w:val="000000" w:themeColor="text1"/>
                <w:sz w:val="24"/>
                <w:szCs w:val="24"/>
                <w:highlight w:val="none"/>
                <w:lang w:val="en-US" w:eastAsia="zh-CN" w:bidi="en-US"/>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中环境空气质量监测数据，监测项目：SO</w:t>
            </w:r>
            <w:r>
              <w:rPr>
                <w:rFonts w:hint="default" w:ascii="Times New Roman" w:hAnsi="Times New Roman" w:cs="Times New Roman"/>
                <w:color w:val="000000" w:themeColor="text1"/>
                <w:sz w:val="24"/>
                <w:szCs w:val="24"/>
                <w:highlight w:val="none"/>
                <w:vertAlign w:val="subscript"/>
                <w14:textFill>
                  <w14:solidFill>
                    <w14:schemeClr w14:val="tx1"/>
                  </w14:solidFill>
                </w14:textFill>
              </w:rPr>
              <w:t>2</w:t>
            </w:r>
            <w:r>
              <w:rPr>
                <w:rFonts w:hint="default" w:ascii="Times New Roman" w:hAnsi="Times New Roman" w:cs="Times New Roman"/>
                <w:color w:val="000000" w:themeColor="text1"/>
                <w:sz w:val="24"/>
                <w:szCs w:val="24"/>
                <w:highlight w:val="none"/>
                <w14:textFill>
                  <w14:solidFill>
                    <w14:schemeClr w14:val="tx1"/>
                  </w14:solidFill>
                </w14:textFill>
              </w:rPr>
              <w:t>、NO</w:t>
            </w:r>
            <w:r>
              <w:rPr>
                <w:rFonts w:hint="default" w:ascii="Times New Roman" w:hAnsi="Times New Roman" w:cs="Times New Roman"/>
                <w:color w:val="000000" w:themeColor="text1"/>
                <w:sz w:val="24"/>
                <w:szCs w:val="24"/>
                <w:highlight w:val="none"/>
                <w:vertAlign w:val="subscript"/>
                <w14:textFill>
                  <w14:solidFill>
                    <w14:schemeClr w14:val="tx1"/>
                  </w14:solidFill>
                </w14:textFill>
              </w:rPr>
              <w:t>2</w:t>
            </w:r>
            <w:r>
              <w:rPr>
                <w:rFonts w:hint="default" w:ascii="Times New Roman" w:hAnsi="Times New Roman" w:cs="Times New Roman"/>
                <w:color w:val="000000" w:themeColor="text1"/>
                <w:sz w:val="24"/>
                <w:szCs w:val="24"/>
                <w:highlight w:val="none"/>
                <w14:textFill>
                  <w14:solidFill>
                    <w14:schemeClr w14:val="tx1"/>
                  </w14:solidFill>
                </w14:textFill>
              </w:rPr>
              <w:t>、PM</w:t>
            </w:r>
            <w:r>
              <w:rPr>
                <w:rFonts w:hint="default" w:ascii="Times New Roman" w:hAnsi="Times New Roman" w:cs="Times New Roman"/>
                <w:color w:val="000000" w:themeColor="text1"/>
                <w:sz w:val="24"/>
                <w:szCs w:val="24"/>
                <w:highlight w:val="none"/>
                <w:vertAlign w:val="subscript"/>
                <w14:textFill>
                  <w14:solidFill>
                    <w14:schemeClr w14:val="tx1"/>
                  </w14:solidFill>
                </w14:textFill>
              </w:rPr>
              <w:t>10</w:t>
            </w:r>
            <w:r>
              <w:rPr>
                <w:rFonts w:hint="default" w:ascii="Times New Roman" w:hAnsi="Times New Roman" w:cs="Times New Roman"/>
                <w:color w:val="000000" w:themeColor="text1"/>
                <w:sz w:val="24"/>
                <w:szCs w:val="24"/>
                <w:highlight w:val="none"/>
                <w14:textFill>
                  <w14:solidFill>
                    <w14:schemeClr w14:val="tx1"/>
                  </w14:solidFill>
                </w14:textFill>
              </w:rPr>
              <w:t>、PM</w:t>
            </w:r>
            <w:r>
              <w:rPr>
                <w:rFonts w:hint="default" w:ascii="Times New Roman" w:hAnsi="Times New Roman" w:cs="Times New Roman"/>
                <w:color w:val="000000" w:themeColor="text1"/>
                <w:sz w:val="24"/>
                <w:szCs w:val="24"/>
                <w:highlight w:val="none"/>
                <w:vertAlign w:val="subscript"/>
                <w14:textFill>
                  <w14:solidFill>
                    <w14:schemeClr w14:val="tx1"/>
                  </w14:solidFill>
                </w14:textFill>
              </w:rPr>
              <w:t>2.5</w:t>
            </w:r>
            <w:r>
              <w:rPr>
                <w:rFonts w:hint="default" w:ascii="Times New Roman" w:hAnsi="Times New Roman" w:cs="Times New Roman"/>
                <w:color w:val="000000" w:themeColor="text1"/>
                <w:sz w:val="24"/>
                <w:szCs w:val="24"/>
                <w:highlight w:val="none"/>
                <w14:textFill>
                  <w14:solidFill>
                    <w14:schemeClr w14:val="tx1"/>
                  </w14:solidFill>
                </w14:textFill>
              </w:rPr>
              <w:t>、CO、O</w:t>
            </w:r>
            <w:r>
              <w:rPr>
                <w:rFonts w:hint="default" w:ascii="Times New Roman" w:hAnsi="Times New Roman" w:cs="Times New Roman"/>
                <w:color w:val="000000" w:themeColor="text1"/>
                <w:sz w:val="24"/>
                <w:szCs w:val="24"/>
                <w:highlight w:val="none"/>
                <w:vertAlign w:val="subscript"/>
                <w14:textFill>
                  <w14:solidFill>
                    <w14:schemeClr w14:val="tx1"/>
                  </w14:solidFill>
                </w14:textFill>
              </w:rPr>
              <w:t>3</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本项目所在地为环境空气质量二类功能区，</w:t>
            </w:r>
            <w:r>
              <w:rPr>
                <w:rFonts w:hint="eastAsia" w:cs="Times New Roman"/>
                <w:color w:val="000000" w:themeColor="text1"/>
                <w:sz w:val="24"/>
                <w:szCs w:val="24"/>
                <w:highlight w:val="none"/>
                <w:lang w:val="en-US" w:eastAsia="zh-CN"/>
                <w14:textFill>
                  <w14:solidFill>
                    <w14:schemeClr w14:val="tx1"/>
                  </w14:solidFill>
                </w14:textFill>
              </w:rPr>
              <w:t>根据</w:t>
            </w:r>
            <w:r>
              <w:rPr>
                <w:rFonts w:hint="default" w:ascii="Times New Roman" w:hAnsi="Times New Roman" w:eastAsia="宋体" w:cs="Times New Roman"/>
                <w:color w:val="000000" w:themeColor="text1"/>
                <w:sz w:val="24"/>
                <w:szCs w:val="24"/>
                <w:highlight w:val="none"/>
                <w14:textFill>
                  <w14:solidFill>
                    <w14:schemeClr w14:val="tx1"/>
                  </w14:solidFill>
                </w14:textFill>
              </w:rPr>
              <w:t>《环境空气质量标准》（GB3095-20</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26</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中过渡阶段</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二级标准</w:t>
            </w:r>
            <w:r>
              <w:rPr>
                <w:rFonts w:hint="eastAsia"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区域空气质量现状数据</w:t>
            </w:r>
            <w:r>
              <w:rPr>
                <w:rFonts w:hint="eastAsia" w:cs="Times New Roman"/>
                <w:color w:val="000000" w:themeColor="text1"/>
                <w:sz w:val="24"/>
                <w:szCs w:val="24"/>
                <w:highlight w:val="none"/>
                <w:lang w:val="en-US" w:eastAsia="zh-CN"/>
                <w14:textFill>
                  <w14:solidFill>
                    <w14:schemeClr w14:val="tx1"/>
                  </w14:solidFill>
                </w14:textFill>
              </w:rPr>
              <w:t>及评价</w:t>
            </w:r>
            <w:r>
              <w:rPr>
                <w:rFonts w:hint="default" w:ascii="Times New Roman" w:hAnsi="Times New Roman" w:cs="Times New Roman"/>
                <w:color w:val="000000" w:themeColor="text1"/>
                <w:sz w:val="24"/>
                <w:szCs w:val="24"/>
                <w:highlight w:val="none"/>
                <w14:textFill>
                  <w14:solidFill>
                    <w14:schemeClr w14:val="tx1"/>
                  </w14:solidFill>
                </w14:textFill>
              </w:rPr>
              <w:t>见下表所示</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p w14:paraId="1EAAB2EE">
            <w:pPr>
              <w:keepNext w:val="0"/>
              <w:keepLines w:val="0"/>
              <w:pageBreakBefore w:val="0"/>
              <w:widowControl w:val="0"/>
              <w:numPr>
                <w:ilvl w:val="0"/>
                <w:numId w:val="24"/>
              </w:numPr>
              <w:suppressLineNumbers w:val="0"/>
              <w:kinsoku/>
              <w:wordWrap/>
              <w:overflowPunct/>
              <w:topLinePunct w:val="0"/>
              <w:autoSpaceDE/>
              <w:autoSpaceDN/>
              <w:bidi w:val="0"/>
              <w:adjustRightInd/>
              <w:snapToGrid w:val="0"/>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区域环境空气质量现状评价</w:t>
            </w:r>
          </w:p>
          <w:tbl>
            <w:tblPr>
              <w:tblStyle w:val="35"/>
              <w:tblW w:w="4998" w:type="pct"/>
              <w:tblInd w:w="0" w:type="dxa"/>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99"/>
              <w:gridCol w:w="1199"/>
              <w:gridCol w:w="1199"/>
              <w:gridCol w:w="1199"/>
              <w:gridCol w:w="1199"/>
              <w:gridCol w:w="1202"/>
              <w:gridCol w:w="1117"/>
            </w:tblGrid>
            <w:tr w14:paraId="2B9C280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1" w:type="pct"/>
                  <w:tcBorders>
                    <w:tl2br w:val="nil"/>
                    <w:tr2bl w:val="nil"/>
                  </w:tcBorders>
                  <w:shd w:val="clear" w:color="auto" w:fill="auto"/>
                  <w:noWrap/>
                  <w:vAlign w:val="center"/>
                </w:tcPr>
                <w:p w14:paraId="68EB11CD">
                  <w:pPr>
                    <w:keepNext w:val="0"/>
                    <w:keepLines w:val="0"/>
                    <w:suppressLineNumbers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污染物</w:t>
                  </w:r>
                </w:p>
              </w:tc>
              <w:tc>
                <w:tcPr>
                  <w:tcW w:w="721" w:type="pct"/>
                  <w:tcBorders>
                    <w:tl2br w:val="nil"/>
                    <w:tr2bl w:val="nil"/>
                  </w:tcBorders>
                  <w:shd w:val="clear" w:color="auto" w:fill="auto"/>
                  <w:noWrap/>
                  <w:vAlign w:val="center"/>
                </w:tcPr>
                <w:p w14:paraId="1439643F">
                  <w:pPr>
                    <w:keepNext w:val="0"/>
                    <w:keepLines w:val="0"/>
                    <w:suppressLineNumbers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年评价指标</w:t>
                  </w:r>
                </w:p>
              </w:tc>
              <w:tc>
                <w:tcPr>
                  <w:tcW w:w="721" w:type="pct"/>
                  <w:tcBorders>
                    <w:tl2br w:val="nil"/>
                    <w:tr2bl w:val="nil"/>
                  </w:tcBorders>
                  <w:shd w:val="clear" w:color="auto" w:fill="auto"/>
                  <w:noWrap/>
                  <w:vAlign w:val="center"/>
                </w:tcPr>
                <w:p w14:paraId="0213FEE2">
                  <w:pPr>
                    <w:keepNext w:val="0"/>
                    <w:keepLines w:val="0"/>
                    <w:suppressLineNumbers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现状浓度</w:t>
                  </w:r>
                </w:p>
                <w:p w14:paraId="595A1E8F">
                  <w:pPr>
                    <w:keepNext w:val="0"/>
                    <w:keepLines w:val="0"/>
                    <w:suppressLineNumbers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（μg/m</w:t>
                  </w:r>
                  <w:r>
                    <w:rPr>
                      <w:rFonts w:hint="default" w:ascii="Times New Roman" w:hAnsi="Times New Roman" w:cs="Times New Roman"/>
                      <w:b/>
                      <w:bCs/>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b/>
                      <w:bCs/>
                      <w:color w:val="000000" w:themeColor="text1"/>
                      <w:sz w:val="21"/>
                      <w:szCs w:val="21"/>
                      <w:highlight w:val="none"/>
                      <w14:textFill>
                        <w14:solidFill>
                          <w14:schemeClr w14:val="tx1"/>
                        </w14:solidFill>
                      </w14:textFill>
                    </w:rPr>
                    <w:t>）</w:t>
                  </w:r>
                </w:p>
              </w:tc>
              <w:tc>
                <w:tcPr>
                  <w:tcW w:w="721" w:type="pct"/>
                  <w:tcBorders>
                    <w:tl2br w:val="nil"/>
                    <w:tr2bl w:val="nil"/>
                  </w:tcBorders>
                  <w:shd w:val="clear" w:color="auto" w:fill="auto"/>
                  <w:noWrap/>
                  <w:vAlign w:val="center"/>
                </w:tcPr>
                <w:p w14:paraId="48911819">
                  <w:pPr>
                    <w:keepNext w:val="0"/>
                    <w:keepLines w:val="0"/>
                    <w:suppressLineNumbers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标准值</w:t>
                  </w:r>
                </w:p>
                <w:p w14:paraId="45AE2DDF">
                  <w:pPr>
                    <w:keepNext w:val="0"/>
                    <w:keepLines w:val="0"/>
                    <w:suppressLineNumbers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（μg/m</w:t>
                  </w:r>
                  <w:r>
                    <w:rPr>
                      <w:rFonts w:hint="default" w:ascii="Times New Roman" w:hAnsi="Times New Roman" w:cs="Times New Roman"/>
                      <w:b/>
                      <w:bCs/>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b/>
                      <w:bCs/>
                      <w:color w:val="000000" w:themeColor="text1"/>
                      <w:sz w:val="21"/>
                      <w:szCs w:val="21"/>
                      <w:highlight w:val="none"/>
                      <w14:textFill>
                        <w14:solidFill>
                          <w14:schemeClr w14:val="tx1"/>
                        </w14:solidFill>
                      </w14:textFill>
                    </w:rPr>
                    <w:t>）</w:t>
                  </w:r>
                </w:p>
              </w:tc>
              <w:tc>
                <w:tcPr>
                  <w:tcW w:w="721" w:type="pct"/>
                  <w:tcBorders>
                    <w:tl2br w:val="nil"/>
                    <w:tr2bl w:val="nil"/>
                  </w:tcBorders>
                  <w:shd w:val="clear" w:color="auto" w:fill="auto"/>
                  <w:noWrap/>
                  <w:vAlign w:val="center"/>
                </w:tcPr>
                <w:p w14:paraId="2748AD3A">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占标率</w:t>
                  </w:r>
                  <w:r>
                    <w:rPr>
                      <w:rFonts w:hint="eastAsia" w:cs="Times New Roman"/>
                      <w:b/>
                      <w:bCs/>
                      <w:color w:val="000000" w:themeColor="text1"/>
                      <w:sz w:val="21"/>
                      <w:szCs w:val="21"/>
                      <w:highlight w:val="none"/>
                      <w:lang w:val="en-US" w:eastAsia="zh-CN"/>
                      <w14:textFill>
                        <w14:solidFill>
                          <w14:schemeClr w14:val="tx1"/>
                        </w14:solidFill>
                      </w14:textFill>
                    </w:rPr>
                    <w:t>%</w:t>
                  </w:r>
                </w:p>
              </w:tc>
              <w:tc>
                <w:tcPr>
                  <w:tcW w:w="722" w:type="pct"/>
                  <w:tcBorders>
                    <w:tl2br w:val="nil"/>
                    <w:tr2bl w:val="nil"/>
                  </w:tcBorders>
                  <w:shd w:val="clear" w:color="auto" w:fill="auto"/>
                  <w:noWrap/>
                  <w:vAlign w:val="center"/>
                </w:tcPr>
                <w:p w14:paraId="5F2F2B0C">
                  <w:pPr>
                    <w:keepNext w:val="0"/>
                    <w:keepLines w:val="0"/>
                    <w:suppressLineNumbers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达标情况</w:t>
                  </w:r>
                </w:p>
              </w:tc>
              <w:tc>
                <w:tcPr>
                  <w:tcW w:w="671" w:type="pct"/>
                  <w:tcBorders>
                    <w:tl2br w:val="nil"/>
                    <w:tr2bl w:val="nil"/>
                  </w:tcBorders>
                  <w:shd w:val="clear" w:color="auto" w:fill="auto"/>
                  <w:noWrap/>
                  <w:vAlign w:val="center"/>
                </w:tcPr>
                <w:p w14:paraId="1818856D">
                  <w:pPr>
                    <w:keepNext w:val="0"/>
                    <w:keepLines w:val="0"/>
                    <w:suppressLineNumbers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标准</w:t>
                  </w:r>
                </w:p>
              </w:tc>
            </w:tr>
            <w:tr w14:paraId="00546F0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1" w:type="pct"/>
                  <w:tcBorders>
                    <w:tl2br w:val="nil"/>
                    <w:tr2bl w:val="nil"/>
                  </w:tcBorders>
                  <w:shd w:val="clear" w:color="auto" w:fill="auto"/>
                  <w:noWrap/>
                  <w:vAlign w:val="center"/>
                </w:tcPr>
                <w:p w14:paraId="7D03EEC4">
                  <w:pPr>
                    <w:keepNext w:val="0"/>
                    <w:keepLines w:val="0"/>
                    <w:suppressLineNumbers w:val="0"/>
                    <w:spacing w:before="0" w:beforeAutospacing="0" w:after="0" w:afterAutospacing="0" w:line="320" w:lineRule="exact"/>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PM</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2.5</w:t>
                  </w:r>
                </w:p>
              </w:tc>
              <w:tc>
                <w:tcPr>
                  <w:tcW w:w="721" w:type="pct"/>
                  <w:tcBorders>
                    <w:tl2br w:val="nil"/>
                    <w:tr2bl w:val="nil"/>
                  </w:tcBorders>
                  <w:shd w:val="clear" w:color="auto" w:fill="auto"/>
                  <w:noWrap/>
                  <w:vAlign w:val="center"/>
                </w:tcPr>
                <w:p w14:paraId="4D029F6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年平均</w:t>
                  </w:r>
                </w:p>
              </w:tc>
              <w:tc>
                <w:tcPr>
                  <w:tcW w:w="1168" w:type="dxa"/>
                  <w:tcBorders>
                    <w:tl2br w:val="nil"/>
                    <w:tr2bl w:val="nil"/>
                  </w:tcBorders>
                  <w:shd w:val="clear" w:color="auto" w:fill="auto"/>
                  <w:noWrap/>
                  <w:vAlign w:val="center"/>
                </w:tcPr>
                <w:p w14:paraId="5DE8D2A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31</w:t>
                  </w:r>
                </w:p>
              </w:tc>
              <w:tc>
                <w:tcPr>
                  <w:tcW w:w="721" w:type="pct"/>
                  <w:tcBorders>
                    <w:tl2br w:val="nil"/>
                    <w:tr2bl w:val="nil"/>
                  </w:tcBorders>
                  <w:shd w:val="clear" w:color="auto" w:fill="auto"/>
                  <w:noWrap/>
                  <w:vAlign w:val="center"/>
                </w:tcPr>
                <w:p w14:paraId="6E456EE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30</w:t>
                  </w:r>
                </w:p>
              </w:tc>
              <w:tc>
                <w:tcPr>
                  <w:tcW w:w="721" w:type="pct"/>
                  <w:tcBorders>
                    <w:tl2br w:val="nil"/>
                    <w:tr2bl w:val="nil"/>
                  </w:tcBorders>
                  <w:shd w:val="clear" w:color="auto" w:fill="auto"/>
                  <w:noWrap/>
                  <w:vAlign w:val="center"/>
                </w:tcPr>
                <w:p w14:paraId="6CDB206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103.3</w:t>
                  </w:r>
                </w:p>
              </w:tc>
              <w:tc>
                <w:tcPr>
                  <w:tcW w:w="722" w:type="pct"/>
                  <w:tcBorders>
                    <w:tl2br w:val="nil"/>
                    <w:tr2bl w:val="nil"/>
                  </w:tcBorders>
                  <w:shd w:val="clear" w:color="auto" w:fill="auto"/>
                  <w:noWrap/>
                  <w:vAlign w:val="center"/>
                </w:tcPr>
                <w:p w14:paraId="0327F6A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超标</w:t>
                  </w:r>
                </w:p>
              </w:tc>
              <w:tc>
                <w:tcPr>
                  <w:tcW w:w="671" w:type="pct"/>
                  <w:vMerge w:val="restart"/>
                  <w:tcBorders>
                    <w:tl2br w:val="nil"/>
                    <w:tr2bl w:val="nil"/>
                  </w:tcBorders>
                  <w:shd w:val="clear" w:color="auto" w:fill="auto"/>
                  <w:noWrap/>
                  <w:vAlign w:val="center"/>
                </w:tcPr>
                <w:p w14:paraId="06B3F8B4">
                  <w:pPr>
                    <w:keepNext w:val="0"/>
                    <w:keepLines w:val="0"/>
                    <w:suppressLineNumbers w:val="0"/>
                    <w:spacing w:before="0" w:beforeAutospacing="0" w:after="0" w:afterAutospacing="0"/>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《环境空气质量标准》（GB3095-2026）</w:t>
                  </w:r>
                </w:p>
              </w:tc>
            </w:tr>
            <w:tr w14:paraId="4E1CB88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1" w:type="pct"/>
                  <w:tcBorders>
                    <w:tl2br w:val="nil"/>
                    <w:tr2bl w:val="nil"/>
                  </w:tcBorders>
                  <w:shd w:val="clear" w:color="auto" w:fill="auto"/>
                  <w:noWrap/>
                  <w:vAlign w:val="center"/>
                </w:tcPr>
                <w:p w14:paraId="57056FA8">
                  <w:pPr>
                    <w:keepNext w:val="0"/>
                    <w:keepLines w:val="0"/>
                    <w:suppressLineNumbers w:val="0"/>
                    <w:spacing w:before="0" w:beforeAutospacing="0" w:after="0" w:afterAutospacing="0" w:line="320" w:lineRule="exact"/>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PM</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10</w:t>
                  </w:r>
                </w:p>
              </w:tc>
              <w:tc>
                <w:tcPr>
                  <w:tcW w:w="721" w:type="pct"/>
                  <w:tcBorders>
                    <w:tl2br w:val="nil"/>
                    <w:tr2bl w:val="nil"/>
                  </w:tcBorders>
                  <w:shd w:val="clear" w:color="auto" w:fill="auto"/>
                  <w:noWrap/>
                  <w:vAlign w:val="center"/>
                </w:tcPr>
                <w:p w14:paraId="5F1BE5B6">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年平均</w:t>
                  </w:r>
                </w:p>
              </w:tc>
              <w:tc>
                <w:tcPr>
                  <w:tcW w:w="1168" w:type="dxa"/>
                  <w:tcBorders>
                    <w:tl2br w:val="nil"/>
                    <w:tr2bl w:val="nil"/>
                  </w:tcBorders>
                  <w:shd w:val="clear" w:color="auto" w:fill="auto"/>
                  <w:noWrap/>
                  <w:vAlign w:val="center"/>
                </w:tcPr>
                <w:p w14:paraId="448B53C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5</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6</w:t>
                  </w:r>
                </w:p>
              </w:tc>
              <w:tc>
                <w:tcPr>
                  <w:tcW w:w="721" w:type="pct"/>
                  <w:tcBorders>
                    <w:tl2br w:val="nil"/>
                    <w:tr2bl w:val="nil"/>
                  </w:tcBorders>
                  <w:shd w:val="clear" w:color="auto" w:fill="auto"/>
                  <w:noWrap/>
                  <w:vAlign w:val="center"/>
                </w:tcPr>
                <w:p w14:paraId="363046C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60</w:t>
                  </w:r>
                </w:p>
              </w:tc>
              <w:tc>
                <w:tcPr>
                  <w:tcW w:w="721" w:type="pct"/>
                  <w:tcBorders>
                    <w:tl2br w:val="nil"/>
                    <w:tr2bl w:val="nil"/>
                  </w:tcBorders>
                  <w:shd w:val="clear" w:color="auto" w:fill="auto"/>
                  <w:noWrap/>
                  <w:vAlign w:val="center"/>
                </w:tcPr>
                <w:p w14:paraId="7FB3F42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93.3</w:t>
                  </w:r>
                </w:p>
              </w:tc>
              <w:tc>
                <w:tcPr>
                  <w:tcW w:w="722" w:type="pct"/>
                  <w:tcBorders>
                    <w:tl2br w:val="nil"/>
                    <w:tr2bl w:val="nil"/>
                  </w:tcBorders>
                  <w:shd w:val="clear" w:color="auto" w:fill="auto"/>
                  <w:noWrap/>
                  <w:vAlign w:val="center"/>
                </w:tcPr>
                <w:p w14:paraId="18EB3A8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达标</w:t>
                  </w:r>
                </w:p>
              </w:tc>
              <w:tc>
                <w:tcPr>
                  <w:tcW w:w="671" w:type="pct"/>
                  <w:vMerge w:val="continue"/>
                  <w:tcBorders>
                    <w:tl2br w:val="nil"/>
                    <w:tr2bl w:val="nil"/>
                  </w:tcBorders>
                  <w:shd w:val="clear" w:color="auto" w:fill="auto"/>
                  <w:noWrap/>
                  <w:vAlign w:val="center"/>
                </w:tcPr>
                <w:p w14:paraId="6773DA82">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000000" w:themeColor="text1"/>
                      <w:sz w:val="21"/>
                      <w:szCs w:val="21"/>
                      <w:highlight w:val="none"/>
                      <w14:textFill>
                        <w14:solidFill>
                          <w14:schemeClr w14:val="tx1"/>
                        </w14:solidFill>
                      </w14:textFill>
                    </w:rPr>
                  </w:pPr>
                </w:p>
              </w:tc>
            </w:tr>
            <w:tr w14:paraId="49BD285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1" w:type="pct"/>
                  <w:tcBorders>
                    <w:tl2br w:val="nil"/>
                    <w:tr2bl w:val="nil"/>
                  </w:tcBorders>
                  <w:shd w:val="clear" w:color="auto" w:fill="auto"/>
                  <w:noWrap/>
                  <w:vAlign w:val="center"/>
                </w:tcPr>
                <w:p w14:paraId="1DB8CF8E">
                  <w:pPr>
                    <w:keepNext w:val="0"/>
                    <w:keepLines w:val="0"/>
                    <w:suppressLineNumbers w:val="0"/>
                    <w:spacing w:before="0" w:beforeAutospacing="0" w:after="0" w:afterAutospacing="0" w:line="320" w:lineRule="exact"/>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SO</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2</w:t>
                  </w:r>
                </w:p>
              </w:tc>
              <w:tc>
                <w:tcPr>
                  <w:tcW w:w="721" w:type="pct"/>
                  <w:tcBorders>
                    <w:tl2br w:val="nil"/>
                    <w:tr2bl w:val="nil"/>
                  </w:tcBorders>
                  <w:shd w:val="clear" w:color="auto" w:fill="auto"/>
                  <w:noWrap/>
                  <w:vAlign w:val="center"/>
                </w:tcPr>
                <w:p w14:paraId="0BC33067">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年平均</w:t>
                  </w:r>
                </w:p>
              </w:tc>
              <w:tc>
                <w:tcPr>
                  <w:tcW w:w="1168" w:type="dxa"/>
                  <w:tcBorders>
                    <w:tl2br w:val="nil"/>
                    <w:tr2bl w:val="nil"/>
                  </w:tcBorders>
                  <w:shd w:val="clear" w:color="auto" w:fill="auto"/>
                  <w:noWrap/>
                  <w:vAlign w:val="center"/>
                </w:tcPr>
                <w:p w14:paraId="33371CC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9</w:t>
                  </w:r>
                </w:p>
              </w:tc>
              <w:tc>
                <w:tcPr>
                  <w:tcW w:w="721" w:type="pct"/>
                  <w:tcBorders>
                    <w:tl2br w:val="nil"/>
                    <w:tr2bl w:val="nil"/>
                  </w:tcBorders>
                  <w:shd w:val="clear" w:color="auto" w:fill="auto"/>
                  <w:noWrap/>
                  <w:vAlign w:val="center"/>
                </w:tcPr>
                <w:p w14:paraId="4EBCAE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60</w:t>
                  </w:r>
                </w:p>
              </w:tc>
              <w:tc>
                <w:tcPr>
                  <w:tcW w:w="1168" w:type="dxa"/>
                  <w:tcBorders>
                    <w:tl2br w:val="nil"/>
                    <w:tr2bl w:val="nil"/>
                  </w:tcBorders>
                  <w:shd w:val="clear" w:color="auto" w:fill="auto"/>
                  <w:noWrap/>
                  <w:vAlign w:val="center"/>
                </w:tcPr>
                <w:p w14:paraId="2E46AB2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15.0</w:t>
                  </w:r>
                </w:p>
              </w:tc>
              <w:tc>
                <w:tcPr>
                  <w:tcW w:w="722" w:type="pct"/>
                  <w:tcBorders>
                    <w:tl2br w:val="nil"/>
                    <w:tr2bl w:val="nil"/>
                  </w:tcBorders>
                  <w:shd w:val="clear" w:color="auto" w:fill="auto"/>
                  <w:noWrap/>
                  <w:vAlign w:val="center"/>
                </w:tcPr>
                <w:p w14:paraId="7CB0C42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达标</w:t>
                  </w:r>
                </w:p>
              </w:tc>
              <w:tc>
                <w:tcPr>
                  <w:tcW w:w="671" w:type="pct"/>
                  <w:vMerge w:val="continue"/>
                  <w:tcBorders>
                    <w:tl2br w:val="nil"/>
                    <w:tr2bl w:val="nil"/>
                  </w:tcBorders>
                  <w:shd w:val="clear" w:color="auto" w:fill="auto"/>
                  <w:noWrap/>
                  <w:vAlign w:val="center"/>
                </w:tcPr>
                <w:p w14:paraId="70F99D0C">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p>
              </w:tc>
            </w:tr>
            <w:tr w14:paraId="1BD8920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1" w:type="pct"/>
                  <w:tcBorders>
                    <w:tl2br w:val="nil"/>
                    <w:tr2bl w:val="nil"/>
                  </w:tcBorders>
                  <w:shd w:val="clear" w:color="auto" w:fill="auto"/>
                  <w:noWrap/>
                  <w:vAlign w:val="center"/>
                </w:tcPr>
                <w:p w14:paraId="3247CBC3">
                  <w:pPr>
                    <w:keepNext w:val="0"/>
                    <w:keepLines w:val="0"/>
                    <w:suppressLineNumbers w:val="0"/>
                    <w:spacing w:before="0" w:beforeAutospacing="0" w:after="0" w:afterAutospacing="0" w:line="320" w:lineRule="exact"/>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NO</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2</w:t>
                  </w:r>
                </w:p>
              </w:tc>
              <w:tc>
                <w:tcPr>
                  <w:tcW w:w="721" w:type="pct"/>
                  <w:tcBorders>
                    <w:tl2br w:val="nil"/>
                    <w:tr2bl w:val="nil"/>
                  </w:tcBorders>
                  <w:shd w:val="clear" w:color="auto" w:fill="auto"/>
                  <w:noWrap/>
                  <w:vAlign w:val="center"/>
                </w:tcPr>
                <w:p w14:paraId="2E03009C">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年平均</w:t>
                  </w:r>
                </w:p>
              </w:tc>
              <w:tc>
                <w:tcPr>
                  <w:tcW w:w="1168" w:type="dxa"/>
                  <w:tcBorders>
                    <w:tl2br w:val="nil"/>
                    <w:tr2bl w:val="nil"/>
                  </w:tcBorders>
                  <w:shd w:val="clear" w:color="auto" w:fill="auto"/>
                  <w:noWrap/>
                  <w:vAlign w:val="center"/>
                </w:tcPr>
                <w:p w14:paraId="60A6657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25</w:t>
                  </w:r>
                </w:p>
              </w:tc>
              <w:tc>
                <w:tcPr>
                  <w:tcW w:w="721" w:type="pct"/>
                  <w:tcBorders>
                    <w:tl2br w:val="nil"/>
                    <w:tr2bl w:val="nil"/>
                  </w:tcBorders>
                  <w:shd w:val="clear" w:color="auto" w:fill="auto"/>
                  <w:noWrap/>
                  <w:vAlign w:val="center"/>
                </w:tcPr>
                <w:p w14:paraId="0AE19495">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40</w:t>
                  </w:r>
                </w:p>
              </w:tc>
              <w:tc>
                <w:tcPr>
                  <w:tcW w:w="1168" w:type="dxa"/>
                  <w:tcBorders>
                    <w:tl2br w:val="nil"/>
                    <w:tr2bl w:val="nil"/>
                  </w:tcBorders>
                  <w:shd w:val="clear" w:color="auto" w:fill="auto"/>
                  <w:noWrap/>
                  <w:vAlign w:val="center"/>
                </w:tcPr>
                <w:p w14:paraId="7D3F0AC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62.5</w:t>
                  </w:r>
                </w:p>
              </w:tc>
              <w:tc>
                <w:tcPr>
                  <w:tcW w:w="722" w:type="pct"/>
                  <w:tcBorders>
                    <w:tl2br w:val="nil"/>
                    <w:tr2bl w:val="nil"/>
                  </w:tcBorders>
                  <w:shd w:val="clear" w:color="auto" w:fill="auto"/>
                  <w:noWrap/>
                  <w:vAlign w:val="center"/>
                </w:tcPr>
                <w:p w14:paraId="31E411F6">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达标</w:t>
                  </w:r>
                </w:p>
              </w:tc>
              <w:tc>
                <w:tcPr>
                  <w:tcW w:w="671" w:type="pct"/>
                  <w:vMerge w:val="continue"/>
                  <w:tcBorders>
                    <w:tl2br w:val="nil"/>
                    <w:tr2bl w:val="nil"/>
                  </w:tcBorders>
                  <w:shd w:val="clear" w:color="auto" w:fill="auto"/>
                  <w:noWrap/>
                  <w:vAlign w:val="center"/>
                </w:tcPr>
                <w:p w14:paraId="3DFADB5C">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p>
              </w:tc>
            </w:tr>
            <w:tr w14:paraId="45415FB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1" w:type="pct"/>
                  <w:tcBorders>
                    <w:tl2br w:val="nil"/>
                    <w:tr2bl w:val="nil"/>
                  </w:tcBorders>
                  <w:shd w:val="clear" w:color="auto" w:fill="auto"/>
                  <w:noWrap/>
                  <w:vAlign w:val="center"/>
                </w:tcPr>
                <w:p w14:paraId="17F62D85">
                  <w:pPr>
                    <w:keepNext w:val="0"/>
                    <w:keepLines w:val="0"/>
                    <w:suppressLineNumbers w:val="0"/>
                    <w:spacing w:before="0" w:beforeAutospacing="0" w:after="0" w:afterAutospacing="0" w:line="320" w:lineRule="exact"/>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CO</w:t>
                  </w:r>
                </w:p>
              </w:tc>
              <w:tc>
                <w:tcPr>
                  <w:tcW w:w="721" w:type="pct"/>
                  <w:tcBorders>
                    <w:tl2br w:val="nil"/>
                    <w:tr2bl w:val="nil"/>
                  </w:tcBorders>
                  <w:shd w:val="clear" w:color="auto" w:fill="auto"/>
                  <w:noWrap/>
                  <w:vAlign w:val="center"/>
                </w:tcPr>
                <w:p w14:paraId="57989C49">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24小时平均</w:t>
                  </w:r>
                </w:p>
              </w:tc>
              <w:tc>
                <w:tcPr>
                  <w:tcW w:w="1168" w:type="dxa"/>
                  <w:tcBorders>
                    <w:tl2br w:val="nil"/>
                    <w:tr2bl w:val="nil"/>
                  </w:tcBorders>
                  <w:shd w:val="clear" w:color="auto" w:fill="auto"/>
                  <w:noWrap/>
                  <w:vAlign w:val="center"/>
                </w:tcPr>
                <w:p w14:paraId="2F9E288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w:t>
                  </w:r>
                  <w:r>
                    <w:rPr>
                      <w:rFonts w:hint="eastAsia" w:cs="Times New Roman"/>
                      <w:color w:val="000000" w:themeColor="text1"/>
                      <w:sz w:val="21"/>
                      <w:szCs w:val="21"/>
                      <w:highlight w:val="none"/>
                      <w:lang w:val="en-US" w:eastAsia="zh-CN"/>
                      <w14:textFill>
                        <w14:solidFill>
                          <w14:schemeClr w14:val="tx1"/>
                        </w14:solidFill>
                      </w14:textFill>
                    </w:rPr>
                    <w:t>7</w:t>
                  </w:r>
                </w:p>
                <w:p w14:paraId="44DB4102">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mg/m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3</w:t>
                  </w:r>
                </w:p>
              </w:tc>
              <w:tc>
                <w:tcPr>
                  <w:tcW w:w="721" w:type="pct"/>
                  <w:tcBorders>
                    <w:tl2br w:val="nil"/>
                    <w:tr2bl w:val="nil"/>
                  </w:tcBorders>
                  <w:shd w:val="clear" w:color="auto" w:fill="auto"/>
                  <w:noWrap/>
                  <w:vAlign w:val="center"/>
                </w:tcPr>
                <w:p w14:paraId="6E763A68">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4.0</w:t>
                  </w:r>
                </w:p>
                <w:p w14:paraId="271A24EC">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mg/m</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3</w:t>
                  </w:r>
                </w:p>
              </w:tc>
              <w:tc>
                <w:tcPr>
                  <w:tcW w:w="1168" w:type="dxa"/>
                  <w:tcBorders>
                    <w:tl2br w:val="nil"/>
                    <w:tr2bl w:val="nil"/>
                  </w:tcBorders>
                  <w:shd w:val="clear" w:color="auto" w:fill="auto"/>
                  <w:noWrap/>
                  <w:vAlign w:val="center"/>
                </w:tcPr>
                <w:p w14:paraId="7456C27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42.5</w:t>
                  </w:r>
                </w:p>
              </w:tc>
              <w:tc>
                <w:tcPr>
                  <w:tcW w:w="722" w:type="pct"/>
                  <w:tcBorders>
                    <w:tl2br w:val="nil"/>
                    <w:tr2bl w:val="nil"/>
                  </w:tcBorders>
                  <w:shd w:val="clear" w:color="auto" w:fill="auto"/>
                  <w:noWrap/>
                  <w:vAlign w:val="center"/>
                </w:tcPr>
                <w:p w14:paraId="6F4D7BD6">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达标</w:t>
                  </w:r>
                </w:p>
              </w:tc>
              <w:tc>
                <w:tcPr>
                  <w:tcW w:w="671" w:type="pct"/>
                  <w:vMerge w:val="continue"/>
                  <w:tcBorders>
                    <w:tl2br w:val="nil"/>
                    <w:tr2bl w:val="nil"/>
                  </w:tcBorders>
                  <w:shd w:val="clear" w:color="auto" w:fill="auto"/>
                  <w:noWrap/>
                  <w:vAlign w:val="center"/>
                </w:tcPr>
                <w:p w14:paraId="3AFF8EB2">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p>
              </w:tc>
            </w:tr>
            <w:tr w14:paraId="21D0F74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1" w:type="pct"/>
                  <w:tcBorders>
                    <w:tl2br w:val="nil"/>
                    <w:tr2bl w:val="nil"/>
                  </w:tcBorders>
                  <w:shd w:val="clear" w:color="auto" w:fill="auto"/>
                  <w:noWrap/>
                  <w:vAlign w:val="center"/>
                </w:tcPr>
                <w:p w14:paraId="3107E529">
                  <w:pPr>
                    <w:keepNext w:val="0"/>
                    <w:keepLines w:val="0"/>
                    <w:suppressLineNumbers w:val="0"/>
                    <w:spacing w:before="0" w:beforeAutospacing="0" w:after="0" w:afterAutospacing="0" w:line="320" w:lineRule="exact"/>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O</w:t>
                  </w:r>
                  <w:r>
                    <w:rPr>
                      <w:rFonts w:hint="default" w:ascii="Times New Roman" w:hAnsi="Times New Roman" w:cs="Times New Roman"/>
                      <w:color w:val="000000" w:themeColor="text1"/>
                      <w:sz w:val="21"/>
                      <w:szCs w:val="21"/>
                      <w:highlight w:val="none"/>
                      <w:vertAlign w:val="subscript"/>
                      <w14:textFill>
                        <w14:solidFill>
                          <w14:schemeClr w14:val="tx1"/>
                        </w14:solidFill>
                      </w14:textFill>
                    </w:rPr>
                    <w:t>3</w:t>
                  </w:r>
                </w:p>
              </w:tc>
              <w:tc>
                <w:tcPr>
                  <w:tcW w:w="721" w:type="pct"/>
                  <w:tcBorders>
                    <w:tl2br w:val="nil"/>
                    <w:tr2bl w:val="nil"/>
                  </w:tcBorders>
                  <w:shd w:val="clear" w:color="auto" w:fill="auto"/>
                  <w:noWrap/>
                  <w:vAlign w:val="center"/>
                </w:tcPr>
                <w:p w14:paraId="6E91214A">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日最大8小时平均</w:t>
                  </w:r>
                </w:p>
              </w:tc>
              <w:tc>
                <w:tcPr>
                  <w:tcW w:w="1168" w:type="dxa"/>
                  <w:tcBorders>
                    <w:tl2br w:val="nil"/>
                    <w:tr2bl w:val="nil"/>
                  </w:tcBorders>
                  <w:shd w:val="clear" w:color="auto" w:fill="auto"/>
                  <w:noWrap/>
                  <w:vAlign w:val="center"/>
                </w:tcPr>
                <w:p w14:paraId="6AF18ED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131</w:t>
                  </w:r>
                </w:p>
              </w:tc>
              <w:tc>
                <w:tcPr>
                  <w:tcW w:w="721" w:type="pct"/>
                  <w:tcBorders>
                    <w:tl2br w:val="nil"/>
                    <w:tr2bl w:val="nil"/>
                  </w:tcBorders>
                  <w:shd w:val="clear" w:color="auto" w:fill="auto"/>
                  <w:noWrap/>
                  <w:vAlign w:val="center"/>
                </w:tcPr>
                <w:p w14:paraId="2892004B">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160</w:t>
                  </w:r>
                </w:p>
              </w:tc>
              <w:tc>
                <w:tcPr>
                  <w:tcW w:w="1168" w:type="dxa"/>
                  <w:tcBorders>
                    <w:tl2br w:val="nil"/>
                    <w:tr2bl w:val="nil"/>
                  </w:tcBorders>
                  <w:shd w:val="clear" w:color="auto" w:fill="auto"/>
                  <w:noWrap/>
                  <w:vAlign w:val="center"/>
                </w:tcPr>
                <w:p w14:paraId="5931260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81.9</w:t>
                  </w:r>
                </w:p>
              </w:tc>
              <w:tc>
                <w:tcPr>
                  <w:tcW w:w="722" w:type="pct"/>
                  <w:tcBorders>
                    <w:tl2br w:val="nil"/>
                    <w:tr2bl w:val="nil"/>
                  </w:tcBorders>
                  <w:shd w:val="clear" w:color="auto" w:fill="auto"/>
                  <w:noWrap/>
                  <w:vAlign w:val="center"/>
                </w:tcPr>
                <w:p w14:paraId="7C063B39">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达标</w:t>
                  </w:r>
                </w:p>
              </w:tc>
              <w:tc>
                <w:tcPr>
                  <w:tcW w:w="671" w:type="pct"/>
                  <w:vMerge w:val="continue"/>
                  <w:tcBorders>
                    <w:tl2br w:val="nil"/>
                    <w:tr2bl w:val="nil"/>
                  </w:tcBorders>
                  <w:shd w:val="clear" w:color="auto" w:fill="auto"/>
                  <w:noWrap/>
                  <w:vAlign w:val="center"/>
                </w:tcPr>
                <w:p w14:paraId="37B1E2EC">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p>
              </w:tc>
            </w:tr>
          </w:tbl>
          <w:p w14:paraId="7B7F8221">
            <w:pPr>
              <w:keepNext w:val="0"/>
              <w:keepLines w:val="0"/>
              <w:pageBreakBefore w:val="0"/>
              <w:widowControl w:val="0"/>
              <w:suppressLineNumbers w:val="0"/>
              <w:kinsoku/>
              <w:wordWrap/>
              <w:overflowPunct/>
              <w:topLinePunct w:val="0"/>
              <w:autoSpaceDE/>
              <w:autoSpaceDN/>
              <w:bidi w:val="0"/>
              <w:adjustRightInd w:val="0"/>
              <w:snapToGrid/>
              <w:spacing w:before="72" w:beforeLines="30" w:beforeAutospacing="0" w:after="72" w:afterLines="30" w:afterAutospacing="0" w:line="360" w:lineRule="auto"/>
              <w:ind w:left="0" w:right="0" w:firstLine="480" w:firstLineChars="200"/>
              <w:textAlignment w:val="auto"/>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由上表可见，本项目所在城市区域环境空气质量SO</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、NO</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、CO、O</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、PM</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10</w:t>
            </w:r>
            <w:r>
              <w:rPr>
                <w:rFonts w:hint="default" w:ascii="Times New Roman" w:hAnsi="Times New Roman" w:eastAsia="宋体" w:cs="Times New Roman"/>
                <w:color w:val="000000" w:themeColor="text1"/>
                <w:sz w:val="24"/>
                <w:szCs w:val="24"/>
                <w:highlight w:val="none"/>
                <w14:textFill>
                  <w14:solidFill>
                    <w14:schemeClr w14:val="tx1"/>
                  </w14:solidFill>
                </w14:textFill>
              </w:rPr>
              <w:t>评价结果达到（GB3095-20</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26</w:t>
            </w:r>
            <w:r>
              <w:rPr>
                <w:rFonts w:hint="default" w:ascii="Times New Roman" w:hAnsi="Times New Roman" w:eastAsia="宋体" w:cs="Times New Roman"/>
                <w:color w:val="000000" w:themeColor="text1"/>
                <w:sz w:val="24"/>
                <w:szCs w:val="24"/>
                <w:highlight w:val="none"/>
                <w14:textFill>
                  <w14:solidFill>
                    <w14:schemeClr w14:val="tx1"/>
                  </w14:solidFill>
                </w14:textFill>
              </w:rPr>
              <w:t>）中</w:t>
            </w:r>
            <w:r>
              <w:rPr>
                <w:rFonts w:hint="eastAsia" w:cs="Times New Roman"/>
                <w:color w:val="000000" w:themeColor="text1"/>
                <w:sz w:val="24"/>
                <w:szCs w:val="24"/>
                <w:highlight w:val="none"/>
                <w:lang w:val="en-US" w:eastAsia="zh-CN"/>
                <w14:textFill>
                  <w14:solidFill>
                    <w14:schemeClr w14:val="tx1"/>
                  </w14:solidFill>
                </w14:textFill>
              </w:rPr>
              <w:t>过渡阶段</w:t>
            </w:r>
            <w:r>
              <w:rPr>
                <w:rFonts w:hint="default" w:ascii="Times New Roman" w:hAnsi="Times New Roman" w:eastAsia="宋体" w:cs="Times New Roman"/>
                <w:color w:val="000000" w:themeColor="text1"/>
                <w:sz w:val="24"/>
                <w:szCs w:val="24"/>
                <w:highlight w:val="none"/>
                <w14:textFill>
                  <w14:solidFill>
                    <w14:schemeClr w14:val="tx1"/>
                  </w14:solidFill>
                </w14:textFill>
              </w:rPr>
              <w:t>二级标准要求</w:t>
            </w:r>
            <w:r>
              <w:rPr>
                <w:rFonts w:hint="eastAsia"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PM</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2.5</w:t>
            </w:r>
            <w:r>
              <w:rPr>
                <w:rFonts w:hint="default" w:ascii="Times New Roman" w:hAnsi="Times New Roman" w:eastAsia="宋体" w:cs="Times New Roman"/>
                <w:color w:val="000000" w:themeColor="text1"/>
                <w:sz w:val="24"/>
                <w:szCs w:val="24"/>
                <w:highlight w:val="none"/>
                <w14:textFill>
                  <w14:solidFill>
                    <w14:schemeClr w14:val="tx1"/>
                  </w14:solidFill>
                </w14:textFill>
              </w:rPr>
              <w:t>评价结果</w:t>
            </w:r>
            <w:r>
              <w:rPr>
                <w:rFonts w:hint="eastAsia" w:cs="Times New Roman"/>
                <w:color w:val="000000" w:themeColor="text1"/>
                <w:sz w:val="24"/>
                <w:szCs w:val="24"/>
                <w:highlight w:val="none"/>
                <w:lang w:val="en-US" w:eastAsia="zh-CN"/>
                <w14:textFill>
                  <w14:solidFill>
                    <w14:schemeClr w14:val="tx1"/>
                  </w14:solidFill>
                </w14:textFill>
              </w:rPr>
              <w:t>超出</w:t>
            </w:r>
            <w:r>
              <w:rPr>
                <w:rFonts w:hint="default" w:ascii="Times New Roman" w:hAnsi="Times New Roman" w:eastAsia="宋体" w:cs="Times New Roman"/>
                <w:color w:val="000000" w:themeColor="text1"/>
                <w:sz w:val="24"/>
                <w:szCs w:val="24"/>
                <w:highlight w:val="none"/>
                <w14:textFill>
                  <w14:solidFill>
                    <w14:schemeClr w14:val="tx1"/>
                  </w14:solidFill>
                </w14:textFill>
              </w:rPr>
              <w:t>（GB3095-20</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26</w:t>
            </w:r>
            <w:r>
              <w:rPr>
                <w:rFonts w:hint="default" w:ascii="Times New Roman" w:hAnsi="Times New Roman" w:eastAsia="宋体" w:cs="Times New Roman"/>
                <w:color w:val="000000" w:themeColor="text1"/>
                <w:sz w:val="24"/>
                <w:szCs w:val="24"/>
                <w:highlight w:val="none"/>
                <w14:textFill>
                  <w14:solidFill>
                    <w14:schemeClr w14:val="tx1"/>
                  </w14:solidFill>
                </w14:textFill>
              </w:rPr>
              <w:t>）中</w:t>
            </w:r>
            <w:r>
              <w:rPr>
                <w:rFonts w:hint="eastAsia" w:cs="Times New Roman"/>
                <w:color w:val="000000" w:themeColor="text1"/>
                <w:sz w:val="24"/>
                <w:szCs w:val="24"/>
                <w:highlight w:val="none"/>
                <w:lang w:val="en-US" w:eastAsia="zh-CN"/>
                <w14:textFill>
                  <w14:solidFill>
                    <w14:schemeClr w14:val="tx1"/>
                  </w14:solidFill>
                </w14:textFill>
              </w:rPr>
              <w:t>过渡阶段</w:t>
            </w:r>
            <w:r>
              <w:rPr>
                <w:rFonts w:hint="default" w:ascii="Times New Roman" w:hAnsi="Times New Roman" w:eastAsia="宋体" w:cs="Times New Roman"/>
                <w:color w:val="000000" w:themeColor="text1"/>
                <w:sz w:val="24"/>
                <w:szCs w:val="24"/>
                <w:highlight w:val="none"/>
                <w14:textFill>
                  <w14:solidFill>
                    <w14:schemeClr w14:val="tx1"/>
                  </w14:solidFill>
                </w14:textFill>
              </w:rPr>
              <w:t>二级标准要求</w:t>
            </w:r>
            <w:r>
              <w:rPr>
                <w:rFonts w:hint="eastAsia" w:cs="Times New Roman"/>
                <w:color w:val="000000" w:themeColor="text1"/>
                <w:sz w:val="24"/>
                <w:szCs w:val="24"/>
                <w:highlight w:val="none"/>
                <w:lang w:eastAsia="zh-CN"/>
                <w14:textFill>
                  <w14:solidFill>
                    <w14:schemeClr w14:val="tx1"/>
                  </w14:solidFill>
                </w14:textFill>
              </w:rPr>
              <w:t>，但随着《辽宁省空气质量持续改善行动实施方案》《辽宁省深入打好污染防治攻坚战实施方案》等的实施，通过采取优化产业结构，促进产业产品绿色升级，优化能源结构，加速能源清洁低碳高效发展，优化交通结构，大力发展绿色运输体系、强化面源污染治理，提升精细化管理水平、加强机制建设，完善大气环境管理体系等措施，项目所在区域环境空气质量将进一步得到改善。</w:t>
            </w:r>
          </w:p>
          <w:p w14:paraId="27C747E9">
            <w:pPr>
              <w:pStyle w:val="51"/>
              <w:keepNext w:val="0"/>
              <w:keepLines w:val="0"/>
              <w:pageBreakBefore w:val="0"/>
              <w:widowControl w:val="0"/>
              <w:suppressLineNumbers w:val="0"/>
              <w:kinsoku/>
              <w:wordWrap/>
              <w:overflowPunct/>
              <w:topLinePunct w:val="0"/>
              <w:autoSpaceDE/>
              <w:autoSpaceDN/>
              <w:bidi w:val="0"/>
              <w:adjustRightInd w:val="0"/>
              <w:snapToGrid w:val="0"/>
              <w:spacing w:before="157" w:beforeLines="50" w:beforeAutospacing="0" w:after="0" w:afterAutospacing="0"/>
              <w:ind w:left="0" w:right="0" w:firstLine="0" w:firstLineChars="0"/>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（2）</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特征</w:t>
            </w:r>
            <w:r>
              <w:rPr>
                <w:rFonts w:hint="default" w:ascii="Times New Roman" w:hAnsi="Times New Roman" w:cs="Times New Roman"/>
                <w:color w:val="000000" w:themeColor="text1"/>
                <w:sz w:val="24"/>
                <w:szCs w:val="24"/>
                <w:highlight w:val="none"/>
                <w14:textFill>
                  <w14:solidFill>
                    <w14:schemeClr w14:val="tx1"/>
                  </w14:solidFill>
                </w14:textFill>
              </w:rPr>
              <w:t>污染物</w:t>
            </w:r>
          </w:p>
          <w:p w14:paraId="4CD5CDB9">
            <w:pPr>
              <w:keepNext w:val="0"/>
              <w:keepLines w:val="0"/>
              <w:pageBreakBefore w:val="0"/>
              <w:widowControl w:val="0"/>
              <w:suppressLineNumbers w:val="0"/>
              <w:kinsoku/>
              <w:wordWrap/>
              <w:overflowPunct/>
              <w:topLinePunct w:val="0"/>
              <w:autoSpaceDE/>
              <w:autoSpaceDN/>
              <w:bidi w:val="0"/>
              <w:adjustRightInd w:val="0"/>
              <w:snapToGrid/>
              <w:spacing w:before="72" w:beforeLines="30" w:beforeAutospacing="0" w:after="72" w:afterLines="30" w:afterAutospacing="0" w:line="360" w:lineRule="auto"/>
              <w:ind w:left="0" w:right="0" w:firstLine="480"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根据《建设项目环境影响报告表编制技术指南（污染影响类）（试行）》：“排放国家、地方环境空气质量标准中有标准限值要求的特征污染物时，引用建设项目周边5千米范围内近3年的现有监测数据，无相关数据的选择当季主导风向下风向1个点位补充不少于3天的监测数据。”根据生态环境部环境工程评估中心2021年10月20日发布的《&lt;建设项目环境影响报告表&gt;内容、格式及编制技术指南及常见问题解答》中提到“排放国家、地方环境空气质量标准限值要求的特征污染物，其中环境空气质量标准指《环境空气质量标准》（GB3095）和地方环境空气质量标准，不包括《环境影响评价技术导则 大气环境（HJ2.2-2008）》附录D、《工业企业设计卫生标准》（TJ36-97）、《环境影响评价技术导则 制药建设项目》（HJ611-2011）、《大气污染物综合排放标准详解》等导则或参考资料。排放的特征污染物需要在国家、地方环境空气质量标准中有限值要求才涉及现状监测，且优先引用现有监测数据。”本项目特征污染物为TSP、NMHC、TVOC、氨气、硫化氢、臭气浓度，其中NMHC、TVOC、氨气、硫化氢、臭气浓度不在《环境空气质量标准》（GB3095）和地方环境空气质量标准内，因此本次评价对NMHC、TVOC、氨气、硫化氢、臭气浓度不进行补充监测，</w:t>
            </w:r>
            <w:r>
              <w:rPr>
                <w:rFonts w:hint="default" w:ascii="Times New Roman" w:hAnsi="Times New Roman" w:eastAsia="宋体" w:cs="Times New Roman"/>
                <w:color w:val="000000" w:themeColor="text1"/>
                <w:sz w:val="24"/>
                <w:szCs w:val="24"/>
                <w:highlight w:val="none"/>
                <w14:textFill>
                  <w14:solidFill>
                    <w14:schemeClr w14:val="tx1"/>
                  </w14:solidFill>
                </w14:textFill>
              </w:rPr>
              <w:t>项目周边TSP现状数据引用</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辽宁天圆检测有限责任公司于2025年4月21日至23日对《</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辽宁药联制药有限公司新增医药产品建设项目</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周边大气环境现状检测的数据。</w:t>
            </w:r>
          </w:p>
          <w:p w14:paraId="2E956D60">
            <w:pPr>
              <w:pStyle w:val="25"/>
              <w:keepNext w:val="0"/>
              <w:keepLines w:val="0"/>
              <w:suppressLineNumbers w:val="0"/>
              <w:spacing w:before="0" w:beforeAutospacing="0" w:after="0" w:afterAutospacing="0" w:line="360" w:lineRule="auto"/>
              <w:ind w:left="0" w:leftChars="0" w:right="0" w:firstLine="480" w:firstLineChars="200"/>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①监测点位：锦尚家园，距离本项目</w:t>
            </w:r>
            <w:r>
              <w:rPr>
                <w:rFonts w:hint="eastAsia" w:cs="Times New Roman"/>
                <w:color w:val="000000" w:themeColor="text1"/>
                <w:sz w:val="24"/>
                <w:highlight w:val="none"/>
                <w:lang w:val="en-US" w:eastAsia="zh-CN"/>
                <w14:textFill>
                  <w14:solidFill>
                    <w14:schemeClr w14:val="tx1"/>
                  </w14:solidFill>
                </w14:textFill>
              </w:rPr>
              <w:t>西</w:t>
            </w:r>
            <w:r>
              <w:rPr>
                <w:rFonts w:hint="default" w:ascii="Times New Roman" w:hAnsi="Times New Roman" w:eastAsia="宋体" w:cs="Times New Roman"/>
                <w:color w:val="000000" w:themeColor="text1"/>
                <w:sz w:val="24"/>
                <w:highlight w:val="none"/>
                <w14:textFill>
                  <w14:solidFill>
                    <w14:schemeClr w14:val="tx1"/>
                  </w14:solidFill>
                </w14:textFill>
              </w:rPr>
              <w:t>厂界约</w:t>
            </w:r>
            <w:r>
              <w:rPr>
                <w:rFonts w:hint="eastAsia" w:cs="Times New Roman"/>
                <w:color w:val="000000" w:themeColor="text1"/>
                <w:sz w:val="24"/>
                <w:highlight w:val="none"/>
                <w:lang w:val="en-US" w:eastAsia="zh-CN"/>
                <w14:textFill>
                  <w14:solidFill>
                    <w14:schemeClr w14:val="tx1"/>
                  </w14:solidFill>
                </w14:textFill>
              </w:rPr>
              <w:t>375</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sz w:val="24"/>
                <w:highlight w:val="none"/>
                <w14:textFill>
                  <w14:solidFill>
                    <w14:schemeClr w14:val="tx1"/>
                  </w14:solidFill>
                </w14:textFill>
              </w:rPr>
              <w:t>；</w:t>
            </w:r>
          </w:p>
          <w:p w14:paraId="1DC9AC1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②监测因子及监测频次：</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TSP，</w:t>
            </w:r>
            <w:r>
              <w:rPr>
                <w:rFonts w:hint="default" w:ascii="Times New Roman" w:hAnsi="Times New Roman" w:eastAsia="宋体" w:cs="Times New Roman"/>
                <w:color w:val="000000" w:themeColor="text1"/>
                <w:sz w:val="24"/>
                <w:highlight w:val="none"/>
                <w14:textFill>
                  <w14:solidFill>
                    <w14:schemeClr w14:val="tx1"/>
                  </w14:solidFill>
                </w14:textFill>
              </w:rPr>
              <w:t>检测</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highlight w:val="none"/>
                <w14:textFill>
                  <w14:solidFill>
                    <w14:schemeClr w14:val="tx1"/>
                  </w14:solidFill>
                </w14:textFill>
              </w:rPr>
              <w:t>天，每天1次；</w:t>
            </w:r>
          </w:p>
          <w:p w14:paraId="57DF6029">
            <w:pPr>
              <w:keepNext w:val="0"/>
              <w:keepLines w:val="0"/>
              <w:suppressLineNumbers w:val="0"/>
              <w:bidi w:val="0"/>
              <w:spacing w:before="0" w:beforeAutospacing="0" w:after="0" w:afterAutospacing="0" w:line="360" w:lineRule="auto"/>
              <w:ind w:left="0" w:right="0" w:firstLine="480" w:firstLineChars="200"/>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③监测结果</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highlight w:val="none"/>
                <w14:textFill>
                  <w14:solidFill>
                    <w14:schemeClr w14:val="tx1"/>
                  </w14:solidFill>
                </w14:textFill>
              </w:rPr>
              <w:t>监测结果见下表。</w:t>
            </w:r>
          </w:p>
          <w:p w14:paraId="34506CEA">
            <w:pPr>
              <w:keepNext w:val="0"/>
              <w:keepLines w:val="0"/>
              <w:pageBreakBefore w:val="0"/>
              <w:widowControl w:val="0"/>
              <w:numPr>
                <w:ilvl w:val="0"/>
                <w:numId w:val="24"/>
              </w:numPr>
              <w:suppressLineNumbers w:val="0"/>
              <w:kinsoku/>
              <w:wordWrap/>
              <w:overflowPunct/>
              <w:topLinePunct w:val="0"/>
              <w:autoSpaceDE/>
              <w:autoSpaceDN/>
              <w:bidi w:val="0"/>
              <w:adjustRightInd/>
              <w:snapToGrid w:val="0"/>
              <w:spacing w:before="157" w:beforeLines="5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 xml:space="preserve">  项目大气环境本底监测因子、点位、频次一览表</w:t>
            </w:r>
          </w:p>
          <w:tbl>
            <w:tblPr>
              <w:tblStyle w:val="35"/>
              <w:tblW w:w="8499" w:type="dxa"/>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1139"/>
              <w:gridCol w:w="1863"/>
              <w:gridCol w:w="3269"/>
              <w:gridCol w:w="2228"/>
            </w:tblGrid>
            <w:tr w14:paraId="05BB391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4" w:hRule="atLeast"/>
                <w:jc w:val="center"/>
              </w:trPr>
              <w:tc>
                <w:tcPr>
                  <w:tcW w:w="670" w:type="pct"/>
                  <w:tcBorders>
                    <w:tl2br w:val="nil"/>
                    <w:tr2bl w:val="nil"/>
                  </w:tcBorders>
                  <w:noWrap w:val="0"/>
                  <w:vAlign w:val="center"/>
                </w:tcPr>
                <w:p w14:paraId="6A06F0F8">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113"/>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类别</w:t>
                  </w:r>
                </w:p>
              </w:tc>
              <w:tc>
                <w:tcPr>
                  <w:tcW w:w="1096" w:type="pct"/>
                  <w:tcBorders>
                    <w:tl2br w:val="nil"/>
                    <w:tr2bl w:val="nil"/>
                  </w:tcBorders>
                  <w:noWrap w:val="0"/>
                  <w:vAlign w:val="center"/>
                </w:tcPr>
                <w:p w14:paraId="480AAD35">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113"/>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监测项目</w:t>
                  </w:r>
                </w:p>
              </w:tc>
              <w:tc>
                <w:tcPr>
                  <w:tcW w:w="1923" w:type="pct"/>
                  <w:tcBorders>
                    <w:tl2br w:val="nil"/>
                    <w:tr2bl w:val="nil"/>
                  </w:tcBorders>
                  <w:noWrap w:val="0"/>
                  <w:vAlign w:val="center"/>
                </w:tcPr>
                <w:p w14:paraId="473E55F1">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113"/>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监测点位</w:t>
                  </w:r>
                </w:p>
              </w:tc>
              <w:tc>
                <w:tcPr>
                  <w:tcW w:w="1310" w:type="pct"/>
                  <w:tcBorders>
                    <w:tl2br w:val="nil"/>
                    <w:tr2bl w:val="nil"/>
                  </w:tcBorders>
                  <w:noWrap w:val="0"/>
                  <w:vAlign w:val="center"/>
                </w:tcPr>
                <w:p w14:paraId="2AA4FD08">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113"/>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监测频次</w:t>
                  </w:r>
                </w:p>
              </w:tc>
            </w:tr>
            <w:tr w14:paraId="034BF09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503" w:hRule="atLeast"/>
                <w:jc w:val="center"/>
              </w:trPr>
              <w:tc>
                <w:tcPr>
                  <w:tcW w:w="670" w:type="pct"/>
                  <w:tcBorders>
                    <w:tl2br w:val="nil"/>
                    <w:tr2bl w:val="nil"/>
                  </w:tcBorders>
                  <w:noWrap w:val="0"/>
                  <w:tcMar>
                    <w:left w:w="0" w:type="dxa"/>
                    <w:right w:w="0" w:type="dxa"/>
                  </w:tcMar>
                  <w:vAlign w:val="center"/>
                </w:tcPr>
                <w:p w14:paraId="7C8AF413">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113"/>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本底</w:t>
                  </w:r>
                </w:p>
              </w:tc>
              <w:tc>
                <w:tcPr>
                  <w:tcW w:w="1096" w:type="pct"/>
                  <w:tcBorders>
                    <w:tl2br w:val="nil"/>
                    <w:tr2bl w:val="nil"/>
                  </w:tcBorders>
                  <w:noWrap w:val="0"/>
                  <w:vAlign w:val="center"/>
                </w:tcPr>
                <w:p w14:paraId="0385FB74">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113"/>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TSP</w:t>
                  </w:r>
                </w:p>
              </w:tc>
              <w:tc>
                <w:tcPr>
                  <w:tcW w:w="1923" w:type="pct"/>
                  <w:tcBorders>
                    <w:tl2br w:val="nil"/>
                    <w:tr2bl w:val="nil"/>
                  </w:tcBorders>
                  <w:noWrap w:val="0"/>
                  <w:vAlign w:val="center"/>
                </w:tcPr>
                <w:p w14:paraId="5BBAEDA5">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113"/>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厂址</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西</w:t>
                  </w:r>
                  <w:r>
                    <w:rPr>
                      <w:rFonts w:hint="default" w:ascii="Times New Roman" w:hAnsi="Times New Roman" w:eastAsia="宋体" w:cs="Times New Roman"/>
                      <w:color w:val="000000" w:themeColor="text1"/>
                      <w:sz w:val="21"/>
                      <w:szCs w:val="21"/>
                      <w:highlight w:val="none"/>
                      <w14:textFill>
                        <w14:solidFill>
                          <w14:schemeClr w14:val="tx1"/>
                        </w14:solidFill>
                      </w14:textFill>
                    </w:rPr>
                    <w:t>侧</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375</w:t>
                  </w:r>
                  <w:r>
                    <w:rPr>
                      <w:rFonts w:hint="default" w:ascii="Times New Roman" w:hAnsi="Times New Roman" w:eastAsia="宋体" w:cs="Times New Roman"/>
                      <w:color w:val="000000" w:themeColor="text1"/>
                      <w:sz w:val="21"/>
                      <w:szCs w:val="21"/>
                      <w:highlight w:val="none"/>
                      <w14:textFill>
                        <w14:solidFill>
                          <w14:schemeClr w14:val="tx1"/>
                        </w14:solidFill>
                      </w14:textFill>
                    </w:rPr>
                    <w:t>m处</w:t>
                  </w:r>
                </w:p>
              </w:tc>
              <w:tc>
                <w:tcPr>
                  <w:tcW w:w="1310" w:type="pct"/>
                  <w:tcBorders>
                    <w:tl2br w:val="nil"/>
                    <w:tr2bl w:val="nil"/>
                  </w:tcBorders>
                  <w:noWrap w:val="0"/>
                  <w:vAlign w:val="center"/>
                </w:tcPr>
                <w:p w14:paraId="2BBC0A1B">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113"/>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日均值</w:t>
                  </w:r>
                </w:p>
              </w:tc>
            </w:tr>
          </w:tbl>
          <w:p w14:paraId="669D9B3A">
            <w:pPr>
              <w:keepNext w:val="0"/>
              <w:keepLines w:val="0"/>
              <w:pageBreakBefore w:val="0"/>
              <w:widowControl w:val="0"/>
              <w:numPr>
                <w:ilvl w:val="0"/>
                <w:numId w:val="24"/>
              </w:numPr>
              <w:suppressLineNumbers w:val="0"/>
              <w:kinsoku/>
              <w:wordWrap/>
              <w:overflowPunct/>
              <w:topLinePunct w:val="0"/>
              <w:autoSpaceDE/>
              <w:autoSpaceDN/>
              <w:bidi w:val="0"/>
              <w:adjustRightInd/>
              <w:snapToGrid w:val="0"/>
              <w:spacing w:before="157" w:beforeLines="5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 xml:space="preserve"> 项目总悬浮颗粒物日均值监测结果一览表</w:t>
            </w:r>
          </w:p>
          <w:tbl>
            <w:tblPr>
              <w:tblStyle w:val="35"/>
              <w:tblW w:w="4997"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1269"/>
              <w:gridCol w:w="635"/>
              <w:gridCol w:w="1076"/>
              <w:gridCol w:w="1146"/>
              <w:gridCol w:w="1277"/>
              <w:gridCol w:w="1238"/>
              <w:gridCol w:w="832"/>
              <w:gridCol w:w="839"/>
            </w:tblGrid>
            <w:tr w14:paraId="2CFFC9D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57" w:type="dxa"/>
                  <w:bottom w:w="0" w:type="dxa"/>
                  <w:right w:w="57" w:type="dxa"/>
                </w:tblCellMar>
              </w:tblPrEx>
              <w:trPr>
                <w:cantSplit/>
                <w:trHeight w:val="416" w:hRule="atLeast"/>
                <w:jc w:val="center"/>
              </w:trPr>
              <w:tc>
                <w:tcPr>
                  <w:tcW w:w="763" w:type="pct"/>
                  <w:vMerge w:val="restart"/>
                  <w:noWrap w:val="0"/>
                  <w:vAlign w:val="center"/>
                </w:tcPr>
                <w:p w14:paraId="69A26031">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113"/>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监测</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点位</w:t>
                  </w:r>
                </w:p>
                <w:p w14:paraId="197ED7CC">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113"/>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名称</w:t>
                  </w:r>
                </w:p>
              </w:tc>
              <w:tc>
                <w:tcPr>
                  <w:tcW w:w="1029" w:type="pct"/>
                  <w:gridSpan w:val="2"/>
                  <w:vMerge w:val="restart"/>
                  <w:noWrap w:val="0"/>
                  <w:vAlign w:val="center"/>
                </w:tcPr>
                <w:p w14:paraId="602B32E3">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113"/>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监测因子</w:t>
                  </w:r>
                </w:p>
              </w:tc>
              <w:tc>
                <w:tcPr>
                  <w:tcW w:w="689" w:type="pct"/>
                  <w:vMerge w:val="restart"/>
                  <w:noWrap w:val="0"/>
                  <w:vAlign w:val="center"/>
                </w:tcPr>
                <w:p w14:paraId="6EBFC282">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113"/>
                    <w:textAlignment w:val="auto"/>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标准</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mg/m</w:t>
                  </w:r>
                  <w:r>
                    <w:rPr>
                      <w:rFonts w:hint="default" w:ascii="Times New Roman" w:hAnsi="Times New Roman" w:eastAsia="宋体" w:cs="Times New Roman"/>
                      <w:b/>
                      <w:bCs/>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w:t>
                  </w:r>
                </w:p>
              </w:tc>
              <w:tc>
                <w:tcPr>
                  <w:tcW w:w="768" w:type="pct"/>
                  <w:vMerge w:val="restart"/>
                  <w:noWrap w:val="0"/>
                  <w:vAlign w:val="center"/>
                </w:tcPr>
                <w:p w14:paraId="5A01C402">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113"/>
                    <w:textAlignment w:val="auto"/>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监测浓度范围</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mg/m</w:t>
                  </w:r>
                  <w:r>
                    <w:rPr>
                      <w:rFonts w:hint="default" w:ascii="Times New Roman" w:hAnsi="Times New Roman" w:eastAsia="宋体" w:cs="Times New Roman"/>
                      <w:b/>
                      <w:bCs/>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w:t>
                  </w:r>
                </w:p>
              </w:tc>
              <w:tc>
                <w:tcPr>
                  <w:tcW w:w="744" w:type="pct"/>
                  <w:vMerge w:val="restart"/>
                  <w:noWrap w:val="0"/>
                  <w:vAlign w:val="center"/>
                </w:tcPr>
                <w:p w14:paraId="4089C834">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113"/>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最大浓度占标率/%</w:t>
                  </w:r>
                </w:p>
              </w:tc>
              <w:tc>
                <w:tcPr>
                  <w:tcW w:w="500" w:type="pct"/>
                  <w:vMerge w:val="restart"/>
                  <w:noWrap w:val="0"/>
                  <w:vAlign w:val="center"/>
                </w:tcPr>
                <w:p w14:paraId="52CB3DF0">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113"/>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超标频率/%</w:t>
                  </w:r>
                </w:p>
              </w:tc>
              <w:tc>
                <w:tcPr>
                  <w:tcW w:w="504" w:type="pct"/>
                  <w:vMerge w:val="restart"/>
                  <w:noWrap w:val="0"/>
                  <w:vAlign w:val="center"/>
                </w:tcPr>
                <w:p w14:paraId="5F82958A">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113"/>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达标</w:t>
                  </w:r>
                </w:p>
                <w:p w14:paraId="588FE0C0">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113"/>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情况</w:t>
                  </w:r>
                </w:p>
              </w:tc>
            </w:tr>
            <w:tr w14:paraId="2F29D7A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57" w:type="dxa"/>
                  <w:bottom w:w="0" w:type="dxa"/>
                  <w:right w:w="57" w:type="dxa"/>
                </w:tblCellMar>
              </w:tblPrEx>
              <w:trPr>
                <w:cantSplit/>
                <w:trHeight w:val="535" w:hRule="atLeast"/>
                <w:jc w:val="center"/>
              </w:trPr>
              <w:tc>
                <w:tcPr>
                  <w:tcW w:w="763" w:type="pct"/>
                  <w:vMerge w:val="continue"/>
                  <w:noWrap w:val="0"/>
                  <w:vAlign w:val="center"/>
                </w:tcPr>
                <w:p w14:paraId="3E720801">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113"/>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029" w:type="pct"/>
                  <w:gridSpan w:val="2"/>
                  <w:vMerge w:val="continue"/>
                  <w:noWrap w:val="0"/>
                  <w:vAlign w:val="center"/>
                </w:tcPr>
                <w:p w14:paraId="7DFF5B15">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113"/>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689" w:type="pct"/>
                  <w:vMerge w:val="continue"/>
                  <w:noWrap w:val="0"/>
                  <w:vAlign w:val="center"/>
                </w:tcPr>
                <w:p w14:paraId="1347E131">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113"/>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768" w:type="pct"/>
                  <w:vMerge w:val="continue"/>
                  <w:noWrap w:val="0"/>
                  <w:vAlign w:val="center"/>
                </w:tcPr>
                <w:p w14:paraId="31AA58BB">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113"/>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744" w:type="pct"/>
                  <w:vMerge w:val="continue"/>
                  <w:noWrap w:val="0"/>
                  <w:vAlign w:val="center"/>
                </w:tcPr>
                <w:p w14:paraId="2ADF85EF">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113"/>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00" w:type="pct"/>
                  <w:vMerge w:val="continue"/>
                  <w:noWrap w:val="0"/>
                  <w:vAlign w:val="center"/>
                </w:tcPr>
                <w:p w14:paraId="699327AB">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113"/>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04" w:type="pct"/>
                  <w:vMerge w:val="continue"/>
                  <w:noWrap w:val="0"/>
                  <w:vAlign w:val="center"/>
                </w:tcPr>
                <w:p w14:paraId="77E02B14">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113"/>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76F6F07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57" w:type="dxa"/>
                  <w:bottom w:w="0" w:type="dxa"/>
                  <w:right w:w="57" w:type="dxa"/>
                </w:tblCellMar>
              </w:tblPrEx>
              <w:trPr>
                <w:cantSplit/>
                <w:trHeight w:val="710" w:hRule="atLeast"/>
                <w:jc w:val="center"/>
              </w:trPr>
              <w:tc>
                <w:tcPr>
                  <w:tcW w:w="763" w:type="pct"/>
                  <w:noWrap w:val="0"/>
                  <w:vAlign w:val="center"/>
                </w:tcPr>
                <w:p w14:paraId="369C7D73">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113"/>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锦尚家园</w:t>
                  </w:r>
                </w:p>
              </w:tc>
              <w:tc>
                <w:tcPr>
                  <w:tcW w:w="382" w:type="pct"/>
                  <w:noWrap w:val="0"/>
                  <w:tcMar>
                    <w:top w:w="0" w:type="dxa"/>
                    <w:left w:w="28" w:type="dxa"/>
                    <w:bottom w:w="0" w:type="dxa"/>
                    <w:right w:w="28" w:type="dxa"/>
                  </w:tcMar>
                  <w:vAlign w:val="center"/>
                </w:tcPr>
                <w:p w14:paraId="4F39CE73">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113"/>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TSP</w:t>
                  </w:r>
                </w:p>
              </w:tc>
              <w:tc>
                <w:tcPr>
                  <w:tcW w:w="647" w:type="pct"/>
                  <w:noWrap w:val="0"/>
                  <w:tcMar>
                    <w:top w:w="0" w:type="dxa"/>
                    <w:left w:w="28" w:type="dxa"/>
                    <w:bottom w:w="0" w:type="dxa"/>
                    <w:right w:w="28" w:type="dxa"/>
                  </w:tcMar>
                  <w:vAlign w:val="center"/>
                </w:tcPr>
                <w:p w14:paraId="535EDAEE">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113"/>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24h平均</w:t>
                  </w:r>
                </w:p>
              </w:tc>
              <w:tc>
                <w:tcPr>
                  <w:tcW w:w="689" w:type="pct"/>
                  <w:noWrap w:val="0"/>
                  <w:tcMar>
                    <w:top w:w="0" w:type="dxa"/>
                    <w:left w:w="28" w:type="dxa"/>
                    <w:bottom w:w="0" w:type="dxa"/>
                    <w:right w:w="28" w:type="dxa"/>
                  </w:tcMar>
                  <w:vAlign w:val="center"/>
                </w:tcPr>
                <w:p w14:paraId="69316BAD">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113"/>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0.3</w:t>
                  </w:r>
                </w:p>
              </w:tc>
              <w:tc>
                <w:tcPr>
                  <w:tcW w:w="768" w:type="pct"/>
                  <w:noWrap w:val="0"/>
                  <w:tcMar>
                    <w:top w:w="0" w:type="dxa"/>
                    <w:left w:w="28" w:type="dxa"/>
                    <w:bottom w:w="0" w:type="dxa"/>
                    <w:right w:w="28" w:type="dxa"/>
                  </w:tcMar>
                  <w:vAlign w:val="center"/>
                </w:tcPr>
                <w:p w14:paraId="469EC38C">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113"/>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0.20～0.22</w:t>
                  </w:r>
                </w:p>
              </w:tc>
              <w:tc>
                <w:tcPr>
                  <w:tcW w:w="744" w:type="pct"/>
                  <w:noWrap w:val="0"/>
                  <w:tcMar>
                    <w:top w:w="0" w:type="dxa"/>
                    <w:left w:w="28" w:type="dxa"/>
                    <w:bottom w:w="0" w:type="dxa"/>
                    <w:right w:w="28" w:type="dxa"/>
                  </w:tcMar>
                  <w:vAlign w:val="center"/>
                </w:tcPr>
                <w:p w14:paraId="6D6DDA14">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113"/>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73.3</w:t>
                  </w:r>
                </w:p>
              </w:tc>
              <w:tc>
                <w:tcPr>
                  <w:tcW w:w="500" w:type="pct"/>
                  <w:noWrap w:val="0"/>
                  <w:tcMar>
                    <w:top w:w="0" w:type="dxa"/>
                    <w:left w:w="28" w:type="dxa"/>
                    <w:bottom w:w="0" w:type="dxa"/>
                    <w:right w:w="28" w:type="dxa"/>
                  </w:tcMar>
                  <w:vAlign w:val="center"/>
                </w:tcPr>
                <w:p w14:paraId="0FA4E254">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113"/>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0</w:t>
                  </w:r>
                </w:p>
              </w:tc>
              <w:tc>
                <w:tcPr>
                  <w:tcW w:w="504" w:type="pct"/>
                  <w:noWrap w:val="0"/>
                  <w:tcMar>
                    <w:top w:w="0" w:type="dxa"/>
                    <w:left w:w="28" w:type="dxa"/>
                    <w:bottom w:w="0" w:type="dxa"/>
                    <w:right w:w="28" w:type="dxa"/>
                  </w:tcMar>
                  <w:vAlign w:val="center"/>
                </w:tcPr>
                <w:p w14:paraId="2BBCD65E">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ind w:left="0" w:right="113"/>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达标</w:t>
                  </w:r>
                </w:p>
              </w:tc>
            </w:tr>
          </w:tbl>
          <w:p w14:paraId="5913EE95">
            <w:pPr>
              <w:keepNext w:val="0"/>
              <w:keepLines w:val="0"/>
              <w:pageBreakBefore w:val="0"/>
              <w:widowControl w:val="0"/>
              <w:suppressLineNumbers w:val="0"/>
              <w:kinsoku/>
              <w:wordWrap/>
              <w:overflowPunct/>
              <w:topLinePunct w:val="0"/>
              <w:autoSpaceDE/>
              <w:autoSpaceDN/>
              <w:bidi w:val="0"/>
              <w:adjustRightInd w:val="0"/>
              <w:snapToGrid/>
              <w:spacing w:before="72" w:beforeLines="30" w:beforeAutospacing="0" w:after="72" w:afterLines="3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由表3-3可以看出，评价区域总悬浮颗粒物现状监测浓度满足《环境空气质量标准》（</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GB3095-2026</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）中二级标准</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要求</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1ED820EC">
            <w:pPr>
              <w:keepNext w:val="0"/>
              <w:keepLines w:val="0"/>
              <w:suppressLineNumbers w:val="0"/>
              <w:adjustRightInd w:val="0"/>
              <w:spacing w:before="72" w:beforeLines="30" w:beforeAutospacing="0" w:after="72" w:afterLines="30" w:afterAutospacing="0" w:line="360" w:lineRule="auto"/>
              <w:ind w:left="0" w:right="0"/>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t>2、声环境质量现状</w:t>
            </w:r>
          </w:p>
          <w:p w14:paraId="7600D012">
            <w:pPr>
              <w:keepNext w:val="0"/>
              <w:keepLines w:val="0"/>
              <w:widowControl w:val="0"/>
              <w:suppressLineNumbers w:val="0"/>
              <w:wordWrap/>
              <w:adjustRightInd/>
              <w:snapToGrid/>
              <w:spacing w:before="0" w:beforeAutospacing="0" w:after="0" w:afterAutospacing="0" w:line="360" w:lineRule="auto"/>
              <w:ind w:left="0" w:right="0" w:firstLine="480" w:firstLineChars="200"/>
              <w:textAlignment w:val="auto"/>
              <w:outlineLvl w:val="2"/>
              <w:rPr>
                <w:rFonts w:hint="default" w:ascii="Times New Roman" w:hAnsi="Times New Roman" w:eastAsia="宋体" w:cs="Times New Roman"/>
                <w:color w:val="000000" w:themeColor="text1"/>
                <w:kern w:val="0"/>
                <w:sz w:val="24"/>
                <w:szCs w:val="20"/>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0"/>
                <w:highlight w:val="none"/>
                <w14:textFill>
                  <w14:solidFill>
                    <w14:schemeClr w14:val="tx1"/>
                  </w14:solidFill>
                </w14:textFill>
              </w:rPr>
              <w:t>根据《建设项目环境影响报告表编制技术指南（污染影响类）（试行）》</w:t>
            </w:r>
            <w:r>
              <w:rPr>
                <w:rFonts w:hint="default" w:ascii="Times New Roman" w:hAnsi="Times New Roman" w:eastAsia="宋体" w:cs="Times New Roman"/>
                <w:color w:val="000000" w:themeColor="text1"/>
                <w:kern w:val="0"/>
                <w:sz w:val="24"/>
                <w:szCs w:val="20"/>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4"/>
                <w:szCs w:val="20"/>
                <w:highlight w:val="none"/>
                <w14:textFill>
                  <w14:solidFill>
                    <w14:schemeClr w14:val="tx1"/>
                  </w14:solidFill>
                </w14:textFill>
              </w:rPr>
              <w:t>声环境。厂界外周边50</w:t>
            </w:r>
            <w:r>
              <w:rPr>
                <w:rFonts w:hint="default" w:ascii="Times New Roman" w:hAnsi="Times New Roman" w:eastAsia="宋体" w:cs="Times New Roman"/>
                <w:color w:val="000000" w:themeColor="text1"/>
                <w:kern w:val="0"/>
                <w:sz w:val="24"/>
                <w:szCs w:val="20"/>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kern w:val="0"/>
                <w:sz w:val="24"/>
                <w:szCs w:val="20"/>
                <w:highlight w:val="none"/>
                <w14:textFill>
                  <w14:solidFill>
                    <w14:schemeClr w14:val="tx1"/>
                  </w14:solidFill>
                </w14:textFill>
              </w:rPr>
              <w:t>范围内存在声环境保护目标的建设项目，应监测保护目标声环境质量现状并评价达标情况。各点位应监测昼夜间噪声，监测时间不少于1天，项目夜间不生产则仅监测昼间噪声。</w:t>
            </w:r>
            <w:r>
              <w:rPr>
                <w:rFonts w:hint="default" w:ascii="Times New Roman" w:hAnsi="Times New Roman" w:eastAsia="宋体" w:cs="Times New Roman"/>
                <w:color w:val="000000" w:themeColor="text1"/>
                <w:kern w:val="0"/>
                <w:sz w:val="24"/>
                <w:szCs w:val="20"/>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4"/>
                <w:szCs w:val="20"/>
                <w:highlight w:val="none"/>
                <w:lang w:val="en-US" w:eastAsia="zh-CN"/>
                <w14:textFill>
                  <w14:solidFill>
                    <w14:schemeClr w14:val="tx1"/>
                  </w14:solidFill>
                </w14:textFill>
              </w:rPr>
              <w:t>经调查，</w:t>
            </w:r>
            <w:r>
              <w:rPr>
                <w:rFonts w:hint="default" w:ascii="Times New Roman" w:hAnsi="Times New Roman" w:eastAsia="宋体" w:cs="Times New Roman"/>
                <w:color w:val="000000" w:themeColor="text1"/>
                <w:kern w:val="0"/>
                <w:sz w:val="24"/>
                <w:szCs w:val="20"/>
                <w:highlight w:val="none"/>
                <w14:textFill>
                  <w14:solidFill>
                    <w14:schemeClr w14:val="tx1"/>
                  </w14:solidFill>
                </w14:textFill>
              </w:rPr>
              <w:t>本项目</w:t>
            </w:r>
            <w:r>
              <w:rPr>
                <w:rFonts w:hint="default" w:ascii="Times New Roman" w:hAnsi="Times New Roman" w:eastAsia="宋体" w:cs="Times New Roman"/>
                <w:color w:val="000000" w:themeColor="text1"/>
                <w:kern w:val="0"/>
                <w:sz w:val="24"/>
                <w:szCs w:val="20"/>
                <w:highlight w:val="none"/>
                <w:lang w:val="en-US" w:eastAsia="zh-CN"/>
                <w14:textFill>
                  <w14:solidFill>
                    <w14:schemeClr w14:val="tx1"/>
                  </w14:solidFill>
                </w14:textFill>
              </w:rPr>
              <w:t>厂界外</w:t>
            </w:r>
            <w:r>
              <w:rPr>
                <w:rFonts w:hint="eastAsia" w:eastAsia="宋体" w:cs="Times New Roman"/>
                <w:color w:val="000000" w:themeColor="text1"/>
                <w:kern w:val="0"/>
                <w:sz w:val="24"/>
                <w:szCs w:val="20"/>
                <w:highlight w:val="none"/>
                <w:lang w:val="en-US" w:eastAsia="zh-CN"/>
                <w14:textFill>
                  <w14:solidFill>
                    <w14:schemeClr w14:val="tx1"/>
                  </w14:solidFill>
                </w14:textFill>
              </w:rPr>
              <w:t>南侧</w:t>
            </w:r>
            <w:r>
              <w:rPr>
                <w:rFonts w:hint="default" w:ascii="Times New Roman" w:hAnsi="Times New Roman" w:eastAsia="宋体" w:cs="Times New Roman"/>
                <w:color w:val="000000" w:themeColor="text1"/>
                <w:kern w:val="0"/>
                <w:sz w:val="24"/>
                <w:szCs w:val="20"/>
                <w:highlight w:val="none"/>
                <w:lang w:val="en-US" w:eastAsia="zh-CN"/>
                <w14:textFill>
                  <w14:solidFill>
                    <w14:schemeClr w14:val="tx1"/>
                  </w14:solidFill>
                </w14:textFill>
              </w:rPr>
              <w:t>50m范围内环境保护目标为本溪高新区公共行政服务中心</w:t>
            </w:r>
            <w:r>
              <w:rPr>
                <w:rFonts w:hint="eastAsia" w:eastAsia="宋体" w:cs="Times New Roman"/>
                <w:color w:val="000000" w:themeColor="text1"/>
                <w:kern w:val="0"/>
                <w:sz w:val="24"/>
                <w:szCs w:val="20"/>
                <w:highlight w:val="none"/>
                <w:lang w:val="en-US" w:eastAsia="zh-CN"/>
                <w14:textFill>
                  <w14:solidFill>
                    <w14:schemeClr w14:val="tx1"/>
                  </w14:solidFill>
                </w14:textFill>
              </w:rPr>
              <w:t>；西</w:t>
            </w:r>
            <w:r>
              <w:rPr>
                <w:rFonts w:hint="default" w:ascii="Times New Roman" w:hAnsi="Times New Roman" w:eastAsia="宋体" w:cs="Times New Roman"/>
                <w:color w:val="000000" w:themeColor="text1"/>
                <w:kern w:val="0"/>
                <w:sz w:val="24"/>
                <w:szCs w:val="20"/>
                <w:highlight w:val="none"/>
                <w:lang w:val="en-US" w:eastAsia="zh-CN"/>
                <w14:textFill>
                  <w14:solidFill>
                    <w14:schemeClr w14:val="tx1"/>
                  </w14:solidFill>
                </w14:textFill>
              </w:rPr>
              <w:t>侧50m范围内环境保护目标为</w:t>
            </w:r>
            <w:r>
              <w:rPr>
                <w:rFonts w:hint="default" w:ascii="Times New Roman" w:hAnsi="Times New Roman" w:eastAsia="宋体" w:cs="Times New Roman"/>
                <w:color w:val="000000" w:themeColor="text1"/>
                <w:kern w:val="0"/>
                <w:sz w:val="24"/>
                <w:szCs w:val="20"/>
                <w:highlight w:val="none"/>
                <w14:textFill>
                  <w14:solidFill>
                    <w14:schemeClr w14:val="tx1"/>
                  </w14:solidFill>
                </w14:textFill>
              </w:rPr>
              <w:t>本溪高新技术产业开发区管理委员会</w:t>
            </w:r>
            <w:r>
              <w:rPr>
                <w:rFonts w:hint="eastAsia" w:eastAsia="宋体" w:cs="Times New Roman"/>
                <w:color w:val="000000" w:themeColor="text1"/>
                <w:kern w:val="0"/>
                <w:sz w:val="24"/>
                <w:szCs w:val="20"/>
                <w:highlight w:val="none"/>
                <w:lang w:eastAsia="zh-CN"/>
                <w14:textFill>
                  <w14:solidFill>
                    <w14:schemeClr w14:val="tx1"/>
                  </w14:solidFill>
                </w14:textFill>
              </w:rPr>
              <w:t>、旺力新天地</w:t>
            </w:r>
            <w:r>
              <w:rPr>
                <w:rFonts w:hint="default" w:ascii="Times New Roman" w:hAnsi="Times New Roman" w:eastAsia="宋体" w:cs="Times New Roman"/>
                <w:color w:val="000000" w:themeColor="text1"/>
                <w:kern w:val="0"/>
                <w:sz w:val="24"/>
                <w:szCs w:val="20"/>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4"/>
                <w:szCs w:val="20"/>
                <w:highlight w:val="none"/>
                <w:lang w:val="en-US" w:eastAsia="zh-CN"/>
                <w14:textFill>
                  <w14:solidFill>
                    <w14:schemeClr w14:val="tx1"/>
                  </w14:solidFill>
                </w14:textFill>
              </w:rPr>
              <w:t>本项目夜间不生产，所以本次评价委托</w:t>
            </w:r>
            <w:r>
              <w:rPr>
                <w:rFonts w:hint="eastAsia" w:cs="Times New Roman"/>
                <w:color w:val="000000" w:themeColor="text1"/>
                <w:kern w:val="0"/>
                <w:sz w:val="24"/>
                <w:szCs w:val="20"/>
                <w:highlight w:val="none"/>
                <w:lang w:val="en-US" w:eastAsia="zh-CN"/>
                <w14:textFill>
                  <w14:solidFill>
                    <w14:schemeClr w14:val="tx1"/>
                  </w14:solidFill>
                </w14:textFill>
              </w:rPr>
              <w:t>沈阳一唯检测技术服务有限公司</w:t>
            </w:r>
            <w:r>
              <w:rPr>
                <w:rFonts w:hint="default" w:ascii="Times New Roman" w:hAnsi="Times New Roman" w:eastAsia="宋体" w:cs="Times New Roman"/>
                <w:color w:val="000000" w:themeColor="text1"/>
                <w:kern w:val="0"/>
                <w:sz w:val="24"/>
                <w:szCs w:val="20"/>
                <w:highlight w:val="none"/>
                <w:lang w:val="en-US" w:eastAsia="zh-CN"/>
                <w14:textFill>
                  <w14:solidFill>
                    <w14:schemeClr w14:val="tx1"/>
                  </w14:solidFill>
                </w14:textFill>
              </w:rPr>
              <w:t>于202</w:t>
            </w:r>
            <w:r>
              <w:rPr>
                <w:rFonts w:hint="eastAsia" w:eastAsia="宋体" w:cs="Times New Roman"/>
                <w:color w:val="000000" w:themeColor="text1"/>
                <w:kern w:val="0"/>
                <w:sz w:val="24"/>
                <w:szCs w:val="20"/>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kern w:val="0"/>
                <w:sz w:val="24"/>
                <w:szCs w:val="20"/>
                <w:highlight w:val="none"/>
                <w:lang w:val="en-US" w:eastAsia="zh-CN"/>
                <w14:textFill>
                  <w14:solidFill>
                    <w14:schemeClr w14:val="tx1"/>
                  </w14:solidFill>
                </w14:textFill>
              </w:rPr>
              <w:t>年</w:t>
            </w:r>
            <w:r>
              <w:rPr>
                <w:rFonts w:hint="eastAsia" w:cs="Times New Roman"/>
                <w:color w:val="000000" w:themeColor="text1"/>
                <w:kern w:val="0"/>
                <w:sz w:val="24"/>
                <w:szCs w:val="20"/>
                <w:highlight w:val="none"/>
                <w:lang w:val="en-US" w:eastAsia="zh-CN"/>
                <w14:textFill>
                  <w14:solidFill>
                    <w14:schemeClr w14:val="tx1"/>
                  </w14:solidFill>
                </w14:textFill>
              </w:rPr>
              <w:t>09</w:t>
            </w:r>
            <w:r>
              <w:rPr>
                <w:rFonts w:hint="default" w:ascii="Times New Roman" w:hAnsi="Times New Roman" w:eastAsia="宋体" w:cs="Times New Roman"/>
                <w:color w:val="000000" w:themeColor="text1"/>
                <w:kern w:val="0"/>
                <w:sz w:val="24"/>
                <w:szCs w:val="20"/>
                <w:highlight w:val="none"/>
                <w:lang w:val="en-US" w:eastAsia="zh-CN"/>
                <w14:textFill>
                  <w14:solidFill>
                    <w14:schemeClr w14:val="tx1"/>
                  </w14:solidFill>
                </w14:textFill>
              </w:rPr>
              <w:t>月</w:t>
            </w:r>
            <w:r>
              <w:rPr>
                <w:rFonts w:hint="eastAsia" w:cs="Times New Roman"/>
                <w:color w:val="000000" w:themeColor="text1"/>
                <w:kern w:val="0"/>
                <w:sz w:val="24"/>
                <w:szCs w:val="20"/>
                <w:highlight w:val="none"/>
                <w:lang w:val="en-US" w:eastAsia="zh-CN"/>
                <w14:textFill>
                  <w14:solidFill>
                    <w14:schemeClr w14:val="tx1"/>
                  </w14:solidFill>
                </w14:textFill>
              </w:rPr>
              <w:t>30</w:t>
            </w:r>
            <w:r>
              <w:rPr>
                <w:rFonts w:hint="default" w:ascii="Times New Roman" w:hAnsi="Times New Roman" w:eastAsia="宋体" w:cs="Times New Roman"/>
                <w:color w:val="000000" w:themeColor="text1"/>
                <w:kern w:val="0"/>
                <w:sz w:val="24"/>
                <w:szCs w:val="20"/>
                <w:highlight w:val="none"/>
                <w:lang w:val="en-US" w:eastAsia="zh-CN"/>
                <w14:textFill>
                  <w14:solidFill>
                    <w14:schemeClr w14:val="tx1"/>
                  </w14:solidFill>
                </w14:textFill>
              </w:rPr>
              <w:t>日对项目南</w:t>
            </w:r>
            <w:r>
              <w:rPr>
                <w:rFonts w:hint="eastAsia" w:eastAsia="宋体" w:cs="Times New Roman"/>
                <w:color w:val="000000" w:themeColor="text1"/>
                <w:kern w:val="0"/>
                <w:sz w:val="24"/>
                <w:szCs w:val="20"/>
                <w:highlight w:val="none"/>
                <w:lang w:val="en-US" w:eastAsia="zh-CN"/>
                <w14:textFill>
                  <w14:solidFill>
                    <w14:schemeClr w14:val="tx1"/>
                  </w14:solidFill>
                </w14:textFill>
              </w:rPr>
              <w:t>侧</w:t>
            </w:r>
            <w:r>
              <w:rPr>
                <w:rFonts w:hint="default" w:ascii="Times New Roman" w:hAnsi="Times New Roman" w:eastAsia="宋体" w:cs="Times New Roman"/>
                <w:color w:val="000000" w:themeColor="text1"/>
                <w:kern w:val="0"/>
                <w:sz w:val="24"/>
                <w:szCs w:val="20"/>
                <w:highlight w:val="none"/>
                <w:lang w:val="en-US" w:eastAsia="zh-CN"/>
                <w14:textFill>
                  <w14:solidFill>
                    <w14:schemeClr w14:val="tx1"/>
                  </w14:solidFill>
                </w14:textFill>
              </w:rPr>
              <w:t>本溪高新区公共行政服务中心</w:t>
            </w:r>
            <w:r>
              <w:rPr>
                <w:rFonts w:hint="eastAsia" w:eastAsia="宋体" w:cs="Times New Roman"/>
                <w:color w:val="000000" w:themeColor="text1"/>
                <w:kern w:val="0"/>
                <w:sz w:val="24"/>
                <w:szCs w:val="20"/>
                <w:highlight w:val="none"/>
                <w:lang w:val="en-US" w:eastAsia="zh-CN"/>
                <w14:textFill>
                  <w14:solidFill>
                    <w14:schemeClr w14:val="tx1"/>
                  </w14:solidFill>
                </w14:textFill>
              </w:rPr>
              <w:t>、西</w:t>
            </w:r>
            <w:r>
              <w:rPr>
                <w:rFonts w:hint="default" w:ascii="Times New Roman" w:hAnsi="Times New Roman" w:eastAsia="宋体" w:cs="Times New Roman"/>
                <w:color w:val="000000" w:themeColor="text1"/>
                <w:kern w:val="0"/>
                <w:sz w:val="24"/>
                <w:szCs w:val="20"/>
                <w:highlight w:val="none"/>
                <w:lang w:val="en-US" w:eastAsia="zh-CN"/>
                <w14:textFill>
                  <w14:solidFill>
                    <w14:schemeClr w14:val="tx1"/>
                  </w14:solidFill>
                </w14:textFill>
              </w:rPr>
              <w:t>侧旺力新天地东北侧楼房</w:t>
            </w:r>
            <w:r>
              <w:rPr>
                <w:rFonts w:hint="eastAsia" w:cs="Times New Roman"/>
                <w:color w:val="000000" w:themeColor="text1"/>
                <w:kern w:val="0"/>
                <w:sz w:val="24"/>
                <w:szCs w:val="20"/>
                <w:highlight w:val="none"/>
                <w:lang w:val="en-US" w:eastAsia="zh-CN"/>
                <w14:textFill>
                  <w14:solidFill>
                    <w14:schemeClr w14:val="tx1"/>
                  </w14:solidFill>
                </w14:textFill>
              </w:rPr>
              <w:t>1层</w:t>
            </w:r>
            <w:r>
              <w:rPr>
                <w:rFonts w:hint="default" w:ascii="Times New Roman" w:hAnsi="Times New Roman" w:eastAsia="宋体" w:cs="Times New Roman"/>
                <w:color w:val="000000" w:themeColor="text1"/>
                <w:kern w:val="0"/>
                <w:sz w:val="24"/>
                <w:szCs w:val="20"/>
                <w:highlight w:val="none"/>
                <w:lang w:val="en-US" w:eastAsia="zh-CN"/>
                <w14:textFill>
                  <w14:solidFill>
                    <w14:schemeClr w14:val="tx1"/>
                  </w14:solidFill>
                </w14:textFill>
              </w:rPr>
              <w:t>昼间声环境质量现状进行监测。</w:t>
            </w:r>
          </w:p>
          <w:p w14:paraId="5DF60B8C">
            <w:pPr>
              <w:keepNext w:val="0"/>
              <w:keepLines w:val="0"/>
              <w:pageBreakBefore w:val="0"/>
              <w:widowControl w:val="0"/>
              <w:numPr>
                <w:ilvl w:val="0"/>
                <w:numId w:val="24"/>
              </w:numPr>
              <w:suppressLineNumbers w:val="0"/>
              <w:kinsoku/>
              <w:wordWrap/>
              <w:overflowPunct/>
              <w:topLinePunct w:val="0"/>
              <w:autoSpaceDE/>
              <w:autoSpaceDN/>
              <w:bidi w:val="0"/>
              <w:adjustRightInd/>
              <w:snapToGrid w:val="0"/>
              <w:spacing w:before="157" w:beforeLines="5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 xml:space="preserve">  检测信息统计表</w:t>
            </w:r>
          </w:p>
          <w:tbl>
            <w:tblPr>
              <w:tblStyle w:val="36"/>
              <w:tblW w:w="4998"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28"/>
              <w:gridCol w:w="3076"/>
              <w:gridCol w:w="1605"/>
              <w:gridCol w:w="1154"/>
              <w:gridCol w:w="1251"/>
            </w:tblGrid>
            <w:tr w14:paraId="46DAB64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PrEx>
              <w:trPr>
                <w:trHeight w:val="370" w:hRule="atLeast"/>
                <w:tblHeader/>
                <w:jc w:val="center"/>
              </w:trPr>
              <w:tc>
                <w:tcPr>
                  <w:tcW w:w="738" w:type="pct"/>
                  <w:tcBorders>
                    <w:tl2br w:val="nil"/>
                    <w:tr2bl w:val="nil"/>
                  </w:tcBorders>
                  <w:noWrap w:val="0"/>
                  <w:tcMar>
                    <w:top w:w="0" w:type="dxa"/>
                    <w:left w:w="0" w:type="dxa"/>
                    <w:bottom w:w="0" w:type="dxa"/>
                    <w:right w:w="0" w:type="dxa"/>
                  </w:tcMar>
                  <w:vAlign w:val="center"/>
                </w:tcPr>
                <w:p w14:paraId="252411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采样日期</w:t>
                  </w:r>
                </w:p>
              </w:tc>
              <w:tc>
                <w:tcPr>
                  <w:tcW w:w="1849" w:type="pct"/>
                  <w:tcBorders>
                    <w:tl2br w:val="nil"/>
                    <w:tr2bl w:val="nil"/>
                  </w:tcBorders>
                  <w:noWrap w:val="0"/>
                  <w:tcMar>
                    <w:top w:w="0" w:type="dxa"/>
                    <w:left w:w="0" w:type="dxa"/>
                    <w:bottom w:w="0" w:type="dxa"/>
                    <w:right w:w="0" w:type="dxa"/>
                  </w:tcMar>
                  <w:vAlign w:val="center"/>
                </w:tcPr>
                <w:p w14:paraId="5270DA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lang w:eastAsia="zh-CN"/>
                      <w14:textFill>
                        <w14:solidFill>
                          <w14:schemeClr w14:val="tx1"/>
                        </w14:solidFill>
                      </w14:textFill>
                    </w:rPr>
                    <w:t>检</w:t>
                  </w: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测点位</w:t>
                  </w:r>
                </w:p>
              </w:tc>
              <w:tc>
                <w:tcPr>
                  <w:tcW w:w="965" w:type="pct"/>
                  <w:tcBorders>
                    <w:tl2br w:val="nil"/>
                    <w:tr2bl w:val="nil"/>
                  </w:tcBorders>
                  <w:noWrap w:val="0"/>
                  <w:tcMar>
                    <w:top w:w="0" w:type="dxa"/>
                    <w:left w:w="0" w:type="dxa"/>
                    <w:bottom w:w="0" w:type="dxa"/>
                    <w:right w:w="0" w:type="dxa"/>
                  </w:tcMar>
                  <w:vAlign w:val="center"/>
                </w:tcPr>
                <w:p w14:paraId="544E55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lang w:eastAsia="zh-CN"/>
                      <w14:textFill>
                        <w14:solidFill>
                          <w14:schemeClr w14:val="tx1"/>
                        </w14:solidFill>
                      </w14:textFill>
                    </w:rPr>
                    <w:t>检</w:t>
                  </w: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测频次</w:t>
                  </w:r>
                </w:p>
              </w:tc>
              <w:tc>
                <w:tcPr>
                  <w:tcW w:w="694" w:type="pct"/>
                  <w:tcBorders>
                    <w:tl2br w:val="nil"/>
                    <w:tr2bl w:val="nil"/>
                  </w:tcBorders>
                  <w:noWrap w:val="0"/>
                  <w:tcMar>
                    <w:top w:w="0" w:type="dxa"/>
                    <w:left w:w="0" w:type="dxa"/>
                    <w:bottom w:w="0" w:type="dxa"/>
                    <w:right w:w="0" w:type="dxa"/>
                  </w:tcMar>
                  <w:vAlign w:val="center"/>
                </w:tcPr>
                <w:p w14:paraId="704B29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lang w:val="en-US" w:eastAsia="zh-CN"/>
                      <w14:textFill>
                        <w14:solidFill>
                          <w14:schemeClr w14:val="tx1"/>
                        </w14:solidFill>
                      </w14:textFill>
                    </w:rPr>
                    <w:t>方位</w:t>
                  </w:r>
                </w:p>
              </w:tc>
              <w:tc>
                <w:tcPr>
                  <w:tcW w:w="752" w:type="pct"/>
                  <w:tcBorders>
                    <w:tl2br w:val="nil"/>
                    <w:tr2bl w:val="nil"/>
                  </w:tcBorders>
                  <w:noWrap w:val="0"/>
                  <w:tcMar>
                    <w:top w:w="0" w:type="dxa"/>
                    <w:left w:w="0" w:type="dxa"/>
                    <w:bottom w:w="0" w:type="dxa"/>
                    <w:right w:w="0" w:type="dxa"/>
                  </w:tcMar>
                  <w:vAlign w:val="center"/>
                </w:tcPr>
                <w:p w14:paraId="7DAF35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lang w:eastAsia="zh-CN"/>
                      <w14:textFill>
                        <w14:solidFill>
                          <w14:schemeClr w14:val="tx1"/>
                        </w14:solidFill>
                      </w14:textFill>
                    </w:rPr>
                    <w:t>检</w:t>
                  </w: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测项目</w:t>
                  </w:r>
                </w:p>
              </w:tc>
            </w:tr>
            <w:tr w14:paraId="4E95D0E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38" w:type="pct"/>
                  <w:vMerge w:val="restart"/>
                  <w:tcBorders>
                    <w:tl2br w:val="nil"/>
                    <w:tr2bl w:val="nil"/>
                  </w:tcBorders>
                  <w:noWrap w:val="0"/>
                  <w:tcMar>
                    <w:top w:w="0" w:type="dxa"/>
                    <w:left w:w="0" w:type="dxa"/>
                    <w:bottom w:w="0" w:type="dxa"/>
                    <w:right w:w="0" w:type="dxa"/>
                  </w:tcMar>
                  <w:vAlign w:val="center"/>
                </w:tcPr>
                <w:p w14:paraId="04A688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202</w:t>
                  </w:r>
                  <w:r>
                    <w:rPr>
                      <w:rFonts w:hint="eastAsia" w:eastAsia="宋体" w:cs="Times New Roman"/>
                      <w:b w:val="0"/>
                      <w:bCs/>
                      <w:color w:val="000000" w:themeColor="text1"/>
                      <w:sz w:val="21"/>
                      <w:szCs w:val="21"/>
                      <w:highlight w:val="none"/>
                      <w:lang w:val="en-US" w:eastAsia="zh-CN"/>
                      <w14:textFill>
                        <w14:solidFill>
                          <w14:schemeClr w14:val="tx1"/>
                        </w14:solidFill>
                      </w14:textFill>
                    </w:rPr>
                    <w:t>6</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w:t>
                  </w:r>
                  <w:r>
                    <w:rPr>
                      <w:rFonts w:hint="eastAsia" w:cs="Times New Roman"/>
                      <w:b w:val="0"/>
                      <w:bCs/>
                      <w:color w:val="000000" w:themeColor="text1"/>
                      <w:sz w:val="21"/>
                      <w:szCs w:val="21"/>
                      <w:highlight w:val="none"/>
                      <w:lang w:val="en-US" w:eastAsia="zh-CN"/>
                      <w14:textFill>
                        <w14:solidFill>
                          <w14:schemeClr w14:val="tx1"/>
                        </w14:solidFill>
                      </w14:textFill>
                    </w:rPr>
                    <w:t>09</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w:t>
                  </w:r>
                  <w:r>
                    <w:rPr>
                      <w:rFonts w:hint="eastAsia" w:cs="Times New Roman"/>
                      <w:b w:val="0"/>
                      <w:bCs/>
                      <w:color w:val="000000" w:themeColor="text1"/>
                      <w:sz w:val="21"/>
                      <w:szCs w:val="21"/>
                      <w:highlight w:val="none"/>
                      <w:lang w:val="en-US" w:eastAsia="zh-CN"/>
                      <w14:textFill>
                        <w14:solidFill>
                          <w14:schemeClr w14:val="tx1"/>
                        </w14:solidFill>
                      </w14:textFill>
                    </w:rPr>
                    <w:t>30</w:t>
                  </w:r>
                </w:p>
              </w:tc>
              <w:tc>
                <w:tcPr>
                  <w:tcW w:w="1849" w:type="pct"/>
                  <w:tcBorders>
                    <w:tl2br w:val="nil"/>
                    <w:tr2bl w:val="nil"/>
                  </w:tcBorders>
                  <w:noWrap w:val="0"/>
                  <w:tcMar>
                    <w:top w:w="0" w:type="dxa"/>
                    <w:left w:w="0" w:type="dxa"/>
                    <w:bottom w:w="0" w:type="dxa"/>
                    <w:right w:w="0" w:type="dxa"/>
                  </w:tcMar>
                  <w:vAlign w:val="center"/>
                </w:tcPr>
                <w:p w14:paraId="6B3465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本溪高新区公共行政服务中心</w:t>
                  </w:r>
                </w:p>
              </w:tc>
              <w:tc>
                <w:tcPr>
                  <w:tcW w:w="965" w:type="pct"/>
                  <w:vMerge w:val="restart"/>
                  <w:tcBorders>
                    <w:tl2br w:val="nil"/>
                    <w:tr2bl w:val="nil"/>
                  </w:tcBorders>
                  <w:noWrap w:val="0"/>
                  <w:tcMar>
                    <w:top w:w="0" w:type="dxa"/>
                    <w:left w:w="0" w:type="dxa"/>
                    <w:bottom w:w="0" w:type="dxa"/>
                    <w:right w:w="0" w:type="dxa"/>
                  </w:tcMar>
                  <w:vAlign w:val="center"/>
                </w:tcPr>
                <w:p w14:paraId="57BD4B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昼</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间</w:t>
                  </w: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1次；</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天</w:t>
                  </w:r>
                </w:p>
              </w:tc>
              <w:tc>
                <w:tcPr>
                  <w:tcW w:w="694" w:type="pct"/>
                  <w:tcBorders>
                    <w:tl2br w:val="nil"/>
                    <w:tr2bl w:val="nil"/>
                  </w:tcBorders>
                  <w:noWrap w:val="0"/>
                  <w:tcMar>
                    <w:top w:w="0" w:type="dxa"/>
                    <w:left w:w="0" w:type="dxa"/>
                    <w:bottom w:w="0" w:type="dxa"/>
                    <w:right w:w="0" w:type="dxa"/>
                  </w:tcMar>
                  <w:vAlign w:val="center"/>
                </w:tcPr>
                <w:p w14:paraId="71A14A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项目南侧</w:t>
                  </w:r>
                </w:p>
              </w:tc>
              <w:tc>
                <w:tcPr>
                  <w:tcW w:w="752" w:type="pct"/>
                  <w:vMerge w:val="restart"/>
                  <w:tcBorders>
                    <w:tl2br w:val="nil"/>
                    <w:tr2bl w:val="nil"/>
                  </w:tcBorders>
                  <w:noWrap w:val="0"/>
                  <w:tcMar>
                    <w:top w:w="0" w:type="dxa"/>
                    <w:left w:w="0" w:type="dxa"/>
                    <w:bottom w:w="0" w:type="dxa"/>
                    <w:right w:w="0" w:type="dxa"/>
                  </w:tcMar>
                  <w:vAlign w:val="center"/>
                </w:tcPr>
                <w:p w14:paraId="3265B0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环境噪声</w:t>
                  </w:r>
                </w:p>
              </w:tc>
            </w:tr>
            <w:tr w14:paraId="0449CCB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38" w:type="pct"/>
                  <w:vMerge w:val="continue"/>
                  <w:tcBorders>
                    <w:tl2br w:val="nil"/>
                    <w:tr2bl w:val="nil"/>
                  </w:tcBorders>
                  <w:noWrap w:val="0"/>
                  <w:tcMar>
                    <w:top w:w="0" w:type="dxa"/>
                    <w:left w:w="0" w:type="dxa"/>
                    <w:bottom w:w="0" w:type="dxa"/>
                    <w:right w:w="0" w:type="dxa"/>
                  </w:tcMar>
                  <w:vAlign w:val="center"/>
                </w:tcPr>
                <w:p w14:paraId="521A31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p>
              </w:tc>
              <w:tc>
                <w:tcPr>
                  <w:tcW w:w="1849" w:type="pct"/>
                  <w:tcBorders>
                    <w:tl2br w:val="nil"/>
                    <w:tr2bl w:val="nil"/>
                  </w:tcBorders>
                  <w:noWrap w:val="0"/>
                  <w:tcMar>
                    <w:top w:w="0" w:type="dxa"/>
                    <w:left w:w="0" w:type="dxa"/>
                    <w:bottom w:w="0" w:type="dxa"/>
                    <w:right w:w="0" w:type="dxa"/>
                  </w:tcMar>
                  <w:vAlign w:val="center"/>
                </w:tcPr>
                <w:p w14:paraId="58F018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旺力新天地东北侧楼房</w:t>
                  </w:r>
                  <w:r>
                    <w:rPr>
                      <w:rFonts w:hint="eastAsia" w:cs="Times New Roman"/>
                      <w:b w:val="0"/>
                      <w:bCs/>
                      <w:color w:val="000000" w:themeColor="text1"/>
                      <w:sz w:val="21"/>
                      <w:szCs w:val="21"/>
                      <w:highlight w:val="none"/>
                      <w:lang w:val="en-US" w:eastAsia="zh-CN"/>
                      <w14:textFill>
                        <w14:solidFill>
                          <w14:schemeClr w14:val="tx1"/>
                        </w14:solidFill>
                      </w14:textFill>
                    </w:rPr>
                    <w:t>1层</w:t>
                  </w:r>
                </w:p>
              </w:tc>
              <w:tc>
                <w:tcPr>
                  <w:tcW w:w="965" w:type="pct"/>
                  <w:vMerge w:val="continue"/>
                  <w:tcBorders>
                    <w:tl2br w:val="nil"/>
                    <w:tr2bl w:val="nil"/>
                  </w:tcBorders>
                  <w:noWrap w:val="0"/>
                  <w:tcMar>
                    <w:top w:w="0" w:type="dxa"/>
                    <w:left w:w="0" w:type="dxa"/>
                    <w:bottom w:w="0" w:type="dxa"/>
                    <w:right w:w="0" w:type="dxa"/>
                  </w:tcMar>
                  <w:vAlign w:val="center"/>
                </w:tcPr>
                <w:p w14:paraId="5CE0E9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p>
              </w:tc>
              <w:tc>
                <w:tcPr>
                  <w:tcW w:w="694" w:type="pct"/>
                  <w:tcBorders>
                    <w:tl2br w:val="nil"/>
                    <w:tr2bl w:val="nil"/>
                  </w:tcBorders>
                  <w:noWrap w:val="0"/>
                  <w:tcMar>
                    <w:top w:w="0" w:type="dxa"/>
                    <w:left w:w="0" w:type="dxa"/>
                    <w:bottom w:w="0" w:type="dxa"/>
                    <w:right w:w="0" w:type="dxa"/>
                  </w:tcMar>
                  <w:vAlign w:val="center"/>
                </w:tcPr>
                <w:p w14:paraId="1FC9E2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项目</w:t>
                  </w: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西</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侧</w:t>
                  </w:r>
                </w:p>
              </w:tc>
              <w:tc>
                <w:tcPr>
                  <w:tcW w:w="752" w:type="pct"/>
                  <w:vMerge w:val="continue"/>
                  <w:tcBorders>
                    <w:tl2br w:val="nil"/>
                    <w:tr2bl w:val="nil"/>
                  </w:tcBorders>
                  <w:noWrap w:val="0"/>
                  <w:tcMar>
                    <w:top w:w="0" w:type="dxa"/>
                    <w:left w:w="0" w:type="dxa"/>
                    <w:bottom w:w="0" w:type="dxa"/>
                    <w:right w:w="0" w:type="dxa"/>
                  </w:tcMar>
                  <w:vAlign w:val="center"/>
                </w:tcPr>
                <w:p w14:paraId="4AA2E7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pPr>
                </w:p>
              </w:tc>
            </w:tr>
          </w:tbl>
          <w:p w14:paraId="1C00E318">
            <w:pPr>
              <w:keepNext w:val="0"/>
              <w:keepLines w:val="0"/>
              <w:widowControl w:val="0"/>
              <w:suppressLineNumbers w:val="0"/>
              <w:wordWrap/>
              <w:adjustRightInd/>
              <w:snapToGrid/>
              <w:spacing w:before="0" w:beforeAutospacing="0" w:after="0" w:afterAutospacing="0" w:line="360" w:lineRule="auto"/>
              <w:ind w:left="0" w:right="0" w:firstLine="480" w:firstLineChars="200"/>
              <w:textAlignment w:val="auto"/>
              <w:outlineLvl w:val="2"/>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监测结果见下表。</w:t>
            </w:r>
          </w:p>
          <w:p w14:paraId="55F2BA4F">
            <w:pPr>
              <w:keepNext w:val="0"/>
              <w:keepLines w:val="0"/>
              <w:pageBreakBefore w:val="0"/>
              <w:widowControl w:val="0"/>
              <w:numPr>
                <w:ilvl w:val="0"/>
                <w:numId w:val="24"/>
              </w:numPr>
              <w:suppressLineNumbers w:val="0"/>
              <w:kinsoku/>
              <w:wordWrap/>
              <w:overflowPunct/>
              <w:topLinePunct w:val="0"/>
              <w:autoSpaceDE/>
              <w:autoSpaceDN/>
              <w:bidi w:val="0"/>
              <w:adjustRightInd/>
              <w:snapToGrid w:val="0"/>
              <w:spacing w:before="157" w:beforeLines="5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 xml:space="preserve">  检测结果</w:t>
            </w:r>
          </w:p>
          <w:tbl>
            <w:tblPr>
              <w:tblStyle w:val="35"/>
              <w:tblW w:w="4998" w:type="pct"/>
              <w:jc w:val="center"/>
              <w:tblBorders>
                <w:top w:val="double" w:color="000000" w:sz="4" w:space="0"/>
                <w:left w:val="none" w:color="auto" w:sz="0" w:space="0"/>
                <w:bottom w:val="double" w:color="000000" w:sz="4"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
            <w:tblGrid>
              <w:gridCol w:w="1266"/>
              <w:gridCol w:w="1147"/>
              <w:gridCol w:w="885"/>
              <w:gridCol w:w="2899"/>
              <w:gridCol w:w="1113"/>
              <w:gridCol w:w="1004"/>
            </w:tblGrid>
            <w:tr w14:paraId="2D64B806">
              <w:tblPrEx>
                <w:tblBorders>
                  <w:top w:val="double" w:color="000000" w:sz="4" w:space="0"/>
                  <w:left w:val="none" w:color="auto" w:sz="0" w:space="0"/>
                  <w:bottom w:val="double" w:color="000000" w:sz="4" w:space="0"/>
                  <w:right w:val="none" w:color="auto" w:sz="0" w:space="0"/>
                  <w:insideH w:val="single" w:color="000000" w:sz="4" w:space="0"/>
                  <w:insideV w:val="single" w:color="000000" w:sz="4" w:space="0"/>
                </w:tblBorders>
                <w:tblCellMar>
                  <w:top w:w="15" w:type="dxa"/>
                  <w:left w:w="15" w:type="dxa"/>
                  <w:bottom w:w="15" w:type="dxa"/>
                  <w:right w:w="15" w:type="dxa"/>
                </w:tblCellMar>
              </w:tblPrEx>
              <w:trPr>
                <w:trHeight w:val="325" w:hRule="atLeast"/>
                <w:tblHeader/>
                <w:jc w:val="center"/>
              </w:trPr>
              <w:tc>
                <w:tcPr>
                  <w:tcW w:w="761" w:type="pct"/>
                  <w:tcBorders>
                    <w:tl2br w:val="nil"/>
                    <w:tr2bl w:val="nil"/>
                  </w:tcBorders>
                  <w:noWrap w:val="0"/>
                  <w:vAlign w:val="center"/>
                </w:tcPr>
                <w:p w14:paraId="5313CC2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eastAsia="zh-CN" w:bidi="ar"/>
                      <w14:textFill>
                        <w14:solidFill>
                          <w14:schemeClr w14:val="tx1"/>
                        </w14:solidFill>
                      </w14:textFill>
                    </w:rPr>
                    <w:t>检</w:t>
                  </w: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测项目</w:t>
                  </w:r>
                </w:p>
              </w:tc>
              <w:tc>
                <w:tcPr>
                  <w:tcW w:w="689" w:type="pct"/>
                  <w:tcBorders>
                    <w:tl2br w:val="nil"/>
                    <w:tr2bl w:val="nil"/>
                  </w:tcBorders>
                  <w:noWrap w:val="0"/>
                  <w:vAlign w:val="center"/>
                </w:tcPr>
                <w:p w14:paraId="63E4D5F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检测</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日期</w:t>
                  </w:r>
                </w:p>
              </w:tc>
              <w:tc>
                <w:tcPr>
                  <w:tcW w:w="532" w:type="pct"/>
                  <w:tcBorders>
                    <w:tl2br w:val="nil"/>
                    <w:tr2bl w:val="nil"/>
                  </w:tcBorders>
                  <w:noWrap w:val="0"/>
                  <w:vAlign w:val="center"/>
                </w:tcPr>
                <w:p w14:paraId="6318032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时段</w:t>
                  </w:r>
                </w:p>
              </w:tc>
              <w:tc>
                <w:tcPr>
                  <w:tcW w:w="1742" w:type="pct"/>
                  <w:tcBorders>
                    <w:tl2br w:val="nil"/>
                    <w:tr2bl w:val="nil"/>
                  </w:tcBorders>
                  <w:noWrap w:val="0"/>
                  <w:vAlign w:val="center"/>
                </w:tcPr>
                <w:p w14:paraId="7506FA2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检</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测点位</w:t>
                  </w:r>
                </w:p>
              </w:tc>
              <w:tc>
                <w:tcPr>
                  <w:tcW w:w="669" w:type="pct"/>
                  <w:tcBorders>
                    <w:tl2br w:val="nil"/>
                    <w:tr2bl w:val="nil"/>
                  </w:tcBorders>
                  <w:noWrap w:val="0"/>
                  <w:vAlign w:val="center"/>
                </w:tcPr>
                <w:p w14:paraId="7A221F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eastAsia="zh-CN" w:bidi="ar"/>
                      <w14:textFill>
                        <w14:solidFill>
                          <w14:schemeClr w14:val="tx1"/>
                        </w14:solidFill>
                      </w14:textFill>
                    </w:rPr>
                    <w:t>检</w:t>
                  </w: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测结果</w:t>
                  </w:r>
                </w:p>
              </w:tc>
              <w:tc>
                <w:tcPr>
                  <w:tcW w:w="603" w:type="pct"/>
                  <w:tcBorders>
                    <w:tl2br w:val="nil"/>
                    <w:tr2bl w:val="nil"/>
                  </w:tcBorders>
                  <w:noWrap w:val="0"/>
                  <w:vAlign w:val="center"/>
                </w:tcPr>
                <w:p w14:paraId="051476B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000000" w:themeColor="text1"/>
                      <w:kern w:val="0"/>
                      <w:sz w:val="21"/>
                      <w:szCs w:val="21"/>
                      <w:highlight w:val="none"/>
                      <w:lang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eastAsia="zh-CN" w:bidi="ar"/>
                      <w14:textFill>
                        <w14:solidFill>
                          <w14:schemeClr w14:val="tx1"/>
                        </w14:solidFill>
                      </w14:textFill>
                    </w:rPr>
                    <w:t>单位</w:t>
                  </w:r>
                </w:p>
              </w:tc>
            </w:tr>
            <w:tr w14:paraId="230128AB">
              <w:tblPrEx>
                <w:tblBorders>
                  <w:top w:val="double" w:color="000000" w:sz="4" w:space="0"/>
                  <w:left w:val="none" w:color="auto" w:sz="0" w:space="0"/>
                  <w:bottom w:val="double" w:color="000000" w:sz="4" w:space="0"/>
                  <w:right w:val="none" w:color="auto" w:sz="0" w:space="0"/>
                  <w:insideH w:val="single" w:color="000000" w:sz="4" w:space="0"/>
                  <w:insideV w:val="single" w:color="000000" w:sz="4" w:space="0"/>
                </w:tblBorders>
                <w:tblCellMar>
                  <w:top w:w="15" w:type="dxa"/>
                  <w:left w:w="15" w:type="dxa"/>
                  <w:bottom w:w="15" w:type="dxa"/>
                  <w:right w:w="15" w:type="dxa"/>
                </w:tblCellMar>
              </w:tblPrEx>
              <w:trPr>
                <w:trHeight w:val="325" w:hRule="atLeast"/>
                <w:jc w:val="center"/>
              </w:trPr>
              <w:tc>
                <w:tcPr>
                  <w:tcW w:w="761" w:type="pct"/>
                  <w:vMerge w:val="restart"/>
                  <w:tcBorders>
                    <w:tl2br w:val="nil"/>
                    <w:tr2bl w:val="nil"/>
                  </w:tcBorders>
                  <w:noWrap w:val="0"/>
                  <w:vAlign w:val="center"/>
                </w:tcPr>
                <w:p w14:paraId="1EC082A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环境噪声</w:t>
                  </w:r>
                </w:p>
              </w:tc>
              <w:tc>
                <w:tcPr>
                  <w:tcW w:w="689" w:type="pct"/>
                  <w:vMerge w:val="restart"/>
                  <w:tcBorders>
                    <w:tl2br w:val="nil"/>
                    <w:tr2bl w:val="nil"/>
                  </w:tcBorders>
                  <w:noWrap w:val="0"/>
                  <w:vAlign w:val="center"/>
                </w:tcPr>
                <w:p w14:paraId="5FE27D99">
                  <w:pPr>
                    <w:keepNext w:val="0"/>
                    <w:keepLines w:val="0"/>
                    <w:suppressLineNumbers w:val="0"/>
                    <w:spacing w:before="0" w:beforeAutospacing="0" w:after="0" w:afterAutospacing="0"/>
                    <w:ind w:left="0" w:right="0"/>
                    <w:jc w:val="center"/>
                    <w:outlineLvl w:val="0"/>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202</w:t>
                  </w:r>
                  <w:r>
                    <w:rPr>
                      <w:rFonts w:hint="eastAsia" w:eastAsia="宋体" w:cs="Times New Roman"/>
                      <w:b w:val="0"/>
                      <w:bCs/>
                      <w:color w:val="000000" w:themeColor="text1"/>
                      <w:sz w:val="21"/>
                      <w:szCs w:val="21"/>
                      <w:highlight w:val="none"/>
                      <w:lang w:val="en-US" w:eastAsia="zh-CN"/>
                      <w14:textFill>
                        <w14:solidFill>
                          <w14:schemeClr w14:val="tx1"/>
                        </w14:solidFill>
                      </w14:textFill>
                    </w:rPr>
                    <w:t>6</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w:t>
                  </w:r>
                  <w:r>
                    <w:rPr>
                      <w:rFonts w:hint="eastAsia" w:cs="Times New Roman"/>
                      <w:b w:val="0"/>
                      <w:bCs/>
                      <w:color w:val="000000" w:themeColor="text1"/>
                      <w:sz w:val="21"/>
                      <w:szCs w:val="21"/>
                      <w:highlight w:val="none"/>
                      <w:lang w:val="en-US" w:eastAsia="zh-CN"/>
                      <w14:textFill>
                        <w14:solidFill>
                          <w14:schemeClr w14:val="tx1"/>
                        </w14:solidFill>
                      </w14:textFill>
                    </w:rPr>
                    <w:t>09</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w:t>
                  </w:r>
                  <w:r>
                    <w:rPr>
                      <w:rFonts w:hint="eastAsia" w:cs="Times New Roman"/>
                      <w:b w:val="0"/>
                      <w:bCs/>
                      <w:color w:val="000000" w:themeColor="text1"/>
                      <w:sz w:val="21"/>
                      <w:szCs w:val="21"/>
                      <w:highlight w:val="none"/>
                      <w:lang w:val="en-US" w:eastAsia="zh-CN"/>
                      <w14:textFill>
                        <w14:solidFill>
                          <w14:schemeClr w14:val="tx1"/>
                        </w14:solidFill>
                      </w14:textFill>
                    </w:rPr>
                    <w:t>30</w:t>
                  </w:r>
                </w:p>
              </w:tc>
              <w:tc>
                <w:tcPr>
                  <w:tcW w:w="532" w:type="pct"/>
                  <w:vMerge w:val="restart"/>
                  <w:tcBorders>
                    <w:tl2br w:val="nil"/>
                    <w:tr2bl w:val="nil"/>
                  </w:tcBorders>
                  <w:noWrap w:val="0"/>
                  <w:vAlign w:val="center"/>
                </w:tcPr>
                <w:p w14:paraId="37DB1B1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昼间</w:t>
                  </w:r>
                </w:p>
              </w:tc>
              <w:tc>
                <w:tcPr>
                  <w:tcW w:w="1742" w:type="pct"/>
                  <w:tcBorders>
                    <w:tl2br w:val="nil"/>
                    <w:tr2bl w:val="nil"/>
                  </w:tcBorders>
                  <w:noWrap w:val="0"/>
                  <w:vAlign w:val="center"/>
                </w:tcPr>
                <w:p w14:paraId="4EF3AA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val="0"/>
                      <w:color w:val="000000" w:themeColor="text1"/>
                      <w:kern w:val="0"/>
                      <w:sz w:val="21"/>
                      <w:szCs w:val="21"/>
                      <w:highlight w:val="none"/>
                      <w:lang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本溪高新区公共行政服务中心</w:t>
                  </w:r>
                </w:p>
              </w:tc>
              <w:tc>
                <w:tcPr>
                  <w:tcW w:w="669" w:type="pct"/>
                  <w:tcBorders>
                    <w:tl2br w:val="nil"/>
                    <w:tr2bl w:val="nil"/>
                  </w:tcBorders>
                  <w:noWrap w:val="0"/>
                  <w:vAlign w:val="center"/>
                </w:tcPr>
                <w:p w14:paraId="3226D73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51</w:t>
                  </w:r>
                </w:p>
              </w:tc>
              <w:tc>
                <w:tcPr>
                  <w:tcW w:w="603" w:type="pct"/>
                  <w:vMerge w:val="restart"/>
                  <w:tcBorders>
                    <w:tl2br w:val="nil"/>
                    <w:tr2bl w:val="nil"/>
                  </w:tcBorders>
                  <w:noWrap w:val="0"/>
                  <w:vAlign w:val="center"/>
                </w:tcPr>
                <w:p w14:paraId="35E3CB5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bidi="ar"/>
                      <w14:textFill>
                        <w14:solidFill>
                          <w14:schemeClr w14:val="tx1"/>
                        </w14:solidFill>
                      </w14:textFill>
                    </w:rPr>
                    <w:t>dB（A）</w:t>
                  </w:r>
                </w:p>
              </w:tc>
            </w:tr>
            <w:tr w14:paraId="50113880">
              <w:tblPrEx>
                <w:tblBorders>
                  <w:top w:val="double" w:color="000000" w:sz="4" w:space="0"/>
                  <w:left w:val="none" w:color="auto" w:sz="0" w:space="0"/>
                  <w:bottom w:val="double" w:color="000000" w:sz="4" w:space="0"/>
                  <w:right w:val="none" w:color="auto" w:sz="0" w:space="0"/>
                  <w:insideH w:val="single" w:color="000000" w:sz="4" w:space="0"/>
                  <w:insideV w:val="single" w:color="000000" w:sz="4" w:space="0"/>
                </w:tblBorders>
                <w:tblCellMar>
                  <w:top w:w="15" w:type="dxa"/>
                  <w:left w:w="15" w:type="dxa"/>
                  <w:bottom w:w="15" w:type="dxa"/>
                  <w:right w:w="15" w:type="dxa"/>
                </w:tblCellMar>
              </w:tblPrEx>
              <w:trPr>
                <w:trHeight w:val="325" w:hRule="atLeast"/>
                <w:jc w:val="center"/>
              </w:trPr>
              <w:tc>
                <w:tcPr>
                  <w:tcW w:w="761" w:type="pct"/>
                  <w:vMerge w:val="continue"/>
                  <w:tcBorders>
                    <w:tl2br w:val="nil"/>
                    <w:tr2bl w:val="nil"/>
                  </w:tcBorders>
                  <w:noWrap w:val="0"/>
                  <w:vAlign w:val="center"/>
                </w:tcPr>
                <w:p w14:paraId="393129D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p>
              </w:tc>
              <w:tc>
                <w:tcPr>
                  <w:tcW w:w="689" w:type="pct"/>
                  <w:vMerge w:val="continue"/>
                  <w:tcBorders>
                    <w:tl2br w:val="nil"/>
                    <w:tr2bl w:val="nil"/>
                  </w:tcBorders>
                  <w:noWrap w:val="0"/>
                  <w:vAlign w:val="center"/>
                </w:tcPr>
                <w:p w14:paraId="0DDCB5E7">
                  <w:pPr>
                    <w:keepNext w:val="0"/>
                    <w:keepLines w:val="0"/>
                    <w:suppressLineNumbers w:val="0"/>
                    <w:spacing w:before="0" w:beforeAutospacing="0" w:after="0" w:afterAutospacing="0"/>
                    <w:ind w:left="0" w:right="0"/>
                    <w:jc w:val="center"/>
                    <w:outlineLvl w:val="0"/>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p>
              </w:tc>
              <w:tc>
                <w:tcPr>
                  <w:tcW w:w="532" w:type="pct"/>
                  <w:vMerge w:val="continue"/>
                  <w:tcBorders>
                    <w:tl2br w:val="nil"/>
                    <w:tr2bl w:val="nil"/>
                  </w:tcBorders>
                  <w:noWrap w:val="0"/>
                  <w:vAlign w:val="center"/>
                </w:tcPr>
                <w:p w14:paraId="70BFF88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1742" w:type="pct"/>
                  <w:tcBorders>
                    <w:tl2br w:val="nil"/>
                    <w:tr2bl w:val="nil"/>
                  </w:tcBorders>
                  <w:noWrap w:val="0"/>
                  <w:vAlign w:val="center"/>
                </w:tcPr>
                <w:p w14:paraId="4324D3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0"/>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旺力新天地东北侧楼房</w:t>
                  </w:r>
                </w:p>
              </w:tc>
              <w:tc>
                <w:tcPr>
                  <w:tcW w:w="669" w:type="pct"/>
                  <w:tcBorders>
                    <w:tl2br w:val="nil"/>
                    <w:tr2bl w:val="nil"/>
                  </w:tcBorders>
                  <w:noWrap w:val="0"/>
                  <w:vAlign w:val="center"/>
                </w:tcPr>
                <w:p w14:paraId="1B94D53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lang w:val="en-US" w:eastAsia="zh-CN"/>
                      <w14:textFill>
                        <w14:solidFill>
                          <w14:schemeClr w14:val="tx1"/>
                        </w14:solidFill>
                      </w14:textFill>
                    </w:rPr>
                    <w:t>57</w:t>
                  </w:r>
                </w:p>
              </w:tc>
              <w:tc>
                <w:tcPr>
                  <w:tcW w:w="603" w:type="pct"/>
                  <w:vMerge w:val="continue"/>
                  <w:tcBorders>
                    <w:tl2br w:val="nil"/>
                    <w:tr2bl w:val="nil"/>
                  </w:tcBorders>
                  <w:noWrap w:val="0"/>
                  <w:vAlign w:val="center"/>
                </w:tcPr>
                <w:p w14:paraId="072C095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kern w:val="0"/>
                      <w:sz w:val="21"/>
                      <w:szCs w:val="21"/>
                      <w:highlight w:val="none"/>
                      <w:lang w:bidi="ar"/>
                      <w14:textFill>
                        <w14:solidFill>
                          <w14:schemeClr w14:val="tx1"/>
                        </w14:solidFill>
                      </w14:textFill>
                    </w:rPr>
                  </w:pPr>
                </w:p>
              </w:tc>
            </w:tr>
          </w:tbl>
          <w:p w14:paraId="06AEF8DE">
            <w:pPr>
              <w:keepNext w:val="0"/>
              <w:keepLines w:val="0"/>
              <w:widowControl w:val="0"/>
              <w:suppressLineNumbers w:val="0"/>
              <w:wordWrap/>
              <w:adjustRightInd/>
              <w:snapToGrid/>
              <w:spacing w:before="0" w:beforeAutospacing="0" w:after="0" w:afterAutospacing="0" w:line="360" w:lineRule="auto"/>
              <w:ind w:left="0" w:right="0" w:firstLine="480" w:firstLineChars="200"/>
              <w:textAlignment w:val="auto"/>
              <w:outlineLvl w:val="2"/>
              <w:rPr>
                <w:rFonts w:hint="default" w:ascii="Times New Roman" w:hAnsi="Times New Roman" w:eastAsia="宋体" w:cs="Times New Roman"/>
                <w:color w:val="000000" w:themeColor="text1"/>
                <w:kern w:val="0"/>
                <w:sz w:val="24"/>
                <w:szCs w:val="20"/>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0"/>
                <w:highlight w:val="none"/>
                <w:lang w:val="en-US" w:eastAsia="zh-CN"/>
                <w14:textFill>
                  <w14:solidFill>
                    <w14:schemeClr w14:val="tx1"/>
                  </w14:solidFill>
                </w14:textFill>
              </w:rPr>
              <w:t>由上表可知：</w:t>
            </w:r>
            <w:r>
              <w:rPr>
                <w:rFonts w:hint="default" w:ascii="Times New Roman" w:hAnsi="Times New Roman" w:eastAsia="宋体" w:cs="Times New Roman"/>
                <w:color w:val="000000" w:themeColor="text1"/>
                <w:kern w:val="0"/>
                <w:sz w:val="24"/>
                <w:szCs w:val="20"/>
                <w:highlight w:val="none"/>
                <w14:textFill>
                  <w14:solidFill>
                    <w14:schemeClr w14:val="tx1"/>
                  </w14:solidFill>
                </w14:textFill>
              </w:rPr>
              <w:t>本项目</w:t>
            </w:r>
            <w:r>
              <w:rPr>
                <w:rFonts w:hint="default" w:ascii="Times New Roman" w:hAnsi="Times New Roman" w:eastAsia="宋体" w:cs="Times New Roman"/>
                <w:color w:val="000000" w:themeColor="text1"/>
                <w:kern w:val="0"/>
                <w:sz w:val="24"/>
                <w:szCs w:val="20"/>
                <w:highlight w:val="none"/>
                <w:lang w:val="en-US" w:eastAsia="zh-CN"/>
                <w14:textFill>
                  <w14:solidFill>
                    <w14:schemeClr w14:val="tx1"/>
                  </w14:solidFill>
                </w14:textFill>
              </w:rPr>
              <w:t>厂界外</w:t>
            </w:r>
            <w:r>
              <w:rPr>
                <w:rFonts w:hint="eastAsia" w:eastAsia="宋体" w:cs="Times New Roman"/>
                <w:color w:val="000000" w:themeColor="text1"/>
                <w:kern w:val="0"/>
                <w:sz w:val="24"/>
                <w:szCs w:val="20"/>
                <w:highlight w:val="none"/>
                <w:lang w:val="en-US" w:eastAsia="zh-CN"/>
                <w14:textFill>
                  <w14:solidFill>
                    <w14:schemeClr w14:val="tx1"/>
                  </w14:solidFill>
                </w14:textFill>
              </w:rPr>
              <w:t>南侧</w:t>
            </w:r>
            <w:r>
              <w:rPr>
                <w:rFonts w:hint="eastAsia" w:ascii="Times New Roman" w:hAnsi="Times New Roman" w:eastAsia="宋体" w:cs="Times New Roman"/>
                <w:color w:val="000000" w:themeColor="text1"/>
                <w:kern w:val="0"/>
                <w:sz w:val="24"/>
                <w:szCs w:val="20"/>
                <w:highlight w:val="none"/>
                <w:lang w:val="en-US" w:eastAsia="zh-CN"/>
                <w14:textFill>
                  <w14:solidFill>
                    <w14:schemeClr w14:val="tx1"/>
                  </w14:solidFill>
                </w14:textFill>
              </w:rPr>
              <w:t>和西侧</w:t>
            </w:r>
            <w:r>
              <w:rPr>
                <w:rFonts w:hint="default" w:ascii="Times New Roman" w:hAnsi="Times New Roman" w:eastAsia="宋体" w:cs="Times New Roman"/>
                <w:color w:val="000000" w:themeColor="text1"/>
                <w:kern w:val="0"/>
                <w:sz w:val="24"/>
                <w:szCs w:val="20"/>
                <w:highlight w:val="none"/>
                <w:lang w:val="en-US" w:eastAsia="zh-CN"/>
                <w14:textFill>
                  <w14:solidFill>
                    <w14:schemeClr w14:val="tx1"/>
                  </w14:solidFill>
                </w14:textFill>
              </w:rPr>
              <w:t>50m范围内本溪高新区公共行政服务中心</w:t>
            </w:r>
            <w:r>
              <w:rPr>
                <w:rFonts w:hint="eastAsia" w:ascii="Times New Roman" w:hAnsi="Times New Roman" w:eastAsia="宋体" w:cs="Times New Roman"/>
                <w:color w:val="000000" w:themeColor="text1"/>
                <w:kern w:val="0"/>
                <w:sz w:val="24"/>
                <w:szCs w:val="20"/>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szCs w:val="20"/>
                <w:highlight w:val="none"/>
                <w14:textFill>
                  <w14:solidFill>
                    <w14:schemeClr w14:val="tx1"/>
                  </w14:solidFill>
                </w14:textFill>
              </w:rPr>
              <w:t>本溪高新技术产业开发区管理委员会</w:t>
            </w:r>
            <w:r>
              <w:rPr>
                <w:rFonts w:hint="eastAsia" w:eastAsia="宋体" w:cs="Times New Roman"/>
                <w:color w:val="000000" w:themeColor="text1"/>
                <w:kern w:val="0"/>
                <w:sz w:val="24"/>
                <w:szCs w:val="20"/>
                <w:highlight w:val="none"/>
                <w:lang w:eastAsia="zh-CN"/>
                <w14:textFill>
                  <w14:solidFill>
                    <w14:schemeClr w14:val="tx1"/>
                  </w14:solidFill>
                </w14:textFill>
              </w:rPr>
              <w:t>、旺力新天地</w:t>
            </w:r>
            <w:r>
              <w:rPr>
                <w:rFonts w:hint="default" w:ascii="Times New Roman" w:hAnsi="Times New Roman" w:eastAsia="宋体" w:cs="Times New Roman"/>
                <w:color w:val="000000" w:themeColor="text1"/>
                <w:kern w:val="0"/>
                <w:sz w:val="24"/>
                <w:szCs w:val="20"/>
                <w:highlight w:val="none"/>
                <w:lang w:val="en-US" w:eastAsia="zh-CN"/>
                <w14:textFill>
                  <w14:solidFill>
                    <w14:schemeClr w14:val="tx1"/>
                  </w14:solidFill>
                </w14:textFill>
              </w:rPr>
              <w:t>声环境质量满足《声环境质量标准》(GB3096-2008)2类标准限值（昼间60（dB）），声环境质量良好。</w:t>
            </w:r>
          </w:p>
          <w:p w14:paraId="597DFB02">
            <w:pPr>
              <w:keepNext w:val="0"/>
              <w:keepLines w:val="0"/>
              <w:widowControl w:val="0"/>
              <w:suppressLineNumbers w:val="0"/>
              <w:wordWrap/>
              <w:adjustRightInd/>
              <w:snapToGrid/>
              <w:spacing w:before="0" w:beforeAutospacing="0" w:after="0" w:afterAutospacing="0" w:line="360" w:lineRule="auto"/>
              <w:ind w:left="0" w:right="0" w:firstLine="480" w:firstLineChars="200"/>
              <w:textAlignment w:val="auto"/>
              <w:outlineLvl w:val="2"/>
              <w:rPr>
                <w:rFonts w:hint="default" w:ascii="Times New Roman" w:hAnsi="Times New Roman" w:eastAsia="宋体" w:cs="Times New Roman"/>
                <w:color w:val="000000" w:themeColor="text1"/>
                <w:kern w:val="0"/>
                <w:sz w:val="24"/>
                <w:szCs w:val="20"/>
                <w:highlight w:val="none"/>
                <w:lang w:val="en-US" w:eastAsia="zh-CN"/>
                <w14:textFill>
                  <w14:solidFill>
                    <w14:schemeClr w14:val="tx1"/>
                  </w14:solidFill>
                </w14:textFill>
              </w:rPr>
            </w:pPr>
          </w:p>
          <w:p w14:paraId="69E9D541">
            <w:pPr>
              <w:keepNext w:val="0"/>
              <w:keepLines w:val="0"/>
              <w:widowControl w:val="0"/>
              <w:suppressLineNumbers w:val="0"/>
              <w:wordWrap/>
              <w:adjustRightInd/>
              <w:snapToGrid/>
              <w:spacing w:before="0" w:beforeAutospacing="0" w:after="0" w:afterAutospacing="0" w:line="360" w:lineRule="auto"/>
              <w:ind w:left="0" w:right="0" w:firstLine="480" w:firstLineChars="200"/>
              <w:textAlignment w:val="auto"/>
              <w:outlineLvl w:val="2"/>
              <w:rPr>
                <w:rFonts w:hint="default" w:ascii="Times New Roman" w:hAnsi="Times New Roman" w:eastAsia="宋体" w:cs="Times New Roman"/>
                <w:color w:val="000000" w:themeColor="text1"/>
                <w:kern w:val="0"/>
                <w:sz w:val="24"/>
                <w:szCs w:val="20"/>
                <w:highlight w:val="none"/>
                <w:lang w:val="en-US" w:eastAsia="zh-CN"/>
                <w14:textFill>
                  <w14:solidFill>
                    <w14:schemeClr w14:val="tx1"/>
                  </w14:solidFill>
                </w14:textFill>
              </w:rPr>
            </w:pPr>
          </w:p>
          <w:p w14:paraId="18309883">
            <w:pPr>
              <w:keepNext w:val="0"/>
              <w:keepLines w:val="0"/>
              <w:widowControl w:val="0"/>
              <w:suppressLineNumbers w:val="0"/>
              <w:wordWrap/>
              <w:adjustRightInd/>
              <w:snapToGrid/>
              <w:spacing w:before="0" w:beforeAutospacing="0" w:after="0" w:afterAutospacing="0" w:line="360" w:lineRule="auto"/>
              <w:ind w:left="0" w:right="0" w:firstLine="480" w:firstLineChars="200"/>
              <w:textAlignment w:val="auto"/>
              <w:outlineLvl w:val="2"/>
              <w:rPr>
                <w:rFonts w:hint="default" w:ascii="Times New Roman" w:hAnsi="Times New Roman" w:eastAsia="宋体" w:cs="Times New Roman"/>
                <w:color w:val="000000" w:themeColor="text1"/>
                <w:kern w:val="0"/>
                <w:sz w:val="24"/>
                <w:szCs w:val="20"/>
                <w:highlight w:val="none"/>
                <w:lang w:val="en-US" w:eastAsia="zh-CN"/>
                <w14:textFill>
                  <w14:solidFill>
                    <w14:schemeClr w14:val="tx1"/>
                  </w14:solidFill>
                </w14:textFill>
              </w:rPr>
            </w:pPr>
          </w:p>
          <w:p w14:paraId="3E2B26E1">
            <w:pPr>
              <w:keepNext w:val="0"/>
              <w:keepLines w:val="0"/>
              <w:suppressLineNumbers w:val="0"/>
              <w:adjustRightInd w:val="0"/>
              <w:spacing w:before="72" w:beforeLines="30" w:beforeAutospacing="0" w:after="72" w:afterLines="30" w:afterAutospacing="0" w:line="360" w:lineRule="auto"/>
              <w:ind w:left="0" w:right="0"/>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t>3、地表水环境质量现状</w:t>
            </w:r>
          </w:p>
          <w:p w14:paraId="0310E10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highlight w:val="none"/>
                <w:lang w:bidi="en-US"/>
                <w14:textFill>
                  <w14:solidFill>
                    <w14:schemeClr w14:val="tx1"/>
                  </w14:solidFill>
                </w14:textFill>
              </w:rPr>
            </w:pPr>
            <w:r>
              <w:rPr>
                <w:rFonts w:hint="default" w:ascii="Times New Roman" w:hAnsi="Times New Roman" w:eastAsia="宋体" w:cs="Times New Roman"/>
                <w:color w:val="000000" w:themeColor="text1"/>
                <w:sz w:val="24"/>
                <w:szCs w:val="24"/>
                <w:highlight w:val="none"/>
                <w:lang w:bidi="en-US"/>
                <w14:textFill>
                  <w14:solidFill>
                    <w14:schemeClr w14:val="tx1"/>
                  </w14:solidFill>
                </w14:textFill>
              </w:rPr>
              <w:t>本项目废水排放方式为产生的废水进入厂内污水处理站进行处理，处理达标后，排入厂区污水管网后排入高新区市政管网最终排入石桥子污水处理厂。根据《建设项目环境影响报告表编制技术指南（污染影响类）（试行）》以及《地表水环境影响评价技术导则》（HJ2.3-2018），不需设置地表水环境保护目标，本项目不进行地表水环境质量现状监测。</w:t>
            </w:r>
          </w:p>
          <w:p w14:paraId="5799F1B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color w:val="000000" w:themeColor="text1"/>
                <w:sz w:val="24"/>
                <w:szCs w:val="24"/>
                <w:highlight w:val="none"/>
                <w:lang w:val="en-US" w:eastAsia="zh-CN" w:bidi="en-US"/>
                <w14:textFill>
                  <w14:solidFill>
                    <w14:schemeClr w14:val="tx1"/>
                  </w14:solidFill>
                </w14:textFill>
              </w:rPr>
            </w:pPr>
            <w:r>
              <w:rPr>
                <w:rFonts w:hint="default" w:ascii="Times New Roman" w:hAnsi="Times New Roman" w:eastAsia="宋体" w:cs="Times New Roman"/>
                <w:color w:val="000000" w:themeColor="text1"/>
                <w:sz w:val="24"/>
                <w:szCs w:val="24"/>
                <w:highlight w:val="none"/>
                <w:lang w:bidi="en-US"/>
                <w14:textFill>
                  <w14:solidFill>
                    <w14:schemeClr w14:val="tx1"/>
                  </w14:solidFill>
                </w14:textFill>
              </w:rPr>
              <w:t>距离本项目最近的地表水为</w:t>
            </w:r>
            <w:r>
              <w:rPr>
                <w:rFonts w:hint="default" w:ascii="Times New Roman" w:hAnsi="Times New Roman" w:cs="Times New Roman"/>
                <w:color w:val="000000" w:themeColor="text1"/>
                <w:sz w:val="24"/>
                <w:szCs w:val="24"/>
                <w:highlight w:val="none"/>
                <w:lang w:eastAsia="zh-CN" w:bidi="en-US"/>
                <w14:textFill>
                  <w14:solidFill>
                    <w14:schemeClr w14:val="tx1"/>
                  </w14:solidFill>
                </w14:textFill>
              </w:rPr>
              <w:t>项目</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西侧约</w:t>
            </w:r>
            <w:r>
              <w:rPr>
                <w:rFonts w:hint="eastAsia" w:cs="Times New Roman"/>
                <w:color w:val="000000" w:themeColor="text1"/>
                <w:kern w:val="2"/>
                <w:sz w:val="24"/>
                <w:szCs w:val="24"/>
                <w:highlight w:val="none"/>
                <w:lang w:val="en-US" w:eastAsia="zh-CN" w:bidi="ar-SA"/>
                <w14:textFill>
                  <w14:solidFill>
                    <w14:schemeClr w14:val="tx1"/>
                  </w14:solidFill>
                </w14:textFill>
              </w:rPr>
              <w:t>460</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m为北沙河。</w:t>
            </w:r>
            <w:r>
              <w:rPr>
                <w:rFonts w:hint="eastAsia" w:cs="Times New Roman"/>
                <w:color w:val="000000" w:themeColor="text1"/>
                <w:kern w:val="2"/>
                <w:sz w:val="24"/>
                <w:szCs w:val="24"/>
                <w:highlight w:val="none"/>
                <w:lang w:val="en-US" w:eastAsia="zh-CN" w:bidi="ar-SA"/>
                <w14:textFill>
                  <w14:solidFill>
                    <w14:schemeClr w14:val="tx1"/>
                  </w14:solidFill>
                </w14:textFill>
              </w:rPr>
              <w:t>根据</w:t>
            </w:r>
            <w:r>
              <w:rPr>
                <w:rFonts w:hint="default" w:ascii="Times New Roman" w:hAnsi="Times New Roman" w:cs="Times New Roman"/>
                <w:color w:val="000000" w:themeColor="text1"/>
                <w:sz w:val="24"/>
                <w:szCs w:val="24"/>
                <w:highlight w:val="none"/>
                <w:lang w:val="en-US" w:eastAsia="zh-CN" w:bidi="en-US"/>
                <w14:textFill>
                  <w14:solidFill>
                    <w14:schemeClr w14:val="tx1"/>
                  </w14:solidFill>
                </w14:textFill>
              </w:rPr>
              <w:t>《</w:t>
            </w:r>
            <w:r>
              <w:rPr>
                <w:rFonts w:hint="eastAsia" w:cs="Times New Roman"/>
                <w:color w:val="000000" w:themeColor="text1"/>
                <w:sz w:val="24"/>
                <w:szCs w:val="24"/>
                <w:highlight w:val="none"/>
                <w:lang w:val="en-US" w:eastAsia="zh-CN" w:bidi="en-US"/>
                <w14:textFill>
                  <w14:solidFill>
                    <w14:schemeClr w14:val="tx1"/>
                  </w14:solidFill>
                </w14:textFill>
              </w:rPr>
              <w:t>本溪市</w:t>
            </w:r>
            <w:r>
              <w:rPr>
                <w:rFonts w:hint="default" w:ascii="Times New Roman" w:hAnsi="Times New Roman" w:cs="Times New Roman"/>
                <w:color w:val="000000" w:themeColor="text1"/>
                <w:sz w:val="24"/>
                <w:szCs w:val="24"/>
                <w:highlight w:val="none"/>
                <w:lang w:val="en-US" w:eastAsia="zh-CN" w:bidi="en-US"/>
                <w14:textFill>
                  <w14:solidFill>
                    <w14:schemeClr w14:val="tx1"/>
                  </w14:solidFill>
                </w14:textFill>
              </w:rPr>
              <w:t>生态环境质量</w:t>
            </w:r>
            <w:r>
              <w:rPr>
                <w:rFonts w:hint="eastAsia" w:cs="Times New Roman"/>
                <w:color w:val="000000" w:themeColor="text1"/>
                <w:sz w:val="24"/>
                <w:szCs w:val="24"/>
                <w:highlight w:val="none"/>
                <w:lang w:val="en-US" w:eastAsia="zh-CN" w:bidi="en-US"/>
                <w14:textFill>
                  <w14:solidFill>
                    <w14:schemeClr w14:val="tx1"/>
                  </w14:solidFill>
                </w14:textFill>
              </w:rPr>
              <w:t>简报2025年度</w:t>
            </w:r>
            <w:r>
              <w:rPr>
                <w:rFonts w:hint="default" w:ascii="Times New Roman" w:hAnsi="Times New Roman" w:cs="Times New Roman"/>
                <w:color w:val="000000" w:themeColor="text1"/>
                <w:sz w:val="24"/>
                <w:szCs w:val="24"/>
                <w:highlight w:val="none"/>
                <w:lang w:val="en-US" w:eastAsia="zh-CN" w:bidi="en-US"/>
                <w14:textFill>
                  <w14:solidFill>
                    <w14:schemeClr w14:val="tx1"/>
                  </w14:solidFill>
                </w14:textFill>
              </w:rPr>
              <w:t>》中相关数据，202</w:t>
            </w:r>
            <w:r>
              <w:rPr>
                <w:rFonts w:hint="eastAsia" w:cs="Times New Roman"/>
                <w:color w:val="000000" w:themeColor="text1"/>
                <w:sz w:val="24"/>
                <w:szCs w:val="24"/>
                <w:highlight w:val="none"/>
                <w:lang w:val="en-US" w:eastAsia="zh-CN" w:bidi="en-US"/>
                <w14:textFill>
                  <w14:solidFill>
                    <w14:schemeClr w14:val="tx1"/>
                  </w14:solidFill>
                </w14:textFill>
              </w:rPr>
              <w:t>5</w:t>
            </w:r>
            <w:r>
              <w:rPr>
                <w:rFonts w:hint="default" w:ascii="Times New Roman" w:hAnsi="Times New Roman" w:cs="Times New Roman"/>
                <w:color w:val="000000" w:themeColor="text1"/>
                <w:sz w:val="24"/>
                <w:szCs w:val="24"/>
                <w:highlight w:val="none"/>
                <w:lang w:val="en-US" w:eastAsia="zh-CN" w:bidi="en-US"/>
                <w14:textFill>
                  <w14:solidFill>
                    <w14:schemeClr w14:val="tx1"/>
                  </w14:solidFill>
                </w14:textFill>
              </w:rPr>
              <w:t>年</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北沙河</w:t>
            </w:r>
            <w:r>
              <w:rPr>
                <w:rFonts w:hint="eastAsia" w:cs="Times New Roman"/>
                <w:color w:val="000000" w:themeColor="text1"/>
                <w:kern w:val="2"/>
                <w:sz w:val="24"/>
                <w:szCs w:val="24"/>
                <w:highlight w:val="none"/>
                <w:lang w:val="en-US" w:eastAsia="zh-CN" w:bidi="ar-SA"/>
                <w14:textFill>
                  <w14:solidFill>
                    <w14:schemeClr w14:val="tx1"/>
                  </w14:solidFill>
                </w14:textFill>
              </w:rPr>
              <w:t>姚千户桥断面</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水质良</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好</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，各监测指标年均值均符合国家地表水Ⅲ类标准。</w:t>
            </w:r>
          </w:p>
          <w:p w14:paraId="2C8A3D2C">
            <w:pPr>
              <w:keepNext w:val="0"/>
              <w:keepLines w:val="0"/>
              <w:suppressLineNumbers w:val="0"/>
              <w:adjustRightInd w:val="0"/>
              <w:spacing w:before="72" w:beforeLines="30" w:beforeAutospacing="0" w:after="72" w:afterLines="30" w:afterAutospacing="0" w:line="360" w:lineRule="auto"/>
              <w:ind w:left="0" w:right="0"/>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t>4、地下水及土壤环境质量现状</w:t>
            </w:r>
          </w:p>
          <w:p w14:paraId="16FA308F">
            <w:pPr>
              <w:pStyle w:val="53"/>
              <w:keepNext w:val="0"/>
              <w:keepLines w:val="0"/>
              <w:suppressLineNumbers w:val="0"/>
              <w:spacing w:before="0" w:beforeAutospacing="0" w:after="0" w:afterAutospacing="0"/>
              <w:ind w:left="0" w:right="0" w:firstLine="420"/>
              <w:rPr>
                <w:rFonts w:hint="default" w:ascii="Times New Roman" w:hAnsi="Times New Roman" w:eastAsia="宋体" w:cs="Times New Roman"/>
                <w:color w:val="000000" w:themeColor="text1"/>
                <w:sz w:val="24"/>
                <w:szCs w:val="24"/>
                <w:highlight w:val="none"/>
                <w:lang w:bidi="en-US"/>
                <w14:textFill>
                  <w14:solidFill>
                    <w14:schemeClr w14:val="tx1"/>
                  </w14:solidFill>
                </w14:textFill>
              </w:rPr>
            </w:pPr>
            <w:r>
              <w:rPr>
                <w:rFonts w:hint="default" w:ascii="Times New Roman" w:hAnsi="Times New Roman" w:eastAsia="宋体" w:cs="Times New Roman"/>
                <w:color w:val="000000" w:themeColor="text1"/>
                <w:sz w:val="24"/>
                <w:szCs w:val="24"/>
                <w:highlight w:val="none"/>
                <w:lang w:bidi="en-US"/>
                <w14:textFill>
                  <w14:solidFill>
                    <w14:schemeClr w14:val="tx1"/>
                  </w14:solidFill>
                </w14:textFill>
              </w:rPr>
              <w:t>根据《建设项目环境影响报告表编制技术指南》</w:t>
            </w:r>
            <w:r>
              <w:rPr>
                <w:rFonts w:hint="default" w:ascii="Times New Roman" w:hAnsi="Times New Roman" w:eastAsia="宋体" w:cs="Times New Roman"/>
                <w:color w:val="000000" w:themeColor="text1"/>
                <w:sz w:val="24"/>
                <w:szCs w:val="24"/>
                <w:highlight w:val="none"/>
                <w:lang w:eastAsia="zh-CN" w:bidi="en-US"/>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bidi="en-US"/>
                <w14:textFill>
                  <w14:solidFill>
                    <w14:schemeClr w14:val="tx1"/>
                  </w14:solidFill>
                </w14:textFill>
              </w:rPr>
              <w:t>污染影响类</w:t>
            </w:r>
            <w:r>
              <w:rPr>
                <w:rFonts w:hint="default" w:ascii="Times New Roman" w:hAnsi="Times New Roman" w:eastAsia="宋体" w:cs="Times New Roman"/>
                <w:color w:val="000000" w:themeColor="text1"/>
                <w:sz w:val="24"/>
                <w:szCs w:val="24"/>
                <w:highlight w:val="none"/>
                <w:lang w:eastAsia="zh-CN" w:bidi="en-US"/>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bidi="en-US"/>
                <w14:textFill>
                  <w14:solidFill>
                    <w14:schemeClr w14:val="tx1"/>
                  </w14:solidFill>
                </w14:textFill>
              </w:rPr>
              <w:t>要求，原则上不开展地下水、土壤环境质量现状调查。</w:t>
            </w:r>
          </w:p>
          <w:p w14:paraId="26D53D1B">
            <w:pPr>
              <w:pStyle w:val="53"/>
              <w:keepNext w:val="0"/>
              <w:keepLines w:val="0"/>
              <w:suppressLineNumbers w:val="0"/>
              <w:spacing w:before="0" w:beforeAutospacing="0" w:after="0" w:afterAutospacing="0"/>
              <w:ind w:left="0" w:right="0" w:firstLine="420"/>
              <w:rPr>
                <w:rFonts w:hint="default" w:ascii="Times New Roman" w:hAnsi="Times New Roman" w:eastAsia="宋体" w:cs="Times New Roman"/>
                <w:color w:val="000000" w:themeColor="text1"/>
                <w:sz w:val="24"/>
                <w:szCs w:val="24"/>
                <w:highlight w:val="none"/>
                <w:lang w:bidi="en-US"/>
                <w14:textFill>
                  <w14:solidFill>
                    <w14:schemeClr w14:val="tx1"/>
                  </w14:solidFill>
                </w14:textFill>
              </w:rPr>
            </w:pPr>
            <w:r>
              <w:rPr>
                <w:rFonts w:hint="default" w:ascii="Times New Roman" w:hAnsi="Times New Roman" w:eastAsia="宋体" w:cs="Times New Roman"/>
                <w:color w:val="000000" w:themeColor="text1"/>
                <w:sz w:val="24"/>
                <w:szCs w:val="24"/>
                <w:highlight w:val="none"/>
                <w:lang w:bidi="en-US"/>
                <w14:textFill>
                  <w14:solidFill>
                    <w14:schemeClr w14:val="tx1"/>
                  </w14:solidFill>
                </w14:textFill>
              </w:rPr>
              <w:t>本项目不涉及第一类污染物、重金属等，周边无地下水水源保护区，</w:t>
            </w:r>
            <w:r>
              <w:rPr>
                <w:rFonts w:hint="default" w:ascii="Times New Roman" w:hAnsi="Times New Roman" w:eastAsia="宋体" w:cs="Times New Roman"/>
                <w:color w:val="000000" w:themeColor="text1"/>
                <w:sz w:val="24"/>
                <w:szCs w:val="24"/>
                <w:highlight w:val="none"/>
                <w14:textFill>
                  <w14:solidFill>
                    <w14:schemeClr w14:val="tx1"/>
                  </w14:solidFill>
                </w14:textFill>
              </w:rPr>
              <w:t>且</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按照要求设置分区防渗，</w:t>
            </w:r>
            <w:r>
              <w:rPr>
                <w:rFonts w:hint="default" w:ascii="Times New Roman" w:hAnsi="Times New Roman" w:eastAsia="宋体" w:cs="Times New Roman"/>
                <w:color w:val="000000" w:themeColor="text1"/>
                <w:sz w:val="24"/>
                <w:szCs w:val="24"/>
                <w:highlight w:val="none"/>
                <w14:textFill>
                  <w14:solidFill>
                    <w14:schemeClr w14:val="tx1"/>
                  </w14:solidFill>
                </w14:textFill>
              </w:rPr>
              <w:t>本项目不存在土壤、地下水环境污染途径，因此，本项目不进行地下水、土壤环境质量现状调查。</w:t>
            </w:r>
          </w:p>
          <w:p w14:paraId="12595051">
            <w:pPr>
              <w:keepNext w:val="0"/>
              <w:keepLines w:val="0"/>
              <w:suppressLineNumbers w:val="0"/>
              <w:adjustRightInd w:val="0"/>
              <w:spacing w:before="72" w:beforeLines="30" w:beforeAutospacing="0" w:after="72" w:afterLines="30" w:afterAutospacing="0" w:line="360" w:lineRule="auto"/>
              <w:ind w:left="0" w:right="0"/>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pPr>
            <w:bookmarkStart w:id="3" w:name="_bookmark4"/>
            <w:bookmarkEnd w:id="3"/>
            <w:r>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t>5、生态环境质量现状</w:t>
            </w:r>
          </w:p>
          <w:p w14:paraId="616D5339">
            <w:pPr>
              <w:pStyle w:val="53"/>
              <w:keepNext w:val="0"/>
              <w:keepLines w:val="0"/>
              <w:suppressLineNumbers w:val="0"/>
              <w:spacing w:before="0" w:beforeAutospacing="0" w:after="0" w:afterAutospacing="0"/>
              <w:ind w:left="0" w:right="0" w:firstLine="420"/>
              <w:rPr>
                <w:rFonts w:hint="default" w:ascii="Times New Roman" w:hAnsi="Times New Roman" w:eastAsia="宋体" w:cs="Times New Roman"/>
                <w:color w:val="000000" w:themeColor="text1"/>
                <w:sz w:val="24"/>
                <w:szCs w:val="24"/>
                <w:highlight w:val="none"/>
                <w:lang w:bidi="en-US"/>
                <w14:textFill>
                  <w14:solidFill>
                    <w14:schemeClr w14:val="tx1"/>
                  </w14:solidFill>
                </w14:textFill>
              </w:rPr>
            </w:pPr>
            <w:r>
              <w:rPr>
                <w:rFonts w:hint="default" w:ascii="Times New Roman" w:hAnsi="Times New Roman" w:eastAsia="宋体" w:cs="Times New Roman"/>
                <w:color w:val="000000" w:themeColor="text1"/>
                <w:sz w:val="24"/>
                <w:szCs w:val="24"/>
                <w:highlight w:val="none"/>
                <w:lang w:bidi="en-US"/>
                <w14:textFill>
                  <w14:solidFill>
                    <w14:schemeClr w14:val="tx1"/>
                  </w14:solidFill>
                </w14:textFill>
              </w:rPr>
              <w:t>根据《建设项目环境影响报告表编制技术指南</w:t>
            </w:r>
            <w:r>
              <w:rPr>
                <w:rFonts w:hint="default" w:ascii="Times New Roman" w:hAnsi="Times New Roman" w:eastAsia="宋体" w:cs="Times New Roman"/>
                <w:color w:val="000000" w:themeColor="text1"/>
                <w:sz w:val="24"/>
                <w:szCs w:val="24"/>
                <w:highlight w:val="none"/>
                <w:lang w:eastAsia="zh-CN" w:bidi="en-US"/>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bidi="en-US"/>
                <w14:textFill>
                  <w14:solidFill>
                    <w14:schemeClr w14:val="tx1"/>
                  </w14:solidFill>
                </w14:textFill>
              </w:rPr>
              <w:t>污染影响类</w:t>
            </w:r>
            <w:r>
              <w:rPr>
                <w:rFonts w:hint="default" w:ascii="Times New Roman" w:hAnsi="Times New Roman" w:eastAsia="宋体" w:cs="Times New Roman"/>
                <w:color w:val="000000" w:themeColor="text1"/>
                <w:sz w:val="24"/>
                <w:szCs w:val="24"/>
                <w:highlight w:val="none"/>
                <w:lang w:eastAsia="zh-CN" w:bidi="en-US"/>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bidi="en-US"/>
                <w14:textFill>
                  <w14:solidFill>
                    <w14:schemeClr w14:val="tx1"/>
                  </w14:solidFill>
                </w14:textFill>
              </w:rPr>
              <w:t>试行</w:t>
            </w:r>
            <w:r>
              <w:rPr>
                <w:rFonts w:hint="default" w:ascii="Times New Roman" w:hAnsi="Times New Roman" w:eastAsia="宋体" w:cs="Times New Roman"/>
                <w:color w:val="000000" w:themeColor="text1"/>
                <w:sz w:val="24"/>
                <w:szCs w:val="24"/>
                <w:highlight w:val="none"/>
                <w:lang w:eastAsia="zh-CN" w:bidi="en-US"/>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bidi="en-US"/>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eastAsia="zh-CN" w:bidi="en-US"/>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bidi="en-US"/>
                <w14:textFill>
                  <w14:solidFill>
                    <w14:schemeClr w14:val="tx1"/>
                  </w14:solidFill>
                </w14:textFill>
              </w:rPr>
              <w:t>产业园区外建设项目新增用地且用地范围内含有生态环境保护目标时，应进行生态现状调查</w:t>
            </w:r>
            <w:r>
              <w:rPr>
                <w:rFonts w:hint="default" w:ascii="Times New Roman" w:hAnsi="Times New Roman" w:eastAsia="宋体" w:cs="Times New Roman"/>
                <w:color w:val="000000" w:themeColor="text1"/>
                <w:sz w:val="24"/>
                <w:szCs w:val="24"/>
                <w:highlight w:val="none"/>
                <w:lang w:eastAsia="zh-CN" w:bidi="en-US"/>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bidi="en-US"/>
                <w14:textFill>
                  <w14:solidFill>
                    <w14:schemeClr w14:val="tx1"/>
                  </w14:solidFill>
                </w14:textFill>
              </w:rPr>
              <w:t>本项目位于</w:t>
            </w:r>
            <w:r>
              <w:rPr>
                <w:rFonts w:hint="eastAsia" w:eastAsia="宋体" w:cs="Times New Roman"/>
                <w:color w:val="000000" w:themeColor="text1"/>
                <w:sz w:val="24"/>
                <w:szCs w:val="24"/>
                <w:highlight w:val="none"/>
                <w:lang w:eastAsia="zh-CN" w:bidi="en-US"/>
                <w14:textFill>
                  <w14:solidFill>
                    <w14:schemeClr w14:val="tx1"/>
                  </w14:solidFill>
                </w14:textFill>
              </w:rPr>
              <w:t>辽宁省本溪经济技术开发区医药园区</w:t>
            </w:r>
            <w:r>
              <w:rPr>
                <w:rFonts w:hint="default" w:ascii="Times New Roman" w:hAnsi="Times New Roman" w:eastAsia="宋体" w:cs="Times New Roman"/>
                <w:color w:val="000000" w:themeColor="text1"/>
                <w:sz w:val="24"/>
                <w:szCs w:val="24"/>
                <w:highlight w:val="none"/>
                <w:lang w:bidi="en-US"/>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bidi="en-US"/>
                <w14:textFill>
                  <w14:solidFill>
                    <w14:schemeClr w14:val="tx1"/>
                  </w14:solidFill>
                </w14:textFill>
              </w:rPr>
              <w:t>用地性质为工业用地，且用地范围内不含有</w:t>
            </w:r>
            <w:r>
              <w:rPr>
                <w:rFonts w:hint="default" w:ascii="Times New Roman" w:hAnsi="Times New Roman" w:eastAsia="宋体" w:cs="Times New Roman"/>
                <w:color w:val="000000" w:themeColor="text1"/>
                <w:sz w:val="24"/>
                <w:szCs w:val="24"/>
                <w:highlight w:val="none"/>
                <w:lang w:bidi="en-US"/>
                <w14:textFill>
                  <w14:solidFill>
                    <w14:schemeClr w14:val="tx1"/>
                  </w14:solidFill>
                </w14:textFill>
              </w:rPr>
              <w:t>生态环境保护目标</w:t>
            </w:r>
            <w:r>
              <w:rPr>
                <w:rFonts w:hint="default" w:ascii="Times New Roman" w:hAnsi="Times New Roman" w:eastAsia="宋体" w:cs="Times New Roman"/>
                <w:color w:val="000000" w:themeColor="text1"/>
                <w:sz w:val="24"/>
                <w:szCs w:val="24"/>
                <w:highlight w:val="none"/>
                <w:lang w:eastAsia="zh-CN" w:bidi="en-US"/>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bidi="en-US"/>
                <w14:textFill>
                  <w14:solidFill>
                    <w14:schemeClr w14:val="tx1"/>
                  </w14:solidFill>
                </w14:textFill>
              </w:rPr>
              <w:t>无需进行生态环境质量现状调查。</w:t>
            </w:r>
          </w:p>
          <w:p w14:paraId="1AEF6B3D">
            <w:pPr>
              <w:keepNext w:val="0"/>
              <w:keepLines w:val="0"/>
              <w:suppressLineNumbers w:val="0"/>
              <w:adjustRightInd w:val="0"/>
              <w:spacing w:before="72" w:beforeLines="30" w:beforeAutospacing="0" w:after="72" w:afterLines="30" w:afterAutospacing="0" w:line="360" w:lineRule="auto"/>
              <w:ind w:left="0" w:right="0"/>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t>6、电磁辐射环境质量现状</w:t>
            </w:r>
          </w:p>
          <w:p w14:paraId="699BA3E4">
            <w:pPr>
              <w:pStyle w:val="53"/>
              <w:keepNext w:val="0"/>
              <w:keepLines w:val="0"/>
              <w:suppressLineNumbers w:val="0"/>
              <w:spacing w:before="0" w:beforeAutospacing="0" w:after="0" w:afterAutospacing="0"/>
              <w:ind w:left="0" w:right="0" w:firstLine="420"/>
              <w:rPr>
                <w:rFonts w:hint="default" w:ascii="Times New Roman" w:hAnsi="Times New Roman" w:eastAsia="宋体" w:cs="Times New Roman"/>
                <w:color w:val="000000" w:themeColor="text1"/>
                <w:sz w:val="24"/>
                <w:szCs w:val="24"/>
                <w:highlight w:val="none"/>
                <w:lang w:bidi="en-US"/>
                <w14:textFill>
                  <w14:solidFill>
                    <w14:schemeClr w14:val="tx1"/>
                  </w14:solidFill>
                </w14:textFill>
              </w:rPr>
            </w:pPr>
            <w:r>
              <w:rPr>
                <w:rFonts w:hint="default" w:ascii="Times New Roman" w:hAnsi="Times New Roman" w:eastAsia="宋体" w:cs="Times New Roman"/>
                <w:color w:val="000000" w:themeColor="text1"/>
                <w:sz w:val="24"/>
                <w:szCs w:val="24"/>
                <w:highlight w:val="none"/>
                <w:lang w:bidi="en-US"/>
                <w14:textFill>
                  <w14:solidFill>
                    <w14:schemeClr w14:val="tx1"/>
                  </w14:solidFill>
                </w14:textFill>
              </w:rPr>
              <w:t>根据《建设项目环境影响报告表编制技术指南</w:t>
            </w:r>
            <w:r>
              <w:rPr>
                <w:rFonts w:hint="default" w:ascii="Times New Roman" w:hAnsi="Times New Roman" w:eastAsia="宋体" w:cs="Times New Roman"/>
                <w:color w:val="000000" w:themeColor="text1"/>
                <w:sz w:val="24"/>
                <w:szCs w:val="24"/>
                <w:highlight w:val="none"/>
                <w:lang w:eastAsia="zh-CN" w:bidi="en-US"/>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bidi="en-US"/>
                <w14:textFill>
                  <w14:solidFill>
                    <w14:schemeClr w14:val="tx1"/>
                  </w14:solidFill>
                </w14:textFill>
              </w:rPr>
              <w:t>污染影响类</w:t>
            </w:r>
            <w:r>
              <w:rPr>
                <w:rFonts w:hint="default" w:ascii="Times New Roman" w:hAnsi="Times New Roman" w:eastAsia="宋体" w:cs="Times New Roman"/>
                <w:color w:val="000000" w:themeColor="text1"/>
                <w:sz w:val="24"/>
                <w:szCs w:val="24"/>
                <w:highlight w:val="none"/>
                <w:lang w:eastAsia="zh-CN" w:bidi="en-US"/>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bidi="en-US"/>
                <w14:textFill>
                  <w14:solidFill>
                    <w14:schemeClr w14:val="tx1"/>
                  </w14:solidFill>
                </w14:textFill>
              </w:rPr>
              <w:t>试行</w:t>
            </w:r>
            <w:r>
              <w:rPr>
                <w:rFonts w:hint="default" w:ascii="Times New Roman" w:hAnsi="Times New Roman" w:eastAsia="宋体" w:cs="Times New Roman"/>
                <w:color w:val="000000" w:themeColor="text1"/>
                <w:sz w:val="24"/>
                <w:szCs w:val="24"/>
                <w:highlight w:val="none"/>
                <w:lang w:eastAsia="zh-CN" w:bidi="en-US"/>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bidi="en-US"/>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eastAsia="zh-CN" w:bidi="en-US"/>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bidi="en-US"/>
                <w14:textFill>
                  <w14:solidFill>
                    <w14:schemeClr w14:val="tx1"/>
                  </w14:solidFill>
                </w14:textFill>
              </w:rPr>
              <w:t>新建或改建、扩建广播电台、差转台、电视塔台、卫星地球上行站、雷达等电磁辐射类项目，应根据相关技术导则对项目电磁辐射现状开展监测与评价</w:t>
            </w:r>
            <w:r>
              <w:rPr>
                <w:rFonts w:hint="default" w:ascii="Times New Roman" w:hAnsi="Times New Roman" w:eastAsia="宋体" w:cs="Times New Roman"/>
                <w:color w:val="000000" w:themeColor="text1"/>
                <w:sz w:val="24"/>
                <w:szCs w:val="24"/>
                <w:highlight w:val="none"/>
                <w:lang w:eastAsia="zh-CN" w:bidi="en-US"/>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bidi="en-US"/>
                <w14:textFill>
                  <w14:solidFill>
                    <w14:schemeClr w14:val="tx1"/>
                  </w14:solidFill>
                </w14:textFill>
              </w:rPr>
              <w:t>本项目不属于电磁辐射类项目，无需进行电磁辐射环境现状监测与评价。</w:t>
            </w:r>
          </w:p>
        </w:tc>
      </w:tr>
      <w:tr w14:paraId="3C1E33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45" w:hRule="atLeast"/>
          <w:jc w:val="center"/>
        </w:trPr>
        <w:tc>
          <w:tcPr>
            <w:tcW w:w="528" w:type="dxa"/>
            <w:vAlign w:val="center"/>
          </w:tcPr>
          <w:p w14:paraId="3D321F9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环境</w:t>
            </w:r>
          </w:p>
          <w:p w14:paraId="0633FD6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保护</w:t>
            </w:r>
          </w:p>
          <w:p w14:paraId="6BE5866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目标</w:t>
            </w:r>
          </w:p>
        </w:tc>
        <w:tc>
          <w:tcPr>
            <w:tcW w:w="8533" w:type="dxa"/>
            <w:vAlign w:val="center"/>
          </w:tcPr>
          <w:p w14:paraId="1F4FD859">
            <w:pPr>
              <w:keepNext w:val="0"/>
              <w:keepLines w:val="0"/>
              <w:widowControl/>
              <w:suppressLineNumbers w:val="0"/>
              <w:adjustRightInd w:val="0"/>
              <w:snapToGrid w:val="0"/>
              <w:spacing w:before="72" w:beforeLines="30" w:beforeAutospacing="0" w:after="72" w:afterLines="30" w:afterAutospacing="0" w:line="360" w:lineRule="auto"/>
              <w:ind w:left="0" w:right="0" w:firstLine="480" w:firstLineChars="200"/>
              <w:jc w:val="left"/>
              <w:rPr>
                <w:rFonts w:hint="default" w:ascii="Times New Roman" w:hAnsi="Times New Roman" w:cs="Times New Roman"/>
                <w:color w:val="000000" w:themeColor="text1"/>
                <w:kern w:val="0"/>
                <w:sz w:val="24"/>
                <w:szCs w:val="24"/>
                <w:highlight w:val="none"/>
                <w:lang w:val="zh-CN" w:bidi="en-US"/>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1、大气</w:t>
            </w:r>
            <w:r>
              <w:rPr>
                <w:rFonts w:hint="default" w:ascii="Times New Roman" w:hAnsi="Times New Roman" w:cs="Times New Roman"/>
                <w:color w:val="000000" w:themeColor="text1"/>
                <w:kern w:val="0"/>
                <w:sz w:val="24"/>
                <w:szCs w:val="24"/>
                <w:highlight w:val="none"/>
                <w:lang w:bidi="en-US"/>
                <w14:textFill>
                  <w14:solidFill>
                    <w14:schemeClr w14:val="tx1"/>
                  </w14:solidFill>
                </w14:textFill>
              </w:rPr>
              <w:t xml:space="preserve">环境 </w:t>
            </w:r>
          </w:p>
          <w:p w14:paraId="64E3163C">
            <w:pPr>
              <w:keepNext w:val="0"/>
              <w:keepLines w:val="0"/>
              <w:widowControl/>
              <w:suppressLineNumbers w:val="0"/>
              <w:adjustRightInd w:val="0"/>
              <w:snapToGrid w:val="0"/>
              <w:spacing w:before="72" w:beforeLines="30" w:beforeAutospacing="0" w:after="72" w:afterLines="30" w:afterAutospacing="0" w:line="360" w:lineRule="auto"/>
              <w:ind w:left="0" w:right="0" w:firstLine="480"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项目厂界外500</w:t>
            </w:r>
            <w:r>
              <w:rPr>
                <w:rFonts w:hint="default" w:ascii="Times New Roman" w:hAnsi="Times New Roman" w:cs="Times New Roman"/>
                <w:color w:val="000000" w:themeColor="text1"/>
                <w:sz w:val="24"/>
                <w:szCs w:val="24"/>
                <w:highlight w:val="none"/>
                <w:lang w:eastAsia="zh-CN"/>
                <w14:textFill>
                  <w14:solidFill>
                    <w14:schemeClr w14:val="tx1"/>
                  </w14:solidFill>
                </w14:textFill>
              </w:rPr>
              <w:t>m</w:t>
            </w:r>
            <w:r>
              <w:rPr>
                <w:rFonts w:hint="default" w:ascii="Times New Roman" w:hAnsi="Times New Roman" w:cs="Times New Roman"/>
                <w:color w:val="000000" w:themeColor="text1"/>
                <w:sz w:val="24"/>
                <w:szCs w:val="24"/>
                <w:highlight w:val="none"/>
                <w14:textFill>
                  <w14:solidFill>
                    <w14:schemeClr w14:val="tx1"/>
                  </w14:solidFill>
                </w14:textFill>
              </w:rPr>
              <w:t>范围内不涉及自然保护区、风景名胜区、饮用水水源保护区以及文物保护单位等环境敏感区，无地下水集中式饮用水水源和热水、矿泉水、温泉等特殊地下水资源，</w:t>
            </w:r>
            <w:r>
              <w:rPr>
                <w:rFonts w:hint="default" w:ascii="Times New Roman" w:hAnsi="Times New Roman" w:cs="Times New Roman"/>
                <w:color w:val="000000" w:themeColor="text1"/>
                <w:kern w:val="0"/>
                <w:sz w:val="24"/>
                <w:szCs w:val="24"/>
                <w:highlight w:val="none"/>
                <w14:textFill>
                  <w14:solidFill>
                    <w14:schemeClr w14:val="tx1"/>
                  </w14:solidFill>
                </w14:textFill>
              </w:rPr>
              <w:t>厂界外500m范围内的</w:t>
            </w:r>
            <w:r>
              <w:rPr>
                <w:rFonts w:hint="eastAsia" w:cs="Times New Roman"/>
                <w:color w:val="000000" w:themeColor="text1"/>
                <w:kern w:val="0"/>
                <w:sz w:val="24"/>
                <w:szCs w:val="24"/>
                <w:highlight w:val="none"/>
                <w:lang w:val="en-US" w:eastAsia="zh-CN"/>
                <w14:textFill>
                  <w14:solidFill>
                    <w14:schemeClr w14:val="tx1"/>
                  </w14:solidFill>
                </w14:textFill>
              </w:rPr>
              <w:t>环境保护目标</w:t>
            </w:r>
            <w:r>
              <w:rPr>
                <w:rFonts w:hint="default" w:ascii="Times New Roman" w:hAnsi="Times New Roman" w:cs="Times New Roman"/>
                <w:color w:val="000000" w:themeColor="text1"/>
                <w:kern w:val="0"/>
                <w:sz w:val="24"/>
                <w:szCs w:val="24"/>
                <w:highlight w:val="none"/>
                <w14:textFill>
                  <w14:solidFill>
                    <w14:schemeClr w14:val="tx1"/>
                  </w14:solidFill>
                </w14:textFill>
              </w:rPr>
              <w:t>情况详见下表</w:t>
            </w:r>
            <w:r>
              <w:rPr>
                <w:rFonts w:hint="default" w:ascii="Times New Roman" w:hAnsi="Times New Roman" w:cs="Times New Roman"/>
                <w:color w:val="000000" w:themeColor="text1"/>
                <w:sz w:val="24"/>
                <w:szCs w:val="24"/>
                <w:highlight w:val="none"/>
                <w14:textFill>
                  <w14:solidFill>
                    <w14:schemeClr w14:val="tx1"/>
                  </w14:solidFill>
                </w14:textFill>
              </w:rPr>
              <w:t>。</w:t>
            </w:r>
          </w:p>
          <w:p w14:paraId="09EDDCCC">
            <w:pPr>
              <w:keepNext w:val="0"/>
              <w:keepLines w:val="0"/>
              <w:pageBreakBefore w:val="0"/>
              <w:widowControl w:val="0"/>
              <w:numPr>
                <w:ilvl w:val="0"/>
                <w:numId w:val="24"/>
              </w:numPr>
              <w:suppressLineNumbers w:val="0"/>
              <w:kinsoku/>
              <w:wordWrap/>
              <w:overflowPunct/>
              <w:topLinePunct w:val="0"/>
              <w:autoSpaceDE/>
              <w:autoSpaceDN/>
              <w:bidi w:val="0"/>
              <w:adjustRightInd/>
              <w:snapToGrid w:val="0"/>
              <w:spacing w:before="157" w:beforeLines="5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项目环境保护目标一览表</w:t>
            </w:r>
          </w:p>
          <w:tbl>
            <w:tblPr>
              <w:tblStyle w:val="35"/>
              <w:tblW w:w="5000" w:type="pct"/>
              <w:tblInd w:w="0" w:type="dxa"/>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19"/>
              <w:gridCol w:w="1919"/>
              <w:gridCol w:w="1035"/>
              <w:gridCol w:w="1035"/>
              <w:gridCol w:w="870"/>
              <w:gridCol w:w="855"/>
              <w:gridCol w:w="795"/>
              <w:gridCol w:w="716"/>
              <w:gridCol w:w="673"/>
            </w:tblGrid>
            <w:tr w14:paraId="52C465C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251" w:type="pct"/>
                  <w:vMerge w:val="restart"/>
                  <w:tcBorders>
                    <w:tl2br w:val="nil"/>
                    <w:tr2bl w:val="nil"/>
                  </w:tcBorders>
                  <w:noWrap w:val="0"/>
                  <w:vAlign w:val="center"/>
                </w:tcPr>
                <w:p w14:paraId="0812D428">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类别</w:t>
                  </w:r>
                </w:p>
              </w:tc>
              <w:tc>
                <w:tcPr>
                  <w:tcW w:w="1153" w:type="pct"/>
                  <w:vMerge w:val="restart"/>
                  <w:tcBorders>
                    <w:tl2br w:val="nil"/>
                    <w:tr2bl w:val="nil"/>
                  </w:tcBorders>
                  <w:noWrap w:val="0"/>
                  <w:vAlign w:val="center"/>
                </w:tcPr>
                <w:p w14:paraId="1B699EE5">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名称</w:t>
                  </w:r>
                </w:p>
              </w:tc>
              <w:tc>
                <w:tcPr>
                  <w:tcW w:w="1244" w:type="pct"/>
                  <w:gridSpan w:val="2"/>
                  <w:tcBorders>
                    <w:tl2br w:val="nil"/>
                    <w:tr2bl w:val="nil"/>
                  </w:tcBorders>
                  <w:noWrap w:val="0"/>
                  <w:vAlign w:val="center"/>
                </w:tcPr>
                <w:p w14:paraId="1B3E03DB">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坐标</w:t>
                  </w:r>
                </w:p>
              </w:tc>
              <w:tc>
                <w:tcPr>
                  <w:tcW w:w="523" w:type="pct"/>
                  <w:vMerge w:val="restart"/>
                  <w:tcBorders>
                    <w:tl2br w:val="nil"/>
                    <w:tr2bl w:val="nil"/>
                  </w:tcBorders>
                  <w:noWrap w:val="0"/>
                  <w:vAlign w:val="center"/>
                </w:tcPr>
                <w:p w14:paraId="4102C709">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保护对象</w:t>
                  </w:r>
                </w:p>
              </w:tc>
              <w:tc>
                <w:tcPr>
                  <w:tcW w:w="514" w:type="pct"/>
                  <w:vMerge w:val="restart"/>
                  <w:tcBorders>
                    <w:tl2br w:val="nil"/>
                    <w:tr2bl w:val="nil"/>
                  </w:tcBorders>
                  <w:noWrap w:val="0"/>
                  <w:vAlign w:val="center"/>
                </w:tcPr>
                <w:p w14:paraId="2ED7547A">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保护内容（人数）</w:t>
                  </w:r>
                </w:p>
              </w:tc>
              <w:tc>
                <w:tcPr>
                  <w:tcW w:w="477" w:type="pct"/>
                  <w:vMerge w:val="restart"/>
                  <w:tcBorders>
                    <w:tl2br w:val="nil"/>
                    <w:tr2bl w:val="nil"/>
                  </w:tcBorders>
                  <w:noWrap w:val="0"/>
                  <w:vAlign w:val="center"/>
                </w:tcPr>
                <w:p w14:paraId="0F259D56">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相对厂址方位</w:t>
                  </w:r>
                </w:p>
              </w:tc>
              <w:tc>
                <w:tcPr>
                  <w:tcW w:w="430" w:type="pct"/>
                  <w:vMerge w:val="restart"/>
                  <w:tcBorders>
                    <w:tl2br w:val="nil"/>
                    <w:tr2bl w:val="nil"/>
                  </w:tcBorders>
                  <w:noWrap w:val="0"/>
                  <w:vAlign w:val="center"/>
                </w:tcPr>
                <w:p w14:paraId="5E5552A2">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相对厂界距离/m</w:t>
                  </w:r>
                </w:p>
              </w:tc>
              <w:tc>
                <w:tcPr>
                  <w:tcW w:w="404" w:type="pct"/>
                  <w:vMerge w:val="restart"/>
                  <w:tcBorders>
                    <w:tl2br w:val="nil"/>
                    <w:tr2bl w:val="nil"/>
                  </w:tcBorders>
                  <w:noWrap w:val="0"/>
                  <w:vAlign w:val="center"/>
                </w:tcPr>
                <w:p w14:paraId="54A6378F">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环境功能区</w:t>
                  </w:r>
                </w:p>
              </w:tc>
            </w:tr>
            <w:tr w14:paraId="7329CCD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51" w:type="pct"/>
                  <w:vMerge w:val="continue"/>
                  <w:tcBorders>
                    <w:tl2br w:val="nil"/>
                    <w:tr2bl w:val="nil"/>
                  </w:tcBorders>
                  <w:noWrap w:val="0"/>
                  <w:vAlign w:val="center"/>
                </w:tcPr>
                <w:p w14:paraId="1327E6BC">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cs="Times New Roman"/>
                      <w:color w:val="000000" w:themeColor="text1"/>
                      <w:kern w:val="0"/>
                      <w:sz w:val="21"/>
                      <w:szCs w:val="21"/>
                      <w:highlight w:val="none"/>
                      <w14:textFill>
                        <w14:solidFill>
                          <w14:schemeClr w14:val="tx1"/>
                        </w14:solidFill>
                      </w14:textFill>
                    </w:rPr>
                  </w:pPr>
                </w:p>
              </w:tc>
              <w:tc>
                <w:tcPr>
                  <w:tcW w:w="1153" w:type="pct"/>
                  <w:vMerge w:val="continue"/>
                  <w:tcBorders>
                    <w:tl2br w:val="nil"/>
                    <w:tr2bl w:val="nil"/>
                  </w:tcBorders>
                  <w:noWrap w:val="0"/>
                  <w:vAlign w:val="center"/>
                </w:tcPr>
                <w:p w14:paraId="3AF9FD7C">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cs="Times New Roman"/>
                      <w:color w:val="000000" w:themeColor="text1"/>
                      <w:kern w:val="0"/>
                      <w:sz w:val="21"/>
                      <w:szCs w:val="21"/>
                      <w:highlight w:val="none"/>
                      <w14:textFill>
                        <w14:solidFill>
                          <w14:schemeClr w14:val="tx1"/>
                        </w14:solidFill>
                      </w14:textFill>
                    </w:rPr>
                  </w:pPr>
                </w:p>
              </w:tc>
              <w:tc>
                <w:tcPr>
                  <w:tcW w:w="622" w:type="pct"/>
                  <w:tcBorders>
                    <w:tl2br w:val="nil"/>
                    <w:tr2bl w:val="nil"/>
                  </w:tcBorders>
                  <w:noWrap w:val="0"/>
                  <w:vAlign w:val="center"/>
                </w:tcPr>
                <w:p w14:paraId="0F3A39DD">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经度</w:t>
                  </w:r>
                </w:p>
              </w:tc>
              <w:tc>
                <w:tcPr>
                  <w:tcW w:w="622" w:type="pct"/>
                  <w:tcBorders>
                    <w:tl2br w:val="nil"/>
                    <w:tr2bl w:val="nil"/>
                  </w:tcBorders>
                  <w:noWrap w:val="0"/>
                  <w:vAlign w:val="center"/>
                </w:tcPr>
                <w:p w14:paraId="792228E8">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纬度</w:t>
                  </w:r>
                </w:p>
              </w:tc>
              <w:tc>
                <w:tcPr>
                  <w:tcW w:w="523" w:type="pct"/>
                  <w:vMerge w:val="continue"/>
                  <w:tcBorders>
                    <w:tl2br w:val="nil"/>
                    <w:tr2bl w:val="nil"/>
                  </w:tcBorders>
                  <w:noWrap w:val="0"/>
                  <w:vAlign w:val="center"/>
                </w:tcPr>
                <w:p w14:paraId="5B692D69">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cs="Times New Roman"/>
                      <w:color w:val="000000" w:themeColor="text1"/>
                      <w:kern w:val="0"/>
                      <w:sz w:val="21"/>
                      <w:szCs w:val="21"/>
                      <w:highlight w:val="none"/>
                      <w14:textFill>
                        <w14:solidFill>
                          <w14:schemeClr w14:val="tx1"/>
                        </w14:solidFill>
                      </w14:textFill>
                    </w:rPr>
                  </w:pPr>
                </w:p>
              </w:tc>
              <w:tc>
                <w:tcPr>
                  <w:tcW w:w="514" w:type="pct"/>
                  <w:vMerge w:val="continue"/>
                  <w:tcBorders>
                    <w:tl2br w:val="nil"/>
                    <w:tr2bl w:val="nil"/>
                  </w:tcBorders>
                  <w:noWrap w:val="0"/>
                  <w:vAlign w:val="center"/>
                </w:tcPr>
                <w:p w14:paraId="0E729B25">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cs="Times New Roman"/>
                      <w:color w:val="000000" w:themeColor="text1"/>
                      <w:kern w:val="0"/>
                      <w:sz w:val="21"/>
                      <w:szCs w:val="21"/>
                      <w:highlight w:val="none"/>
                      <w14:textFill>
                        <w14:solidFill>
                          <w14:schemeClr w14:val="tx1"/>
                        </w14:solidFill>
                      </w14:textFill>
                    </w:rPr>
                  </w:pPr>
                </w:p>
              </w:tc>
              <w:tc>
                <w:tcPr>
                  <w:tcW w:w="477" w:type="pct"/>
                  <w:vMerge w:val="continue"/>
                  <w:tcBorders>
                    <w:tl2br w:val="nil"/>
                    <w:tr2bl w:val="nil"/>
                  </w:tcBorders>
                  <w:noWrap w:val="0"/>
                  <w:vAlign w:val="center"/>
                </w:tcPr>
                <w:p w14:paraId="1F092F53">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cs="Times New Roman"/>
                      <w:color w:val="000000" w:themeColor="text1"/>
                      <w:kern w:val="0"/>
                      <w:sz w:val="21"/>
                      <w:szCs w:val="21"/>
                      <w:highlight w:val="none"/>
                      <w14:textFill>
                        <w14:solidFill>
                          <w14:schemeClr w14:val="tx1"/>
                        </w14:solidFill>
                      </w14:textFill>
                    </w:rPr>
                  </w:pPr>
                </w:p>
              </w:tc>
              <w:tc>
                <w:tcPr>
                  <w:tcW w:w="430" w:type="pct"/>
                  <w:vMerge w:val="continue"/>
                  <w:tcBorders>
                    <w:tl2br w:val="nil"/>
                    <w:tr2bl w:val="nil"/>
                  </w:tcBorders>
                  <w:noWrap w:val="0"/>
                  <w:vAlign w:val="center"/>
                </w:tcPr>
                <w:p w14:paraId="5961113E">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cs="Times New Roman"/>
                      <w:color w:val="000000" w:themeColor="text1"/>
                      <w:kern w:val="0"/>
                      <w:sz w:val="21"/>
                      <w:szCs w:val="21"/>
                      <w:highlight w:val="none"/>
                      <w14:textFill>
                        <w14:solidFill>
                          <w14:schemeClr w14:val="tx1"/>
                        </w14:solidFill>
                      </w14:textFill>
                    </w:rPr>
                  </w:pPr>
                </w:p>
              </w:tc>
              <w:tc>
                <w:tcPr>
                  <w:tcW w:w="404" w:type="pct"/>
                  <w:vMerge w:val="continue"/>
                  <w:tcBorders>
                    <w:tl2br w:val="nil"/>
                    <w:tr2bl w:val="nil"/>
                  </w:tcBorders>
                  <w:noWrap w:val="0"/>
                  <w:vAlign w:val="center"/>
                </w:tcPr>
                <w:p w14:paraId="6AFFC5B6">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cs="Times New Roman"/>
                      <w:color w:val="000000" w:themeColor="text1"/>
                      <w:kern w:val="0"/>
                      <w:sz w:val="21"/>
                      <w:szCs w:val="21"/>
                      <w:highlight w:val="none"/>
                      <w14:textFill>
                        <w14:solidFill>
                          <w14:schemeClr w14:val="tx1"/>
                        </w14:solidFill>
                      </w14:textFill>
                    </w:rPr>
                  </w:pPr>
                </w:p>
              </w:tc>
            </w:tr>
            <w:tr w14:paraId="06C39FA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251" w:type="pct"/>
                  <w:vMerge w:val="restart"/>
                  <w:tcBorders>
                    <w:tl2br w:val="nil"/>
                    <w:tr2bl w:val="nil"/>
                  </w:tcBorders>
                  <w:noWrap w:val="0"/>
                  <w:vAlign w:val="center"/>
                </w:tcPr>
                <w:p w14:paraId="23BEC224">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环境空气</w:t>
                  </w:r>
                </w:p>
              </w:tc>
              <w:tc>
                <w:tcPr>
                  <w:tcW w:w="1153" w:type="pct"/>
                  <w:tcBorders>
                    <w:tl2br w:val="nil"/>
                    <w:tr2bl w:val="nil"/>
                  </w:tcBorders>
                  <w:noWrap w:val="0"/>
                  <w:vAlign w:val="center"/>
                </w:tcPr>
                <w:p w14:paraId="7766C623">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pPr>
                  <w:r>
                    <w:rPr>
                      <w:rFonts w:hint="eastAsia" w:ascii="宋体" w:hAnsi="宋体" w:cs="宋体"/>
                      <w:b w:val="0"/>
                      <w:bCs/>
                      <w:color w:val="000000" w:themeColor="text1"/>
                      <w:sz w:val="21"/>
                      <w:szCs w:val="21"/>
                      <w:highlight w:val="none"/>
                      <w:lang w:eastAsia="zh-CN"/>
                      <w14:textFill>
                        <w14:solidFill>
                          <w14:schemeClr w14:val="tx1"/>
                        </w14:solidFill>
                      </w14:textFill>
                    </w:rPr>
                    <w:t>本溪高新区公共行政服务中心</w:t>
                  </w:r>
                </w:p>
              </w:tc>
              <w:tc>
                <w:tcPr>
                  <w:tcW w:w="622" w:type="pct"/>
                  <w:tcBorders>
                    <w:tl2br w:val="nil"/>
                    <w:tr2bl w:val="nil"/>
                  </w:tcBorders>
                  <w:noWrap w:val="0"/>
                  <w:vAlign w:val="center"/>
                </w:tcPr>
                <w:p w14:paraId="487B2467">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123°43′8.950″</w:t>
                  </w:r>
                </w:p>
              </w:tc>
              <w:tc>
                <w:tcPr>
                  <w:tcW w:w="622" w:type="pct"/>
                  <w:tcBorders>
                    <w:tl2br w:val="nil"/>
                    <w:tr2bl w:val="nil"/>
                  </w:tcBorders>
                  <w:noWrap w:val="0"/>
                  <w:vAlign w:val="center"/>
                </w:tcPr>
                <w:p w14:paraId="3C5D0C67">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41°27′41.270″</w:t>
                  </w:r>
                </w:p>
              </w:tc>
              <w:tc>
                <w:tcPr>
                  <w:tcW w:w="523" w:type="pct"/>
                  <w:tcBorders>
                    <w:tl2br w:val="nil"/>
                    <w:tr2bl w:val="nil"/>
                  </w:tcBorders>
                  <w:noWrap w:val="0"/>
                  <w:vAlign w:val="center"/>
                </w:tcPr>
                <w:p w14:paraId="58ED708A">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行政办公区</w:t>
                  </w:r>
                </w:p>
              </w:tc>
              <w:tc>
                <w:tcPr>
                  <w:tcW w:w="514" w:type="pct"/>
                  <w:tcBorders>
                    <w:tl2br w:val="nil"/>
                    <w:tr2bl w:val="nil"/>
                  </w:tcBorders>
                  <w:noWrap w:val="0"/>
                  <w:vAlign w:val="center"/>
                </w:tcPr>
                <w:p w14:paraId="4E1F9555">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w:t>
                  </w:r>
                </w:p>
              </w:tc>
              <w:tc>
                <w:tcPr>
                  <w:tcW w:w="477" w:type="pct"/>
                  <w:tcBorders>
                    <w:tl2br w:val="nil"/>
                    <w:tr2bl w:val="nil"/>
                  </w:tcBorders>
                  <w:noWrap w:val="0"/>
                  <w:vAlign w:val="center"/>
                </w:tcPr>
                <w:p w14:paraId="33E35DCC">
                  <w:pPr>
                    <w:keepNext w:val="0"/>
                    <w:keepLines w:val="0"/>
                    <w:widowControl/>
                    <w:suppressLineNumbers w:val="0"/>
                    <w:spacing w:before="0" w:beforeAutospacing="0" w:after="0" w:afterAutospacing="0" w:line="240" w:lineRule="auto"/>
                    <w:ind w:left="0" w:right="0" w:firstLine="0" w:firstLineChars="0"/>
                    <w:jc w:val="center"/>
                    <w:rPr>
                      <w:rFonts w:hint="eastAsia"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bidi="he-IL"/>
                      <w14:textFill>
                        <w14:solidFill>
                          <w14:schemeClr w14:val="tx1"/>
                        </w14:solidFill>
                      </w14:textFill>
                    </w:rPr>
                    <w:t>S</w:t>
                  </w:r>
                </w:p>
              </w:tc>
              <w:tc>
                <w:tcPr>
                  <w:tcW w:w="430" w:type="pct"/>
                  <w:tcBorders>
                    <w:tl2br w:val="nil"/>
                    <w:tr2bl w:val="nil"/>
                  </w:tcBorders>
                  <w:noWrap w:val="0"/>
                  <w:vAlign w:val="center"/>
                </w:tcPr>
                <w:p w14:paraId="0675F207">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8</w:t>
                  </w:r>
                </w:p>
              </w:tc>
              <w:tc>
                <w:tcPr>
                  <w:tcW w:w="404" w:type="pct"/>
                  <w:vMerge w:val="restart"/>
                  <w:tcBorders>
                    <w:tl2br w:val="nil"/>
                    <w:tr2bl w:val="nil"/>
                  </w:tcBorders>
                  <w:noWrap w:val="0"/>
                  <w:vAlign w:val="center"/>
                </w:tcPr>
                <w:p w14:paraId="4307DF11">
                  <w:pPr>
                    <w:keepNext w:val="0"/>
                    <w:keepLines w:val="0"/>
                    <w:pageBreakBefore w:val="0"/>
                    <w:widowControl w:val="0"/>
                    <w:suppressLineNumbers w:val="0"/>
                    <w:kinsoku/>
                    <w:overflowPunct/>
                    <w:topLinePunct w:val="0"/>
                    <w:autoSpaceDE/>
                    <w:autoSpaceDN/>
                    <w:bidi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《环境空气质量标准（</w:t>
                  </w: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GB3095-2026</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二类区</w:t>
                  </w:r>
                </w:p>
              </w:tc>
            </w:tr>
            <w:tr w14:paraId="2DF73E5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251" w:type="pct"/>
                  <w:vMerge w:val="continue"/>
                  <w:tcBorders>
                    <w:tl2br w:val="nil"/>
                    <w:tr2bl w:val="nil"/>
                  </w:tcBorders>
                  <w:noWrap w:val="0"/>
                  <w:vAlign w:val="center"/>
                </w:tcPr>
                <w:p w14:paraId="7929ED50">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kern w:val="0"/>
                      <w:sz w:val="21"/>
                      <w:szCs w:val="21"/>
                      <w:highlight w:val="none"/>
                      <w14:textFill>
                        <w14:solidFill>
                          <w14:schemeClr w14:val="tx1"/>
                        </w14:solidFill>
                      </w14:textFill>
                    </w:rPr>
                  </w:pPr>
                </w:p>
              </w:tc>
              <w:tc>
                <w:tcPr>
                  <w:tcW w:w="1153" w:type="pct"/>
                  <w:tcBorders>
                    <w:tl2br w:val="nil"/>
                    <w:tr2bl w:val="nil"/>
                  </w:tcBorders>
                  <w:shd w:val="clear" w:color="auto" w:fill="auto"/>
                  <w:noWrap w:val="0"/>
                  <w:vAlign w:val="center"/>
                </w:tcPr>
                <w:p w14:paraId="2A86F64B">
                  <w:pPr>
                    <w:keepNext w:val="0"/>
                    <w:keepLines w:val="0"/>
                    <w:widowControl/>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本溪高新技术产业开发区管理委员会</w:t>
                  </w:r>
                </w:p>
              </w:tc>
              <w:tc>
                <w:tcPr>
                  <w:tcW w:w="622" w:type="pct"/>
                  <w:tcBorders>
                    <w:tl2br w:val="nil"/>
                    <w:tr2bl w:val="nil"/>
                  </w:tcBorders>
                  <w:shd w:val="clear" w:color="auto" w:fill="auto"/>
                  <w:noWrap w:val="0"/>
                  <w:vAlign w:val="center"/>
                </w:tcPr>
                <w:p w14:paraId="2BE92277">
                  <w:pPr>
                    <w:keepNext w:val="0"/>
                    <w:keepLines w:val="0"/>
                    <w:widowControl/>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123°43′6.691″</w:t>
                  </w:r>
                </w:p>
              </w:tc>
              <w:tc>
                <w:tcPr>
                  <w:tcW w:w="622" w:type="pct"/>
                  <w:tcBorders>
                    <w:tl2br w:val="nil"/>
                    <w:tr2bl w:val="nil"/>
                  </w:tcBorders>
                  <w:shd w:val="clear" w:color="auto" w:fill="auto"/>
                  <w:noWrap w:val="0"/>
                  <w:vAlign w:val="center"/>
                </w:tcPr>
                <w:p w14:paraId="5550BA87">
                  <w:pPr>
                    <w:keepNext w:val="0"/>
                    <w:keepLines w:val="0"/>
                    <w:widowControl/>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41°27′44.862″</w:t>
                  </w:r>
                </w:p>
              </w:tc>
              <w:tc>
                <w:tcPr>
                  <w:tcW w:w="523" w:type="pct"/>
                  <w:tcBorders>
                    <w:tl2br w:val="nil"/>
                    <w:tr2bl w:val="nil"/>
                  </w:tcBorders>
                  <w:shd w:val="clear" w:color="auto" w:fill="auto"/>
                  <w:noWrap w:val="0"/>
                  <w:vAlign w:val="center"/>
                </w:tcPr>
                <w:p w14:paraId="68C4340B">
                  <w:pPr>
                    <w:keepNext w:val="0"/>
                    <w:keepLines w:val="0"/>
                    <w:widowControl/>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行政办公区</w:t>
                  </w:r>
                </w:p>
              </w:tc>
              <w:tc>
                <w:tcPr>
                  <w:tcW w:w="514" w:type="pct"/>
                  <w:tcBorders>
                    <w:tl2br w:val="nil"/>
                    <w:tr2bl w:val="nil"/>
                  </w:tcBorders>
                  <w:shd w:val="clear" w:color="auto" w:fill="auto"/>
                  <w:noWrap w:val="0"/>
                  <w:vAlign w:val="center"/>
                </w:tcPr>
                <w:p w14:paraId="56314745">
                  <w:pPr>
                    <w:keepNext w:val="0"/>
                    <w:keepLines w:val="0"/>
                    <w:widowControl/>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w:t>
                  </w:r>
                </w:p>
              </w:tc>
              <w:tc>
                <w:tcPr>
                  <w:tcW w:w="477" w:type="pct"/>
                  <w:tcBorders>
                    <w:tl2br w:val="nil"/>
                    <w:tr2bl w:val="nil"/>
                  </w:tcBorders>
                  <w:shd w:val="clear" w:color="auto" w:fill="auto"/>
                  <w:noWrap w:val="0"/>
                  <w:vAlign w:val="center"/>
                </w:tcPr>
                <w:p w14:paraId="64061F9E">
                  <w:pPr>
                    <w:keepNext w:val="0"/>
                    <w:keepLines w:val="0"/>
                    <w:widowControl/>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W</w:t>
                  </w:r>
                </w:p>
              </w:tc>
              <w:tc>
                <w:tcPr>
                  <w:tcW w:w="430" w:type="pct"/>
                  <w:tcBorders>
                    <w:tl2br w:val="nil"/>
                    <w:tr2bl w:val="nil"/>
                  </w:tcBorders>
                  <w:shd w:val="clear" w:color="auto" w:fill="auto"/>
                  <w:noWrap w:val="0"/>
                  <w:vAlign w:val="center"/>
                </w:tcPr>
                <w:p w14:paraId="48DF676B">
                  <w:pPr>
                    <w:keepNext w:val="0"/>
                    <w:keepLines w:val="0"/>
                    <w:widowControl/>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40</w:t>
                  </w:r>
                </w:p>
              </w:tc>
              <w:tc>
                <w:tcPr>
                  <w:tcW w:w="404" w:type="pct"/>
                  <w:vMerge w:val="continue"/>
                  <w:tcBorders>
                    <w:tl2br w:val="nil"/>
                    <w:tr2bl w:val="nil"/>
                  </w:tcBorders>
                  <w:noWrap w:val="0"/>
                  <w:vAlign w:val="center"/>
                </w:tcPr>
                <w:p w14:paraId="71B37633">
                  <w:pPr>
                    <w:keepNext w:val="0"/>
                    <w:keepLines w:val="0"/>
                    <w:pageBreakBefore w:val="0"/>
                    <w:widowControl w:val="0"/>
                    <w:suppressLineNumbers w:val="0"/>
                    <w:kinsoku/>
                    <w:overflowPunct/>
                    <w:topLinePunct w:val="0"/>
                    <w:autoSpaceDE/>
                    <w:autoSpaceDN/>
                    <w:bidi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r>
            <w:tr w14:paraId="7365720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251" w:type="pct"/>
                  <w:vMerge w:val="continue"/>
                  <w:tcBorders>
                    <w:tl2br w:val="nil"/>
                    <w:tr2bl w:val="nil"/>
                  </w:tcBorders>
                  <w:noWrap w:val="0"/>
                  <w:vAlign w:val="center"/>
                </w:tcPr>
                <w:p w14:paraId="437A9D31">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kern w:val="0"/>
                      <w:sz w:val="21"/>
                      <w:szCs w:val="21"/>
                      <w:highlight w:val="none"/>
                      <w14:textFill>
                        <w14:solidFill>
                          <w14:schemeClr w14:val="tx1"/>
                        </w14:solidFill>
                      </w14:textFill>
                    </w:rPr>
                  </w:pPr>
                </w:p>
              </w:tc>
              <w:tc>
                <w:tcPr>
                  <w:tcW w:w="1153" w:type="pct"/>
                  <w:tcBorders>
                    <w:tl2br w:val="nil"/>
                    <w:tr2bl w:val="nil"/>
                  </w:tcBorders>
                  <w:noWrap w:val="0"/>
                  <w:vAlign w:val="center"/>
                </w:tcPr>
                <w:p w14:paraId="4FAB413B">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t>旺力新天地</w:t>
                  </w:r>
                </w:p>
              </w:tc>
              <w:tc>
                <w:tcPr>
                  <w:tcW w:w="622" w:type="pct"/>
                  <w:tcBorders>
                    <w:tl2br w:val="nil"/>
                    <w:tr2bl w:val="nil"/>
                  </w:tcBorders>
                  <w:noWrap w:val="0"/>
                  <w:vAlign w:val="center"/>
                </w:tcPr>
                <w:p w14:paraId="772B8FDB">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123°43′6.073″</w:t>
                  </w:r>
                </w:p>
              </w:tc>
              <w:tc>
                <w:tcPr>
                  <w:tcW w:w="622" w:type="pct"/>
                  <w:tcBorders>
                    <w:tl2br w:val="nil"/>
                    <w:tr2bl w:val="nil"/>
                  </w:tcBorders>
                  <w:noWrap w:val="0"/>
                  <w:vAlign w:val="center"/>
                </w:tcPr>
                <w:p w14:paraId="5B30AE99">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41°27′42.361″</w:t>
                  </w:r>
                </w:p>
              </w:tc>
              <w:tc>
                <w:tcPr>
                  <w:tcW w:w="523" w:type="pct"/>
                  <w:tcBorders>
                    <w:tl2br w:val="nil"/>
                    <w:tr2bl w:val="nil"/>
                  </w:tcBorders>
                  <w:noWrap w:val="0"/>
                  <w:vAlign w:val="center"/>
                </w:tcPr>
                <w:p w14:paraId="76324355">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居民区</w:t>
                  </w:r>
                </w:p>
              </w:tc>
              <w:tc>
                <w:tcPr>
                  <w:tcW w:w="514" w:type="pct"/>
                  <w:tcBorders>
                    <w:tl2br w:val="nil"/>
                    <w:tr2bl w:val="nil"/>
                  </w:tcBorders>
                  <w:noWrap w:val="0"/>
                  <w:vAlign w:val="center"/>
                </w:tcPr>
                <w:p w14:paraId="25833E8C">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810</w:t>
                  </w:r>
                </w:p>
              </w:tc>
              <w:tc>
                <w:tcPr>
                  <w:tcW w:w="477" w:type="pct"/>
                  <w:tcBorders>
                    <w:tl2br w:val="nil"/>
                    <w:tr2bl w:val="nil"/>
                  </w:tcBorders>
                  <w:noWrap w:val="0"/>
                  <w:vAlign w:val="center"/>
                </w:tcPr>
                <w:p w14:paraId="263EB6AD">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W</w:t>
                  </w:r>
                </w:p>
              </w:tc>
              <w:tc>
                <w:tcPr>
                  <w:tcW w:w="430" w:type="pct"/>
                  <w:tcBorders>
                    <w:tl2br w:val="nil"/>
                    <w:tr2bl w:val="nil"/>
                  </w:tcBorders>
                  <w:noWrap w:val="0"/>
                  <w:vAlign w:val="center"/>
                </w:tcPr>
                <w:p w14:paraId="656579D2">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40</w:t>
                  </w:r>
                </w:p>
              </w:tc>
              <w:tc>
                <w:tcPr>
                  <w:tcW w:w="404" w:type="pct"/>
                  <w:vMerge w:val="continue"/>
                  <w:tcBorders>
                    <w:tl2br w:val="nil"/>
                    <w:tr2bl w:val="nil"/>
                  </w:tcBorders>
                  <w:noWrap w:val="0"/>
                  <w:vAlign w:val="center"/>
                </w:tcPr>
                <w:p w14:paraId="4CB307FA">
                  <w:pPr>
                    <w:keepNext w:val="0"/>
                    <w:keepLines w:val="0"/>
                    <w:pageBreakBefore w:val="0"/>
                    <w:widowControl w:val="0"/>
                    <w:suppressLineNumbers w:val="0"/>
                    <w:kinsoku/>
                    <w:overflowPunct/>
                    <w:topLinePunct w:val="0"/>
                    <w:autoSpaceDE/>
                    <w:autoSpaceDN/>
                    <w:bidi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p>
              </w:tc>
            </w:tr>
            <w:tr w14:paraId="6BCA609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51" w:type="pct"/>
                  <w:vMerge w:val="continue"/>
                  <w:tcBorders>
                    <w:tl2br w:val="nil"/>
                    <w:tr2bl w:val="nil"/>
                  </w:tcBorders>
                  <w:noWrap w:val="0"/>
                  <w:vAlign w:val="center"/>
                </w:tcPr>
                <w:p w14:paraId="0192A8B7">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kern w:val="0"/>
                      <w:sz w:val="21"/>
                      <w:szCs w:val="21"/>
                      <w:highlight w:val="none"/>
                      <w14:textFill>
                        <w14:solidFill>
                          <w14:schemeClr w14:val="tx1"/>
                        </w14:solidFill>
                      </w14:textFill>
                    </w:rPr>
                  </w:pPr>
                </w:p>
              </w:tc>
              <w:tc>
                <w:tcPr>
                  <w:tcW w:w="1153" w:type="pct"/>
                  <w:tcBorders>
                    <w:tl2br w:val="nil"/>
                    <w:tr2bl w:val="nil"/>
                  </w:tcBorders>
                  <w:noWrap w:val="0"/>
                  <w:vAlign w:val="center"/>
                </w:tcPr>
                <w:p w14:paraId="3A94DF53">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t>汇贤公寓</w:t>
                  </w:r>
                </w:p>
              </w:tc>
              <w:tc>
                <w:tcPr>
                  <w:tcW w:w="622" w:type="pct"/>
                  <w:tcBorders>
                    <w:tl2br w:val="nil"/>
                    <w:tr2bl w:val="nil"/>
                  </w:tcBorders>
                  <w:noWrap w:val="0"/>
                  <w:vAlign w:val="center"/>
                </w:tcPr>
                <w:p w14:paraId="25FDB756">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123°43′3.601″</w:t>
                  </w:r>
                </w:p>
              </w:tc>
              <w:tc>
                <w:tcPr>
                  <w:tcW w:w="622" w:type="pct"/>
                  <w:tcBorders>
                    <w:tl2br w:val="nil"/>
                    <w:tr2bl w:val="nil"/>
                  </w:tcBorders>
                  <w:noWrap w:val="0"/>
                  <w:vAlign w:val="center"/>
                </w:tcPr>
                <w:p w14:paraId="58BD461E">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41°27′36.14</w:t>
                  </w:r>
                  <w:r>
                    <w:rPr>
                      <w:rFonts w:hint="eastAsia" w:cs="Times New Roman"/>
                      <w:color w:val="000000" w:themeColor="text1"/>
                      <w:kern w:val="0"/>
                      <w:sz w:val="21"/>
                      <w:szCs w:val="21"/>
                      <w:highlight w:val="none"/>
                      <w:lang w:val="en-US" w:eastAsia="zh-CN"/>
                      <w14:textFill>
                        <w14:solidFill>
                          <w14:schemeClr w14:val="tx1"/>
                        </w14:solidFill>
                      </w14:textFill>
                    </w:rPr>
                    <w:t>3</w:t>
                  </w:r>
                  <w:r>
                    <w:rPr>
                      <w:rFonts w:hint="default" w:ascii="Times New Roman" w:hAnsi="Times New Roman" w:cs="Times New Roman"/>
                      <w:color w:val="000000" w:themeColor="text1"/>
                      <w:kern w:val="0"/>
                      <w:sz w:val="21"/>
                      <w:szCs w:val="21"/>
                      <w:highlight w:val="none"/>
                      <w14:textFill>
                        <w14:solidFill>
                          <w14:schemeClr w14:val="tx1"/>
                        </w14:solidFill>
                      </w14:textFill>
                    </w:rPr>
                    <w:t>″</w:t>
                  </w:r>
                </w:p>
              </w:tc>
              <w:tc>
                <w:tcPr>
                  <w:tcW w:w="523" w:type="pct"/>
                  <w:tcBorders>
                    <w:tl2br w:val="nil"/>
                    <w:tr2bl w:val="nil"/>
                  </w:tcBorders>
                  <w:noWrap w:val="0"/>
                  <w:vAlign w:val="center"/>
                </w:tcPr>
                <w:p w14:paraId="7BACA762">
                  <w:pPr>
                    <w:keepNext w:val="0"/>
                    <w:keepLines w:val="0"/>
                    <w:widowControl/>
                    <w:suppressLineNumbers w:val="0"/>
                    <w:spacing w:before="0" w:beforeAutospacing="0" w:after="0" w:afterAutospacing="0" w:line="240" w:lineRule="auto"/>
                    <w:ind w:left="0" w:right="0" w:firstLine="0" w:firstLineChars="0"/>
                    <w:jc w:val="center"/>
                    <w:rPr>
                      <w:rFonts w:hint="eastAsia"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居民区</w:t>
                  </w:r>
                </w:p>
              </w:tc>
              <w:tc>
                <w:tcPr>
                  <w:tcW w:w="514" w:type="pct"/>
                  <w:tcBorders>
                    <w:tl2br w:val="nil"/>
                    <w:tr2bl w:val="nil"/>
                  </w:tcBorders>
                  <w:noWrap w:val="0"/>
                  <w:vAlign w:val="center"/>
                </w:tcPr>
                <w:p w14:paraId="38025D3C">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350</w:t>
                  </w:r>
                </w:p>
              </w:tc>
              <w:tc>
                <w:tcPr>
                  <w:tcW w:w="477" w:type="pct"/>
                  <w:tcBorders>
                    <w:tl2br w:val="nil"/>
                    <w:tr2bl w:val="nil"/>
                  </w:tcBorders>
                  <w:noWrap w:val="0"/>
                  <w:vAlign w:val="center"/>
                </w:tcPr>
                <w:p w14:paraId="0808F8C0">
                  <w:pPr>
                    <w:keepNext w:val="0"/>
                    <w:keepLines w:val="0"/>
                    <w:widowControl/>
                    <w:suppressLineNumbers w:val="0"/>
                    <w:spacing w:before="0" w:beforeAutospacing="0" w:after="0" w:afterAutospacing="0" w:line="240" w:lineRule="auto"/>
                    <w:ind w:left="0" w:right="0" w:firstLine="0" w:firstLineChars="0"/>
                    <w:jc w:val="center"/>
                    <w:rPr>
                      <w:rFonts w:hint="eastAsia"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SW</w:t>
                  </w:r>
                </w:p>
              </w:tc>
              <w:tc>
                <w:tcPr>
                  <w:tcW w:w="430" w:type="pct"/>
                  <w:tcBorders>
                    <w:tl2br w:val="nil"/>
                    <w:tr2bl w:val="nil"/>
                  </w:tcBorders>
                  <w:noWrap w:val="0"/>
                  <w:vAlign w:val="center"/>
                </w:tcPr>
                <w:p w14:paraId="73357F2A">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190</w:t>
                  </w:r>
                </w:p>
              </w:tc>
              <w:tc>
                <w:tcPr>
                  <w:tcW w:w="404" w:type="pct"/>
                  <w:vMerge w:val="continue"/>
                  <w:tcBorders>
                    <w:tl2br w:val="nil"/>
                    <w:tr2bl w:val="nil"/>
                  </w:tcBorders>
                  <w:noWrap w:val="0"/>
                  <w:vAlign w:val="center"/>
                </w:tcPr>
                <w:p w14:paraId="1314D335">
                  <w:pPr>
                    <w:keepNext w:val="0"/>
                    <w:keepLines w:val="0"/>
                    <w:pageBreakBefore w:val="0"/>
                    <w:widowControl w:val="0"/>
                    <w:suppressLineNumbers w:val="0"/>
                    <w:kinsoku/>
                    <w:overflowPunct/>
                    <w:topLinePunct w:val="0"/>
                    <w:autoSpaceDE/>
                    <w:autoSpaceDN/>
                    <w:bidi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r>
            <w:tr w14:paraId="79B3946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51" w:type="pct"/>
                  <w:vMerge w:val="continue"/>
                  <w:tcBorders>
                    <w:tl2br w:val="nil"/>
                    <w:tr2bl w:val="nil"/>
                  </w:tcBorders>
                  <w:noWrap w:val="0"/>
                  <w:vAlign w:val="center"/>
                </w:tcPr>
                <w:p w14:paraId="42806884">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kern w:val="0"/>
                      <w:sz w:val="21"/>
                      <w:szCs w:val="21"/>
                      <w:highlight w:val="none"/>
                      <w14:textFill>
                        <w14:solidFill>
                          <w14:schemeClr w14:val="tx1"/>
                        </w14:solidFill>
                      </w14:textFill>
                    </w:rPr>
                  </w:pPr>
                </w:p>
              </w:tc>
              <w:tc>
                <w:tcPr>
                  <w:tcW w:w="1153" w:type="pct"/>
                  <w:tcBorders>
                    <w:tl2br w:val="nil"/>
                    <w:tr2bl w:val="nil"/>
                  </w:tcBorders>
                  <w:noWrap w:val="0"/>
                  <w:vAlign w:val="center"/>
                </w:tcPr>
                <w:p w14:paraId="3AF108D5">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t>锦尚家</w:t>
                  </w:r>
                  <w:r>
                    <w:rPr>
                      <w:rFonts w:hint="eastAsia" w:cs="Times New Roman"/>
                      <w:color w:val="000000" w:themeColor="text1"/>
                      <w:kern w:val="0"/>
                      <w:sz w:val="21"/>
                      <w:szCs w:val="21"/>
                      <w:highlight w:val="none"/>
                      <w:lang w:val="en-US" w:eastAsia="zh-CN"/>
                      <w14:textFill>
                        <w14:solidFill>
                          <w14:schemeClr w14:val="tx1"/>
                        </w14:solidFill>
                      </w14:textFill>
                    </w:rPr>
                    <w:t>园</w:t>
                  </w:r>
                </w:p>
              </w:tc>
              <w:tc>
                <w:tcPr>
                  <w:tcW w:w="622" w:type="pct"/>
                  <w:tcBorders>
                    <w:tl2br w:val="nil"/>
                    <w:tr2bl w:val="nil"/>
                  </w:tcBorders>
                  <w:noWrap w:val="0"/>
                  <w:vAlign w:val="center"/>
                </w:tcPr>
                <w:p w14:paraId="0CBB0A51">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123°42′54.60</w:t>
                  </w:r>
                  <w:r>
                    <w:rPr>
                      <w:rFonts w:hint="eastAsia" w:cs="Times New Roman"/>
                      <w:color w:val="000000" w:themeColor="text1"/>
                      <w:kern w:val="0"/>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t>
                  </w:r>
                </w:p>
              </w:tc>
              <w:tc>
                <w:tcPr>
                  <w:tcW w:w="622" w:type="pct"/>
                  <w:tcBorders>
                    <w:tl2br w:val="nil"/>
                    <w:tr2bl w:val="nil"/>
                  </w:tcBorders>
                  <w:noWrap w:val="0"/>
                  <w:vAlign w:val="center"/>
                </w:tcPr>
                <w:p w14:paraId="1721CB45">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41°27′42.612″</w:t>
                  </w:r>
                </w:p>
              </w:tc>
              <w:tc>
                <w:tcPr>
                  <w:tcW w:w="523" w:type="pct"/>
                  <w:tcBorders>
                    <w:tl2br w:val="nil"/>
                    <w:tr2bl w:val="nil"/>
                  </w:tcBorders>
                  <w:noWrap w:val="0"/>
                  <w:vAlign w:val="center"/>
                </w:tcPr>
                <w:p w14:paraId="48E8D1FF">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居民区</w:t>
                  </w:r>
                </w:p>
              </w:tc>
              <w:tc>
                <w:tcPr>
                  <w:tcW w:w="514" w:type="pct"/>
                  <w:tcBorders>
                    <w:tl2br w:val="nil"/>
                    <w:tr2bl w:val="nil"/>
                  </w:tcBorders>
                  <w:noWrap w:val="0"/>
                  <w:vAlign w:val="center"/>
                </w:tcPr>
                <w:p w14:paraId="4054A6EA">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400</w:t>
                  </w:r>
                </w:p>
              </w:tc>
              <w:tc>
                <w:tcPr>
                  <w:tcW w:w="477" w:type="pct"/>
                  <w:tcBorders>
                    <w:tl2br w:val="nil"/>
                    <w:tr2bl w:val="nil"/>
                  </w:tcBorders>
                  <w:noWrap w:val="0"/>
                  <w:vAlign w:val="center"/>
                </w:tcPr>
                <w:p w14:paraId="4017899C">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W</w:t>
                  </w:r>
                </w:p>
              </w:tc>
              <w:tc>
                <w:tcPr>
                  <w:tcW w:w="430" w:type="pct"/>
                  <w:tcBorders>
                    <w:tl2br w:val="nil"/>
                    <w:tr2bl w:val="nil"/>
                  </w:tcBorders>
                  <w:noWrap w:val="0"/>
                  <w:vAlign w:val="center"/>
                </w:tcPr>
                <w:p w14:paraId="5C2A793C">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197</w:t>
                  </w:r>
                </w:p>
              </w:tc>
              <w:tc>
                <w:tcPr>
                  <w:tcW w:w="404" w:type="pct"/>
                  <w:vMerge w:val="continue"/>
                  <w:tcBorders>
                    <w:tl2br w:val="nil"/>
                    <w:tr2bl w:val="nil"/>
                  </w:tcBorders>
                  <w:noWrap w:val="0"/>
                  <w:vAlign w:val="center"/>
                </w:tcPr>
                <w:p w14:paraId="4B5DACC0">
                  <w:pPr>
                    <w:keepNext w:val="0"/>
                    <w:keepLines w:val="0"/>
                    <w:pageBreakBefore w:val="0"/>
                    <w:widowControl w:val="0"/>
                    <w:suppressLineNumbers w:val="0"/>
                    <w:kinsoku/>
                    <w:overflowPunct/>
                    <w:topLinePunct w:val="0"/>
                    <w:autoSpaceDE/>
                    <w:autoSpaceDN/>
                    <w:bidi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r>
            <w:tr w14:paraId="1785F1E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51" w:type="pct"/>
                  <w:vMerge w:val="continue"/>
                  <w:tcBorders>
                    <w:tl2br w:val="nil"/>
                    <w:tr2bl w:val="nil"/>
                  </w:tcBorders>
                  <w:noWrap w:val="0"/>
                  <w:vAlign w:val="center"/>
                </w:tcPr>
                <w:p w14:paraId="7CA1497D">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kern w:val="0"/>
                      <w:sz w:val="21"/>
                      <w:szCs w:val="21"/>
                      <w:highlight w:val="none"/>
                      <w14:textFill>
                        <w14:solidFill>
                          <w14:schemeClr w14:val="tx1"/>
                        </w14:solidFill>
                      </w14:textFill>
                    </w:rPr>
                  </w:pPr>
                </w:p>
              </w:tc>
              <w:tc>
                <w:tcPr>
                  <w:tcW w:w="1153" w:type="pct"/>
                  <w:tcBorders>
                    <w:tl2br w:val="nil"/>
                    <w:tr2bl w:val="nil"/>
                  </w:tcBorders>
                  <w:noWrap w:val="0"/>
                  <w:vAlign w:val="center"/>
                </w:tcPr>
                <w:p w14:paraId="4BCBFDD3">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t>榆林华苑</w:t>
                  </w:r>
                </w:p>
              </w:tc>
              <w:tc>
                <w:tcPr>
                  <w:tcW w:w="622" w:type="pct"/>
                  <w:tcBorders>
                    <w:tl2br w:val="nil"/>
                    <w:tr2bl w:val="nil"/>
                  </w:tcBorders>
                  <w:noWrap w:val="0"/>
                  <w:vAlign w:val="center"/>
                </w:tcPr>
                <w:p w14:paraId="37329A80">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123°42′55.72</w:t>
                  </w:r>
                  <w:r>
                    <w:rPr>
                      <w:rFonts w:hint="eastAsia" w:cs="Times New Roman"/>
                      <w:color w:val="000000" w:themeColor="text1"/>
                      <w:kern w:val="0"/>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t>
                  </w:r>
                </w:p>
              </w:tc>
              <w:tc>
                <w:tcPr>
                  <w:tcW w:w="622" w:type="pct"/>
                  <w:tcBorders>
                    <w:tl2br w:val="nil"/>
                    <w:tr2bl w:val="nil"/>
                  </w:tcBorders>
                  <w:noWrap w:val="0"/>
                  <w:vAlign w:val="center"/>
                </w:tcPr>
                <w:p w14:paraId="6A1B2B47">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41°27′35.196″</w:t>
                  </w:r>
                </w:p>
              </w:tc>
              <w:tc>
                <w:tcPr>
                  <w:tcW w:w="523" w:type="pct"/>
                  <w:tcBorders>
                    <w:tl2br w:val="nil"/>
                    <w:tr2bl w:val="nil"/>
                  </w:tcBorders>
                  <w:noWrap w:val="0"/>
                  <w:vAlign w:val="center"/>
                </w:tcPr>
                <w:p w14:paraId="37C4FEBE">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居民区</w:t>
                  </w:r>
                </w:p>
              </w:tc>
              <w:tc>
                <w:tcPr>
                  <w:tcW w:w="514" w:type="pct"/>
                  <w:tcBorders>
                    <w:tl2br w:val="nil"/>
                    <w:tr2bl w:val="nil"/>
                  </w:tcBorders>
                  <w:noWrap w:val="0"/>
                  <w:vAlign w:val="center"/>
                </w:tcPr>
                <w:p w14:paraId="78E43A78">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2800</w:t>
                  </w:r>
                </w:p>
              </w:tc>
              <w:tc>
                <w:tcPr>
                  <w:tcW w:w="477" w:type="pct"/>
                  <w:tcBorders>
                    <w:tl2br w:val="nil"/>
                    <w:tr2bl w:val="nil"/>
                  </w:tcBorders>
                  <w:noWrap w:val="0"/>
                  <w:vAlign w:val="center"/>
                </w:tcPr>
                <w:p w14:paraId="4D32481D">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SW</w:t>
                  </w:r>
                </w:p>
              </w:tc>
              <w:tc>
                <w:tcPr>
                  <w:tcW w:w="430" w:type="pct"/>
                  <w:tcBorders>
                    <w:tl2br w:val="nil"/>
                    <w:tr2bl w:val="nil"/>
                  </w:tcBorders>
                  <w:noWrap w:val="0"/>
                  <w:vAlign w:val="center"/>
                </w:tcPr>
                <w:p w14:paraId="21ED61E3">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335</w:t>
                  </w:r>
                </w:p>
              </w:tc>
              <w:tc>
                <w:tcPr>
                  <w:tcW w:w="404" w:type="pct"/>
                  <w:vMerge w:val="continue"/>
                  <w:tcBorders>
                    <w:tl2br w:val="nil"/>
                    <w:tr2bl w:val="nil"/>
                  </w:tcBorders>
                  <w:noWrap w:val="0"/>
                  <w:vAlign w:val="center"/>
                </w:tcPr>
                <w:p w14:paraId="4EA50C42">
                  <w:pPr>
                    <w:keepNext w:val="0"/>
                    <w:keepLines w:val="0"/>
                    <w:pageBreakBefore w:val="0"/>
                    <w:widowControl w:val="0"/>
                    <w:suppressLineNumbers w:val="0"/>
                    <w:kinsoku/>
                    <w:overflowPunct/>
                    <w:topLinePunct w:val="0"/>
                    <w:autoSpaceDE/>
                    <w:autoSpaceDN/>
                    <w:bidi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r>
            <w:tr w14:paraId="474F1FD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51" w:type="pct"/>
                  <w:vMerge w:val="continue"/>
                  <w:tcBorders>
                    <w:tl2br w:val="nil"/>
                    <w:tr2bl w:val="nil"/>
                  </w:tcBorders>
                  <w:noWrap w:val="0"/>
                  <w:vAlign w:val="center"/>
                </w:tcPr>
                <w:p w14:paraId="4A94B5B4">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kern w:val="0"/>
                      <w:sz w:val="21"/>
                      <w:szCs w:val="21"/>
                      <w:highlight w:val="none"/>
                      <w14:textFill>
                        <w14:solidFill>
                          <w14:schemeClr w14:val="tx1"/>
                        </w14:solidFill>
                      </w14:textFill>
                    </w:rPr>
                  </w:pPr>
                </w:p>
              </w:tc>
              <w:tc>
                <w:tcPr>
                  <w:tcW w:w="1153" w:type="pct"/>
                  <w:tcBorders>
                    <w:tl2br w:val="nil"/>
                    <w:tr2bl w:val="nil"/>
                  </w:tcBorders>
                  <w:noWrap w:val="0"/>
                  <w:vAlign w:val="center"/>
                </w:tcPr>
                <w:p w14:paraId="7DF79AFE">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t>溪城丽景</w:t>
                  </w:r>
                </w:p>
              </w:tc>
              <w:tc>
                <w:tcPr>
                  <w:tcW w:w="622" w:type="pct"/>
                  <w:tcBorders>
                    <w:tl2br w:val="nil"/>
                    <w:tr2bl w:val="nil"/>
                  </w:tcBorders>
                  <w:noWrap w:val="0"/>
                  <w:vAlign w:val="center"/>
                </w:tcPr>
                <w:p w14:paraId="7CBFD9C7">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123°43′11.731″</w:t>
                  </w:r>
                </w:p>
              </w:tc>
              <w:tc>
                <w:tcPr>
                  <w:tcW w:w="622" w:type="pct"/>
                  <w:tcBorders>
                    <w:tl2br w:val="nil"/>
                    <w:tr2bl w:val="nil"/>
                  </w:tcBorders>
                  <w:noWrap w:val="0"/>
                  <w:vAlign w:val="center"/>
                </w:tcPr>
                <w:p w14:paraId="2DF16E59">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41°27′30.349″</w:t>
                  </w:r>
                </w:p>
              </w:tc>
              <w:tc>
                <w:tcPr>
                  <w:tcW w:w="523" w:type="pct"/>
                  <w:tcBorders>
                    <w:tl2br w:val="nil"/>
                    <w:tr2bl w:val="nil"/>
                  </w:tcBorders>
                  <w:noWrap w:val="0"/>
                  <w:vAlign w:val="center"/>
                </w:tcPr>
                <w:p w14:paraId="6674F2E3">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居民区</w:t>
                  </w:r>
                </w:p>
              </w:tc>
              <w:tc>
                <w:tcPr>
                  <w:tcW w:w="514" w:type="pct"/>
                  <w:tcBorders>
                    <w:tl2br w:val="nil"/>
                    <w:tr2bl w:val="nil"/>
                  </w:tcBorders>
                  <w:noWrap w:val="0"/>
                  <w:vAlign w:val="center"/>
                </w:tcPr>
                <w:p w14:paraId="1CA8C6C3">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300</w:t>
                  </w:r>
                </w:p>
              </w:tc>
              <w:tc>
                <w:tcPr>
                  <w:tcW w:w="477" w:type="pct"/>
                  <w:tcBorders>
                    <w:tl2br w:val="nil"/>
                    <w:tr2bl w:val="nil"/>
                  </w:tcBorders>
                  <w:noWrap w:val="0"/>
                  <w:vAlign w:val="center"/>
                </w:tcPr>
                <w:p w14:paraId="2FE61A93">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S</w:t>
                  </w:r>
                </w:p>
              </w:tc>
              <w:tc>
                <w:tcPr>
                  <w:tcW w:w="430" w:type="pct"/>
                  <w:tcBorders>
                    <w:tl2br w:val="nil"/>
                    <w:tr2bl w:val="nil"/>
                  </w:tcBorders>
                  <w:noWrap w:val="0"/>
                  <w:vAlign w:val="center"/>
                </w:tcPr>
                <w:p w14:paraId="24D88477">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343</w:t>
                  </w:r>
                </w:p>
              </w:tc>
              <w:tc>
                <w:tcPr>
                  <w:tcW w:w="404" w:type="pct"/>
                  <w:vMerge w:val="continue"/>
                  <w:tcBorders>
                    <w:tl2br w:val="nil"/>
                    <w:tr2bl w:val="nil"/>
                  </w:tcBorders>
                  <w:noWrap w:val="0"/>
                  <w:vAlign w:val="center"/>
                </w:tcPr>
                <w:p w14:paraId="2D5C78AC">
                  <w:pPr>
                    <w:keepNext w:val="0"/>
                    <w:keepLines w:val="0"/>
                    <w:pageBreakBefore w:val="0"/>
                    <w:widowControl w:val="0"/>
                    <w:suppressLineNumbers w:val="0"/>
                    <w:kinsoku/>
                    <w:overflowPunct/>
                    <w:topLinePunct w:val="0"/>
                    <w:autoSpaceDE/>
                    <w:autoSpaceDN/>
                    <w:bidi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r>
          </w:tbl>
          <w:p w14:paraId="1748ED55">
            <w:pPr>
              <w:keepNext w:val="0"/>
              <w:keepLines w:val="0"/>
              <w:widowControl/>
              <w:suppressLineNumbers w:val="0"/>
              <w:adjustRightInd w:val="0"/>
              <w:snapToGrid w:val="0"/>
              <w:spacing w:before="72" w:beforeLines="30" w:beforeAutospacing="0" w:after="72" w:afterLines="30" w:afterAutospacing="0" w:line="360" w:lineRule="auto"/>
              <w:ind w:left="0" w:right="0" w:firstLine="480" w:firstLineChars="200"/>
              <w:jc w:val="left"/>
              <w:rPr>
                <w:rFonts w:hint="default" w:ascii="Times New Roman" w:hAnsi="Times New Roman" w:cs="Times New Roman"/>
                <w:color w:val="000000" w:themeColor="text1"/>
                <w:sz w:val="24"/>
                <w:szCs w:val="24"/>
                <w:highlight w:val="none"/>
                <w:lang w:val="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 xml:space="preserve">2、声环境 </w:t>
            </w:r>
          </w:p>
          <w:p w14:paraId="3F8546C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根据调查结果，本</w:t>
            </w:r>
            <w:r>
              <w:rPr>
                <w:rFonts w:hint="default" w:ascii="Times New Roman" w:hAnsi="Times New Roman" w:eastAsia="宋体" w:cs="Times New Roman"/>
                <w:color w:val="000000" w:themeColor="text1"/>
                <w:sz w:val="24"/>
                <w:szCs w:val="24"/>
                <w:highlight w:val="none"/>
                <w14:textFill>
                  <w14:solidFill>
                    <w14:schemeClr w14:val="tx1"/>
                  </w14:solidFill>
                </w14:textFill>
              </w:rPr>
              <w:t>项目</w:t>
            </w:r>
            <w:r>
              <w:rPr>
                <w:rFonts w:hint="eastAsia" w:cs="Times New Roman"/>
                <w:color w:val="000000" w:themeColor="text1"/>
                <w:sz w:val="24"/>
                <w:szCs w:val="24"/>
                <w:highlight w:val="none"/>
                <w:lang w:val="en-US" w:eastAsia="zh-CN"/>
                <w14:textFill>
                  <w14:solidFill>
                    <w14:schemeClr w14:val="tx1"/>
                  </w14:solidFill>
                </w14:textFill>
              </w:rPr>
              <w:t>厂界</w:t>
            </w:r>
            <w:r>
              <w:rPr>
                <w:rFonts w:hint="default" w:ascii="Times New Roman" w:hAnsi="Times New Roman" w:eastAsia="宋体" w:cs="Times New Roman"/>
                <w:color w:val="000000" w:themeColor="text1"/>
                <w:sz w:val="24"/>
                <w:szCs w:val="24"/>
                <w:highlight w:val="none"/>
                <w14:textFill>
                  <w14:solidFill>
                    <w14:schemeClr w14:val="tx1"/>
                  </w14:solidFill>
                </w14:textFill>
              </w:rPr>
              <w:t>外50m范围内声环境敏感目标</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为</w:t>
            </w:r>
            <w:r>
              <w:rPr>
                <w:rFonts w:hint="eastAsia" w:ascii="宋体" w:hAnsi="宋体" w:cs="宋体"/>
                <w:b w:val="0"/>
                <w:bCs/>
                <w:color w:val="000000" w:themeColor="text1"/>
                <w:sz w:val="24"/>
                <w:szCs w:val="24"/>
                <w:highlight w:val="none"/>
                <w:lang w:eastAsia="zh-CN"/>
                <w14:textFill>
                  <w14:solidFill>
                    <w14:schemeClr w14:val="tx1"/>
                  </w14:solidFill>
                </w14:textFill>
              </w:rPr>
              <w:t>本溪高新区公共行政服务中心、</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本溪高新技术产业开发区管理委员会</w:t>
            </w:r>
            <w:r>
              <w:rPr>
                <w:rFonts w:hint="eastAsia" w:ascii="Times New Roman" w:hAnsi="Times New Roman" w:eastAsia="宋体"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旺力新天地</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3297B93C">
            <w:pPr>
              <w:keepNext w:val="0"/>
              <w:keepLines w:val="0"/>
              <w:pageBreakBefore w:val="0"/>
              <w:widowControl w:val="0"/>
              <w:numPr>
                <w:ilvl w:val="0"/>
                <w:numId w:val="24"/>
              </w:numPr>
              <w:suppressLineNumbers w:val="0"/>
              <w:kinsoku/>
              <w:wordWrap/>
              <w:overflowPunct/>
              <w:topLinePunct w:val="0"/>
              <w:autoSpaceDE/>
              <w:autoSpaceDN/>
              <w:bidi w:val="0"/>
              <w:adjustRightInd/>
              <w:snapToGrid w:val="0"/>
              <w:spacing w:before="157" w:beforeLines="5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项目环境保护目标一览表</w:t>
            </w:r>
          </w:p>
          <w:tbl>
            <w:tblPr>
              <w:tblStyle w:val="35"/>
              <w:tblW w:w="5000" w:type="pct"/>
              <w:tblInd w:w="0" w:type="dxa"/>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20"/>
              <w:gridCol w:w="1995"/>
              <w:gridCol w:w="1081"/>
              <w:gridCol w:w="1036"/>
              <w:gridCol w:w="674"/>
              <w:gridCol w:w="719"/>
              <w:gridCol w:w="659"/>
              <w:gridCol w:w="689"/>
              <w:gridCol w:w="1044"/>
            </w:tblGrid>
            <w:tr w14:paraId="60596B2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252" w:type="pct"/>
                  <w:vMerge w:val="restart"/>
                  <w:tcBorders>
                    <w:tl2br w:val="nil"/>
                    <w:tr2bl w:val="nil"/>
                  </w:tcBorders>
                  <w:noWrap w:val="0"/>
                  <w:vAlign w:val="center"/>
                </w:tcPr>
                <w:p w14:paraId="47A52B7B">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类别</w:t>
                  </w:r>
                </w:p>
              </w:tc>
              <w:tc>
                <w:tcPr>
                  <w:tcW w:w="1198" w:type="pct"/>
                  <w:vMerge w:val="restart"/>
                  <w:tcBorders>
                    <w:tl2br w:val="nil"/>
                    <w:tr2bl w:val="nil"/>
                  </w:tcBorders>
                  <w:noWrap w:val="0"/>
                  <w:vAlign w:val="center"/>
                </w:tcPr>
                <w:p w14:paraId="3A0A8AF1">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名称</w:t>
                  </w:r>
                </w:p>
              </w:tc>
              <w:tc>
                <w:tcPr>
                  <w:tcW w:w="1271" w:type="pct"/>
                  <w:gridSpan w:val="2"/>
                  <w:tcBorders>
                    <w:tl2br w:val="nil"/>
                    <w:tr2bl w:val="nil"/>
                  </w:tcBorders>
                  <w:noWrap w:val="0"/>
                  <w:vAlign w:val="center"/>
                </w:tcPr>
                <w:p w14:paraId="0E0A336E">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坐标</w:t>
                  </w:r>
                </w:p>
              </w:tc>
              <w:tc>
                <w:tcPr>
                  <w:tcW w:w="405" w:type="pct"/>
                  <w:vMerge w:val="restart"/>
                  <w:tcBorders>
                    <w:tl2br w:val="nil"/>
                    <w:tr2bl w:val="nil"/>
                  </w:tcBorders>
                  <w:noWrap w:val="0"/>
                  <w:vAlign w:val="center"/>
                </w:tcPr>
                <w:p w14:paraId="5A0EFD63">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保护对象</w:t>
                  </w:r>
                </w:p>
              </w:tc>
              <w:tc>
                <w:tcPr>
                  <w:tcW w:w="432" w:type="pct"/>
                  <w:vMerge w:val="restart"/>
                  <w:tcBorders>
                    <w:tl2br w:val="nil"/>
                    <w:tr2bl w:val="nil"/>
                  </w:tcBorders>
                  <w:noWrap w:val="0"/>
                  <w:vAlign w:val="center"/>
                </w:tcPr>
                <w:p w14:paraId="07189290">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保护内容（人数）</w:t>
                  </w:r>
                </w:p>
              </w:tc>
              <w:tc>
                <w:tcPr>
                  <w:tcW w:w="396" w:type="pct"/>
                  <w:vMerge w:val="restart"/>
                  <w:tcBorders>
                    <w:tl2br w:val="nil"/>
                    <w:tr2bl w:val="nil"/>
                  </w:tcBorders>
                  <w:noWrap w:val="0"/>
                  <w:vAlign w:val="center"/>
                </w:tcPr>
                <w:p w14:paraId="75B2CD81">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相对厂址方位</w:t>
                  </w:r>
                </w:p>
              </w:tc>
              <w:tc>
                <w:tcPr>
                  <w:tcW w:w="414" w:type="pct"/>
                  <w:vMerge w:val="restart"/>
                  <w:tcBorders>
                    <w:tl2br w:val="nil"/>
                    <w:tr2bl w:val="nil"/>
                  </w:tcBorders>
                  <w:noWrap w:val="0"/>
                  <w:vAlign w:val="center"/>
                </w:tcPr>
                <w:p w14:paraId="1B740537">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相对厂界距离/m</w:t>
                  </w:r>
                </w:p>
              </w:tc>
              <w:tc>
                <w:tcPr>
                  <w:tcW w:w="627" w:type="pct"/>
                  <w:vMerge w:val="restart"/>
                  <w:tcBorders>
                    <w:tl2br w:val="nil"/>
                    <w:tr2bl w:val="nil"/>
                  </w:tcBorders>
                  <w:noWrap w:val="0"/>
                  <w:vAlign w:val="center"/>
                </w:tcPr>
                <w:p w14:paraId="02FE24CC">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环境功能区</w:t>
                  </w:r>
                </w:p>
              </w:tc>
            </w:tr>
            <w:tr w14:paraId="5A0155F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52" w:type="pct"/>
                  <w:vMerge w:val="continue"/>
                  <w:tcBorders>
                    <w:tl2br w:val="nil"/>
                    <w:tr2bl w:val="nil"/>
                  </w:tcBorders>
                  <w:noWrap w:val="0"/>
                  <w:vAlign w:val="center"/>
                </w:tcPr>
                <w:p w14:paraId="442825F0">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cs="Times New Roman"/>
                      <w:color w:val="000000" w:themeColor="text1"/>
                      <w:kern w:val="0"/>
                      <w:sz w:val="21"/>
                      <w:szCs w:val="21"/>
                      <w:highlight w:val="none"/>
                      <w14:textFill>
                        <w14:solidFill>
                          <w14:schemeClr w14:val="tx1"/>
                        </w14:solidFill>
                      </w14:textFill>
                    </w:rPr>
                  </w:pPr>
                </w:p>
              </w:tc>
              <w:tc>
                <w:tcPr>
                  <w:tcW w:w="1198" w:type="pct"/>
                  <w:vMerge w:val="continue"/>
                  <w:tcBorders>
                    <w:tl2br w:val="nil"/>
                    <w:tr2bl w:val="nil"/>
                  </w:tcBorders>
                  <w:noWrap w:val="0"/>
                  <w:vAlign w:val="center"/>
                </w:tcPr>
                <w:p w14:paraId="00A71071">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cs="Times New Roman"/>
                      <w:color w:val="000000" w:themeColor="text1"/>
                      <w:kern w:val="0"/>
                      <w:sz w:val="21"/>
                      <w:szCs w:val="21"/>
                      <w:highlight w:val="none"/>
                      <w14:textFill>
                        <w14:solidFill>
                          <w14:schemeClr w14:val="tx1"/>
                        </w14:solidFill>
                      </w14:textFill>
                    </w:rPr>
                  </w:pPr>
                </w:p>
              </w:tc>
              <w:tc>
                <w:tcPr>
                  <w:tcW w:w="649" w:type="pct"/>
                  <w:tcBorders>
                    <w:tl2br w:val="nil"/>
                    <w:tr2bl w:val="nil"/>
                  </w:tcBorders>
                  <w:noWrap w:val="0"/>
                  <w:vAlign w:val="center"/>
                </w:tcPr>
                <w:p w14:paraId="1C5B6B82">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经度</w:t>
                  </w:r>
                </w:p>
              </w:tc>
              <w:tc>
                <w:tcPr>
                  <w:tcW w:w="622" w:type="pct"/>
                  <w:tcBorders>
                    <w:tl2br w:val="nil"/>
                    <w:tr2bl w:val="nil"/>
                  </w:tcBorders>
                  <w:noWrap w:val="0"/>
                  <w:vAlign w:val="center"/>
                </w:tcPr>
                <w:p w14:paraId="7A77E521">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000000" w:themeColor="text1"/>
                      <w:kern w:val="0"/>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纬度</w:t>
                  </w:r>
                </w:p>
              </w:tc>
              <w:tc>
                <w:tcPr>
                  <w:tcW w:w="405" w:type="pct"/>
                  <w:vMerge w:val="continue"/>
                  <w:tcBorders>
                    <w:tl2br w:val="nil"/>
                    <w:tr2bl w:val="nil"/>
                  </w:tcBorders>
                  <w:noWrap w:val="0"/>
                  <w:vAlign w:val="center"/>
                </w:tcPr>
                <w:p w14:paraId="11607633">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cs="Times New Roman"/>
                      <w:color w:val="000000" w:themeColor="text1"/>
                      <w:kern w:val="0"/>
                      <w:sz w:val="21"/>
                      <w:szCs w:val="21"/>
                      <w:highlight w:val="none"/>
                      <w14:textFill>
                        <w14:solidFill>
                          <w14:schemeClr w14:val="tx1"/>
                        </w14:solidFill>
                      </w14:textFill>
                    </w:rPr>
                  </w:pPr>
                </w:p>
              </w:tc>
              <w:tc>
                <w:tcPr>
                  <w:tcW w:w="432" w:type="pct"/>
                  <w:vMerge w:val="continue"/>
                  <w:tcBorders>
                    <w:tl2br w:val="nil"/>
                    <w:tr2bl w:val="nil"/>
                  </w:tcBorders>
                  <w:noWrap w:val="0"/>
                  <w:vAlign w:val="center"/>
                </w:tcPr>
                <w:p w14:paraId="5BC197F7">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cs="Times New Roman"/>
                      <w:color w:val="000000" w:themeColor="text1"/>
                      <w:kern w:val="0"/>
                      <w:sz w:val="21"/>
                      <w:szCs w:val="21"/>
                      <w:highlight w:val="none"/>
                      <w14:textFill>
                        <w14:solidFill>
                          <w14:schemeClr w14:val="tx1"/>
                        </w14:solidFill>
                      </w14:textFill>
                    </w:rPr>
                  </w:pPr>
                </w:p>
              </w:tc>
              <w:tc>
                <w:tcPr>
                  <w:tcW w:w="396" w:type="pct"/>
                  <w:vMerge w:val="continue"/>
                  <w:tcBorders>
                    <w:tl2br w:val="nil"/>
                    <w:tr2bl w:val="nil"/>
                  </w:tcBorders>
                  <w:noWrap w:val="0"/>
                  <w:vAlign w:val="center"/>
                </w:tcPr>
                <w:p w14:paraId="51CDD987">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cs="Times New Roman"/>
                      <w:color w:val="000000" w:themeColor="text1"/>
                      <w:kern w:val="0"/>
                      <w:sz w:val="21"/>
                      <w:szCs w:val="21"/>
                      <w:highlight w:val="none"/>
                      <w14:textFill>
                        <w14:solidFill>
                          <w14:schemeClr w14:val="tx1"/>
                        </w14:solidFill>
                      </w14:textFill>
                    </w:rPr>
                  </w:pPr>
                </w:p>
              </w:tc>
              <w:tc>
                <w:tcPr>
                  <w:tcW w:w="414" w:type="pct"/>
                  <w:vMerge w:val="continue"/>
                  <w:tcBorders>
                    <w:tl2br w:val="nil"/>
                    <w:tr2bl w:val="nil"/>
                  </w:tcBorders>
                  <w:noWrap w:val="0"/>
                  <w:vAlign w:val="center"/>
                </w:tcPr>
                <w:p w14:paraId="5FF5184A">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cs="Times New Roman"/>
                      <w:color w:val="000000" w:themeColor="text1"/>
                      <w:kern w:val="0"/>
                      <w:sz w:val="21"/>
                      <w:szCs w:val="21"/>
                      <w:highlight w:val="none"/>
                      <w14:textFill>
                        <w14:solidFill>
                          <w14:schemeClr w14:val="tx1"/>
                        </w14:solidFill>
                      </w14:textFill>
                    </w:rPr>
                  </w:pPr>
                </w:p>
              </w:tc>
              <w:tc>
                <w:tcPr>
                  <w:tcW w:w="627" w:type="pct"/>
                  <w:vMerge w:val="continue"/>
                  <w:tcBorders>
                    <w:tl2br w:val="nil"/>
                    <w:tr2bl w:val="nil"/>
                  </w:tcBorders>
                  <w:noWrap w:val="0"/>
                  <w:vAlign w:val="center"/>
                </w:tcPr>
                <w:p w14:paraId="482F000D">
                  <w:pPr>
                    <w:keepNext w:val="0"/>
                    <w:keepLines w:val="0"/>
                    <w:widowControl/>
                    <w:suppressLineNumbers w:val="0"/>
                    <w:spacing w:before="0" w:beforeAutospacing="0" w:after="0" w:afterAutospacing="0" w:line="240" w:lineRule="auto"/>
                    <w:ind w:left="0" w:right="0" w:firstLine="0" w:firstLineChars="0"/>
                    <w:jc w:val="left"/>
                    <w:rPr>
                      <w:rFonts w:hint="default" w:ascii="Times New Roman" w:hAnsi="Times New Roman" w:cs="Times New Roman"/>
                      <w:color w:val="000000" w:themeColor="text1"/>
                      <w:kern w:val="0"/>
                      <w:sz w:val="21"/>
                      <w:szCs w:val="21"/>
                      <w:highlight w:val="none"/>
                      <w14:textFill>
                        <w14:solidFill>
                          <w14:schemeClr w14:val="tx1"/>
                        </w14:solidFill>
                      </w14:textFill>
                    </w:rPr>
                  </w:pPr>
                </w:p>
              </w:tc>
            </w:tr>
            <w:tr w14:paraId="2CC48CC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252" w:type="pct"/>
                  <w:vMerge w:val="restart"/>
                  <w:tcBorders>
                    <w:tl2br w:val="nil"/>
                    <w:tr2bl w:val="nil"/>
                  </w:tcBorders>
                  <w:noWrap w:val="0"/>
                  <w:vAlign w:val="center"/>
                </w:tcPr>
                <w:p w14:paraId="135B0691">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声环境</w:t>
                  </w:r>
                </w:p>
              </w:tc>
              <w:tc>
                <w:tcPr>
                  <w:tcW w:w="1198" w:type="pct"/>
                  <w:tcBorders>
                    <w:tl2br w:val="nil"/>
                    <w:tr2bl w:val="nil"/>
                  </w:tcBorders>
                  <w:noWrap w:val="0"/>
                  <w:vAlign w:val="center"/>
                </w:tcPr>
                <w:p w14:paraId="334821C1">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pPr>
                  <w:r>
                    <w:rPr>
                      <w:rFonts w:hint="eastAsia" w:ascii="宋体" w:hAnsi="宋体" w:cs="宋体"/>
                      <w:b w:val="0"/>
                      <w:bCs/>
                      <w:color w:val="000000" w:themeColor="text1"/>
                      <w:sz w:val="21"/>
                      <w:szCs w:val="21"/>
                      <w:highlight w:val="none"/>
                      <w:lang w:eastAsia="zh-CN"/>
                      <w14:textFill>
                        <w14:solidFill>
                          <w14:schemeClr w14:val="tx1"/>
                        </w14:solidFill>
                      </w14:textFill>
                    </w:rPr>
                    <w:t>本溪高新区公共行政服务中心</w:t>
                  </w:r>
                </w:p>
              </w:tc>
              <w:tc>
                <w:tcPr>
                  <w:tcW w:w="649" w:type="pct"/>
                  <w:tcBorders>
                    <w:tl2br w:val="nil"/>
                    <w:tr2bl w:val="nil"/>
                  </w:tcBorders>
                  <w:noWrap w:val="0"/>
                  <w:vAlign w:val="center"/>
                </w:tcPr>
                <w:p w14:paraId="1E832CC1">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123°43′8.950″</w:t>
                  </w:r>
                </w:p>
              </w:tc>
              <w:tc>
                <w:tcPr>
                  <w:tcW w:w="622" w:type="pct"/>
                  <w:tcBorders>
                    <w:tl2br w:val="nil"/>
                    <w:tr2bl w:val="nil"/>
                  </w:tcBorders>
                  <w:noWrap w:val="0"/>
                  <w:vAlign w:val="center"/>
                </w:tcPr>
                <w:p w14:paraId="6D3B39B1">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41°27′41.270″</w:t>
                  </w:r>
                </w:p>
              </w:tc>
              <w:tc>
                <w:tcPr>
                  <w:tcW w:w="405" w:type="pct"/>
                  <w:tcBorders>
                    <w:tl2br w:val="nil"/>
                    <w:tr2bl w:val="nil"/>
                  </w:tcBorders>
                  <w:noWrap w:val="0"/>
                  <w:vAlign w:val="center"/>
                </w:tcPr>
                <w:p w14:paraId="36160504">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行政办公区</w:t>
                  </w:r>
                </w:p>
              </w:tc>
              <w:tc>
                <w:tcPr>
                  <w:tcW w:w="432" w:type="pct"/>
                  <w:tcBorders>
                    <w:tl2br w:val="nil"/>
                    <w:tr2bl w:val="nil"/>
                  </w:tcBorders>
                  <w:noWrap w:val="0"/>
                  <w:vAlign w:val="center"/>
                </w:tcPr>
                <w:p w14:paraId="4FB76A9B">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w:t>
                  </w:r>
                </w:p>
              </w:tc>
              <w:tc>
                <w:tcPr>
                  <w:tcW w:w="396" w:type="pct"/>
                  <w:tcBorders>
                    <w:tl2br w:val="nil"/>
                    <w:tr2bl w:val="nil"/>
                  </w:tcBorders>
                  <w:noWrap w:val="0"/>
                  <w:vAlign w:val="center"/>
                </w:tcPr>
                <w:p w14:paraId="12E1BA61">
                  <w:pPr>
                    <w:keepNext w:val="0"/>
                    <w:keepLines w:val="0"/>
                    <w:widowControl/>
                    <w:suppressLineNumbers w:val="0"/>
                    <w:spacing w:before="0" w:beforeAutospacing="0" w:after="0" w:afterAutospacing="0" w:line="240" w:lineRule="auto"/>
                    <w:ind w:left="0" w:right="0" w:firstLine="0" w:firstLineChars="0"/>
                    <w:jc w:val="center"/>
                    <w:rPr>
                      <w:rFonts w:hint="eastAsia"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bidi="he-IL"/>
                      <w14:textFill>
                        <w14:solidFill>
                          <w14:schemeClr w14:val="tx1"/>
                        </w14:solidFill>
                      </w14:textFill>
                    </w:rPr>
                    <w:t>S</w:t>
                  </w:r>
                </w:p>
              </w:tc>
              <w:tc>
                <w:tcPr>
                  <w:tcW w:w="414" w:type="pct"/>
                  <w:tcBorders>
                    <w:tl2br w:val="nil"/>
                    <w:tr2bl w:val="nil"/>
                  </w:tcBorders>
                  <w:noWrap w:val="0"/>
                  <w:vAlign w:val="center"/>
                </w:tcPr>
                <w:p w14:paraId="0EDB84E9">
                  <w:pPr>
                    <w:keepNext w:val="0"/>
                    <w:keepLines w:val="0"/>
                    <w:widowControl/>
                    <w:suppressLineNumbers w:val="0"/>
                    <w:spacing w:before="0" w:beforeAutospacing="0" w:after="0" w:afterAutospacing="0" w:line="240" w:lineRule="auto"/>
                    <w:ind w:left="0" w:right="0" w:firstLine="0" w:firstLineChars="0"/>
                    <w:jc w:val="center"/>
                    <w:rPr>
                      <w:rFonts w:hint="default"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8</w:t>
                  </w:r>
                </w:p>
              </w:tc>
              <w:tc>
                <w:tcPr>
                  <w:tcW w:w="627" w:type="pct"/>
                  <w:vMerge w:val="restart"/>
                  <w:tcBorders>
                    <w:tl2br w:val="nil"/>
                    <w:tr2bl w:val="nil"/>
                  </w:tcBorders>
                  <w:noWrap w:val="0"/>
                  <w:vAlign w:val="center"/>
                </w:tcPr>
                <w:p w14:paraId="0F5281C0">
                  <w:pPr>
                    <w:keepNext w:val="0"/>
                    <w:keepLines w:val="0"/>
                    <w:pageBreakBefore w:val="0"/>
                    <w:widowControl w:val="0"/>
                    <w:suppressLineNumbers w:val="0"/>
                    <w:kinsoku/>
                    <w:overflowPunct/>
                    <w:topLinePunct w:val="0"/>
                    <w:autoSpaceDE/>
                    <w:autoSpaceDN/>
                    <w:bidi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《声环境质量标准》(GB 3096-2008)中的2类标准</w:t>
                  </w:r>
                </w:p>
              </w:tc>
            </w:tr>
            <w:tr w14:paraId="09B392D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252" w:type="pct"/>
                  <w:vMerge w:val="continue"/>
                  <w:tcBorders>
                    <w:tl2br w:val="nil"/>
                    <w:tr2bl w:val="nil"/>
                  </w:tcBorders>
                  <w:noWrap w:val="0"/>
                  <w:vAlign w:val="center"/>
                </w:tcPr>
                <w:p w14:paraId="667D1158">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kern w:val="0"/>
                      <w:sz w:val="21"/>
                      <w:szCs w:val="21"/>
                      <w:highlight w:val="none"/>
                      <w14:textFill>
                        <w14:solidFill>
                          <w14:schemeClr w14:val="tx1"/>
                        </w14:solidFill>
                      </w14:textFill>
                    </w:rPr>
                  </w:pPr>
                </w:p>
              </w:tc>
              <w:tc>
                <w:tcPr>
                  <w:tcW w:w="1198" w:type="pct"/>
                  <w:tcBorders>
                    <w:tl2br w:val="nil"/>
                    <w:tr2bl w:val="nil"/>
                  </w:tcBorders>
                  <w:shd w:val="clear" w:color="auto" w:fill="auto"/>
                  <w:noWrap w:val="0"/>
                  <w:vAlign w:val="center"/>
                </w:tcPr>
                <w:p w14:paraId="01F531C6">
                  <w:pPr>
                    <w:keepNext w:val="0"/>
                    <w:keepLines w:val="0"/>
                    <w:widowControl/>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本溪高新技术产业开发区管理委员会</w:t>
                  </w:r>
                </w:p>
              </w:tc>
              <w:tc>
                <w:tcPr>
                  <w:tcW w:w="649" w:type="pct"/>
                  <w:tcBorders>
                    <w:tl2br w:val="nil"/>
                    <w:tr2bl w:val="nil"/>
                  </w:tcBorders>
                  <w:shd w:val="clear" w:color="auto" w:fill="auto"/>
                  <w:noWrap w:val="0"/>
                  <w:vAlign w:val="center"/>
                </w:tcPr>
                <w:p w14:paraId="4E28D4C3">
                  <w:pPr>
                    <w:keepNext w:val="0"/>
                    <w:keepLines w:val="0"/>
                    <w:widowControl/>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123°43′6.691″</w:t>
                  </w:r>
                </w:p>
              </w:tc>
              <w:tc>
                <w:tcPr>
                  <w:tcW w:w="622" w:type="pct"/>
                  <w:tcBorders>
                    <w:tl2br w:val="nil"/>
                    <w:tr2bl w:val="nil"/>
                  </w:tcBorders>
                  <w:shd w:val="clear" w:color="auto" w:fill="auto"/>
                  <w:noWrap w:val="0"/>
                  <w:vAlign w:val="center"/>
                </w:tcPr>
                <w:p w14:paraId="3FCE4D6C">
                  <w:pPr>
                    <w:keepNext w:val="0"/>
                    <w:keepLines w:val="0"/>
                    <w:widowControl/>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41°27′44.862″</w:t>
                  </w:r>
                </w:p>
              </w:tc>
              <w:tc>
                <w:tcPr>
                  <w:tcW w:w="405" w:type="pct"/>
                  <w:tcBorders>
                    <w:tl2br w:val="nil"/>
                    <w:tr2bl w:val="nil"/>
                  </w:tcBorders>
                  <w:shd w:val="clear" w:color="auto" w:fill="auto"/>
                  <w:noWrap w:val="0"/>
                  <w:vAlign w:val="center"/>
                </w:tcPr>
                <w:p w14:paraId="1FFCC50F">
                  <w:pPr>
                    <w:keepNext w:val="0"/>
                    <w:keepLines w:val="0"/>
                    <w:widowControl/>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行政办公区</w:t>
                  </w:r>
                </w:p>
              </w:tc>
              <w:tc>
                <w:tcPr>
                  <w:tcW w:w="432" w:type="pct"/>
                  <w:tcBorders>
                    <w:tl2br w:val="nil"/>
                    <w:tr2bl w:val="nil"/>
                  </w:tcBorders>
                  <w:shd w:val="clear" w:color="auto" w:fill="auto"/>
                  <w:noWrap w:val="0"/>
                  <w:vAlign w:val="center"/>
                </w:tcPr>
                <w:p w14:paraId="436B8A28">
                  <w:pPr>
                    <w:keepNext w:val="0"/>
                    <w:keepLines w:val="0"/>
                    <w:widowControl/>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w:t>
                  </w:r>
                </w:p>
              </w:tc>
              <w:tc>
                <w:tcPr>
                  <w:tcW w:w="396" w:type="pct"/>
                  <w:tcBorders>
                    <w:tl2br w:val="nil"/>
                    <w:tr2bl w:val="nil"/>
                  </w:tcBorders>
                  <w:shd w:val="clear" w:color="auto" w:fill="auto"/>
                  <w:noWrap w:val="0"/>
                  <w:vAlign w:val="center"/>
                </w:tcPr>
                <w:p w14:paraId="6FFB106D">
                  <w:pPr>
                    <w:keepNext w:val="0"/>
                    <w:keepLines w:val="0"/>
                    <w:widowControl/>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W</w:t>
                  </w:r>
                </w:p>
              </w:tc>
              <w:tc>
                <w:tcPr>
                  <w:tcW w:w="414" w:type="pct"/>
                  <w:tcBorders>
                    <w:tl2br w:val="nil"/>
                    <w:tr2bl w:val="nil"/>
                  </w:tcBorders>
                  <w:shd w:val="clear" w:color="auto" w:fill="auto"/>
                  <w:noWrap w:val="0"/>
                  <w:vAlign w:val="center"/>
                </w:tcPr>
                <w:p w14:paraId="66508BF1">
                  <w:pPr>
                    <w:keepNext w:val="0"/>
                    <w:keepLines w:val="0"/>
                    <w:widowControl/>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40</w:t>
                  </w:r>
                </w:p>
              </w:tc>
              <w:tc>
                <w:tcPr>
                  <w:tcW w:w="627" w:type="pct"/>
                  <w:vMerge w:val="continue"/>
                  <w:tcBorders>
                    <w:tl2br w:val="nil"/>
                    <w:tr2bl w:val="nil"/>
                  </w:tcBorders>
                  <w:noWrap w:val="0"/>
                  <w:vAlign w:val="center"/>
                </w:tcPr>
                <w:p w14:paraId="31C4AD5A">
                  <w:pPr>
                    <w:keepNext w:val="0"/>
                    <w:keepLines w:val="0"/>
                    <w:pageBreakBefore w:val="0"/>
                    <w:widowControl w:val="0"/>
                    <w:suppressLineNumbers w:val="0"/>
                    <w:kinsoku/>
                    <w:overflowPunct/>
                    <w:topLinePunct w:val="0"/>
                    <w:autoSpaceDE/>
                    <w:autoSpaceDN/>
                    <w:bidi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r>
            <w:tr w14:paraId="27C6997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252" w:type="pct"/>
                  <w:vMerge w:val="continue"/>
                  <w:tcBorders>
                    <w:tl2br w:val="nil"/>
                    <w:tr2bl w:val="nil"/>
                  </w:tcBorders>
                  <w:noWrap w:val="0"/>
                  <w:vAlign w:val="center"/>
                </w:tcPr>
                <w:p w14:paraId="689C4A98">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kern w:val="0"/>
                      <w:sz w:val="21"/>
                      <w:szCs w:val="21"/>
                      <w:highlight w:val="none"/>
                      <w14:textFill>
                        <w14:solidFill>
                          <w14:schemeClr w14:val="tx1"/>
                        </w14:solidFill>
                      </w14:textFill>
                    </w:rPr>
                  </w:pPr>
                </w:p>
              </w:tc>
              <w:tc>
                <w:tcPr>
                  <w:tcW w:w="1198" w:type="pct"/>
                  <w:tcBorders>
                    <w:tl2br w:val="nil"/>
                    <w:tr2bl w:val="nil"/>
                  </w:tcBorders>
                  <w:noWrap w:val="0"/>
                  <w:vAlign w:val="center"/>
                </w:tcPr>
                <w:p w14:paraId="0195267D">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t>旺力新天地</w:t>
                  </w:r>
                </w:p>
              </w:tc>
              <w:tc>
                <w:tcPr>
                  <w:tcW w:w="649" w:type="pct"/>
                  <w:tcBorders>
                    <w:tl2br w:val="nil"/>
                    <w:tr2bl w:val="nil"/>
                  </w:tcBorders>
                  <w:noWrap w:val="0"/>
                  <w:vAlign w:val="center"/>
                </w:tcPr>
                <w:p w14:paraId="30BA23D9">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123°43′6.073″</w:t>
                  </w:r>
                </w:p>
              </w:tc>
              <w:tc>
                <w:tcPr>
                  <w:tcW w:w="622" w:type="pct"/>
                  <w:tcBorders>
                    <w:tl2br w:val="nil"/>
                    <w:tr2bl w:val="nil"/>
                  </w:tcBorders>
                  <w:noWrap w:val="0"/>
                  <w:vAlign w:val="center"/>
                </w:tcPr>
                <w:p w14:paraId="52CB7D8C">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41°27′42.361″</w:t>
                  </w:r>
                </w:p>
              </w:tc>
              <w:tc>
                <w:tcPr>
                  <w:tcW w:w="405" w:type="pct"/>
                  <w:tcBorders>
                    <w:tl2br w:val="nil"/>
                    <w:tr2bl w:val="nil"/>
                  </w:tcBorders>
                  <w:noWrap w:val="0"/>
                  <w:vAlign w:val="center"/>
                </w:tcPr>
                <w:p w14:paraId="2BC6F8CA">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kern w:val="0"/>
                      <w:sz w:val="21"/>
                      <w:szCs w:val="21"/>
                      <w:highlight w:val="none"/>
                      <w14:textFill>
                        <w14:solidFill>
                          <w14:schemeClr w14:val="tx1"/>
                        </w14:solidFill>
                      </w14:textFill>
                    </w:rPr>
                    <w:t>居民区</w:t>
                  </w:r>
                </w:p>
              </w:tc>
              <w:tc>
                <w:tcPr>
                  <w:tcW w:w="432" w:type="pct"/>
                  <w:tcBorders>
                    <w:tl2br w:val="nil"/>
                    <w:tr2bl w:val="nil"/>
                  </w:tcBorders>
                  <w:noWrap w:val="0"/>
                  <w:vAlign w:val="center"/>
                </w:tcPr>
                <w:p w14:paraId="3C65C05A">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810</w:t>
                  </w:r>
                </w:p>
              </w:tc>
              <w:tc>
                <w:tcPr>
                  <w:tcW w:w="396" w:type="pct"/>
                  <w:tcBorders>
                    <w:tl2br w:val="nil"/>
                    <w:tr2bl w:val="nil"/>
                  </w:tcBorders>
                  <w:noWrap w:val="0"/>
                  <w:vAlign w:val="center"/>
                </w:tcPr>
                <w:p w14:paraId="5366F3C4">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W</w:t>
                  </w:r>
                </w:p>
              </w:tc>
              <w:tc>
                <w:tcPr>
                  <w:tcW w:w="414" w:type="pct"/>
                  <w:tcBorders>
                    <w:tl2br w:val="nil"/>
                    <w:tr2bl w:val="nil"/>
                  </w:tcBorders>
                  <w:noWrap w:val="0"/>
                  <w:vAlign w:val="center"/>
                </w:tcPr>
                <w:p w14:paraId="7B8ABC21">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40</w:t>
                  </w:r>
                </w:p>
              </w:tc>
              <w:tc>
                <w:tcPr>
                  <w:tcW w:w="627" w:type="pct"/>
                  <w:vMerge w:val="continue"/>
                  <w:tcBorders>
                    <w:tl2br w:val="nil"/>
                    <w:tr2bl w:val="nil"/>
                  </w:tcBorders>
                  <w:noWrap w:val="0"/>
                  <w:vAlign w:val="center"/>
                </w:tcPr>
                <w:p w14:paraId="4C3EFD96">
                  <w:pPr>
                    <w:keepNext w:val="0"/>
                    <w:keepLines w:val="0"/>
                    <w:pageBreakBefore w:val="0"/>
                    <w:widowControl w:val="0"/>
                    <w:suppressLineNumbers w:val="0"/>
                    <w:kinsoku/>
                    <w:overflowPunct/>
                    <w:topLinePunct w:val="0"/>
                    <w:autoSpaceDE/>
                    <w:autoSpaceDN/>
                    <w:bidi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p>
              </w:tc>
            </w:tr>
          </w:tbl>
          <w:p w14:paraId="53E72812">
            <w:pPr>
              <w:keepNext w:val="0"/>
              <w:keepLines w:val="0"/>
              <w:widowControl/>
              <w:suppressLineNumbers w:val="0"/>
              <w:adjustRightInd w:val="0"/>
              <w:snapToGrid w:val="0"/>
              <w:spacing w:before="72" w:beforeLines="30" w:beforeAutospacing="0" w:after="72" w:afterLines="30" w:afterAutospacing="0" w:line="360" w:lineRule="auto"/>
              <w:ind w:left="0" w:right="0" w:firstLine="480" w:firstLineChars="200"/>
              <w:jc w:val="left"/>
              <w:rPr>
                <w:rFonts w:hint="default" w:ascii="Times New Roman" w:hAnsi="Times New Roman" w:cs="Times New Roman"/>
                <w:color w:val="000000" w:themeColor="text1"/>
                <w:sz w:val="24"/>
                <w:szCs w:val="24"/>
                <w:highlight w:val="none"/>
                <w:lang w:val="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 xml:space="preserve">3、地下水环境 </w:t>
            </w:r>
          </w:p>
          <w:p w14:paraId="7A09E947">
            <w:pPr>
              <w:keepNext w:val="0"/>
              <w:keepLines w:val="0"/>
              <w:widowControl/>
              <w:suppressLineNumbers w:val="0"/>
              <w:adjustRightInd w:val="0"/>
              <w:snapToGrid w:val="0"/>
              <w:spacing w:before="72" w:beforeLines="30" w:beforeAutospacing="0" w:after="72" w:afterLines="30" w:afterAutospacing="0" w:line="360" w:lineRule="auto"/>
              <w:ind w:left="0" w:right="0" w:firstLine="480" w:firstLineChars="200"/>
              <w:jc w:val="left"/>
              <w:rPr>
                <w:rFonts w:hint="default" w:ascii="Times New Roman" w:hAnsi="Times New Roman" w:cs="Times New Roman"/>
                <w:color w:val="000000" w:themeColor="text1"/>
                <w:sz w:val="24"/>
                <w:szCs w:val="24"/>
                <w:highlight w:val="none"/>
                <w:lang w:val="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本项目厂界外500</w:t>
            </w:r>
            <w:r>
              <w:rPr>
                <w:rFonts w:hint="default" w:ascii="Times New Roman" w:hAnsi="Times New Roman" w:cs="Times New Roman"/>
                <w:color w:val="000000" w:themeColor="text1"/>
                <w:sz w:val="24"/>
                <w:szCs w:val="24"/>
                <w:highlight w:val="none"/>
                <w:lang w:eastAsia="zh-CN"/>
                <w14:textFill>
                  <w14:solidFill>
                    <w14:schemeClr w14:val="tx1"/>
                  </w14:solidFill>
                </w14:textFill>
              </w:rPr>
              <w:t>m</w:t>
            </w:r>
            <w:r>
              <w:rPr>
                <w:rFonts w:hint="default" w:ascii="Times New Roman" w:hAnsi="Times New Roman" w:cs="Times New Roman"/>
                <w:color w:val="000000" w:themeColor="text1"/>
                <w:sz w:val="24"/>
                <w:szCs w:val="24"/>
                <w:highlight w:val="none"/>
                <w14:textFill>
                  <w14:solidFill>
                    <w14:schemeClr w14:val="tx1"/>
                  </w14:solidFill>
                </w14:textFill>
              </w:rPr>
              <w:t>范围内无地下水集中式饮用水水源和热水、矿泉水、温泉等特殊地下水资源。</w:t>
            </w:r>
          </w:p>
          <w:p w14:paraId="09153C73">
            <w:pPr>
              <w:keepNext w:val="0"/>
              <w:keepLines w:val="0"/>
              <w:widowControl/>
              <w:suppressLineNumbers w:val="0"/>
              <w:adjustRightInd w:val="0"/>
              <w:snapToGrid w:val="0"/>
              <w:spacing w:before="72" w:beforeLines="30" w:beforeAutospacing="0" w:after="72" w:afterLines="30" w:afterAutospacing="0" w:line="360" w:lineRule="auto"/>
              <w:ind w:left="0" w:right="0" w:firstLine="480" w:firstLineChars="200"/>
              <w:jc w:val="left"/>
              <w:rPr>
                <w:rFonts w:hint="default" w:ascii="Times New Roman" w:hAnsi="Times New Roman" w:cs="Times New Roman"/>
                <w:color w:val="000000" w:themeColor="text1"/>
                <w:sz w:val="24"/>
                <w:szCs w:val="24"/>
                <w:highlight w:val="none"/>
                <w:lang w:val="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 xml:space="preserve">4、生态环境 </w:t>
            </w:r>
          </w:p>
          <w:p w14:paraId="71EA953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157" w:afterLines="50" w:afterAutospacing="0" w:line="360" w:lineRule="auto"/>
              <w:ind w:left="0" w:right="0" w:firstLine="480" w:firstLineChars="200"/>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本项目在现有</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厂区</w:t>
            </w:r>
            <w:r>
              <w:rPr>
                <w:rFonts w:hint="default" w:ascii="Times New Roman" w:hAnsi="Times New Roman" w:eastAsia="宋体" w:cs="Times New Roman"/>
                <w:color w:val="000000" w:themeColor="text1"/>
                <w:sz w:val="24"/>
                <w:szCs w:val="24"/>
                <w:highlight w:val="none"/>
                <w14:textFill>
                  <w14:solidFill>
                    <w14:schemeClr w14:val="tx1"/>
                  </w14:solidFill>
                </w14:textFill>
              </w:rPr>
              <w:t>内建设，项目用地范围内无生态环境保护目标。</w:t>
            </w:r>
          </w:p>
          <w:p w14:paraId="141101EE">
            <w:pPr>
              <w:pStyle w:val="25"/>
              <w:keepNext w:val="0"/>
              <w:keepLines w:val="0"/>
              <w:suppressLineNumbers w:val="0"/>
              <w:spacing w:before="0" w:beforeAutospacing="0" w:afterAutospacing="0"/>
              <w:ind w:right="0"/>
              <w:rPr>
                <w:rFonts w:hint="default" w:ascii="Times New Roman" w:hAnsi="Times New Roman" w:eastAsia="宋体" w:cs="Times New Roman"/>
                <w:color w:val="000000" w:themeColor="text1"/>
                <w:sz w:val="24"/>
                <w:szCs w:val="24"/>
                <w:highlight w:val="none"/>
                <w14:textFill>
                  <w14:solidFill>
                    <w14:schemeClr w14:val="tx1"/>
                  </w14:solidFill>
                </w14:textFill>
              </w:rPr>
            </w:pPr>
          </w:p>
          <w:p w14:paraId="476E2477">
            <w:pPr>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 w:val="24"/>
                <w:szCs w:val="24"/>
                <w:highlight w:val="none"/>
                <w14:textFill>
                  <w14:solidFill>
                    <w14:schemeClr w14:val="tx1"/>
                  </w14:solidFill>
                </w14:textFill>
              </w:rPr>
            </w:pPr>
          </w:p>
          <w:p w14:paraId="2EBF3D45">
            <w:pPr>
              <w:pStyle w:val="25"/>
              <w:keepNext w:val="0"/>
              <w:keepLines w:val="0"/>
              <w:suppressLineNumbers w:val="0"/>
              <w:spacing w:before="0" w:beforeAutospacing="0" w:afterAutospacing="0"/>
              <w:ind w:right="0"/>
              <w:rPr>
                <w:rFonts w:hint="default" w:ascii="Times New Roman" w:hAnsi="Times New Roman" w:eastAsia="宋体" w:cs="Times New Roman"/>
                <w:color w:val="000000" w:themeColor="text1"/>
                <w:sz w:val="24"/>
                <w:szCs w:val="24"/>
                <w:highlight w:val="none"/>
                <w14:textFill>
                  <w14:solidFill>
                    <w14:schemeClr w14:val="tx1"/>
                  </w14:solidFill>
                </w14:textFill>
              </w:rPr>
            </w:pPr>
          </w:p>
          <w:p w14:paraId="04A7CC92">
            <w:pPr>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 w:val="24"/>
                <w:szCs w:val="24"/>
                <w:highlight w:val="none"/>
                <w14:textFill>
                  <w14:solidFill>
                    <w14:schemeClr w14:val="tx1"/>
                  </w14:solidFill>
                </w14:textFill>
              </w:rPr>
            </w:pPr>
          </w:p>
          <w:p w14:paraId="518B1C6C">
            <w:pPr>
              <w:pStyle w:val="25"/>
              <w:keepNext w:val="0"/>
              <w:keepLines w:val="0"/>
              <w:suppressLineNumbers w:val="0"/>
              <w:spacing w:before="0" w:beforeAutospacing="0" w:afterAutospacing="0"/>
              <w:ind w:right="0"/>
              <w:rPr>
                <w:rFonts w:hint="default" w:ascii="Times New Roman" w:hAnsi="Times New Roman" w:eastAsia="宋体" w:cs="Times New Roman"/>
                <w:color w:val="000000" w:themeColor="text1"/>
                <w:sz w:val="24"/>
                <w:szCs w:val="24"/>
                <w:highlight w:val="none"/>
                <w14:textFill>
                  <w14:solidFill>
                    <w14:schemeClr w14:val="tx1"/>
                  </w14:solidFill>
                </w14:textFill>
              </w:rPr>
            </w:pPr>
          </w:p>
          <w:p w14:paraId="571A7809">
            <w:pPr>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 w:val="24"/>
                <w:szCs w:val="24"/>
                <w:highlight w:val="none"/>
                <w14:textFill>
                  <w14:solidFill>
                    <w14:schemeClr w14:val="tx1"/>
                  </w14:solidFill>
                </w14:textFill>
              </w:rPr>
            </w:pPr>
          </w:p>
          <w:p w14:paraId="33727897">
            <w:pPr>
              <w:pStyle w:val="25"/>
              <w:keepNext w:val="0"/>
              <w:keepLines w:val="0"/>
              <w:suppressLineNumbers w:val="0"/>
              <w:spacing w:before="0" w:beforeAutospacing="0" w:afterAutospacing="0"/>
              <w:ind w:right="0"/>
              <w:rPr>
                <w:rFonts w:hint="default" w:ascii="Times New Roman" w:hAnsi="Times New Roman" w:eastAsia="宋体" w:cs="Times New Roman"/>
                <w:color w:val="000000" w:themeColor="text1"/>
                <w:sz w:val="24"/>
                <w:szCs w:val="24"/>
                <w:highlight w:val="none"/>
                <w14:textFill>
                  <w14:solidFill>
                    <w14:schemeClr w14:val="tx1"/>
                  </w14:solidFill>
                </w14:textFill>
              </w:rPr>
            </w:pPr>
          </w:p>
          <w:p w14:paraId="2BB65B24">
            <w:pPr>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 w:val="24"/>
                <w:szCs w:val="24"/>
                <w:highlight w:val="none"/>
                <w14:textFill>
                  <w14:solidFill>
                    <w14:schemeClr w14:val="tx1"/>
                  </w14:solidFill>
                </w14:textFill>
              </w:rPr>
            </w:pPr>
          </w:p>
          <w:p w14:paraId="23EB4C1F">
            <w:pPr>
              <w:pStyle w:val="25"/>
              <w:keepNext w:val="0"/>
              <w:keepLines w:val="0"/>
              <w:suppressLineNumbers w:val="0"/>
              <w:spacing w:before="0" w:beforeAutospacing="0" w:afterAutospacing="0"/>
              <w:ind w:right="0"/>
              <w:rPr>
                <w:rFonts w:hint="default" w:ascii="Times New Roman" w:hAnsi="Times New Roman" w:eastAsia="宋体" w:cs="Times New Roman"/>
                <w:color w:val="000000" w:themeColor="text1"/>
                <w:sz w:val="24"/>
                <w:szCs w:val="24"/>
                <w:highlight w:val="none"/>
                <w14:textFill>
                  <w14:solidFill>
                    <w14:schemeClr w14:val="tx1"/>
                  </w14:solidFill>
                </w14:textFill>
              </w:rPr>
            </w:pPr>
          </w:p>
          <w:p w14:paraId="56AC3C95">
            <w:pPr>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 w:val="24"/>
                <w:szCs w:val="24"/>
                <w:highlight w:val="none"/>
                <w14:textFill>
                  <w14:solidFill>
                    <w14:schemeClr w14:val="tx1"/>
                  </w14:solidFill>
                </w14:textFill>
              </w:rPr>
            </w:pPr>
          </w:p>
          <w:p w14:paraId="121BD934">
            <w:pPr>
              <w:pStyle w:val="25"/>
              <w:keepNext w:val="0"/>
              <w:keepLines w:val="0"/>
              <w:suppressLineNumbers w:val="0"/>
              <w:spacing w:before="0" w:beforeAutospacing="0" w:afterAutospacing="0"/>
              <w:ind w:right="0"/>
              <w:rPr>
                <w:rFonts w:hint="default" w:ascii="Times New Roman" w:hAnsi="Times New Roman" w:eastAsia="宋体" w:cs="Times New Roman"/>
                <w:color w:val="000000" w:themeColor="text1"/>
                <w:sz w:val="24"/>
                <w:szCs w:val="24"/>
                <w:highlight w:val="none"/>
                <w14:textFill>
                  <w14:solidFill>
                    <w14:schemeClr w14:val="tx1"/>
                  </w14:solidFill>
                </w14:textFill>
              </w:rPr>
            </w:pPr>
          </w:p>
          <w:p w14:paraId="3CD89E7A">
            <w:pPr>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 w:val="24"/>
                <w:szCs w:val="24"/>
                <w:highlight w:val="none"/>
                <w14:textFill>
                  <w14:solidFill>
                    <w14:schemeClr w14:val="tx1"/>
                  </w14:solidFill>
                </w14:textFill>
              </w:rPr>
            </w:pPr>
          </w:p>
          <w:p w14:paraId="45F7E255">
            <w:pPr>
              <w:pStyle w:val="25"/>
              <w:keepNext w:val="0"/>
              <w:keepLines w:val="0"/>
              <w:suppressLineNumbers w:val="0"/>
              <w:spacing w:before="0" w:beforeAutospacing="0" w:afterAutospacing="0"/>
              <w:ind w:right="0"/>
              <w:rPr>
                <w:rFonts w:hint="default" w:ascii="Times New Roman" w:hAnsi="Times New Roman" w:eastAsia="宋体" w:cs="Times New Roman"/>
                <w:color w:val="000000" w:themeColor="text1"/>
                <w:sz w:val="24"/>
                <w:szCs w:val="24"/>
                <w:highlight w:val="none"/>
                <w14:textFill>
                  <w14:solidFill>
                    <w14:schemeClr w14:val="tx1"/>
                  </w14:solidFill>
                </w14:textFill>
              </w:rPr>
            </w:pPr>
          </w:p>
          <w:p w14:paraId="3D7ADB06">
            <w:pPr>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 w:val="24"/>
                <w:szCs w:val="24"/>
                <w:highlight w:val="none"/>
                <w14:textFill>
                  <w14:solidFill>
                    <w14:schemeClr w14:val="tx1"/>
                  </w14:solidFill>
                </w14:textFill>
              </w:rPr>
            </w:pPr>
          </w:p>
          <w:p w14:paraId="58885DA8">
            <w:pPr>
              <w:pStyle w:val="25"/>
              <w:keepNext w:val="0"/>
              <w:keepLines w:val="0"/>
              <w:suppressLineNumbers w:val="0"/>
              <w:spacing w:before="0" w:beforeAutospacing="0" w:afterAutospacing="0"/>
              <w:ind w:right="0"/>
              <w:rPr>
                <w:rFonts w:hint="default" w:ascii="Times New Roman" w:hAnsi="Times New Roman" w:eastAsia="宋体" w:cs="Times New Roman"/>
                <w:color w:val="000000" w:themeColor="text1"/>
                <w:sz w:val="24"/>
                <w:szCs w:val="24"/>
                <w:highlight w:val="none"/>
                <w14:textFill>
                  <w14:solidFill>
                    <w14:schemeClr w14:val="tx1"/>
                  </w14:solidFill>
                </w14:textFill>
              </w:rPr>
            </w:pPr>
          </w:p>
          <w:p w14:paraId="712FC276">
            <w:pPr>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 w:val="24"/>
                <w:szCs w:val="24"/>
                <w:highlight w:val="none"/>
                <w14:textFill>
                  <w14:solidFill>
                    <w14:schemeClr w14:val="tx1"/>
                  </w14:solidFill>
                </w14:textFill>
              </w:rPr>
            </w:pPr>
          </w:p>
          <w:p w14:paraId="78FC6D61">
            <w:pPr>
              <w:pStyle w:val="25"/>
              <w:keepNext w:val="0"/>
              <w:keepLines w:val="0"/>
              <w:suppressLineNumbers w:val="0"/>
              <w:spacing w:before="0" w:beforeAutospacing="0" w:afterAutospacing="0"/>
              <w:ind w:right="0"/>
              <w:rPr>
                <w:rFonts w:hint="default" w:ascii="Times New Roman" w:hAnsi="Times New Roman" w:eastAsia="宋体" w:cs="Times New Roman"/>
                <w:color w:val="000000" w:themeColor="text1"/>
                <w:sz w:val="24"/>
                <w:szCs w:val="24"/>
                <w:highlight w:val="none"/>
                <w14:textFill>
                  <w14:solidFill>
                    <w14:schemeClr w14:val="tx1"/>
                  </w14:solidFill>
                </w14:textFill>
              </w:rPr>
            </w:pPr>
          </w:p>
          <w:p w14:paraId="6AE9522A">
            <w:pPr>
              <w:keepNext w:val="0"/>
              <w:keepLines w:val="0"/>
              <w:suppressLineNumbers w:val="0"/>
              <w:spacing w:before="0" w:beforeAutospacing="0" w:after="0" w:afterAutospacing="0"/>
              <w:ind w:left="0" w:right="0"/>
              <w:rPr>
                <w:rFonts w:hint="default" w:ascii="Times New Roman" w:hAnsi="Times New Roman" w:eastAsia="宋体" w:cs="Times New Roman"/>
                <w:color w:val="000000" w:themeColor="text1"/>
                <w:sz w:val="24"/>
                <w:szCs w:val="24"/>
                <w:highlight w:val="none"/>
                <w14:textFill>
                  <w14:solidFill>
                    <w14:schemeClr w14:val="tx1"/>
                  </w14:solidFill>
                </w14:textFill>
              </w:rPr>
            </w:pPr>
          </w:p>
          <w:p w14:paraId="3CD093C1">
            <w:pPr>
              <w:pStyle w:val="25"/>
              <w:keepNext w:val="0"/>
              <w:keepLines w:val="0"/>
              <w:suppressLineNumbers w:val="0"/>
              <w:spacing w:before="0" w:beforeAutospacing="0" w:afterAutospacing="0"/>
              <w:ind w:right="0"/>
              <w:rPr>
                <w:rFonts w:hint="default"/>
                <w:color w:val="000000" w:themeColor="text1"/>
                <w:highlight w:val="none"/>
                <w14:textFill>
                  <w14:solidFill>
                    <w14:schemeClr w14:val="tx1"/>
                  </w14:solidFill>
                </w14:textFill>
              </w:rPr>
            </w:pPr>
          </w:p>
        </w:tc>
      </w:tr>
      <w:tr w14:paraId="7F6555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600" w:hRule="atLeast"/>
          <w:jc w:val="center"/>
        </w:trPr>
        <w:tc>
          <w:tcPr>
            <w:tcW w:w="528" w:type="dxa"/>
            <w:tcMar>
              <w:left w:w="28" w:type="dxa"/>
              <w:right w:w="28" w:type="dxa"/>
            </w:tcMar>
            <w:vAlign w:val="center"/>
          </w:tcPr>
          <w:p w14:paraId="3467EC5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污</w:t>
            </w:r>
          </w:p>
          <w:p w14:paraId="70CA883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染</w:t>
            </w:r>
          </w:p>
          <w:p w14:paraId="5994208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物</w:t>
            </w:r>
          </w:p>
          <w:p w14:paraId="76FCD66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排</w:t>
            </w:r>
          </w:p>
          <w:p w14:paraId="0638BBC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放</w:t>
            </w:r>
          </w:p>
          <w:p w14:paraId="35491D9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控</w:t>
            </w:r>
          </w:p>
          <w:p w14:paraId="237D0BC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制</w:t>
            </w:r>
          </w:p>
          <w:p w14:paraId="306129E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标</w:t>
            </w:r>
          </w:p>
          <w:p w14:paraId="0E0ED5B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准</w:t>
            </w:r>
          </w:p>
        </w:tc>
        <w:tc>
          <w:tcPr>
            <w:tcW w:w="8533" w:type="dxa"/>
            <w:vAlign w:val="center"/>
          </w:tcPr>
          <w:p w14:paraId="1ABD9A75">
            <w:pPr>
              <w:keepNext w:val="0"/>
              <w:keepLines w:val="0"/>
              <w:widowControl/>
              <w:suppressLineNumbers w:val="0"/>
              <w:adjustRightInd w:val="0"/>
              <w:snapToGrid w:val="0"/>
              <w:spacing w:before="72" w:beforeLines="30" w:beforeAutospacing="0" w:after="72" w:afterLines="30" w:afterAutospacing="0" w:line="360" w:lineRule="auto"/>
              <w:ind w:left="0" w:right="0"/>
              <w:jc w:val="left"/>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1、施工</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期</w:t>
            </w:r>
          </w:p>
          <w:p w14:paraId="66900DDD">
            <w:pPr>
              <w:keepNext w:val="0"/>
              <w:keepLines w:val="0"/>
              <w:widowControl/>
              <w:suppressLineNumbers w:val="0"/>
              <w:adjustRightInd w:val="0"/>
              <w:snapToGrid w:val="0"/>
              <w:spacing w:before="72" w:beforeLines="30" w:beforeAutospacing="0" w:after="72" w:afterLines="30" w:afterAutospacing="0" w:line="360" w:lineRule="auto"/>
              <w:ind w:left="0" w:right="0"/>
              <w:jc w:val="left"/>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1</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、废气</w:t>
            </w:r>
          </w:p>
          <w:p w14:paraId="1FC56984">
            <w:pPr>
              <w:pStyle w:val="48"/>
              <w:keepNext w:val="0"/>
              <w:keepLines w:val="0"/>
              <w:suppressLineNumbers w:val="0"/>
              <w:spacing w:before="0" w:beforeAutospacing="0" w:afterAutospacing="0"/>
              <w:ind w:left="0" w:leftChars="0" w:right="0" w:firstLine="480" w:firstLineChars="200"/>
              <w:jc w:val="both"/>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扬尘</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施工期扬尘执行</w:t>
            </w:r>
            <w:r>
              <w:rPr>
                <w:rFonts w:hint="eastAsia" w:cs="Times New Roman"/>
                <w:color w:val="000000" w:themeColor="text1"/>
                <w:sz w:val="24"/>
                <w:szCs w:val="24"/>
                <w:highlight w:val="none"/>
                <w:lang w:val="en-US" w:eastAsia="zh-CN"/>
                <w14:textFill>
                  <w14:solidFill>
                    <w14:schemeClr w14:val="tx1"/>
                  </w14:solidFill>
                </w14:textFill>
              </w:rPr>
              <w:t>辽宁省</w:t>
            </w:r>
            <w:r>
              <w:rPr>
                <w:rFonts w:hint="default" w:ascii="Times New Roman" w:hAnsi="Times New Roman" w:cs="Times New Roman"/>
                <w:color w:val="000000" w:themeColor="text1"/>
                <w:sz w:val="24"/>
                <w:szCs w:val="24"/>
                <w:highlight w:val="none"/>
                <w14:textFill>
                  <w14:solidFill>
                    <w14:schemeClr w14:val="tx1"/>
                  </w14:solidFill>
                </w14:textFill>
              </w:rPr>
              <w:t>《施工及堆料场地扬尘排放标准》（DB21/2642-2016）中相应标准，详见</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下</w:t>
            </w:r>
            <w:r>
              <w:rPr>
                <w:rFonts w:hint="default" w:ascii="Times New Roman" w:hAnsi="Times New Roman" w:cs="Times New Roman"/>
                <w:color w:val="000000" w:themeColor="text1"/>
                <w:sz w:val="24"/>
                <w:szCs w:val="24"/>
                <w:highlight w:val="none"/>
                <w14:textFill>
                  <w14:solidFill>
                    <w14:schemeClr w14:val="tx1"/>
                  </w14:solidFill>
                </w14:textFill>
              </w:rPr>
              <w:t>表</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p w14:paraId="4324CD7D">
            <w:pPr>
              <w:keepNext w:val="0"/>
              <w:keepLines w:val="0"/>
              <w:pageBreakBefore w:val="0"/>
              <w:widowControl w:val="0"/>
              <w:numPr>
                <w:ilvl w:val="0"/>
                <w:numId w:val="24"/>
              </w:numPr>
              <w:suppressLineNumbers w:val="0"/>
              <w:kinsoku/>
              <w:wordWrap/>
              <w:overflowPunct/>
              <w:topLinePunct w:val="0"/>
              <w:autoSpaceDE/>
              <w:autoSpaceDN/>
              <w:bidi w:val="0"/>
              <w:adjustRightInd/>
              <w:snapToGrid w:val="0"/>
              <w:spacing w:before="157" w:beforeLines="5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施工期大气污染物排放标准</w:t>
            </w:r>
          </w:p>
          <w:tbl>
            <w:tblPr>
              <w:tblStyle w:val="35"/>
              <w:tblW w:w="5000" w:type="pct"/>
              <w:tblInd w:w="0" w:type="dxa"/>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97"/>
              <w:gridCol w:w="3599"/>
              <w:gridCol w:w="3221"/>
            </w:tblGrid>
            <w:tr w14:paraId="16D1DFE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06" w:type="dxa"/>
                  <w:tcBorders>
                    <w:tl2br w:val="nil"/>
                    <w:tr2bl w:val="nil"/>
                  </w:tcBorders>
                  <w:noWrap w:val="0"/>
                  <w:vAlign w:val="center"/>
                </w:tcPr>
                <w:p w14:paraId="35AD1481">
                  <w:pPr>
                    <w:keepNext w:val="0"/>
                    <w:keepLines w:val="0"/>
                    <w:suppressLineNumbers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污染物名称</w:t>
                  </w:r>
                </w:p>
              </w:tc>
              <w:tc>
                <w:tcPr>
                  <w:tcW w:w="3622" w:type="dxa"/>
                  <w:tcBorders>
                    <w:tl2br w:val="nil"/>
                    <w:tr2bl w:val="nil"/>
                  </w:tcBorders>
                  <w:noWrap w:val="0"/>
                  <w:vAlign w:val="center"/>
                </w:tcPr>
                <w:p w14:paraId="3E410E3F">
                  <w:pPr>
                    <w:keepNext w:val="0"/>
                    <w:keepLines w:val="0"/>
                    <w:suppressLineNumbers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无组织排放监控浓度值（mg/m</w:t>
                  </w:r>
                  <w:r>
                    <w:rPr>
                      <w:rFonts w:hint="default" w:ascii="Times New Roman" w:hAnsi="Times New Roman" w:cs="Times New Roman"/>
                      <w:b/>
                      <w:bCs/>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b/>
                      <w:bCs/>
                      <w:color w:val="000000" w:themeColor="text1"/>
                      <w:sz w:val="21"/>
                      <w:szCs w:val="21"/>
                      <w:highlight w:val="none"/>
                      <w14:textFill>
                        <w14:solidFill>
                          <w14:schemeClr w14:val="tx1"/>
                        </w14:solidFill>
                      </w14:textFill>
                    </w:rPr>
                    <w:t>）</w:t>
                  </w:r>
                </w:p>
              </w:tc>
              <w:tc>
                <w:tcPr>
                  <w:tcW w:w="3241" w:type="dxa"/>
                  <w:tcBorders>
                    <w:tl2br w:val="nil"/>
                    <w:tr2bl w:val="nil"/>
                  </w:tcBorders>
                  <w:noWrap w:val="0"/>
                  <w:vAlign w:val="center"/>
                </w:tcPr>
                <w:p w14:paraId="3F1D2881">
                  <w:pPr>
                    <w:keepNext w:val="0"/>
                    <w:keepLines w:val="0"/>
                    <w:suppressLineNumbers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标准来源</w:t>
                  </w:r>
                </w:p>
              </w:tc>
            </w:tr>
            <w:tr w14:paraId="5DA0CB8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06" w:type="dxa"/>
                  <w:tcBorders>
                    <w:tl2br w:val="nil"/>
                    <w:tr2bl w:val="nil"/>
                  </w:tcBorders>
                  <w:noWrap w:val="0"/>
                  <w:vAlign w:val="center"/>
                </w:tcPr>
                <w:p w14:paraId="0D26A60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颗粒物</w:t>
                  </w:r>
                </w:p>
              </w:tc>
              <w:tc>
                <w:tcPr>
                  <w:tcW w:w="3622" w:type="dxa"/>
                  <w:tcBorders>
                    <w:tl2br w:val="nil"/>
                    <w:tr2bl w:val="nil"/>
                  </w:tcBorders>
                  <w:noWrap w:val="0"/>
                  <w:vAlign w:val="center"/>
                </w:tcPr>
                <w:p w14:paraId="579CFFEA">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0.8</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城市建成区</w:t>
                  </w:r>
                  <w:r>
                    <w:rPr>
                      <w:rFonts w:hint="default" w:ascii="Times New Roman" w:hAnsi="Times New Roman" w:cs="Times New Roman"/>
                      <w:color w:val="000000" w:themeColor="text1"/>
                      <w:sz w:val="21"/>
                      <w:szCs w:val="21"/>
                      <w:highlight w:val="none"/>
                      <w14:textFill>
                        <w14:solidFill>
                          <w14:schemeClr w14:val="tx1"/>
                        </w14:solidFill>
                      </w14:textFill>
                    </w:rPr>
                    <w:t>）</w:t>
                  </w:r>
                </w:p>
              </w:tc>
              <w:tc>
                <w:tcPr>
                  <w:tcW w:w="3241" w:type="dxa"/>
                  <w:tcBorders>
                    <w:tl2br w:val="nil"/>
                    <w:tr2bl w:val="nil"/>
                  </w:tcBorders>
                  <w:noWrap w:val="0"/>
                  <w:vAlign w:val="center"/>
                </w:tcPr>
                <w:p w14:paraId="3800D0DB">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《施工及堆料场地扬尘排放标准》（DB21/2642-2016）</w:t>
                  </w:r>
                </w:p>
              </w:tc>
            </w:tr>
          </w:tbl>
          <w:p w14:paraId="5236542F">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jc w:val="left"/>
              <w:textAlignment w:val="auto"/>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1.2、</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噪声</w:t>
            </w:r>
          </w:p>
          <w:p w14:paraId="6726A49C">
            <w:pPr>
              <w:keepNext w:val="0"/>
              <w:keepLines w:val="0"/>
              <w:suppressLineNumbers w:val="0"/>
              <w:adjustRightInd w:val="0"/>
              <w:spacing w:before="0" w:beforeAutospacing="0" w:after="0" w:afterAutospacing="0" w:line="360" w:lineRule="auto"/>
              <w:ind w:left="0" w:right="0" w:firstLine="480" w:firstLineChars="200"/>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施工期噪声执行《</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建筑施工噪声排放标准</w:t>
            </w:r>
            <w:r>
              <w:rPr>
                <w:rFonts w:hint="default" w:ascii="Times New Roman" w:hAnsi="Times New Roman" w:cs="Times New Roman"/>
                <w:color w:val="000000" w:themeColor="text1"/>
                <w:kern w:val="0"/>
                <w:sz w:val="24"/>
                <w:szCs w:val="24"/>
                <w:highlight w:val="none"/>
                <w14:textFill>
                  <w14:solidFill>
                    <w14:schemeClr w14:val="tx1"/>
                  </w14:solidFill>
                </w14:textFill>
              </w:rPr>
              <w:t>》（</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GB12523-2025</w:t>
            </w:r>
            <w:r>
              <w:rPr>
                <w:rFonts w:hint="default" w:ascii="Times New Roman" w:hAnsi="Times New Roman" w:cs="Times New Roman"/>
                <w:color w:val="000000" w:themeColor="text1"/>
                <w:kern w:val="0"/>
                <w:sz w:val="24"/>
                <w:szCs w:val="24"/>
                <w:highlight w:val="none"/>
                <w14:textFill>
                  <w14:solidFill>
                    <w14:schemeClr w14:val="tx1"/>
                  </w14:solidFill>
                </w14:textFill>
              </w:rPr>
              <w:t>）中表1</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建筑施工场</w:t>
            </w:r>
            <w:r>
              <w:rPr>
                <w:rFonts w:hint="default" w:ascii="Times New Roman" w:hAnsi="Times New Roman" w:cs="Times New Roman"/>
                <w:color w:val="000000" w:themeColor="text1"/>
                <w:kern w:val="0"/>
                <w:sz w:val="24"/>
                <w:szCs w:val="24"/>
                <w:highlight w:val="none"/>
                <w14:textFill>
                  <w14:solidFill>
                    <w14:schemeClr w14:val="tx1"/>
                  </w14:solidFill>
                </w14:textFill>
              </w:rPr>
              <w:t>界环境噪声排放限值，详见</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下</w:t>
            </w:r>
            <w:r>
              <w:rPr>
                <w:rFonts w:hint="default" w:ascii="Times New Roman" w:hAnsi="Times New Roman" w:cs="Times New Roman"/>
                <w:color w:val="000000" w:themeColor="text1"/>
                <w:kern w:val="0"/>
                <w:sz w:val="24"/>
                <w:szCs w:val="24"/>
                <w:highlight w:val="none"/>
                <w14:textFill>
                  <w14:solidFill>
                    <w14:schemeClr w14:val="tx1"/>
                  </w14:solidFill>
                </w14:textFill>
              </w:rPr>
              <w:t>表</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p>
          <w:p w14:paraId="24499051">
            <w:pPr>
              <w:keepNext w:val="0"/>
              <w:keepLines w:val="0"/>
              <w:pageBreakBefore w:val="0"/>
              <w:widowControl w:val="0"/>
              <w:numPr>
                <w:ilvl w:val="0"/>
                <w:numId w:val="24"/>
              </w:numPr>
              <w:suppressLineNumbers w:val="0"/>
              <w:kinsoku/>
              <w:wordWrap/>
              <w:overflowPunct/>
              <w:topLinePunct w:val="0"/>
              <w:autoSpaceDE/>
              <w:autoSpaceDN/>
              <w:bidi w:val="0"/>
              <w:adjustRightInd/>
              <w:snapToGrid w:val="0"/>
              <w:spacing w:before="157" w:beforeLines="5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施工期噪声排放标准</w:t>
            </w:r>
          </w:p>
          <w:tbl>
            <w:tblPr>
              <w:tblStyle w:val="35"/>
              <w:tblW w:w="5000"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4188"/>
              <w:gridCol w:w="1979"/>
              <w:gridCol w:w="2150"/>
            </w:tblGrid>
            <w:tr w14:paraId="73E027B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518" w:type="pct"/>
                  <w:vMerge w:val="restart"/>
                  <w:tcBorders>
                    <w:tl2br w:val="nil"/>
                    <w:tr2bl w:val="nil"/>
                  </w:tcBorders>
                  <w:noWrap w:val="0"/>
                  <w:vAlign w:val="center"/>
                </w:tcPr>
                <w:p w14:paraId="5134EEB1">
                  <w:pPr>
                    <w:keepNext w:val="0"/>
                    <w:keepLines w:val="0"/>
                    <w:suppressLineNumbers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执行标准</w:t>
                  </w:r>
                </w:p>
              </w:tc>
              <w:tc>
                <w:tcPr>
                  <w:tcW w:w="2482" w:type="pct"/>
                  <w:gridSpan w:val="2"/>
                  <w:tcBorders>
                    <w:tl2br w:val="nil"/>
                    <w:tr2bl w:val="nil"/>
                  </w:tcBorders>
                  <w:noWrap w:val="0"/>
                  <w:vAlign w:val="center"/>
                </w:tcPr>
                <w:p w14:paraId="2FEE4E4D">
                  <w:pPr>
                    <w:keepNext w:val="0"/>
                    <w:keepLines w:val="0"/>
                    <w:suppressLineNumbers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标准值[dB(A)]</w:t>
                  </w:r>
                </w:p>
              </w:tc>
            </w:tr>
            <w:tr w14:paraId="5C40B7E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518" w:type="pct"/>
                  <w:vMerge w:val="continue"/>
                  <w:tcBorders>
                    <w:tl2br w:val="nil"/>
                    <w:tr2bl w:val="nil"/>
                  </w:tcBorders>
                  <w:noWrap w:val="0"/>
                  <w:vAlign w:val="center"/>
                </w:tcPr>
                <w:p w14:paraId="3B046FB1">
                  <w:pPr>
                    <w:keepNext w:val="0"/>
                    <w:keepLines w:val="0"/>
                    <w:suppressLineNumbers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p>
              </w:tc>
              <w:tc>
                <w:tcPr>
                  <w:tcW w:w="1190" w:type="pct"/>
                  <w:tcBorders>
                    <w:tl2br w:val="nil"/>
                    <w:tr2bl w:val="nil"/>
                  </w:tcBorders>
                  <w:noWrap w:val="0"/>
                  <w:vAlign w:val="center"/>
                </w:tcPr>
                <w:p w14:paraId="0CEFF0BB">
                  <w:pPr>
                    <w:keepNext w:val="0"/>
                    <w:keepLines w:val="0"/>
                    <w:suppressLineNumbers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昼间</w:t>
                  </w:r>
                </w:p>
              </w:tc>
              <w:tc>
                <w:tcPr>
                  <w:tcW w:w="1292" w:type="pct"/>
                  <w:tcBorders>
                    <w:tl2br w:val="nil"/>
                    <w:tr2bl w:val="nil"/>
                  </w:tcBorders>
                  <w:noWrap w:val="0"/>
                  <w:vAlign w:val="center"/>
                </w:tcPr>
                <w:p w14:paraId="62BD52CF">
                  <w:pPr>
                    <w:keepNext w:val="0"/>
                    <w:keepLines w:val="0"/>
                    <w:suppressLineNumbers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夜间</w:t>
                  </w:r>
                </w:p>
              </w:tc>
            </w:tr>
            <w:tr w14:paraId="4E46A1E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518" w:type="pct"/>
                  <w:tcBorders>
                    <w:tl2br w:val="nil"/>
                    <w:tr2bl w:val="nil"/>
                  </w:tcBorders>
                  <w:noWrap w:val="0"/>
                  <w:vAlign w:val="center"/>
                </w:tcPr>
                <w:p w14:paraId="020F7F56">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eastAsia="zh-CN"/>
                      <w14:textFill>
                        <w14:solidFill>
                          <w14:schemeClr w14:val="tx1"/>
                        </w14:solidFill>
                      </w14:textFill>
                    </w:rPr>
                    <w:t>建筑施工噪声排放标准</w:t>
                  </w:r>
                  <w:r>
                    <w:rPr>
                      <w:rFonts w:hint="default" w:ascii="Times New Roman" w:hAnsi="Times New Roman" w:cs="Times New Roman"/>
                      <w:color w:val="000000" w:themeColor="text1"/>
                      <w:sz w:val="21"/>
                      <w:szCs w:val="21"/>
                      <w:highlight w:val="none"/>
                      <w14:textFill>
                        <w14:solidFill>
                          <w14:schemeClr w14:val="tx1"/>
                        </w14:solidFill>
                      </w14:textFill>
                    </w:rPr>
                    <w:t>》（</w:t>
                  </w:r>
                  <w:r>
                    <w:rPr>
                      <w:rFonts w:hint="default" w:ascii="Times New Roman" w:hAnsi="Times New Roman" w:cs="Times New Roman"/>
                      <w:color w:val="000000" w:themeColor="text1"/>
                      <w:sz w:val="21"/>
                      <w:szCs w:val="21"/>
                      <w:highlight w:val="none"/>
                      <w:lang w:eastAsia="zh-CN"/>
                      <w14:textFill>
                        <w14:solidFill>
                          <w14:schemeClr w14:val="tx1"/>
                        </w14:solidFill>
                      </w14:textFill>
                    </w:rPr>
                    <w:t>GB12523-2025</w:t>
                  </w:r>
                  <w:r>
                    <w:rPr>
                      <w:rFonts w:hint="default" w:ascii="Times New Roman" w:hAnsi="Times New Roman" w:cs="Times New Roman"/>
                      <w:color w:val="000000" w:themeColor="text1"/>
                      <w:sz w:val="21"/>
                      <w:szCs w:val="21"/>
                      <w:highlight w:val="none"/>
                      <w14:textFill>
                        <w14:solidFill>
                          <w14:schemeClr w14:val="tx1"/>
                        </w14:solidFill>
                      </w14:textFill>
                    </w:rPr>
                    <w:t>）</w:t>
                  </w:r>
                </w:p>
              </w:tc>
              <w:tc>
                <w:tcPr>
                  <w:tcW w:w="1190" w:type="pct"/>
                  <w:tcBorders>
                    <w:tl2br w:val="nil"/>
                    <w:tr2bl w:val="nil"/>
                  </w:tcBorders>
                  <w:noWrap w:val="0"/>
                  <w:vAlign w:val="center"/>
                </w:tcPr>
                <w:p w14:paraId="65176C34">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70</w:t>
                  </w:r>
                </w:p>
              </w:tc>
              <w:tc>
                <w:tcPr>
                  <w:tcW w:w="1292" w:type="pct"/>
                  <w:tcBorders>
                    <w:tl2br w:val="nil"/>
                    <w:tr2bl w:val="nil"/>
                  </w:tcBorders>
                  <w:noWrap w:val="0"/>
                  <w:vAlign w:val="center"/>
                </w:tcPr>
                <w:p w14:paraId="2DBC2CD6">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55</w:t>
                  </w:r>
                </w:p>
              </w:tc>
            </w:tr>
          </w:tbl>
          <w:p w14:paraId="4E06388C">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72" w:afterLines="30" w:afterAutospacing="0" w:line="360" w:lineRule="auto"/>
              <w:ind w:left="0" w:right="0"/>
              <w:jc w:val="left"/>
              <w:textAlignment w:val="auto"/>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2、运营期</w:t>
            </w:r>
          </w:p>
          <w:p w14:paraId="4C73D6CB">
            <w:pPr>
              <w:keepNext w:val="0"/>
              <w:keepLines w:val="0"/>
              <w:widowControl/>
              <w:suppressLineNumbers w:val="0"/>
              <w:adjustRightInd w:val="0"/>
              <w:snapToGrid w:val="0"/>
              <w:spacing w:before="72" w:beforeLines="30" w:beforeAutospacing="0" w:after="72" w:afterLines="30" w:afterAutospacing="0" w:line="360" w:lineRule="auto"/>
              <w:ind w:left="0" w:right="0"/>
              <w:jc w:val="left"/>
              <w:rPr>
                <w:rFonts w:hint="default" w:ascii="Times New Roman" w:hAnsi="Times New Roman" w:cs="Times New Roman"/>
                <w:b/>
                <w:bCs/>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b/>
                <w:bCs/>
                <w:color w:val="000000" w:themeColor="text1"/>
                <w:sz w:val="24"/>
                <w:szCs w:val="24"/>
                <w:highlight w:val="none"/>
                <w14:textFill>
                  <w14:solidFill>
                    <w14:schemeClr w14:val="tx1"/>
                  </w14:solidFill>
                </w14:textFill>
              </w:rPr>
              <w:t>1、废气</w:t>
            </w:r>
          </w:p>
          <w:p w14:paraId="4D275AEF">
            <w:pPr>
              <w:keepNext w:val="0"/>
              <w:keepLines w:val="0"/>
              <w:pageBreakBefore w:val="0"/>
              <w:widowControl/>
              <w:suppressLineNumbers w:val="0"/>
              <w:kinsoku/>
              <w:wordWrap w:val="0"/>
              <w:overflowPunct/>
              <w:topLinePunct w:val="0"/>
              <w:autoSpaceDE/>
              <w:autoSpaceDN/>
              <w:bidi w:val="0"/>
              <w:adjustRightInd w:val="0"/>
              <w:snapToGrid w:val="0"/>
              <w:spacing w:before="72" w:beforeLines="30" w:beforeAutospacing="0" w:after="72" w:afterLines="30" w:afterAutospacing="0" w:line="360" w:lineRule="auto"/>
              <w:ind w:left="0" w:right="0"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本项目</w:t>
            </w:r>
            <w:r>
              <w:rPr>
                <w:rFonts w:hint="eastAsia" w:cs="Times New Roman"/>
                <w:color w:val="000000" w:themeColor="text1"/>
                <w:kern w:val="0"/>
                <w:sz w:val="24"/>
                <w:szCs w:val="24"/>
                <w:highlight w:val="none"/>
                <w:lang w:val="en-US" w:eastAsia="zh-CN" w:bidi="ar"/>
                <w14:textFill>
                  <w14:solidFill>
                    <w14:schemeClr w14:val="tx1"/>
                  </w14:solidFill>
                </w14:textFill>
              </w:rPr>
              <w:t>营运期有组织颗粒物</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执行</w:t>
            </w:r>
            <w:r>
              <w:rPr>
                <w:rFonts w:hint="eastAsia" w:cs="Times New Roman"/>
                <w:color w:val="000000" w:themeColor="text1"/>
                <w:sz w:val="24"/>
                <w:szCs w:val="24"/>
                <w:highlight w:val="none"/>
                <w:lang w:val="en-US" w:eastAsia="zh-CN"/>
                <w14:textFill>
                  <w14:solidFill>
                    <w14:schemeClr w14:val="tx1"/>
                  </w14:solidFill>
                </w14:textFill>
              </w:rPr>
              <w:t>《制药工业大气污染物排放标准》（GB37823-2019）表1大气污染物排放限值；臭气浓度执行</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《恶臭污染物排放标准》（GB14554-93）</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表2排放标准值</w:t>
            </w:r>
            <w:r>
              <w:rPr>
                <w:rFonts w:hint="eastAsia" w:ascii="Times New Roman" w:hAnsi="Times New Roman" w:cs="Times New Roman"/>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详见下表。</w:t>
            </w:r>
          </w:p>
          <w:p w14:paraId="7BAA965E">
            <w:pPr>
              <w:keepNext w:val="0"/>
              <w:keepLines w:val="0"/>
              <w:pageBreakBefore w:val="0"/>
              <w:widowControl w:val="0"/>
              <w:numPr>
                <w:ilvl w:val="0"/>
                <w:numId w:val="24"/>
              </w:numPr>
              <w:suppressLineNumbers w:val="0"/>
              <w:kinsoku/>
              <w:wordWrap/>
              <w:overflowPunct/>
              <w:topLinePunct w:val="0"/>
              <w:autoSpaceDE/>
              <w:autoSpaceDN/>
              <w:bidi w:val="0"/>
              <w:adjustRightInd/>
              <w:snapToGrid w:val="0"/>
              <w:spacing w:before="157" w:beforeLines="5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eastAsia" w:cs="Times New Roman"/>
                <w:b/>
                <w:bCs/>
                <w:color w:val="000000" w:themeColor="text1"/>
                <w:sz w:val="21"/>
                <w:szCs w:val="21"/>
                <w:highlight w:val="none"/>
                <w:lang w:val="en-US" w:eastAsia="zh-CN"/>
                <w14:textFill>
                  <w14:solidFill>
                    <w14:schemeClr w14:val="tx1"/>
                  </w14:solidFill>
                </w14:textFill>
              </w:rPr>
              <w:t>有组织废气排放标准</w:t>
            </w:r>
          </w:p>
          <w:tbl>
            <w:tblPr>
              <w:tblStyle w:val="35"/>
              <w:tblW w:w="4998"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31"/>
              <w:gridCol w:w="2154"/>
              <w:gridCol w:w="958"/>
              <w:gridCol w:w="1429"/>
              <w:gridCol w:w="2442"/>
            </w:tblGrid>
            <w:tr w14:paraId="20D6AA0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609" w:hRule="atLeast"/>
                <w:jc w:val="center"/>
              </w:trPr>
              <w:tc>
                <w:tcPr>
                  <w:tcW w:w="800" w:type="pct"/>
                  <w:tcBorders>
                    <w:tl2br w:val="nil"/>
                    <w:tr2bl w:val="nil"/>
                  </w:tcBorders>
                  <w:noWrap w:val="0"/>
                  <w:vAlign w:val="center"/>
                </w:tcPr>
                <w:p w14:paraId="39D982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bCs w:val="0"/>
                      <w:color w:val="000000" w:themeColor="text1"/>
                      <w:sz w:val="21"/>
                      <w:szCs w:val="21"/>
                      <w:highlight w:val="none"/>
                      <w14:textFill>
                        <w14:solidFill>
                          <w14:schemeClr w14:val="tx1"/>
                        </w14:solidFill>
                      </w14:textFill>
                    </w:rPr>
                  </w:pPr>
                  <w:r>
                    <w:rPr>
                      <w:rFonts w:hint="default" w:ascii="Times New Roman" w:hAnsi="Times New Roman" w:cs="Times New Roman"/>
                      <w:b/>
                      <w:bCs w:val="0"/>
                      <w:color w:val="000000" w:themeColor="text1"/>
                      <w:sz w:val="21"/>
                      <w:szCs w:val="21"/>
                      <w:highlight w:val="none"/>
                      <w14:textFill>
                        <w14:solidFill>
                          <w14:schemeClr w14:val="tx1"/>
                        </w14:solidFill>
                      </w14:textFill>
                    </w:rPr>
                    <w:t>污染物</w:t>
                  </w:r>
                  <w:r>
                    <w:rPr>
                      <w:rFonts w:hint="eastAsia" w:cs="Times New Roman"/>
                      <w:b/>
                      <w:bCs w:val="0"/>
                      <w:color w:val="000000" w:themeColor="text1"/>
                      <w:sz w:val="21"/>
                      <w:szCs w:val="21"/>
                      <w:highlight w:val="none"/>
                      <w:lang w:val="en-US" w:eastAsia="zh-CN"/>
                      <w14:textFill>
                        <w14:solidFill>
                          <w14:schemeClr w14:val="tx1"/>
                        </w14:solidFill>
                      </w14:textFill>
                    </w:rPr>
                    <w:t>项目</w:t>
                  </w:r>
                </w:p>
              </w:tc>
              <w:tc>
                <w:tcPr>
                  <w:tcW w:w="1295" w:type="pct"/>
                  <w:tcBorders>
                    <w:tl2br w:val="nil"/>
                    <w:tr2bl w:val="nil"/>
                  </w:tcBorders>
                  <w:noWrap w:val="0"/>
                  <w:vAlign w:val="center"/>
                </w:tcPr>
                <w:p w14:paraId="4EFBF2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bCs w:val="0"/>
                      <w:color w:val="000000" w:themeColor="text1"/>
                      <w:sz w:val="21"/>
                      <w:szCs w:val="21"/>
                      <w:highlight w:val="none"/>
                      <w14:textFill>
                        <w14:solidFill>
                          <w14:schemeClr w14:val="tx1"/>
                        </w14:solidFill>
                      </w14:textFill>
                    </w:rPr>
                  </w:pPr>
                  <w:r>
                    <w:rPr>
                      <w:rFonts w:hint="eastAsia" w:cs="Times New Roman"/>
                      <w:b/>
                      <w:bCs w:val="0"/>
                      <w:color w:val="000000" w:themeColor="text1"/>
                      <w:sz w:val="21"/>
                      <w:szCs w:val="21"/>
                      <w:highlight w:val="none"/>
                      <w:lang w:val="en-US" w:eastAsia="zh-CN"/>
                      <w14:textFill>
                        <w14:solidFill>
                          <w14:schemeClr w14:val="tx1"/>
                        </w14:solidFill>
                      </w14:textFill>
                    </w:rPr>
                    <w:t>发酵尾气及其他制药工艺废气（</w:t>
                  </w:r>
                  <w:r>
                    <w:rPr>
                      <w:rFonts w:hint="default" w:ascii="Times New Roman" w:hAnsi="Times New Roman" w:cs="Times New Roman"/>
                      <w:b/>
                      <w:bCs w:val="0"/>
                      <w:color w:val="000000" w:themeColor="text1"/>
                      <w:sz w:val="21"/>
                      <w:szCs w:val="21"/>
                      <w:highlight w:val="none"/>
                      <w14:textFill>
                        <w14:solidFill>
                          <w14:schemeClr w14:val="tx1"/>
                        </w14:solidFill>
                      </w14:textFill>
                    </w:rPr>
                    <w:t>mg/m</w:t>
                  </w:r>
                  <w:r>
                    <w:rPr>
                      <w:rFonts w:hint="default" w:ascii="Times New Roman" w:hAnsi="Times New Roman" w:cs="Times New Roman"/>
                      <w:b/>
                      <w:bCs w:val="0"/>
                      <w:color w:val="000000" w:themeColor="text1"/>
                      <w:sz w:val="21"/>
                      <w:szCs w:val="21"/>
                      <w:highlight w:val="none"/>
                      <w:vertAlign w:val="superscript"/>
                      <w14:textFill>
                        <w14:solidFill>
                          <w14:schemeClr w14:val="tx1"/>
                        </w14:solidFill>
                      </w14:textFill>
                    </w:rPr>
                    <w:t>3</w:t>
                  </w:r>
                  <w:r>
                    <w:rPr>
                      <w:rFonts w:hint="eastAsia" w:cs="Times New Roman"/>
                      <w:b/>
                      <w:bCs w:val="0"/>
                      <w:color w:val="000000" w:themeColor="text1"/>
                      <w:sz w:val="21"/>
                      <w:szCs w:val="21"/>
                      <w:highlight w:val="none"/>
                      <w:lang w:val="en-US" w:eastAsia="zh-CN"/>
                      <w14:textFill>
                        <w14:solidFill>
                          <w14:schemeClr w14:val="tx1"/>
                        </w14:solidFill>
                      </w14:textFill>
                    </w:rPr>
                    <w:t>）</w:t>
                  </w:r>
                </w:p>
              </w:tc>
              <w:tc>
                <w:tcPr>
                  <w:tcW w:w="576" w:type="pct"/>
                  <w:tcBorders>
                    <w:tl2br w:val="nil"/>
                    <w:tr2bl w:val="nil"/>
                  </w:tcBorders>
                  <w:noWrap w:val="0"/>
                  <w:vAlign w:val="center"/>
                </w:tcPr>
                <w:p w14:paraId="4239A8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b/>
                      <w:bCs w:val="0"/>
                      <w:color w:val="000000" w:themeColor="text1"/>
                      <w:sz w:val="21"/>
                      <w:szCs w:val="21"/>
                      <w:highlight w:val="none"/>
                      <w:lang w:val="en-US" w:eastAsia="zh-CN"/>
                      <w14:textFill>
                        <w14:solidFill>
                          <w14:schemeClr w14:val="tx1"/>
                        </w14:solidFill>
                      </w14:textFill>
                    </w:rPr>
                  </w:pPr>
                  <w:r>
                    <w:rPr>
                      <w:rFonts w:hint="eastAsia" w:cs="Times New Roman"/>
                      <w:b/>
                      <w:bCs w:val="0"/>
                      <w:color w:val="000000" w:themeColor="text1"/>
                      <w:sz w:val="21"/>
                      <w:szCs w:val="21"/>
                      <w:highlight w:val="none"/>
                      <w:lang w:val="en-US" w:eastAsia="zh-CN"/>
                      <w14:textFill>
                        <w14:solidFill>
                          <w14:schemeClr w14:val="tx1"/>
                        </w14:solidFill>
                      </w14:textFill>
                    </w:rPr>
                    <w:t>排气筒高度</w:t>
                  </w:r>
                </w:p>
              </w:tc>
              <w:tc>
                <w:tcPr>
                  <w:tcW w:w="859" w:type="pct"/>
                  <w:tcBorders>
                    <w:tl2br w:val="nil"/>
                    <w:tr2bl w:val="nil"/>
                  </w:tcBorders>
                  <w:noWrap w:val="0"/>
                  <w:vAlign w:val="center"/>
                </w:tcPr>
                <w:p w14:paraId="7785F0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val="0"/>
                      <w:color w:val="000000" w:themeColor="text1"/>
                      <w:sz w:val="21"/>
                      <w:szCs w:val="21"/>
                      <w:highlight w:val="none"/>
                      <w:lang w:val="en-US" w:eastAsia="zh-CN"/>
                      <w14:textFill>
                        <w14:solidFill>
                          <w14:schemeClr w14:val="tx1"/>
                        </w14:solidFill>
                      </w14:textFill>
                    </w:rPr>
                  </w:pPr>
                  <w:r>
                    <w:rPr>
                      <w:rFonts w:hint="eastAsia" w:cs="Times New Roman"/>
                      <w:b/>
                      <w:bCs w:val="0"/>
                      <w:color w:val="000000" w:themeColor="text1"/>
                      <w:sz w:val="21"/>
                      <w:szCs w:val="21"/>
                      <w:highlight w:val="none"/>
                      <w:lang w:val="en-US" w:eastAsia="zh-CN"/>
                      <w14:textFill>
                        <w14:solidFill>
                          <w14:schemeClr w14:val="tx1"/>
                        </w14:solidFill>
                      </w14:textFill>
                    </w:rPr>
                    <w:t>污染物排放监控位置</w:t>
                  </w:r>
                </w:p>
              </w:tc>
              <w:tc>
                <w:tcPr>
                  <w:tcW w:w="1468" w:type="pct"/>
                  <w:tcBorders>
                    <w:tl2br w:val="nil"/>
                    <w:tr2bl w:val="nil"/>
                  </w:tcBorders>
                  <w:noWrap w:val="0"/>
                  <w:vAlign w:val="center"/>
                </w:tcPr>
                <w:p w14:paraId="201D2D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b/>
                      <w:bCs w:val="0"/>
                      <w:color w:val="000000" w:themeColor="text1"/>
                      <w:sz w:val="21"/>
                      <w:szCs w:val="21"/>
                      <w:highlight w:val="none"/>
                      <w:lang w:val="en-US" w:eastAsia="zh-CN"/>
                      <w14:textFill>
                        <w14:solidFill>
                          <w14:schemeClr w14:val="tx1"/>
                        </w14:solidFill>
                      </w14:textFill>
                    </w:rPr>
                  </w:pPr>
                  <w:r>
                    <w:rPr>
                      <w:rFonts w:hint="eastAsia" w:cs="Times New Roman"/>
                      <w:b/>
                      <w:bCs w:val="0"/>
                      <w:color w:val="000000" w:themeColor="text1"/>
                      <w:sz w:val="21"/>
                      <w:szCs w:val="21"/>
                      <w:highlight w:val="none"/>
                      <w:lang w:val="en-US" w:eastAsia="zh-CN"/>
                      <w14:textFill>
                        <w14:solidFill>
                          <w14:schemeClr w14:val="tx1"/>
                        </w14:solidFill>
                      </w14:textFill>
                    </w:rPr>
                    <w:t>执行标准</w:t>
                  </w:r>
                </w:p>
              </w:tc>
            </w:tr>
            <w:tr w14:paraId="2936722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800" w:type="pct"/>
                  <w:tcBorders>
                    <w:tl2br w:val="nil"/>
                    <w:tr2bl w:val="nil"/>
                  </w:tcBorders>
                  <w:noWrap w:val="0"/>
                  <w:vAlign w:val="center"/>
                </w:tcPr>
                <w:p w14:paraId="7BD249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color w:val="000000" w:themeColor="text1"/>
                      <w:sz w:val="21"/>
                      <w:szCs w:val="21"/>
                      <w:highlight w:val="none"/>
                      <w14:textFill>
                        <w14:solidFill>
                          <w14:schemeClr w14:val="tx1"/>
                        </w14:solidFill>
                      </w14:textFill>
                    </w:rPr>
                    <w:t>颗粒物</w:t>
                  </w:r>
                </w:p>
              </w:tc>
              <w:tc>
                <w:tcPr>
                  <w:tcW w:w="1295" w:type="pct"/>
                  <w:tcBorders>
                    <w:tl2br w:val="nil"/>
                    <w:tr2bl w:val="nil"/>
                  </w:tcBorders>
                  <w:noWrap w:val="0"/>
                  <w:vAlign w:val="center"/>
                </w:tcPr>
                <w:p w14:paraId="06A50B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30</w:t>
                  </w:r>
                </w:p>
              </w:tc>
              <w:tc>
                <w:tcPr>
                  <w:tcW w:w="576" w:type="pct"/>
                  <w:vMerge w:val="restart"/>
                  <w:tcBorders>
                    <w:tl2br w:val="nil"/>
                    <w:tr2bl w:val="nil"/>
                  </w:tcBorders>
                  <w:noWrap w:val="0"/>
                  <w:vAlign w:val="center"/>
                </w:tcPr>
                <w:p w14:paraId="6517D7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b w:val="0"/>
                      <w:bCs/>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15m</w:t>
                  </w:r>
                </w:p>
              </w:tc>
              <w:tc>
                <w:tcPr>
                  <w:tcW w:w="859" w:type="pct"/>
                  <w:vMerge w:val="restart"/>
                  <w:tcBorders>
                    <w:tl2br w:val="nil"/>
                    <w:tr2bl w:val="nil"/>
                  </w:tcBorders>
                  <w:noWrap w:val="0"/>
                  <w:vAlign w:val="center"/>
                </w:tcPr>
                <w:p w14:paraId="2D8EB4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车间或生产设施排气筒</w:t>
                  </w:r>
                </w:p>
              </w:tc>
              <w:tc>
                <w:tcPr>
                  <w:tcW w:w="1468" w:type="pct"/>
                  <w:tcBorders>
                    <w:tl2br w:val="nil"/>
                    <w:tr2bl w:val="nil"/>
                  </w:tcBorders>
                  <w:noWrap w:val="0"/>
                  <w:vAlign w:val="center"/>
                </w:tcPr>
                <w:p w14:paraId="0ED3B5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 w:val="0"/>
                      <w:bCs/>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《制药工业大气污染物排放标准》（GB37823-2019）表1</w:t>
                  </w:r>
                </w:p>
              </w:tc>
            </w:tr>
            <w:tr w14:paraId="1ED9F81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800" w:type="pct"/>
                  <w:tcBorders>
                    <w:tl2br w:val="nil"/>
                    <w:tr2bl w:val="nil"/>
                  </w:tcBorders>
                  <w:noWrap w:val="0"/>
                  <w:vAlign w:val="center"/>
                </w:tcPr>
                <w:p w14:paraId="046A8D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臭气浓度</w:t>
                  </w:r>
                </w:p>
              </w:tc>
              <w:tc>
                <w:tcPr>
                  <w:tcW w:w="1295" w:type="pct"/>
                  <w:tcBorders>
                    <w:tl2br w:val="nil"/>
                    <w:tr2bl w:val="nil"/>
                  </w:tcBorders>
                  <w:noWrap w:val="0"/>
                  <w:vAlign w:val="center"/>
                </w:tcPr>
                <w:p w14:paraId="55D4FF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b w:val="0"/>
                      <w:bCs/>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2000</w:t>
                  </w:r>
                  <w:r>
                    <w:rPr>
                      <w:rFonts w:hint="eastAsia" w:cs="Times New Roman"/>
                      <w:color w:val="000000" w:themeColor="text1"/>
                      <w:kern w:val="0"/>
                      <w:sz w:val="21"/>
                      <w:szCs w:val="21"/>
                      <w:highlight w:val="none"/>
                      <w:lang w:val="en-US" w:eastAsia="zh-CN" w:bidi="ar-SA"/>
                      <w14:textFill>
                        <w14:solidFill>
                          <w14:schemeClr w14:val="tx1"/>
                        </w14:solidFill>
                      </w14:textFill>
                    </w:rPr>
                    <w:t>（无量纲）</w:t>
                  </w:r>
                </w:p>
              </w:tc>
              <w:tc>
                <w:tcPr>
                  <w:tcW w:w="576" w:type="pct"/>
                  <w:vMerge w:val="continue"/>
                  <w:tcBorders>
                    <w:tl2br w:val="nil"/>
                    <w:tr2bl w:val="nil"/>
                  </w:tcBorders>
                  <w:noWrap w:val="0"/>
                  <w:vAlign w:val="center"/>
                </w:tcPr>
                <w:p w14:paraId="6BDF3C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 w:val="0"/>
                      <w:bCs/>
                      <w:color w:val="000000" w:themeColor="text1"/>
                      <w:sz w:val="21"/>
                      <w:szCs w:val="21"/>
                      <w:highlight w:val="none"/>
                      <w:lang w:val="en-US" w:eastAsia="zh-CN"/>
                      <w14:textFill>
                        <w14:solidFill>
                          <w14:schemeClr w14:val="tx1"/>
                        </w14:solidFill>
                      </w14:textFill>
                    </w:rPr>
                  </w:pPr>
                </w:p>
              </w:tc>
              <w:tc>
                <w:tcPr>
                  <w:tcW w:w="859" w:type="pct"/>
                  <w:vMerge w:val="continue"/>
                  <w:tcBorders>
                    <w:tl2br w:val="nil"/>
                    <w:tr2bl w:val="nil"/>
                  </w:tcBorders>
                  <w:noWrap w:val="0"/>
                  <w:vAlign w:val="center"/>
                </w:tcPr>
                <w:p w14:paraId="0587DD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 w:val="0"/>
                      <w:bCs/>
                      <w:color w:val="000000" w:themeColor="text1"/>
                      <w:sz w:val="21"/>
                      <w:szCs w:val="21"/>
                      <w:highlight w:val="none"/>
                      <w:lang w:val="en-US" w:eastAsia="zh-CN"/>
                      <w14:textFill>
                        <w14:solidFill>
                          <w14:schemeClr w14:val="tx1"/>
                        </w14:solidFill>
                      </w14:textFill>
                    </w:rPr>
                  </w:pPr>
                </w:p>
              </w:tc>
              <w:tc>
                <w:tcPr>
                  <w:tcW w:w="1468" w:type="pct"/>
                  <w:tcBorders>
                    <w:tl2br w:val="nil"/>
                    <w:tr2bl w:val="nil"/>
                  </w:tcBorders>
                  <w:noWrap w:val="0"/>
                  <w:vAlign w:val="center"/>
                </w:tcPr>
                <w:p w14:paraId="7B5FB9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《恶臭污染物排放标准》（GB14554-93）</w:t>
                  </w: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表2</w:t>
                  </w:r>
                </w:p>
              </w:tc>
            </w:tr>
          </w:tbl>
          <w:p w14:paraId="2E4286A2">
            <w:pPr>
              <w:keepNext w:val="0"/>
              <w:keepLines w:val="0"/>
              <w:pageBreakBefore w:val="0"/>
              <w:widowControl/>
              <w:suppressLineNumbers w:val="0"/>
              <w:kinsoku/>
              <w:wordWrap w:val="0"/>
              <w:overflowPunct/>
              <w:topLinePunct w:val="0"/>
              <w:autoSpaceDE/>
              <w:autoSpaceDN/>
              <w:bidi w:val="0"/>
              <w:adjustRightInd w:val="0"/>
              <w:snapToGrid w:val="0"/>
              <w:spacing w:before="72" w:beforeLines="30" w:beforeAutospacing="0" w:after="72" w:afterLines="30" w:afterAutospacing="0" w:line="360" w:lineRule="auto"/>
              <w:ind w:left="0" w:right="0" w:firstLine="480" w:firstLineChars="200"/>
              <w:jc w:val="left"/>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本项目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厂区内非甲烷总烃无组织排放执行</w:t>
            </w:r>
            <w:r>
              <w:rPr>
                <w:rFonts w:hint="eastAsia" w:cs="Times New Roman"/>
                <w:color w:val="000000" w:themeColor="text1"/>
                <w:sz w:val="24"/>
                <w:szCs w:val="24"/>
                <w:highlight w:val="none"/>
                <w:lang w:val="en-US" w:eastAsia="zh-CN"/>
                <w14:textFill>
                  <w14:solidFill>
                    <w14:schemeClr w14:val="tx1"/>
                  </w14:solidFill>
                </w14:textFill>
              </w:rPr>
              <w:t>《制药工业大气污染物排放标准》（GB37823-2019）表C.1规定的无组织</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排放限值</w:t>
            </w:r>
            <w:r>
              <w:rPr>
                <w:rFonts w:hint="eastAsia" w:ascii="Times New Roman" w:hAnsi="Times New Roman" w:cs="Times New Roman"/>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厂界处氨、硫化氢</w:t>
            </w:r>
            <w:r>
              <w:rPr>
                <w:rFonts w:hint="eastAsia" w:cs="Times New Roman"/>
                <w:color w:val="000000" w:themeColor="text1"/>
                <w:kern w:val="0"/>
                <w:sz w:val="24"/>
                <w:szCs w:val="24"/>
                <w:highlight w:val="none"/>
                <w:lang w:val="en-US" w:eastAsia="zh-CN" w:bidi="ar-SA"/>
                <w14:textFill>
                  <w14:solidFill>
                    <w14:schemeClr w14:val="tx1"/>
                  </w14:solidFill>
                </w14:textFill>
              </w:rPr>
              <w:t>、臭气浓度</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无组织排放执行</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《恶臭污染物排放标准》（GB14554-93）表1</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中二级新扩改建标准值</w:t>
            </w:r>
            <w:r>
              <w:rPr>
                <w:rFonts w:hint="eastAsia" w:cs="Times New Roman"/>
                <w:color w:val="000000" w:themeColor="text1"/>
                <w:kern w:val="0"/>
                <w:sz w:val="24"/>
                <w:szCs w:val="24"/>
                <w:highlight w:val="none"/>
                <w:lang w:val="en-US" w:eastAsia="zh-CN" w:bidi="ar-SA"/>
                <w14:textFill>
                  <w14:solidFill>
                    <w14:schemeClr w14:val="tx1"/>
                  </w14:solidFill>
                </w14:textFill>
              </w:rPr>
              <w:t>；厂界处颗粒物、</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非甲烷总烃无组织排放执行</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《大气污染物综合排放标准》（GB16297-1996）</w:t>
            </w:r>
            <w:r>
              <w:rPr>
                <w:rFonts w:hint="eastAsia" w:cs="Times New Roman"/>
                <w:color w:val="000000" w:themeColor="text1"/>
                <w:kern w:val="0"/>
                <w:sz w:val="24"/>
                <w:szCs w:val="24"/>
                <w:highlight w:val="none"/>
                <w:lang w:val="en-US" w:eastAsia="zh-CN" w:bidi="ar"/>
                <w14:textFill>
                  <w14:solidFill>
                    <w14:schemeClr w14:val="tx1"/>
                  </w14:solidFill>
                </w14:textFill>
              </w:rPr>
              <w:t>表2中无组织排放监测浓度限值</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详见下表。</w:t>
            </w:r>
          </w:p>
          <w:p w14:paraId="00DA3043">
            <w:pPr>
              <w:keepNext w:val="0"/>
              <w:keepLines w:val="0"/>
              <w:pageBreakBefore w:val="0"/>
              <w:widowControl w:val="0"/>
              <w:numPr>
                <w:ilvl w:val="0"/>
                <w:numId w:val="24"/>
              </w:numPr>
              <w:suppressLineNumbers w:val="0"/>
              <w:kinsoku/>
              <w:wordWrap/>
              <w:overflowPunct/>
              <w:topLinePunct w:val="0"/>
              <w:autoSpaceDE/>
              <w:autoSpaceDN/>
              <w:bidi w:val="0"/>
              <w:adjustRightInd/>
              <w:snapToGrid w:val="0"/>
              <w:spacing w:before="157" w:beforeLines="5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厂区内及厂界污染物无组织排放限值</w:t>
            </w:r>
          </w:p>
          <w:tbl>
            <w:tblPr>
              <w:tblStyle w:val="76"/>
              <w:tblW w:w="4998" w:type="pct"/>
              <w:tblInd w:w="0" w:type="dxa"/>
              <w:tblBorders>
                <w:top w:val="double" w:color="000000" w:sz="4" w:space="0"/>
                <w:left w:val="none" w:color="auto" w:sz="0" w:space="0"/>
                <w:bottom w:val="double" w:color="000000" w:sz="4" w:space="0"/>
                <w:right w:val="none" w:color="auto" w:sz="0" w:space="0"/>
                <w:insideH w:val="single" w:color="000000" w:sz="2" w:space="0"/>
                <w:insideV w:val="single" w:color="000000" w:sz="2" w:space="0"/>
              </w:tblBorders>
              <w:tblLayout w:type="fixed"/>
              <w:tblCellMar>
                <w:top w:w="0" w:type="dxa"/>
                <w:left w:w="0" w:type="dxa"/>
                <w:bottom w:w="0" w:type="dxa"/>
                <w:right w:w="0" w:type="dxa"/>
              </w:tblCellMar>
            </w:tblPr>
            <w:tblGrid>
              <w:gridCol w:w="1129"/>
              <w:gridCol w:w="1442"/>
              <w:gridCol w:w="1914"/>
              <w:gridCol w:w="1914"/>
              <w:gridCol w:w="1915"/>
            </w:tblGrid>
            <w:tr w14:paraId="6D9DC7CB">
              <w:tblPrEx>
                <w:tblBorders>
                  <w:top w:val="double" w:color="000000" w:sz="4" w:space="0"/>
                  <w:left w:val="none" w:color="auto" w:sz="0" w:space="0"/>
                  <w:bottom w:val="double" w:color="000000" w:sz="4"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1148" w:type="dxa"/>
                  <w:tcBorders>
                    <w:tl2br w:val="nil"/>
                    <w:tr2bl w:val="nil"/>
                  </w:tcBorders>
                  <w:vAlign w:val="center"/>
                </w:tcPr>
                <w:p w14:paraId="7D1CE910">
                  <w:pPr>
                    <w:autoSpaceDE/>
                    <w:autoSpaceDN/>
                    <w:adjustRightInd w:val="0"/>
                    <w:snapToGrid w:val="0"/>
                    <w:jc w:val="center"/>
                    <w:rPr>
                      <w:rFonts w:hint="default" w:ascii="Times New Roman" w:hAnsi="Times New Roman" w:cs="Times New Roman"/>
                      <w:b/>
                      <w:bCs/>
                      <w:snapToGrid w:val="0"/>
                      <w:color w:val="000000" w:themeColor="text1"/>
                      <w:sz w:val="21"/>
                      <w:szCs w:val="21"/>
                      <w:highlight w:val="none"/>
                      <w14:textFill>
                        <w14:solidFill>
                          <w14:schemeClr w14:val="tx1"/>
                        </w14:solidFill>
                      </w14:textFill>
                    </w:rPr>
                  </w:pPr>
                  <w:r>
                    <w:rPr>
                      <w:rFonts w:hint="default" w:ascii="Times New Roman" w:hAnsi="Times New Roman" w:cs="Times New Roman"/>
                      <w:b/>
                      <w:bCs/>
                      <w:snapToGrid w:val="0"/>
                      <w:color w:val="000000" w:themeColor="text1"/>
                      <w:sz w:val="21"/>
                      <w:szCs w:val="21"/>
                      <w:highlight w:val="none"/>
                      <w14:textFill>
                        <w14:solidFill>
                          <w14:schemeClr w14:val="tx1"/>
                        </w14:solidFill>
                      </w14:textFill>
                    </w:rPr>
                    <w:t>污染物项目</w:t>
                  </w:r>
                </w:p>
              </w:tc>
              <w:tc>
                <w:tcPr>
                  <w:tcW w:w="1467" w:type="dxa"/>
                  <w:tcBorders>
                    <w:tl2br w:val="nil"/>
                    <w:tr2bl w:val="nil"/>
                  </w:tcBorders>
                  <w:vAlign w:val="center"/>
                </w:tcPr>
                <w:p w14:paraId="4CF86E79">
                  <w:pPr>
                    <w:autoSpaceDE/>
                    <w:autoSpaceDN/>
                    <w:adjustRightInd w:val="0"/>
                    <w:snapToGrid w:val="0"/>
                    <w:jc w:val="center"/>
                    <w:rPr>
                      <w:rFonts w:hint="eastAsia" w:ascii="Times New Roman" w:hAnsi="Times New Roman" w:eastAsia="宋体" w:cs="Times New Roman"/>
                      <w:b/>
                      <w:bCs/>
                      <w:snapToGrid w:val="0"/>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snapToGrid w:val="0"/>
                      <w:color w:val="000000" w:themeColor="text1"/>
                      <w:sz w:val="21"/>
                      <w:szCs w:val="21"/>
                      <w:highlight w:val="none"/>
                      <w14:textFill>
                        <w14:solidFill>
                          <w14:schemeClr w14:val="tx1"/>
                        </w14:solidFill>
                      </w14:textFill>
                    </w:rPr>
                    <w:t>排放限值</w:t>
                  </w:r>
                  <w:r>
                    <w:rPr>
                      <w:rFonts w:hint="eastAsia" w:ascii="Times New Roman" w:hAnsi="Times New Roman" w:cs="Times New Roman"/>
                      <w:b/>
                      <w:bCs/>
                      <w:snapToGrid w:val="0"/>
                      <w:color w:val="000000" w:themeColor="text1"/>
                      <w:sz w:val="21"/>
                      <w:szCs w:val="21"/>
                      <w:highlight w:val="none"/>
                      <w:lang w:eastAsia="zh-CN"/>
                      <w14:textFill>
                        <w14:solidFill>
                          <w14:schemeClr w14:val="tx1"/>
                        </w14:solidFill>
                      </w14:textFill>
                    </w:rPr>
                    <w:t>（</w:t>
                  </w:r>
                  <w:r>
                    <w:rPr>
                      <w:rFonts w:hint="default" w:ascii="Times New Roman" w:hAnsi="Times New Roman" w:cs="Times New Roman"/>
                      <w:b/>
                      <w:bCs/>
                      <w:snapToGrid w:val="0"/>
                      <w:color w:val="000000" w:themeColor="text1"/>
                      <w:sz w:val="21"/>
                      <w:szCs w:val="21"/>
                      <w:highlight w:val="none"/>
                      <w14:textFill>
                        <w14:solidFill>
                          <w14:schemeClr w14:val="tx1"/>
                        </w14:solidFill>
                      </w14:textFill>
                    </w:rPr>
                    <w:t>mg/m</w:t>
                  </w:r>
                  <w:r>
                    <w:rPr>
                      <w:rFonts w:hint="default" w:ascii="Times New Roman" w:hAnsi="Times New Roman" w:cs="Times New Roman"/>
                      <w:b/>
                      <w:bCs/>
                      <w:snapToGrid w:val="0"/>
                      <w:color w:val="000000" w:themeColor="text1"/>
                      <w:sz w:val="21"/>
                      <w:szCs w:val="21"/>
                      <w:highlight w:val="none"/>
                      <w:vertAlign w:val="superscript"/>
                      <w14:textFill>
                        <w14:solidFill>
                          <w14:schemeClr w14:val="tx1"/>
                        </w14:solidFill>
                      </w14:textFill>
                    </w:rPr>
                    <w:t>3</w:t>
                  </w:r>
                  <w:r>
                    <w:rPr>
                      <w:rFonts w:hint="eastAsia" w:ascii="Times New Roman" w:hAnsi="Times New Roman" w:cs="Times New Roman"/>
                      <w:b/>
                      <w:bCs/>
                      <w:snapToGrid w:val="0"/>
                      <w:color w:val="000000" w:themeColor="text1"/>
                      <w:sz w:val="21"/>
                      <w:szCs w:val="21"/>
                      <w:highlight w:val="none"/>
                      <w:lang w:eastAsia="zh-CN"/>
                      <w14:textFill>
                        <w14:solidFill>
                          <w14:schemeClr w14:val="tx1"/>
                        </w14:solidFill>
                      </w14:textFill>
                    </w:rPr>
                    <w:t>）</w:t>
                  </w:r>
                </w:p>
              </w:tc>
              <w:tc>
                <w:tcPr>
                  <w:tcW w:w="1947" w:type="dxa"/>
                  <w:tcBorders>
                    <w:tl2br w:val="nil"/>
                    <w:tr2bl w:val="nil"/>
                  </w:tcBorders>
                  <w:vAlign w:val="center"/>
                </w:tcPr>
                <w:p w14:paraId="6CF2C2D7">
                  <w:pPr>
                    <w:autoSpaceDE/>
                    <w:autoSpaceDN/>
                    <w:adjustRightInd w:val="0"/>
                    <w:snapToGrid w:val="0"/>
                    <w:jc w:val="center"/>
                    <w:rPr>
                      <w:rFonts w:hint="default" w:ascii="Times New Roman" w:hAnsi="Times New Roman" w:cs="Times New Roman"/>
                      <w:b/>
                      <w:bCs/>
                      <w:snapToGrid w:val="0"/>
                      <w:color w:val="000000" w:themeColor="text1"/>
                      <w:sz w:val="21"/>
                      <w:szCs w:val="21"/>
                      <w:highlight w:val="none"/>
                      <w14:textFill>
                        <w14:solidFill>
                          <w14:schemeClr w14:val="tx1"/>
                        </w14:solidFill>
                      </w14:textFill>
                    </w:rPr>
                  </w:pPr>
                  <w:r>
                    <w:rPr>
                      <w:rFonts w:hint="default" w:ascii="Times New Roman" w:hAnsi="Times New Roman" w:cs="Times New Roman"/>
                      <w:b/>
                      <w:bCs/>
                      <w:snapToGrid w:val="0"/>
                      <w:color w:val="000000" w:themeColor="text1"/>
                      <w:sz w:val="21"/>
                      <w:szCs w:val="21"/>
                      <w:highlight w:val="none"/>
                      <w14:textFill>
                        <w14:solidFill>
                          <w14:schemeClr w14:val="tx1"/>
                        </w14:solidFill>
                      </w14:textFill>
                    </w:rPr>
                    <w:t>限值含义</w:t>
                  </w:r>
                </w:p>
              </w:tc>
              <w:tc>
                <w:tcPr>
                  <w:tcW w:w="1947" w:type="dxa"/>
                  <w:tcBorders>
                    <w:tl2br w:val="nil"/>
                    <w:tr2bl w:val="nil"/>
                  </w:tcBorders>
                  <w:vAlign w:val="center"/>
                </w:tcPr>
                <w:p w14:paraId="406825FC">
                  <w:pPr>
                    <w:autoSpaceDE/>
                    <w:autoSpaceDN/>
                    <w:adjustRightInd w:val="0"/>
                    <w:snapToGrid w:val="0"/>
                    <w:jc w:val="center"/>
                    <w:rPr>
                      <w:rFonts w:hint="default" w:ascii="Times New Roman" w:hAnsi="Times New Roman" w:cs="Times New Roman"/>
                      <w:b/>
                      <w:bCs/>
                      <w:snapToGrid w:val="0"/>
                      <w:color w:val="000000" w:themeColor="text1"/>
                      <w:sz w:val="21"/>
                      <w:szCs w:val="21"/>
                      <w:highlight w:val="none"/>
                      <w14:textFill>
                        <w14:solidFill>
                          <w14:schemeClr w14:val="tx1"/>
                        </w14:solidFill>
                      </w14:textFill>
                    </w:rPr>
                  </w:pPr>
                  <w:r>
                    <w:rPr>
                      <w:rFonts w:hint="default" w:ascii="Times New Roman" w:hAnsi="Times New Roman" w:cs="Times New Roman"/>
                      <w:b/>
                      <w:bCs/>
                      <w:snapToGrid w:val="0"/>
                      <w:color w:val="000000" w:themeColor="text1"/>
                      <w:sz w:val="21"/>
                      <w:szCs w:val="21"/>
                      <w:highlight w:val="none"/>
                      <w14:textFill>
                        <w14:solidFill>
                          <w14:schemeClr w14:val="tx1"/>
                        </w14:solidFill>
                      </w14:textFill>
                    </w:rPr>
                    <w:t>无组织排放监控位置</w:t>
                  </w:r>
                </w:p>
              </w:tc>
              <w:tc>
                <w:tcPr>
                  <w:tcW w:w="1947" w:type="dxa"/>
                  <w:tcBorders>
                    <w:tl2br w:val="nil"/>
                    <w:tr2bl w:val="nil"/>
                  </w:tcBorders>
                  <w:vAlign w:val="center"/>
                </w:tcPr>
                <w:p w14:paraId="6C9BD2AE">
                  <w:pPr>
                    <w:autoSpaceDE/>
                    <w:autoSpaceDN/>
                    <w:adjustRightInd w:val="0"/>
                    <w:snapToGrid w:val="0"/>
                    <w:jc w:val="center"/>
                    <w:rPr>
                      <w:rFonts w:hint="default" w:ascii="Times New Roman" w:hAnsi="Times New Roman" w:eastAsia="宋体" w:cs="Times New Roman"/>
                      <w:b/>
                      <w:bCs/>
                      <w:snapToGrid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bCs/>
                      <w:snapToGrid w:val="0"/>
                      <w:color w:val="000000" w:themeColor="text1"/>
                      <w:sz w:val="21"/>
                      <w:szCs w:val="21"/>
                      <w:highlight w:val="none"/>
                      <w:lang w:val="en-US" w:eastAsia="zh-CN"/>
                      <w14:textFill>
                        <w14:solidFill>
                          <w14:schemeClr w14:val="tx1"/>
                        </w14:solidFill>
                      </w14:textFill>
                    </w:rPr>
                    <w:t>执行标准</w:t>
                  </w:r>
                </w:p>
              </w:tc>
            </w:tr>
            <w:tr w14:paraId="597EF313">
              <w:tblPrEx>
                <w:tblBorders>
                  <w:top w:val="double" w:color="000000" w:sz="4" w:space="0"/>
                  <w:left w:val="none" w:color="auto" w:sz="0" w:space="0"/>
                  <w:bottom w:val="double" w:color="000000" w:sz="4"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1148" w:type="dxa"/>
                  <w:vMerge w:val="restart"/>
                  <w:tcBorders>
                    <w:tl2br w:val="nil"/>
                    <w:tr2bl w:val="nil"/>
                  </w:tcBorders>
                  <w:vAlign w:val="center"/>
                </w:tcPr>
                <w:p w14:paraId="1236C136">
                  <w:pPr>
                    <w:autoSpaceDE/>
                    <w:autoSpaceDN/>
                    <w:adjustRightInd w:val="0"/>
                    <w:snapToGrid w:val="0"/>
                    <w:jc w:val="center"/>
                    <w:rPr>
                      <w:rFonts w:hint="default" w:ascii="Times New Roman" w:hAnsi="Times New Roman" w:cs="Times New Roman"/>
                      <w:snapToGrid w:val="0"/>
                      <w:color w:val="000000" w:themeColor="text1"/>
                      <w:sz w:val="21"/>
                      <w:szCs w:val="21"/>
                      <w:highlight w:val="none"/>
                      <w14:textFill>
                        <w14:solidFill>
                          <w14:schemeClr w14:val="tx1"/>
                        </w14:solidFill>
                      </w14:textFill>
                    </w:rPr>
                  </w:pPr>
                  <w:r>
                    <w:rPr>
                      <w:rFonts w:hint="default" w:ascii="Times New Roman" w:hAnsi="Times New Roman" w:cs="Times New Roman"/>
                      <w:snapToGrid w:val="0"/>
                      <w:color w:val="000000" w:themeColor="text1"/>
                      <w:sz w:val="21"/>
                      <w:szCs w:val="21"/>
                      <w:highlight w:val="none"/>
                      <w14:textFill>
                        <w14:solidFill>
                          <w14:schemeClr w14:val="tx1"/>
                        </w14:solidFill>
                      </w14:textFill>
                    </w:rPr>
                    <w:t>非甲烷总烃</w:t>
                  </w:r>
                </w:p>
              </w:tc>
              <w:tc>
                <w:tcPr>
                  <w:tcW w:w="1467" w:type="dxa"/>
                  <w:tcBorders>
                    <w:tl2br w:val="nil"/>
                    <w:tr2bl w:val="nil"/>
                  </w:tcBorders>
                  <w:vAlign w:val="center"/>
                </w:tcPr>
                <w:p w14:paraId="6277EE60">
                  <w:pPr>
                    <w:autoSpaceDE/>
                    <w:autoSpaceDN/>
                    <w:adjustRightInd w:val="0"/>
                    <w:snapToGrid w:val="0"/>
                    <w:jc w:val="center"/>
                    <w:rPr>
                      <w:rFonts w:hint="default" w:ascii="Times New Roman" w:hAnsi="Times New Roman" w:cs="Times New Roman"/>
                      <w:snapToGrid w:val="0"/>
                      <w:color w:val="000000" w:themeColor="text1"/>
                      <w:sz w:val="21"/>
                      <w:szCs w:val="21"/>
                      <w:highlight w:val="none"/>
                      <w:lang w:val="en-US"/>
                      <w14:textFill>
                        <w14:solidFill>
                          <w14:schemeClr w14:val="tx1"/>
                        </w14:solidFill>
                      </w14:textFill>
                    </w:rPr>
                  </w:pPr>
                  <w:r>
                    <w:rPr>
                      <w:rFonts w:hint="eastAsia" w:cs="Times New Roman"/>
                      <w:snapToGrid w:val="0"/>
                      <w:color w:val="000000" w:themeColor="text1"/>
                      <w:sz w:val="21"/>
                      <w:szCs w:val="21"/>
                      <w:highlight w:val="none"/>
                      <w:lang w:val="en-US" w:eastAsia="zh-CN"/>
                      <w14:textFill>
                        <w14:solidFill>
                          <w14:schemeClr w14:val="tx1"/>
                        </w14:solidFill>
                      </w14:textFill>
                    </w:rPr>
                    <w:t>10</w:t>
                  </w:r>
                </w:p>
              </w:tc>
              <w:tc>
                <w:tcPr>
                  <w:tcW w:w="1947" w:type="dxa"/>
                  <w:tcBorders>
                    <w:tl2br w:val="nil"/>
                    <w:tr2bl w:val="nil"/>
                  </w:tcBorders>
                  <w:vAlign w:val="center"/>
                </w:tcPr>
                <w:p w14:paraId="179DC824">
                  <w:pPr>
                    <w:autoSpaceDE/>
                    <w:autoSpaceDN/>
                    <w:adjustRightInd w:val="0"/>
                    <w:snapToGrid w:val="0"/>
                    <w:jc w:val="center"/>
                    <w:rPr>
                      <w:rFonts w:hint="default" w:ascii="Times New Roman" w:hAnsi="Times New Roman" w:cs="Times New Roman"/>
                      <w:snapToGrid w:val="0"/>
                      <w:color w:val="000000" w:themeColor="text1"/>
                      <w:sz w:val="21"/>
                      <w:szCs w:val="21"/>
                      <w:highlight w:val="none"/>
                      <w14:textFill>
                        <w14:solidFill>
                          <w14:schemeClr w14:val="tx1"/>
                        </w14:solidFill>
                      </w14:textFill>
                    </w:rPr>
                  </w:pPr>
                  <w:r>
                    <w:rPr>
                      <w:rFonts w:hint="default" w:ascii="Times New Roman" w:hAnsi="Times New Roman" w:cs="Times New Roman"/>
                      <w:snapToGrid w:val="0"/>
                      <w:color w:val="000000" w:themeColor="text1"/>
                      <w:sz w:val="21"/>
                      <w:szCs w:val="21"/>
                      <w:highlight w:val="none"/>
                      <w14:textFill>
                        <w14:solidFill>
                          <w14:schemeClr w14:val="tx1"/>
                        </w14:solidFill>
                      </w14:textFill>
                    </w:rPr>
                    <w:t>监控点处1h平均浓度值</w:t>
                  </w:r>
                </w:p>
              </w:tc>
              <w:tc>
                <w:tcPr>
                  <w:tcW w:w="1947" w:type="dxa"/>
                  <w:vMerge w:val="restart"/>
                  <w:tcBorders>
                    <w:tl2br w:val="nil"/>
                    <w:tr2bl w:val="nil"/>
                  </w:tcBorders>
                  <w:vAlign w:val="center"/>
                </w:tcPr>
                <w:p w14:paraId="23CC48D2">
                  <w:pPr>
                    <w:autoSpaceDE/>
                    <w:autoSpaceDN/>
                    <w:adjustRightInd w:val="0"/>
                    <w:snapToGrid w:val="0"/>
                    <w:jc w:val="center"/>
                    <w:rPr>
                      <w:rFonts w:hint="default" w:ascii="Times New Roman" w:hAnsi="Times New Roman" w:cs="Times New Roman"/>
                      <w:snapToGrid w:val="0"/>
                      <w:color w:val="000000" w:themeColor="text1"/>
                      <w:sz w:val="21"/>
                      <w:szCs w:val="21"/>
                      <w:highlight w:val="none"/>
                      <w14:textFill>
                        <w14:solidFill>
                          <w14:schemeClr w14:val="tx1"/>
                        </w14:solidFill>
                      </w14:textFill>
                    </w:rPr>
                  </w:pPr>
                  <w:r>
                    <w:rPr>
                      <w:rFonts w:hint="default" w:ascii="Times New Roman" w:hAnsi="Times New Roman" w:cs="Times New Roman"/>
                      <w:snapToGrid w:val="0"/>
                      <w:color w:val="000000" w:themeColor="text1"/>
                      <w:sz w:val="21"/>
                      <w:szCs w:val="21"/>
                      <w:highlight w:val="none"/>
                      <w14:textFill>
                        <w14:solidFill>
                          <w14:schemeClr w14:val="tx1"/>
                        </w14:solidFill>
                      </w14:textFill>
                    </w:rPr>
                    <w:t>在厂房外设置监控点</w:t>
                  </w:r>
                </w:p>
              </w:tc>
              <w:tc>
                <w:tcPr>
                  <w:tcW w:w="1947" w:type="dxa"/>
                  <w:vMerge w:val="restart"/>
                  <w:tcBorders>
                    <w:tl2br w:val="nil"/>
                    <w:tr2bl w:val="nil"/>
                  </w:tcBorders>
                  <w:vAlign w:val="center"/>
                </w:tcPr>
                <w:p w14:paraId="7D376C24">
                  <w:pPr>
                    <w:autoSpaceDE/>
                    <w:autoSpaceDN/>
                    <w:adjustRightInd w:val="0"/>
                    <w:snapToGrid w:val="0"/>
                    <w:jc w:val="center"/>
                    <w:rPr>
                      <w:rFonts w:hint="default" w:ascii="Times New Roman" w:hAnsi="Times New Roman" w:cs="Times New Roman"/>
                      <w:snapToGrid w:val="0"/>
                      <w:color w:val="000000" w:themeColor="text1"/>
                      <w:sz w:val="21"/>
                      <w:szCs w:val="21"/>
                      <w:highlight w:val="none"/>
                      <w14:textFill>
                        <w14:solidFill>
                          <w14:schemeClr w14:val="tx1"/>
                        </w14:solidFill>
                      </w14:textFill>
                    </w:rPr>
                  </w:pPr>
                  <w:r>
                    <w:rPr>
                      <w:rFonts w:hint="default" w:ascii="Times New Roman" w:hAnsi="Times New Roman" w:cs="Times New Roman"/>
                      <w:snapToGrid w:val="0"/>
                      <w:color w:val="000000" w:themeColor="text1"/>
                      <w:sz w:val="21"/>
                      <w:szCs w:val="21"/>
                      <w:highlight w:val="none"/>
                      <w14:textFill>
                        <w14:solidFill>
                          <w14:schemeClr w14:val="tx1"/>
                        </w14:solidFill>
                      </w14:textFill>
                    </w:rPr>
                    <w:t>《制药工业大气污染物排放标准》（GB37823-2019）</w:t>
                  </w:r>
                </w:p>
              </w:tc>
            </w:tr>
            <w:tr w14:paraId="0B1FE868">
              <w:tblPrEx>
                <w:tblBorders>
                  <w:top w:val="double" w:color="000000" w:sz="4" w:space="0"/>
                  <w:left w:val="none" w:color="auto" w:sz="0" w:space="0"/>
                  <w:bottom w:val="double" w:color="000000" w:sz="4"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1148" w:type="dxa"/>
                  <w:vMerge w:val="continue"/>
                  <w:tcBorders>
                    <w:tl2br w:val="nil"/>
                    <w:tr2bl w:val="nil"/>
                  </w:tcBorders>
                  <w:vAlign w:val="center"/>
                </w:tcPr>
                <w:p w14:paraId="6AC652B2">
                  <w:pPr>
                    <w:autoSpaceDE/>
                    <w:autoSpaceDN/>
                    <w:adjustRightInd w:val="0"/>
                    <w:snapToGrid w:val="0"/>
                    <w:jc w:val="center"/>
                    <w:rPr>
                      <w:rFonts w:hint="default" w:ascii="Times New Roman" w:hAnsi="Times New Roman" w:cs="Times New Roman"/>
                      <w:snapToGrid w:val="0"/>
                      <w:color w:val="000000" w:themeColor="text1"/>
                      <w:sz w:val="21"/>
                      <w:szCs w:val="21"/>
                      <w:highlight w:val="none"/>
                      <w14:textFill>
                        <w14:solidFill>
                          <w14:schemeClr w14:val="tx1"/>
                        </w14:solidFill>
                      </w14:textFill>
                    </w:rPr>
                  </w:pPr>
                </w:p>
              </w:tc>
              <w:tc>
                <w:tcPr>
                  <w:tcW w:w="1467" w:type="dxa"/>
                  <w:tcBorders>
                    <w:tl2br w:val="nil"/>
                    <w:tr2bl w:val="nil"/>
                  </w:tcBorders>
                  <w:vAlign w:val="center"/>
                </w:tcPr>
                <w:p w14:paraId="7DA5EAD2">
                  <w:pPr>
                    <w:autoSpaceDE/>
                    <w:autoSpaceDN/>
                    <w:adjustRightInd w:val="0"/>
                    <w:snapToGrid w:val="0"/>
                    <w:jc w:val="center"/>
                    <w:rPr>
                      <w:rFonts w:hint="default" w:ascii="Times New Roman" w:hAnsi="Times New Roman" w:cs="Times New Roman"/>
                      <w:snapToGrid w:val="0"/>
                      <w:color w:val="000000" w:themeColor="text1"/>
                      <w:sz w:val="21"/>
                      <w:szCs w:val="21"/>
                      <w:highlight w:val="none"/>
                      <w:lang w:val="en-US"/>
                      <w14:textFill>
                        <w14:solidFill>
                          <w14:schemeClr w14:val="tx1"/>
                        </w14:solidFill>
                      </w14:textFill>
                    </w:rPr>
                  </w:pPr>
                  <w:r>
                    <w:rPr>
                      <w:rFonts w:hint="eastAsia" w:cs="Times New Roman"/>
                      <w:snapToGrid w:val="0"/>
                      <w:color w:val="000000" w:themeColor="text1"/>
                      <w:sz w:val="21"/>
                      <w:szCs w:val="21"/>
                      <w:highlight w:val="none"/>
                      <w:lang w:val="en-US" w:eastAsia="zh-CN"/>
                      <w14:textFill>
                        <w14:solidFill>
                          <w14:schemeClr w14:val="tx1"/>
                        </w14:solidFill>
                      </w14:textFill>
                    </w:rPr>
                    <w:t>30</w:t>
                  </w:r>
                </w:p>
              </w:tc>
              <w:tc>
                <w:tcPr>
                  <w:tcW w:w="1947" w:type="dxa"/>
                  <w:tcBorders>
                    <w:tl2br w:val="nil"/>
                    <w:tr2bl w:val="nil"/>
                  </w:tcBorders>
                  <w:vAlign w:val="center"/>
                </w:tcPr>
                <w:p w14:paraId="522B33DD">
                  <w:pPr>
                    <w:autoSpaceDE/>
                    <w:autoSpaceDN/>
                    <w:adjustRightInd w:val="0"/>
                    <w:snapToGrid w:val="0"/>
                    <w:jc w:val="center"/>
                    <w:rPr>
                      <w:rFonts w:hint="default" w:ascii="Times New Roman" w:hAnsi="Times New Roman" w:cs="Times New Roman"/>
                      <w:snapToGrid w:val="0"/>
                      <w:color w:val="000000" w:themeColor="text1"/>
                      <w:sz w:val="21"/>
                      <w:szCs w:val="21"/>
                      <w:highlight w:val="none"/>
                      <w14:textFill>
                        <w14:solidFill>
                          <w14:schemeClr w14:val="tx1"/>
                        </w14:solidFill>
                      </w14:textFill>
                    </w:rPr>
                  </w:pPr>
                  <w:r>
                    <w:rPr>
                      <w:rFonts w:hint="default" w:ascii="Times New Roman" w:hAnsi="Times New Roman" w:cs="Times New Roman"/>
                      <w:snapToGrid w:val="0"/>
                      <w:color w:val="000000" w:themeColor="text1"/>
                      <w:sz w:val="21"/>
                      <w:szCs w:val="21"/>
                      <w:highlight w:val="none"/>
                      <w14:textFill>
                        <w14:solidFill>
                          <w14:schemeClr w14:val="tx1"/>
                        </w14:solidFill>
                      </w14:textFill>
                    </w:rPr>
                    <w:t>监控点处任意一次浓度值</w:t>
                  </w:r>
                </w:p>
              </w:tc>
              <w:tc>
                <w:tcPr>
                  <w:tcW w:w="1947" w:type="dxa"/>
                  <w:vMerge w:val="continue"/>
                  <w:tcBorders>
                    <w:tl2br w:val="nil"/>
                    <w:tr2bl w:val="nil"/>
                  </w:tcBorders>
                  <w:vAlign w:val="center"/>
                </w:tcPr>
                <w:p w14:paraId="53773C2E">
                  <w:pPr>
                    <w:autoSpaceDE/>
                    <w:autoSpaceDN/>
                    <w:adjustRightInd w:val="0"/>
                    <w:snapToGrid w:val="0"/>
                    <w:jc w:val="center"/>
                    <w:rPr>
                      <w:rFonts w:hint="default" w:ascii="Times New Roman" w:hAnsi="Times New Roman" w:cs="Times New Roman"/>
                      <w:snapToGrid w:val="0"/>
                      <w:color w:val="000000" w:themeColor="text1"/>
                      <w:sz w:val="21"/>
                      <w:szCs w:val="21"/>
                      <w:highlight w:val="none"/>
                      <w14:textFill>
                        <w14:solidFill>
                          <w14:schemeClr w14:val="tx1"/>
                        </w14:solidFill>
                      </w14:textFill>
                    </w:rPr>
                  </w:pPr>
                </w:p>
              </w:tc>
              <w:tc>
                <w:tcPr>
                  <w:tcW w:w="1947" w:type="dxa"/>
                  <w:vMerge w:val="continue"/>
                  <w:tcBorders>
                    <w:tl2br w:val="nil"/>
                    <w:tr2bl w:val="nil"/>
                  </w:tcBorders>
                  <w:vAlign w:val="center"/>
                </w:tcPr>
                <w:p w14:paraId="37EC6A8C">
                  <w:pPr>
                    <w:autoSpaceDE/>
                    <w:autoSpaceDN/>
                    <w:adjustRightInd w:val="0"/>
                    <w:snapToGrid w:val="0"/>
                    <w:jc w:val="center"/>
                    <w:rPr>
                      <w:rFonts w:hint="default" w:ascii="Times New Roman" w:hAnsi="Times New Roman" w:cs="Times New Roman"/>
                      <w:snapToGrid w:val="0"/>
                      <w:color w:val="000000" w:themeColor="text1"/>
                      <w:sz w:val="21"/>
                      <w:szCs w:val="21"/>
                      <w:highlight w:val="none"/>
                      <w14:textFill>
                        <w14:solidFill>
                          <w14:schemeClr w14:val="tx1"/>
                        </w14:solidFill>
                      </w14:textFill>
                    </w:rPr>
                  </w:pPr>
                </w:p>
              </w:tc>
            </w:tr>
            <w:tr w14:paraId="2307D301">
              <w:tblPrEx>
                <w:tblBorders>
                  <w:top w:val="double" w:color="000000" w:sz="4" w:space="0"/>
                  <w:left w:val="none" w:color="auto" w:sz="0" w:space="0"/>
                  <w:bottom w:val="double" w:color="000000" w:sz="4"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1148" w:type="dxa"/>
                  <w:tcBorders>
                    <w:tl2br w:val="nil"/>
                    <w:tr2bl w:val="nil"/>
                  </w:tcBorders>
                  <w:vAlign w:val="center"/>
                </w:tcPr>
                <w:p w14:paraId="37331450">
                  <w:pPr>
                    <w:autoSpaceDE/>
                    <w:autoSpaceDN/>
                    <w:adjustRightInd w:val="0"/>
                    <w:snapToGrid w:val="0"/>
                    <w:jc w:val="center"/>
                    <w:rPr>
                      <w:rFonts w:hint="default" w:ascii="Times New Roman" w:hAnsi="Times New Roman" w:cs="Times New Roman"/>
                      <w:snapToGrid w:val="0"/>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氨</w:t>
                  </w:r>
                </w:p>
              </w:tc>
              <w:tc>
                <w:tcPr>
                  <w:tcW w:w="1467" w:type="dxa"/>
                  <w:tcBorders>
                    <w:tl2br w:val="nil"/>
                    <w:tr2bl w:val="nil"/>
                  </w:tcBorders>
                  <w:vAlign w:val="center"/>
                </w:tcPr>
                <w:p w14:paraId="22ACDB3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snapToGrid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1.5</w:t>
                  </w:r>
                </w:p>
              </w:tc>
              <w:tc>
                <w:tcPr>
                  <w:tcW w:w="1947" w:type="dxa"/>
                  <w:vMerge w:val="restart"/>
                  <w:tcBorders>
                    <w:tl2br w:val="nil"/>
                    <w:tr2bl w:val="nil"/>
                  </w:tcBorders>
                  <w:vAlign w:val="center"/>
                </w:tcPr>
                <w:p w14:paraId="40C39979">
                  <w:pPr>
                    <w:autoSpaceDE/>
                    <w:autoSpaceDN/>
                    <w:adjustRightInd w:val="0"/>
                    <w:snapToGrid w:val="0"/>
                    <w:jc w:val="center"/>
                    <w:rPr>
                      <w:rFonts w:hint="default" w:ascii="Times New Roman" w:hAnsi="Times New Roman" w:cs="Times New Roman"/>
                      <w:snapToGrid w:val="0"/>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监控点处任意1次浓度值</w:t>
                  </w:r>
                </w:p>
              </w:tc>
              <w:tc>
                <w:tcPr>
                  <w:tcW w:w="1947" w:type="dxa"/>
                  <w:vMerge w:val="restart"/>
                  <w:tcBorders>
                    <w:tl2br w:val="nil"/>
                    <w:tr2bl w:val="nil"/>
                  </w:tcBorders>
                  <w:vAlign w:val="center"/>
                </w:tcPr>
                <w:p w14:paraId="4D79AB48">
                  <w:pPr>
                    <w:autoSpaceDE/>
                    <w:autoSpaceDN/>
                    <w:adjustRightInd w:val="0"/>
                    <w:snapToGrid w:val="0"/>
                    <w:jc w:val="center"/>
                    <w:rPr>
                      <w:rFonts w:hint="eastAsia" w:ascii="Times New Roman" w:hAnsi="Times New Roman" w:eastAsia="宋体" w:cs="Times New Roman"/>
                      <w:snapToGrid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snapToGrid w:val="0"/>
                      <w:color w:val="000000" w:themeColor="text1"/>
                      <w:sz w:val="21"/>
                      <w:szCs w:val="21"/>
                      <w:highlight w:val="none"/>
                      <w:lang w:val="en-US" w:eastAsia="zh-CN"/>
                      <w14:textFill>
                        <w14:solidFill>
                          <w14:schemeClr w14:val="tx1"/>
                        </w14:solidFill>
                      </w14:textFill>
                    </w:rPr>
                    <w:t>厂界</w:t>
                  </w:r>
                </w:p>
              </w:tc>
              <w:tc>
                <w:tcPr>
                  <w:tcW w:w="1947" w:type="dxa"/>
                  <w:vMerge w:val="restart"/>
                  <w:tcBorders>
                    <w:tl2br w:val="nil"/>
                    <w:tr2bl w:val="nil"/>
                  </w:tcBorders>
                  <w:vAlign w:val="center"/>
                </w:tcPr>
                <w:p w14:paraId="3D024FA4">
                  <w:pPr>
                    <w:autoSpaceDE/>
                    <w:autoSpaceDN/>
                    <w:adjustRightInd w:val="0"/>
                    <w:snapToGrid w:val="0"/>
                    <w:jc w:val="center"/>
                    <w:rPr>
                      <w:rFonts w:hint="eastAsia" w:ascii="Times New Roman" w:hAnsi="Times New Roman" w:cs="Times New Roman"/>
                      <w:snapToGrid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snapToGrid w:val="0"/>
                      <w:color w:val="000000" w:themeColor="text1"/>
                      <w:sz w:val="21"/>
                      <w:szCs w:val="21"/>
                      <w:highlight w:val="none"/>
                      <w:lang w:val="en-US" w:eastAsia="zh-CN"/>
                      <w14:textFill>
                        <w14:solidFill>
                          <w14:schemeClr w14:val="tx1"/>
                        </w14:solidFill>
                      </w14:textFill>
                    </w:rPr>
                    <w:t>《恶臭污染物排放标准》（GB14554-93）</w:t>
                  </w:r>
                </w:p>
              </w:tc>
            </w:tr>
            <w:tr w14:paraId="1CFDDD85">
              <w:tblPrEx>
                <w:tblBorders>
                  <w:top w:val="double" w:color="000000" w:sz="4" w:space="0"/>
                  <w:left w:val="none" w:color="auto" w:sz="0" w:space="0"/>
                  <w:bottom w:val="double" w:color="000000" w:sz="4"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1148" w:type="dxa"/>
                  <w:tcBorders>
                    <w:tl2br w:val="nil"/>
                    <w:tr2bl w:val="nil"/>
                  </w:tcBorders>
                  <w:vAlign w:val="center"/>
                </w:tcPr>
                <w:p w14:paraId="4B41D2E7">
                  <w:pPr>
                    <w:autoSpaceDE/>
                    <w:autoSpaceDN/>
                    <w:adjustRightInd w:val="0"/>
                    <w:snapToGrid w:val="0"/>
                    <w:jc w:val="center"/>
                    <w:rPr>
                      <w:rFonts w:hint="default" w:ascii="Times New Roman" w:hAnsi="Times New Roman" w:cs="Times New Roman"/>
                      <w:snapToGrid w:val="0"/>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硫化氢</w:t>
                  </w:r>
                </w:p>
              </w:tc>
              <w:tc>
                <w:tcPr>
                  <w:tcW w:w="1467" w:type="dxa"/>
                  <w:tcBorders>
                    <w:tl2br w:val="nil"/>
                    <w:tr2bl w:val="nil"/>
                  </w:tcBorders>
                  <w:vAlign w:val="center"/>
                </w:tcPr>
                <w:p w14:paraId="39EBE27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snapToGrid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0.06</w:t>
                  </w:r>
                </w:p>
              </w:tc>
              <w:tc>
                <w:tcPr>
                  <w:tcW w:w="1947" w:type="dxa"/>
                  <w:vMerge w:val="continue"/>
                  <w:tcBorders>
                    <w:tl2br w:val="nil"/>
                    <w:tr2bl w:val="nil"/>
                  </w:tcBorders>
                  <w:vAlign w:val="center"/>
                </w:tcPr>
                <w:p w14:paraId="25FB881C">
                  <w:pPr>
                    <w:autoSpaceDE/>
                    <w:autoSpaceDN/>
                    <w:adjustRightInd w:val="0"/>
                    <w:snapToGrid w:val="0"/>
                    <w:jc w:val="center"/>
                    <w:rPr>
                      <w:rFonts w:hint="default" w:ascii="Times New Roman" w:hAnsi="Times New Roman" w:cs="Times New Roman"/>
                      <w:snapToGrid w:val="0"/>
                      <w:color w:val="000000" w:themeColor="text1"/>
                      <w:sz w:val="21"/>
                      <w:szCs w:val="21"/>
                      <w:highlight w:val="none"/>
                      <w14:textFill>
                        <w14:solidFill>
                          <w14:schemeClr w14:val="tx1"/>
                        </w14:solidFill>
                      </w14:textFill>
                    </w:rPr>
                  </w:pPr>
                </w:p>
              </w:tc>
              <w:tc>
                <w:tcPr>
                  <w:tcW w:w="1947" w:type="dxa"/>
                  <w:vMerge w:val="continue"/>
                  <w:tcBorders>
                    <w:tl2br w:val="nil"/>
                    <w:tr2bl w:val="nil"/>
                  </w:tcBorders>
                  <w:vAlign w:val="center"/>
                </w:tcPr>
                <w:p w14:paraId="286F84EF">
                  <w:pPr>
                    <w:autoSpaceDE/>
                    <w:autoSpaceDN/>
                    <w:adjustRightInd w:val="0"/>
                    <w:snapToGrid w:val="0"/>
                    <w:jc w:val="center"/>
                    <w:rPr>
                      <w:rFonts w:hint="default" w:ascii="Times New Roman" w:hAnsi="Times New Roman" w:cs="Times New Roman"/>
                      <w:snapToGrid w:val="0"/>
                      <w:color w:val="000000" w:themeColor="text1"/>
                      <w:sz w:val="21"/>
                      <w:szCs w:val="21"/>
                      <w:highlight w:val="none"/>
                      <w14:textFill>
                        <w14:solidFill>
                          <w14:schemeClr w14:val="tx1"/>
                        </w14:solidFill>
                      </w14:textFill>
                    </w:rPr>
                  </w:pPr>
                </w:p>
              </w:tc>
              <w:tc>
                <w:tcPr>
                  <w:tcW w:w="1947" w:type="dxa"/>
                  <w:vMerge w:val="continue"/>
                  <w:tcBorders>
                    <w:tl2br w:val="nil"/>
                    <w:tr2bl w:val="nil"/>
                  </w:tcBorders>
                  <w:vAlign w:val="center"/>
                </w:tcPr>
                <w:p w14:paraId="558DB723">
                  <w:pPr>
                    <w:autoSpaceDE/>
                    <w:autoSpaceDN/>
                    <w:adjustRightInd w:val="0"/>
                    <w:snapToGrid w:val="0"/>
                    <w:jc w:val="center"/>
                    <w:rPr>
                      <w:rFonts w:hint="default" w:ascii="Times New Roman" w:hAnsi="Times New Roman" w:cs="Times New Roman"/>
                      <w:snapToGrid w:val="0"/>
                      <w:color w:val="000000" w:themeColor="text1"/>
                      <w:sz w:val="21"/>
                      <w:szCs w:val="21"/>
                      <w:highlight w:val="none"/>
                      <w14:textFill>
                        <w14:solidFill>
                          <w14:schemeClr w14:val="tx1"/>
                        </w14:solidFill>
                      </w14:textFill>
                    </w:rPr>
                  </w:pPr>
                </w:p>
              </w:tc>
            </w:tr>
            <w:tr w14:paraId="4B72DC29">
              <w:tblPrEx>
                <w:tblBorders>
                  <w:top w:val="double" w:color="000000" w:sz="4" w:space="0"/>
                  <w:left w:val="none" w:color="auto" w:sz="0" w:space="0"/>
                  <w:bottom w:val="double" w:color="000000" w:sz="4"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1148" w:type="dxa"/>
                  <w:tcBorders>
                    <w:tl2br w:val="nil"/>
                    <w:tr2bl w:val="nil"/>
                  </w:tcBorders>
                  <w:vAlign w:val="center"/>
                </w:tcPr>
                <w:p w14:paraId="23ADAA31">
                  <w:pPr>
                    <w:autoSpaceDE/>
                    <w:autoSpaceDN/>
                    <w:adjustRightInd w:val="0"/>
                    <w:snapToGrid w:val="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臭气浓度</w:t>
                  </w:r>
                </w:p>
              </w:tc>
              <w:tc>
                <w:tcPr>
                  <w:tcW w:w="1467" w:type="dxa"/>
                  <w:tcBorders>
                    <w:tl2br w:val="nil"/>
                    <w:tr2bl w:val="nil"/>
                  </w:tcBorders>
                  <w:vAlign w:val="center"/>
                </w:tcPr>
                <w:p w14:paraId="482104A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20</w:t>
                  </w:r>
                  <w:r>
                    <w:rPr>
                      <w:rFonts w:hint="eastAsia" w:cs="Times New Roman"/>
                      <w:color w:val="000000" w:themeColor="text1"/>
                      <w:kern w:val="0"/>
                      <w:sz w:val="21"/>
                      <w:szCs w:val="21"/>
                      <w:highlight w:val="none"/>
                      <w:lang w:val="en-US" w:eastAsia="zh-CN" w:bidi="ar-SA"/>
                      <w14:textFill>
                        <w14:solidFill>
                          <w14:schemeClr w14:val="tx1"/>
                        </w14:solidFill>
                      </w14:textFill>
                    </w:rPr>
                    <w:t>（无量纲）</w:t>
                  </w:r>
                </w:p>
              </w:tc>
              <w:tc>
                <w:tcPr>
                  <w:tcW w:w="1947" w:type="dxa"/>
                  <w:vMerge w:val="continue"/>
                  <w:tcBorders>
                    <w:tl2br w:val="nil"/>
                    <w:tr2bl w:val="nil"/>
                  </w:tcBorders>
                  <w:vAlign w:val="center"/>
                </w:tcPr>
                <w:p w14:paraId="13C244BC">
                  <w:pPr>
                    <w:autoSpaceDE/>
                    <w:autoSpaceDN/>
                    <w:adjustRightInd w:val="0"/>
                    <w:snapToGrid w:val="0"/>
                    <w:jc w:val="center"/>
                    <w:rPr>
                      <w:rFonts w:hint="default" w:ascii="Times New Roman" w:hAnsi="Times New Roman" w:cs="Times New Roman"/>
                      <w:snapToGrid w:val="0"/>
                      <w:color w:val="000000" w:themeColor="text1"/>
                      <w:sz w:val="21"/>
                      <w:szCs w:val="21"/>
                      <w:highlight w:val="none"/>
                      <w14:textFill>
                        <w14:solidFill>
                          <w14:schemeClr w14:val="tx1"/>
                        </w14:solidFill>
                      </w14:textFill>
                    </w:rPr>
                  </w:pPr>
                </w:p>
              </w:tc>
              <w:tc>
                <w:tcPr>
                  <w:tcW w:w="1947" w:type="dxa"/>
                  <w:vMerge w:val="continue"/>
                  <w:tcBorders>
                    <w:tl2br w:val="nil"/>
                    <w:tr2bl w:val="nil"/>
                  </w:tcBorders>
                  <w:vAlign w:val="center"/>
                </w:tcPr>
                <w:p w14:paraId="006D3A4C">
                  <w:pPr>
                    <w:autoSpaceDE/>
                    <w:autoSpaceDN/>
                    <w:adjustRightInd w:val="0"/>
                    <w:snapToGrid w:val="0"/>
                    <w:jc w:val="center"/>
                    <w:rPr>
                      <w:rFonts w:hint="default" w:ascii="Times New Roman" w:hAnsi="Times New Roman" w:cs="Times New Roman"/>
                      <w:snapToGrid w:val="0"/>
                      <w:color w:val="000000" w:themeColor="text1"/>
                      <w:sz w:val="21"/>
                      <w:szCs w:val="21"/>
                      <w:highlight w:val="none"/>
                      <w14:textFill>
                        <w14:solidFill>
                          <w14:schemeClr w14:val="tx1"/>
                        </w14:solidFill>
                      </w14:textFill>
                    </w:rPr>
                  </w:pPr>
                </w:p>
              </w:tc>
              <w:tc>
                <w:tcPr>
                  <w:tcW w:w="1947" w:type="dxa"/>
                  <w:vMerge w:val="continue"/>
                  <w:tcBorders>
                    <w:tl2br w:val="nil"/>
                    <w:tr2bl w:val="nil"/>
                  </w:tcBorders>
                  <w:vAlign w:val="center"/>
                </w:tcPr>
                <w:p w14:paraId="4C899C5B">
                  <w:pPr>
                    <w:autoSpaceDE/>
                    <w:autoSpaceDN/>
                    <w:adjustRightInd w:val="0"/>
                    <w:snapToGrid w:val="0"/>
                    <w:jc w:val="center"/>
                    <w:rPr>
                      <w:rFonts w:hint="default" w:ascii="Times New Roman" w:hAnsi="Times New Roman" w:cs="Times New Roman"/>
                      <w:snapToGrid w:val="0"/>
                      <w:color w:val="000000" w:themeColor="text1"/>
                      <w:sz w:val="21"/>
                      <w:szCs w:val="21"/>
                      <w:highlight w:val="none"/>
                      <w14:textFill>
                        <w14:solidFill>
                          <w14:schemeClr w14:val="tx1"/>
                        </w14:solidFill>
                      </w14:textFill>
                    </w:rPr>
                  </w:pPr>
                </w:p>
              </w:tc>
            </w:tr>
            <w:tr w14:paraId="06A48B1C">
              <w:tblPrEx>
                <w:tblBorders>
                  <w:top w:val="double" w:color="000000" w:sz="4" w:space="0"/>
                  <w:left w:val="none" w:color="auto" w:sz="0" w:space="0"/>
                  <w:bottom w:val="double" w:color="000000" w:sz="4"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1148" w:type="dxa"/>
                  <w:tcBorders>
                    <w:tl2br w:val="nil"/>
                    <w:tr2bl w:val="nil"/>
                  </w:tcBorders>
                  <w:vAlign w:val="center"/>
                </w:tcPr>
                <w:p w14:paraId="7F44F2F9">
                  <w:pPr>
                    <w:autoSpaceDE/>
                    <w:autoSpaceDN/>
                    <w:adjustRightInd w:val="0"/>
                    <w:snapToGrid w:val="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颗粒物</w:t>
                  </w:r>
                </w:p>
              </w:tc>
              <w:tc>
                <w:tcPr>
                  <w:tcW w:w="1467" w:type="dxa"/>
                  <w:tcBorders>
                    <w:tl2br w:val="nil"/>
                    <w:tr2bl w:val="nil"/>
                  </w:tcBorders>
                  <w:vAlign w:val="center"/>
                </w:tcPr>
                <w:p w14:paraId="4F7C367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1.0</w:t>
                  </w:r>
                </w:p>
              </w:tc>
              <w:tc>
                <w:tcPr>
                  <w:tcW w:w="1947" w:type="dxa"/>
                  <w:vMerge w:val="restart"/>
                  <w:tcBorders>
                    <w:tl2br w:val="nil"/>
                    <w:tr2bl w:val="nil"/>
                  </w:tcBorders>
                  <w:vAlign w:val="center"/>
                </w:tcPr>
                <w:p w14:paraId="552EFB92">
                  <w:pPr>
                    <w:autoSpaceDE/>
                    <w:autoSpaceDN/>
                    <w:adjustRightInd w:val="0"/>
                    <w:snapToGrid w:val="0"/>
                    <w:jc w:val="center"/>
                    <w:rPr>
                      <w:rFonts w:hint="eastAsia" w:ascii="Times New Roman" w:hAnsi="Times New Roman" w:eastAsia="宋体" w:cs="Times New Roman"/>
                      <w:snapToGrid w:val="0"/>
                      <w:color w:val="000000" w:themeColor="text1"/>
                      <w:kern w:val="2"/>
                      <w:sz w:val="21"/>
                      <w:szCs w:val="21"/>
                      <w:highlight w:val="none"/>
                      <w:lang w:val="en-US" w:eastAsia="zh-CN" w:bidi="ar-SA"/>
                      <w14:textFill>
                        <w14:solidFill>
                          <w14:schemeClr w14:val="tx1"/>
                        </w14:solidFill>
                      </w14:textFill>
                    </w:rPr>
                  </w:pPr>
                  <w:r>
                    <w:rPr>
                      <w:rFonts w:hint="eastAsia" w:cs="Times New Roman"/>
                      <w:snapToGrid w:val="0"/>
                      <w:color w:val="000000" w:themeColor="text1"/>
                      <w:sz w:val="21"/>
                      <w:szCs w:val="21"/>
                      <w:highlight w:val="none"/>
                      <w:lang w:val="en-US" w:eastAsia="zh-CN"/>
                      <w14:textFill>
                        <w14:solidFill>
                          <w14:schemeClr w14:val="tx1"/>
                        </w14:solidFill>
                      </w14:textFill>
                    </w:rPr>
                    <w:t>周界外浓度最高点</w:t>
                  </w:r>
                </w:p>
              </w:tc>
              <w:tc>
                <w:tcPr>
                  <w:tcW w:w="1947" w:type="dxa"/>
                  <w:vMerge w:val="restart"/>
                  <w:tcBorders>
                    <w:tl2br w:val="nil"/>
                    <w:tr2bl w:val="nil"/>
                  </w:tcBorders>
                  <w:vAlign w:val="center"/>
                </w:tcPr>
                <w:p w14:paraId="571CC9EA">
                  <w:pPr>
                    <w:autoSpaceDE/>
                    <w:autoSpaceDN/>
                    <w:adjustRightInd w:val="0"/>
                    <w:snapToGrid w:val="0"/>
                    <w:jc w:val="center"/>
                    <w:rPr>
                      <w:rFonts w:hint="eastAsia" w:ascii="Times New Roman" w:hAnsi="Times New Roman" w:eastAsia="宋体" w:cs="Times New Roman"/>
                      <w:snapToGrid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snapToGrid w:val="0"/>
                      <w:color w:val="000000" w:themeColor="text1"/>
                      <w:sz w:val="21"/>
                      <w:szCs w:val="21"/>
                      <w:highlight w:val="none"/>
                      <w:lang w:val="en-US" w:eastAsia="zh-CN"/>
                      <w14:textFill>
                        <w14:solidFill>
                          <w14:schemeClr w14:val="tx1"/>
                        </w14:solidFill>
                      </w14:textFill>
                    </w:rPr>
                    <w:t>厂界</w:t>
                  </w:r>
                </w:p>
              </w:tc>
              <w:tc>
                <w:tcPr>
                  <w:tcW w:w="1947" w:type="dxa"/>
                  <w:vMerge w:val="restart"/>
                  <w:tcBorders>
                    <w:tl2br w:val="nil"/>
                    <w:tr2bl w:val="nil"/>
                  </w:tcBorders>
                  <w:vAlign w:val="center"/>
                </w:tcPr>
                <w:p w14:paraId="346043D8">
                  <w:pPr>
                    <w:autoSpaceDE/>
                    <w:autoSpaceDN/>
                    <w:adjustRightInd w:val="0"/>
                    <w:snapToGrid w:val="0"/>
                    <w:jc w:val="center"/>
                    <w:rPr>
                      <w:rFonts w:hint="default" w:ascii="Times New Roman" w:hAnsi="Times New Roman" w:eastAsia="宋体" w:cs="Times New Roman"/>
                      <w:snapToGrid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snapToGrid w:val="0"/>
                      <w:color w:val="000000" w:themeColor="text1"/>
                      <w:sz w:val="21"/>
                      <w:szCs w:val="21"/>
                      <w:highlight w:val="none"/>
                      <w14:textFill>
                        <w14:solidFill>
                          <w14:schemeClr w14:val="tx1"/>
                        </w14:solidFill>
                      </w14:textFill>
                    </w:rPr>
                    <w:t>《大气污染物综合排放标准》（GB16297-1996）</w:t>
                  </w:r>
                </w:p>
              </w:tc>
            </w:tr>
            <w:tr w14:paraId="1F3DBBE7">
              <w:tblPrEx>
                <w:tblBorders>
                  <w:top w:val="double" w:color="000000" w:sz="4" w:space="0"/>
                  <w:left w:val="none" w:color="auto" w:sz="0" w:space="0"/>
                  <w:bottom w:val="double" w:color="000000" w:sz="4"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1148" w:type="dxa"/>
                  <w:tcBorders>
                    <w:tl2br w:val="nil"/>
                    <w:tr2bl w:val="nil"/>
                  </w:tcBorders>
                  <w:shd w:val="clear" w:color="auto" w:fill="auto"/>
                  <w:vAlign w:val="center"/>
                </w:tcPr>
                <w:p w14:paraId="52242255">
                  <w:pPr>
                    <w:autoSpaceDE/>
                    <w:autoSpaceDN/>
                    <w:adjustRightInd w:val="0"/>
                    <w:snapToGrid w:val="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非甲烷总烃</w:t>
                  </w:r>
                </w:p>
              </w:tc>
              <w:tc>
                <w:tcPr>
                  <w:tcW w:w="1467" w:type="dxa"/>
                  <w:tcBorders>
                    <w:tl2br w:val="nil"/>
                    <w:tr2bl w:val="nil"/>
                  </w:tcBorders>
                  <w:shd w:val="clear" w:color="auto" w:fill="auto"/>
                  <w:vAlign w:val="center"/>
                </w:tcPr>
                <w:p w14:paraId="79D6B87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color w:val="000000" w:themeColor="text1"/>
                      <w:kern w:val="2"/>
                      <w:sz w:val="21"/>
                      <w:szCs w:val="21"/>
                      <w:highlight w:val="none"/>
                      <w:vertAlign w:val="baseline"/>
                      <w:lang w:val="en-US" w:eastAsia="zh-CN" w:bidi="ar-SA"/>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4.0</w:t>
                  </w:r>
                </w:p>
              </w:tc>
              <w:tc>
                <w:tcPr>
                  <w:tcW w:w="1947" w:type="dxa"/>
                  <w:vMerge w:val="continue"/>
                  <w:tcBorders>
                    <w:tl2br w:val="nil"/>
                    <w:tr2bl w:val="nil"/>
                  </w:tcBorders>
                  <w:shd w:val="clear" w:color="auto" w:fill="auto"/>
                  <w:vAlign w:val="center"/>
                </w:tcPr>
                <w:p w14:paraId="69ACA266">
                  <w:pPr>
                    <w:autoSpaceDE/>
                    <w:autoSpaceDN/>
                    <w:adjustRightInd w:val="0"/>
                    <w:snapToGrid w:val="0"/>
                    <w:jc w:val="center"/>
                    <w:rPr>
                      <w:rFonts w:hint="eastAsia" w:ascii="Times New Roman" w:hAnsi="Times New Roman" w:eastAsia="宋体" w:cs="Times New Roman"/>
                      <w:snapToGrid w:val="0"/>
                      <w:color w:val="000000" w:themeColor="text1"/>
                      <w:kern w:val="2"/>
                      <w:sz w:val="21"/>
                      <w:szCs w:val="21"/>
                      <w:highlight w:val="none"/>
                      <w:lang w:val="en-US" w:eastAsia="zh-CN" w:bidi="ar-SA"/>
                      <w14:textFill>
                        <w14:solidFill>
                          <w14:schemeClr w14:val="tx1"/>
                        </w14:solidFill>
                      </w14:textFill>
                    </w:rPr>
                  </w:pPr>
                </w:p>
              </w:tc>
              <w:tc>
                <w:tcPr>
                  <w:tcW w:w="1947" w:type="dxa"/>
                  <w:vMerge w:val="continue"/>
                  <w:tcBorders>
                    <w:tl2br w:val="nil"/>
                    <w:tr2bl w:val="nil"/>
                  </w:tcBorders>
                  <w:shd w:val="clear" w:color="auto" w:fill="auto"/>
                  <w:vAlign w:val="center"/>
                </w:tcPr>
                <w:p w14:paraId="73E04A31">
                  <w:pPr>
                    <w:autoSpaceDE/>
                    <w:autoSpaceDN/>
                    <w:adjustRightInd w:val="0"/>
                    <w:snapToGrid w:val="0"/>
                    <w:jc w:val="center"/>
                    <w:rPr>
                      <w:rFonts w:hint="eastAsia" w:ascii="Times New Roman" w:hAnsi="Times New Roman" w:eastAsia="宋体" w:cs="Times New Roman"/>
                      <w:snapToGrid w:val="0"/>
                      <w:color w:val="000000" w:themeColor="text1"/>
                      <w:kern w:val="2"/>
                      <w:sz w:val="21"/>
                      <w:szCs w:val="21"/>
                      <w:highlight w:val="none"/>
                      <w:lang w:val="en-US" w:eastAsia="zh-CN" w:bidi="ar-SA"/>
                      <w14:textFill>
                        <w14:solidFill>
                          <w14:schemeClr w14:val="tx1"/>
                        </w14:solidFill>
                      </w14:textFill>
                    </w:rPr>
                  </w:pPr>
                </w:p>
              </w:tc>
              <w:tc>
                <w:tcPr>
                  <w:tcW w:w="1947" w:type="dxa"/>
                  <w:vMerge w:val="continue"/>
                  <w:tcBorders>
                    <w:tl2br w:val="nil"/>
                    <w:tr2bl w:val="nil"/>
                  </w:tcBorders>
                  <w:shd w:val="clear" w:color="auto" w:fill="auto"/>
                  <w:vAlign w:val="center"/>
                </w:tcPr>
                <w:p w14:paraId="1A5C7560">
                  <w:pPr>
                    <w:autoSpaceDE/>
                    <w:autoSpaceDN/>
                    <w:adjustRightInd w:val="0"/>
                    <w:snapToGrid w:val="0"/>
                    <w:jc w:val="center"/>
                    <w:rPr>
                      <w:rFonts w:hint="default" w:ascii="Times New Roman" w:hAnsi="Times New Roman" w:eastAsia="宋体" w:cs="Times New Roman"/>
                      <w:snapToGrid w:val="0"/>
                      <w:color w:val="000000" w:themeColor="text1"/>
                      <w:kern w:val="2"/>
                      <w:sz w:val="21"/>
                      <w:szCs w:val="21"/>
                      <w:highlight w:val="none"/>
                      <w:lang w:val="en-US" w:eastAsia="zh-CN" w:bidi="ar-SA"/>
                      <w14:textFill>
                        <w14:solidFill>
                          <w14:schemeClr w14:val="tx1"/>
                        </w14:solidFill>
                      </w14:textFill>
                    </w:rPr>
                  </w:pPr>
                </w:p>
              </w:tc>
            </w:tr>
          </w:tbl>
          <w:p w14:paraId="35A7E107">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jc w:val="left"/>
              <w:textAlignment w:val="auto"/>
              <w:rPr>
                <w:rFonts w:hint="eastAsia"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2.2</w:t>
            </w:r>
            <w:r>
              <w:rPr>
                <w:rFonts w:hint="default" w:ascii="Times New Roman" w:hAnsi="Times New Roman" w:cs="Times New Roman"/>
                <w:b/>
                <w:bCs/>
                <w:color w:val="000000" w:themeColor="text1"/>
                <w:sz w:val="24"/>
                <w:szCs w:val="24"/>
                <w:highlight w:val="none"/>
                <w14:textFill>
                  <w14:solidFill>
                    <w14:schemeClr w14:val="tx1"/>
                  </w14:solidFill>
                </w14:textFill>
              </w:rPr>
              <w:t>、</w:t>
            </w:r>
            <w:r>
              <w:rPr>
                <w:rFonts w:hint="eastAsia" w:cs="Times New Roman"/>
                <w:b/>
                <w:bCs/>
                <w:color w:val="000000" w:themeColor="text1"/>
                <w:sz w:val="24"/>
                <w:szCs w:val="24"/>
                <w:highlight w:val="none"/>
                <w:lang w:val="en-US" w:eastAsia="zh-CN"/>
                <w14:textFill>
                  <w14:solidFill>
                    <w14:schemeClr w14:val="tx1"/>
                  </w14:solidFill>
                </w14:textFill>
              </w:rPr>
              <w:t>废水</w:t>
            </w:r>
          </w:p>
          <w:p w14:paraId="486F10D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rightChars="0" w:firstLine="480" w:firstLineChars="200"/>
              <w:textAlignment w:val="auto"/>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pPr>
            <w:r>
              <w:rPr>
                <w:rFonts w:hint="eastAsia" w:cs="Times New Roman"/>
                <w:b w:val="0"/>
                <w:color w:val="000000" w:themeColor="text1"/>
                <w:kern w:val="2"/>
                <w:sz w:val="24"/>
                <w:szCs w:val="24"/>
                <w:highlight w:val="none"/>
                <w:lang w:val="en-US" w:eastAsia="zh-CN" w:bidi="ar-SA"/>
                <w14:textFill>
                  <w14:solidFill>
                    <w14:schemeClr w14:val="tx1"/>
                  </w14:solidFill>
                </w14:textFill>
              </w:rPr>
              <w:t>本项目污水处理站排放的</w:t>
            </w: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污水</w:t>
            </w:r>
            <w:r>
              <w:rPr>
                <w:rFonts w:hint="eastAsia"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污染物</w:t>
            </w: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pH值</w:t>
            </w:r>
            <w:r>
              <w:rPr>
                <w:rFonts w:hint="eastAsia" w:cs="Times New Roman"/>
                <w:b w:val="0"/>
                <w:color w:val="000000" w:themeColor="text1"/>
                <w:kern w:val="2"/>
                <w:sz w:val="24"/>
                <w:szCs w:val="24"/>
                <w:highlight w:val="none"/>
                <w:lang w:val="en-US" w:eastAsia="zh-CN" w:bidi="ar-SA"/>
                <w14:textFill>
                  <w14:solidFill>
                    <w14:schemeClr w14:val="tx1"/>
                  </w14:solidFill>
                </w14:textFill>
              </w:rPr>
              <w:t>、动植物油、总有机碳</w:t>
            </w: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执行《中药类制药工业水污染物排放标准》（GB</w:t>
            </w:r>
            <w:r>
              <w:rPr>
                <w:rFonts w:hint="eastAsia" w:cs="Times New Roman"/>
                <w:b w:val="0"/>
                <w:color w:val="000000" w:themeColor="text1"/>
                <w:kern w:val="2"/>
                <w:sz w:val="24"/>
                <w:szCs w:val="24"/>
                <w:highlight w:val="none"/>
                <w:lang w:val="en-US" w:eastAsia="zh-CN" w:bidi="ar-SA"/>
                <w14:textFill>
                  <w14:solidFill>
                    <w14:schemeClr w14:val="tx1"/>
                  </w14:solidFill>
                </w14:textFill>
              </w:rPr>
              <w:t>21906</w:t>
            </w: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w:t>
            </w:r>
            <w:r>
              <w:rPr>
                <w:rFonts w:hint="eastAsia" w:cs="Times New Roman"/>
                <w:b w:val="0"/>
                <w:color w:val="000000" w:themeColor="text1"/>
                <w:kern w:val="2"/>
                <w:sz w:val="24"/>
                <w:szCs w:val="24"/>
                <w:highlight w:val="none"/>
                <w:lang w:val="en-US" w:eastAsia="zh-CN" w:bidi="ar-SA"/>
                <w14:textFill>
                  <w14:solidFill>
                    <w14:schemeClr w14:val="tx1"/>
                  </w14:solidFill>
                </w14:textFill>
              </w:rPr>
              <w:t>2008</w:t>
            </w: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）表</w:t>
            </w:r>
            <w:r>
              <w:rPr>
                <w:rFonts w:hint="eastAsia" w:cs="Times New Roman"/>
                <w:b w:val="0"/>
                <w:color w:val="000000" w:themeColor="text1"/>
                <w:kern w:val="2"/>
                <w:sz w:val="24"/>
                <w:szCs w:val="24"/>
                <w:highlight w:val="none"/>
                <w:lang w:val="en-US" w:eastAsia="zh-CN" w:bidi="ar-SA"/>
                <w14:textFill>
                  <w14:solidFill>
                    <w14:schemeClr w14:val="tx1"/>
                  </w14:solidFill>
                </w14:textFill>
              </w:rPr>
              <w:t>2</w:t>
            </w:r>
            <w:r>
              <w:rPr>
                <w:rFonts w:hint="eastAsia"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标准</w:t>
            </w: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；色度、悬浮物、五日生化需氧量、化学需氧量、氨氮</w:t>
            </w:r>
            <w:r>
              <w:rPr>
                <w:rFonts w:hint="eastAsia" w:cs="Times New Roman"/>
                <w:b w:val="0"/>
                <w:color w:val="000000" w:themeColor="text1"/>
                <w:kern w:val="2"/>
                <w:sz w:val="24"/>
                <w:szCs w:val="24"/>
                <w:highlight w:val="none"/>
                <w:lang w:val="en-US" w:eastAsia="zh-CN" w:bidi="ar-SA"/>
                <w14:textFill>
                  <w14:solidFill>
                    <w14:schemeClr w14:val="tx1"/>
                  </w14:solidFill>
                </w14:textFill>
              </w:rPr>
              <w:t>、总氮、总磷、总氰化物</w:t>
            </w: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执行《辽宁省污水综合排放标准》(DB21/1627-2008)中表2标准，见下表。</w:t>
            </w:r>
          </w:p>
          <w:p w14:paraId="2B4DBFFB">
            <w:pPr>
              <w:keepNext w:val="0"/>
              <w:keepLines w:val="0"/>
              <w:pageBreakBefore w:val="0"/>
              <w:widowControl w:val="0"/>
              <w:numPr>
                <w:ilvl w:val="0"/>
                <w:numId w:val="24"/>
              </w:numPr>
              <w:suppressLineNumbers w:val="0"/>
              <w:kinsoku/>
              <w:wordWrap/>
              <w:overflowPunct/>
              <w:topLinePunct w:val="0"/>
              <w:autoSpaceDE/>
              <w:autoSpaceDN/>
              <w:bidi w:val="0"/>
              <w:adjustRightInd/>
              <w:snapToGrid w:val="0"/>
              <w:spacing w:before="157" w:beforeLines="5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废水污染物执行排放标准一览表</w:t>
            </w:r>
          </w:p>
          <w:tbl>
            <w:tblPr>
              <w:tblStyle w:val="35"/>
              <w:tblW w:w="4998" w:type="pct"/>
              <w:jc w:val="center"/>
              <w:tblBorders>
                <w:top w:val="double" w:color="auto" w:sz="4" w:space="0"/>
                <w:left w:val="none" w:color="auto" w:sz="0" w:space="0"/>
                <w:bottom w:val="doub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95"/>
              <w:gridCol w:w="2582"/>
              <w:gridCol w:w="1339"/>
              <w:gridCol w:w="1339"/>
              <w:gridCol w:w="2359"/>
            </w:tblGrid>
            <w:tr w14:paraId="68BF7E2A">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6" w:hRule="atLeast"/>
                <w:jc w:val="center"/>
              </w:trPr>
              <w:tc>
                <w:tcPr>
                  <w:tcW w:w="417" w:type="pct"/>
                  <w:tcBorders>
                    <w:tl2br w:val="nil"/>
                    <w:tr2bl w:val="nil"/>
                  </w:tcBorders>
                  <w:noWrap w:val="0"/>
                  <w:vAlign w:val="center"/>
                </w:tcPr>
                <w:p w14:paraId="716B90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序号</w:t>
                  </w:r>
                </w:p>
              </w:tc>
              <w:tc>
                <w:tcPr>
                  <w:tcW w:w="1552" w:type="pct"/>
                  <w:tcBorders>
                    <w:tl2br w:val="nil"/>
                    <w:tr2bl w:val="nil"/>
                  </w:tcBorders>
                  <w:noWrap w:val="0"/>
                  <w:vAlign w:val="center"/>
                </w:tcPr>
                <w:p w14:paraId="4592FB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污染物或项目名称</w:t>
                  </w:r>
                </w:p>
              </w:tc>
              <w:tc>
                <w:tcPr>
                  <w:tcW w:w="805" w:type="pct"/>
                  <w:tcBorders>
                    <w:tl2br w:val="nil"/>
                    <w:tr2bl w:val="nil"/>
                  </w:tcBorders>
                  <w:noWrap w:val="0"/>
                  <w:vAlign w:val="center"/>
                </w:tcPr>
                <w:p w14:paraId="1AFCAC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单位</w:t>
                  </w:r>
                </w:p>
              </w:tc>
              <w:tc>
                <w:tcPr>
                  <w:tcW w:w="805" w:type="pct"/>
                  <w:tcBorders>
                    <w:tl2br w:val="nil"/>
                    <w:tr2bl w:val="nil"/>
                  </w:tcBorders>
                  <w:noWrap w:val="0"/>
                  <w:vAlign w:val="center"/>
                </w:tcPr>
                <w:p w14:paraId="73BD8F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限值</w:t>
                  </w:r>
                </w:p>
              </w:tc>
              <w:tc>
                <w:tcPr>
                  <w:tcW w:w="1418" w:type="pct"/>
                  <w:tcBorders>
                    <w:tl2br w:val="nil"/>
                    <w:tr2bl w:val="nil"/>
                  </w:tcBorders>
                  <w:noWrap w:val="0"/>
                  <w:vAlign w:val="center"/>
                </w:tcPr>
                <w:p w14:paraId="1ECE6C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执行标准</w:t>
                  </w:r>
                </w:p>
              </w:tc>
            </w:tr>
            <w:tr w14:paraId="62CCA663">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51" w:hRule="atLeast"/>
                <w:jc w:val="center"/>
              </w:trPr>
              <w:tc>
                <w:tcPr>
                  <w:tcW w:w="417" w:type="pct"/>
                  <w:tcBorders>
                    <w:tl2br w:val="nil"/>
                    <w:tr2bl w:val="nil"/>
                  </w:tcBorders>
                  <w:noWrap w:val="0"/>
                  <w:vAlign w:val="center"/>
                </w:tcPr>
                <w:p w14:paraId="4F81AE9F">
                  <w:pPr>
                    <w:pStyle w:val="63"/>
                    <w:keepNext w:val="0"/>
                    <w:keepLines w:val="0"/>
                    <w:pageBreakBefore w:val="0"/>
                    <w:widowControl w:val="0"/>
                    <w:numPr>
                      <w:ilvl w:val="0"/>
                      <w:numId w:val="25"/>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552" w:type="pct"/>
                  <w:tcBorders>
                    <w:tl2br w:val="nil"/>
                    <w:tr2bl w:val="nil"/>
                  </w:tcBorders>
                  <w:noWrap w:val="0"/>
                  <w:vAlign w:val="center"/>
                </w:tcPr>
                <w:p w14:paraId="7CB3CC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pH</w:t>
                  </w:r>
                </w:p>
              </w:tc>
              <w:tc>
                <w:tcPr>
                  <w:tcW w:w="805" w:type="pct"/>
                  <w:tcBorders>
                    <w:tl2br w:val="nil"/>
                    <w:tr2bl w:val="nil"/>
                  </w:tcBorders>
                  <w:noWrap w:val="0"/>
                  <w:vAlign w:val="center"/>
                </w:tcPr>
                <w:p w14:paraId="271D2A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无量纲</w:t>
                  </w:r>
                </w:p>
              </w:tc>
              <w:tc>
                <w:tcPr>
                  <w:tcW w:w="805" w:type="pct"/>
                  <w:tcBorders>
                    <w:tl2br w:val="nil"/>
                    <w:tr2bl w:val="nil"/>
                  </w:tcBorders>
                  <w:noWrap w:val="0"/>
                  <w:vAlign w:val="center"/>
                </w:tcPr>
                <w:p w14:paraId="3AE36F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6-9</w:t>
                  </w:r>
                </w:p>
              </w:tc>
              <w:tc>
                <w:tcPr>
                  <w:tcW w:w="1418" w:type="pct"/>
                  <w:vMerge w:val="restart"/>
                  <w:tcBorders>
                    <w:tl2br w:val="nil"/>
                    <w:tr2bl w:val="nil"/>
                  </w:tcBorders>
                  <w:noWrap w:val="0"/>
                  <w:vAlign w:val="center"/>
                </w:tcPr>
                <w:p w14:paraId="07B5B2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《中药类制药工业水污染物排放标准》（GB21906-2008）表2</w:t>
                  </w:r>
                </w:p>
              </w:tc>
            </w:tr>
            <w:tr w14:paraId="40B413A8">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51" w:hRule="atLeast"/>
                <w:jc w:val="center"/>
              </w:trPr>
              <w:tc>
                <w:tcPr>
                  <w:tcW w:w="417" w:type="pct"/>
                  <w:tcBorders>
                    <w:tl2br w:val="nil"/>
                    <w:tr2bl w:val="nil"/>
                  </w:tcBorders>
                  <w:noWrap w:val="0"/>
                  <w:vAlign w:val="center"/>
                </w:tcPr>
                <w:p w14:paraId="075DB03C">
                  <w:pPr>
                    <w:pStyle w:val="63"/>
                    <w:keepNext w:val="0"/>
                    <w:keepLines w:val="0"/>
                    <w:pageBreakBefore w:val="0"/>
                    <w:widowControl w:val="0"/>
                    <w:numPr>
                      <w:ilvl w:val="0"/>
                      <w:numId w:val="25"/>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552" w:type="pct"/>
                  <w:tcBorders>
                    <w:tl2br w:val="nil"/>
                    <w:tr2bl w:val="nil"/>
                  </w:tcBorders>
                  <w:noWrap w:val="0"/>
                  <w:vAlign w:val="center"/>
                </w:tcPr>
                <w:p w14:paraId="4D6E45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动植物油</w:t>
                  </w:r>
                </w:p>
              </w:tc>
              <w:tc>
                <w:tcPr>
                  <w:tcW w:w="805" w:type="pct"/>
                  <w:tcBorders>
                    <w:tl2br w:val="nil"/>
                    <w:tr2bl w:val="nil"/>
                  </w:tcBorders>
                  <w:noWrap w:val="0"/>
                  <w:vAlign w:val="center"/>
                </w:tcPr>
                <w:p w14:paraId="0C21B0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mg/L</w:t>
                  </w:r>
                </w:p>
              </w:tc>
              <w:tc>
                <w:tcPr>
                  <w:tcW w:w="805" w:type="pct"/>
                  <w:tcBorders>
                    <w:tl2br w:val="nil"/>
                    <w:tr2bl w:val="nil"/>
                  </w:tcBorders>
                  <w:noWrap w:val="0"/>
                  <w:vAlign w:val="center"/>
                </w:tcPr>
                <w:p w14:paraId="6E1266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w:t>
                  </w:r>
                </w:p>
              </w:tc>
              <w:tc>
                <w:tcPr>
                  <w:tcW w:w="1418" w:type="pct"/>
                  <w:vMerge w:val="continue"/>
                  <w:tcBorders>
                    <w:tl2br w:val="nil"/>
                    <w:tr2bl w:val="nil"/>
                  </w:tcBorders>
                  <w:noWrap w:val="0"/>
                  <w:vAlign w:val="center"/>
                </w:tcPr>
                <w:p w14:paraId="6ED4E1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49554FC5">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51" w:hRule="atLeast"/>
                <w:jc w:val="center"/>
              </w:trPr>
              <w:tc>
                <w:tcPr>
                  <w:tcW w:w="417" w:type="pct"/>
                  <w:tcBorders>
                    <w:tl2br w:val="nil"/>
                    <w:tr2bl w:val="nil"/>
                  </w:tcBorders>
                  <w:noWrap w:val="0"/>
                  <w:vAlign w:val="center"/>
                </w:tcPr>
                <w:p w14:paraId="0F2A809A">
                  <w:pPr>
                    <w:pStyle w:val="63"/>
                    <w:keepNext w:val="0"/>
                    <w:keepLines w:val="0"/>
                    <w:pageBreakBefore w:val="0"/>
                    <w:widowControl w:val="0"/>
                    <w:numPr>
                      <w:ilvl w:val="0"/>
                      <w:numId w:val="25"/>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552" w:type="pct"/>
                  <w:tcBorders>
                    <w:tl2br w:val="nil"/>
                    <w:tr2bl w:val="nil"/>
                  </w:tcBorders>
                  <w:noWrap w:val="0"/>
                  <w:vAlign w:val="center"/>
                </w:tcPr>
                <w:p w14:paraId="0A0858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总有机碳</w:t>
                  </w:r>
                </w:p>
              </w:tc>
              <w:tc>
                <w:tcPr>
                  <w:tcW w:w="805" w:type="pct"/>
                  <w:tcBorders>
                    <w:tl2br w:val="nil"/>
                    <w:tr2bl w:val="nil"/>
                  </w:tcBorders>
                  <w:noWrap w:val="0"/>
                  <w:vAlign w:val="center"/>
                </w:tcPr>
                <w:p w14:paraId="677FB5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mg/L</w:t>
                  </w:r>
                </w:p>
              </w:tc>
              <w:tc>
                <w:tcPr>
                  <w:tcW w:w="805" w:type="pct"/>
                  <w:tcBorders>
                    <w:tl2br w:val="nil"/>
                    <w:tr2bl w:val="nil"/>
                  </w:tcBorders>
                  <w:noWrap w:val="0"/>
                  <w:vAlign w:val="center"/>
                </w:tcPr>
                <w:p w14:paraId="4260A9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25</w:t>
                  </w:r>
                </w:p>
              </w:tc>
              <w:tc>
                <w:tcPr>
                  <w:tcW w:w="1418" w:type="pct"/>
                  <w:vMerge w:val="continue"/>
                  <w:tcBorders>
                    <w:tl2br w:val="nil"/>
                    <w:tr2bl w:val="nil"/>
                  </w:tcBorders>
                  <w:noWrap w:val="0"/>
                  <w:vAlign w:val="center"/>
                </w:tcPr>
                <w:p w14:paraId="75F884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p>
              </w:tc>
            </w:tr>
            <w:tr w14:paraId="77A963E8">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51" w:hRule="atLeast"/>
                <w:jc w:val="center"/>
              </w:trPr>
              <w:tc>
                <w:tcPr>
                  <w:tcW w:w="2776" w:type="pct"/>
                  <w:gridSpan w:val="3"/>
                  <w:tcBorders>
                    <w:tl2br w:val="nil"/>
                    <w:tr2bl w:val="nil"/>
                  </w:tcBorders>
                  <w:noWrap w:val="0"/>
                  <w:vAlign w:val="center"/>
                </w:tcPr>
                <w:p w14:paraId="79D396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单位产品基准排水量/(m</w:t>
                  </w:r>
                  <w:r>
                    <w:rPr>
                      <w:rFonts w:hint="eastAsia" w:cs="Times New Roman"/>
                      <w:b w:val="0"/>
                      <w:bCs w:val="0"/>
                      <w:color w:val="000000" w:themeColor="text1"/>
                      <w:kern w:val="0"/>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/t)</w:t>
                  </w:r>
                </w:p>
              </w:tc>
              <w:tc>
                <w:tcPr>
                  <w:tcW w:w="805" w:type="pct"/>
                  <w:tcBorders>
                    <w:tl2br w:val="nil"/>
                    <w:tr2bl w:val="nil"/>
                  </w:tcBorders>
                  <w:noWrap w:val="0"/>
                  <w:vAlign w:val="center"/>
                </w:tcPr>
                <w:p w14:paraId="3300C4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300</w:t>
                  </w:r>
                </w:p>
              </w:tc>
              <w:tc>
                <w:tcPr>
                  <w:tcW w:w="1418" w:type="pct"/>
                  <w:vMerge w:val="continue"/>
                  <w:tcBorders>
                    <w:tl2br w:val="nil"/>
                    <w:tr2bl w:val="nil"/>
                  </w:tcBorders>
                  <w:noWrap w:val="0"/>
                  <w:vAlign w:val="center"/>
                </w:tcPr>
                <w:p w14:paraId="377A16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p>
              </w:tc>
            </w:tr>
            <w:tr w14:paraId="581EDED5">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51" w:hRule="atLeast"/>
                <w:jc w:val="center"/>
              </w:trPr>
              <w:tc>
                <w:tcPr>
                  <w:tcW w:w="417" w:type="pct"/>
                  <w:tcBorders>
                    <w:tl2br w:val="nil"/>
                    <w:tr2bl w:val="nil"/>
                  </w:tcBorders>
                  <w:noWrap w:val="0"/>
                  <w:vAlign w:val="center"/>
                </w:tcPr>
                <w:p w14:paraId="6471AC9C">
                  <w:pPr>
                    <w:pStyle w:val="63"/>
                    <w:keepNext w:val="0"/>
                    <w:keepLines w:val="0"/>
                    <w:pageBreakBefore w:val="0"/>
                    <w:widowControl w:val="0"/>
                    <w:numPr>
                      <w:ilvl w:val="0"/>
                      <w:numId w:val="25"/>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552" w:type="pct"/>
                  <w:tcBorders>
                    <w:tl2br w:val="nil"/>
                    <w:tr2bl w:val="nil"/>
                  </w:tcBorders>
                  <w:noWrap w:val="0"/>
                  <w:vAlign w:val="center"/>
                </w:tcPr>
                <w:p w14:paraId="424867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色度</w:t>
                  </w:r>
                </w:p>
              </w:tc>
              <w:tc>
                <w:tcPr>
                  <w:tcW w:w="805" w:type="pct"/>
                  <w:tcBorders>
                    <w:tl2br w:val="nil"/>
                    <w:tr2bl w:val="nil"/>
                  </w:tcBorders>
                  <w:noWrap w:val="0"/>
                  <w:vAlign w:val="center"/>
                </w:tcPr>
                <w:p w14:paraId="16A231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kern w:val="0"/>
                      <w:sz w:val="21"/>
                      <w:szCs w:val="21"/>
                      <w:highlight w:val="none"/>
                      <w:lang w:val="en-US" w:eastAsia="zh-CN" w:bidi="ar-SA"/>
                      <w14:textFill>
                        <w14:solidFill>
                          <w14:schemeClr w14:val="tx1"/>
                        </w14:solidFill>
                      </w14:textFill>
                    </w:rPr>
                    <w:t>倍</w:t>
                  </w:r>
                </w:p>
              </w:tc>
              <w:tc>
                <w:tcPr>
                  <w:tcW w:w="805" w:type="pct"/>
                  <w:tcBorders>
                    <w:tl2br w:val="nil"/>
                    <w:tr2bl w:val="nil"/>
                  </w:tcBorders>
                  <w:noWrap w:val="0"/>
                  <w:vAlign w:val="center"/>
                </w:tcPr>
                <w:p w14:paraId="5D52B5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100</w:t>
                  </w:r>
                </w:p>
              </w:tc>
              <w:tc>
                <w:tcPr>
                  <w:tcW w:w="1418" w:type="pct"/>
                  <w:vMerge w:val="restart"/>
                  <w:tcBorders>
                    <w:tl2br w:val="nil"/>
                    <w:tr2bl w:val="nil"/>
                  </w:tcBorders>
                  <w:noWrap w:val="0"/>
                  <w:vAlign w:val="center"/>
                </w:tcPr>
                <w:p w14:paraId="6A5EF8C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《辽宁省污水综合排放标准》（DB21/1627-2008）表2</w:t>
                  </w:r>
                </w:p>
              </w:tc>
            </w:tr>
            <w:tr w14:paraId="0C8E7E94">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51" w:hRule="atLeast"/>
                <w:jc w:val="center"/>
              </w:trPr>
              <w:tc>
                <w:tcPr>
                  <w:tcW w:w="417" w:type="pct"/>
                  <w:tcBorders>
                    <w:tl2br w:val="nil"/>
                    <w:tr2bl w:val="nil"/>
                  </w:tcBorders>
                  <w:shd w:val="clear" w:color="auto" w:fill="auto"/>
                  <w:noWrap w:val="0"/>
                  <w:vAlign w:val="center"/>
                </w:tcPr>
                <w:p w14:paraId="7EFE7632">
                  <w:pPr>
                    <w:pStyle w:val="63"/>
                    <w:keepNext w:val="0"/>
                    <w:keepLines w:val="0"/>
                    <w:pageBreakBefore w:val="0"/>
                    <w:widowControl w:val="0"/>
                    <w:numPr>
                      <w:ilvl w:val="0"/>
                      <w:numId w:val="25"/>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552" w:type="pct"/>
                  <w:tcBorders>
                    <w:tl2br w:val="nil"/>
                    <w:tr2bl w:val="nil"/>
                  </w:tcBorders>
                  <w:shd w:val="clear" w:color="auto" w:fill="auto"/>
                  <w:noWrap w:val="0"/>
                  <w:vAlign w:val="center"/>
                </w:tcPr>
                <w:p w14:paraId="176A6E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悬浮物</w:t>
                  </w:r>
                </w:p>
              </w:tc>
              <w:tc>
                <w:tcPr>
                  <w:tcW w:w="805" w:type="pct"/>
                  <w:tcBorders>
                    <w:tl2br w:val="nil"/>
                    <w:tr2bl w:val="nil"/>
                  </w:tcBorders>
                  <w:shd w:val="clear" w:color="auto" w:fill="auto"/>
                  <w:noWrap w:val="0"/>
                  <w:vAlign w:val="center"/>
                </w:tcPr>
                <w:p w14:paraId="73477D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mg/L</w:t>
                  </w:r>
                </w:p>
              </w:tc>
              <w:tc>
                <w:tcPr>
                  <w:tcW w:w="805" w:type="pct"/>
                  <w:tcBorders>
                    <w:tl2br w:val="nil"/>
                    <w:tr2bl w:val="nil"/>
                  </w:tcBorders>
                  <w:shd w:val="clear" w:color="auto" w:fill="auto"/>
                  <w:noWrap w:val="0"/>
                  <w:vAlign w:val="center"/>
                </w:tcPr>
                <w:p w14:paraId="1C459B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300</w:t>
                  </w:r>
                </w:p>
              </w:tc>
              <w:tc>
                <w:tcPr>
                  <w:tcW w:w="1418" w:type="pct"/>
                  <w:vMerge w:val="continue"/>
                  <w:tcBorders>
                    <w:tl2br w:val="nil"/>
                    <w:tr2bl w:val="nil"/>
                  </w:tcBorders>
                  <w:noWrap w:val="0"/>
                  <w:vAlign w:val="center"/>
                </w:tcPr>
                <w:p w14:paraId="7DA47D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p>
              </w:tc>
            </w:tr>
            <w:tr w14:paraId="5242BF93">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51" w:hRule="atLeast"/>
                <w:jc w:val="center"/>
              </w:trPr>
              <w:tc>
                <w:tcPr>
                  <w:tcW w:w="417" w:type="pct"/>
                  <w:tcBorders>
                    <w:tl2br w:val="nil"/>
                    <w:tr2bl w:val="nil"/>
                  </w:tcBorders>
                  <w:shd w:val="clear" w:color="auto" w:fill="auto"/>
                  <w:noWrap w:val="0"/>
                  <w:vAlign w:val="center"/>
                </w:tcPr>
                <w:p w14:paraId="6256A3F5">
                  <w:pPr>
                    <w:pStyle w:val="63"/>
                    <w:keepNext w:val="0"/>
                    <w:keepLines w:val="0"/>
                    <w:pageBreakBefore w:val="0"/>
                    <w:widowControl w:val="0"/>
                    <w:numPr>
                      <w:ilvl w:val="0"/>
                      <w:numId w:val="25"/>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552" w:type="pct"/>
                  <w:tcBorders>
                    <w:tl2br w:val="nil"/>
                    <w:tr2bl w:val="nil"/>
                  </w:tcBorders>
                  <w:shd w:val="clear" w:color="auto" w:fill="auto"/>
                  <w:noWrap w:val="0"/>
                  <w:vAlign w:val="center"/>
                </w:tcPr>
                <w:p w14:paraId="586251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五日生化需氧量</w:t>
                  </w:r>
                </w:p>
              </w:tc>
              <w:tc>
                <w:tcPr>
                  <w:tcW w:w="805" w:type="pct"/>
                  <w:tcBorders>
                    <w:tl2br w:val="nil"/>
                    <w:tr2bl w:val="nil"/>
                  </w:tcBorders>
                  <w:shd w:val="clear" w:color="auto" w:fill="auto"/>
                  <w:noWrap w:val="0"/>
                  <w:vAlign w:val="center"/>
                </w:tcPr>
                <w:p w14:paraId="43DFF6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mg/L</w:t>
                  </w:r>
                </w:p>
              </w:tc>
              <w:tc>
                <w:tcPr>
                  <w:tcW w:w="805" w:type="pct"/>
                  <w:tcBorders>
                    <w:tl2br w:val="nil"/>
                    <w:tr2bl w:val="nil"/>
                  </w:tcBorders>
                  <w:shd w:val="clear" w:color="auto" w:fill="auto"/>
                  <w:noWrap w:val="0"/>
                  <w:vAlign w:val="center"/>
                </w:tcPr>
                <w:p w14:paraId="2D02D6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250</w:t>
                  </w:r>
                </w:p>
              </w:tc>
              <w:tc>
                <w:tcPr>
                  <w:tcW w:w="1418" w:type="pct"/>
                  <w:vMerge w:val="continue"/>
                  <w:tcBorders>
                    <w:tl2br w:val="nil"/>
                    <w:tr2bl w:val="nil"/>
                  </w:tcBorders>
                  <w:noWrap w:val="0"/>
                  <w:vAlign w:val="center"/>
                </w:tcPr>
                <w:p w14:paraId="32C61F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513B8FF4">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81" w:hRule="atLeast"/>
                <w:jc w:val="center"/>
              </w:trPr>
              <w:tc>
                <w:tcPr>
                  <w:tcW w:w="417" w:type="pct"/>
                  <w:tcBorders>
                    <w:tl2br w:val="nil"/>
                    <w:tr2bl w:val="nil"/>
                  </w:tcBorders>
                  <w:shd w:val="clear" w:color="auto" w:fill="auto"/>
                  <w:noWrap w:val="0"/>
                  <w:vAlign w:val="center"/>
                </w:tcPr>
                <w:p w14:paraId="41DD1CB7">
                  <w:pPr>
                    <w:pStyle w:val="63"/>
                    <w:keepNext w:val="0"/>
                    <w:keepLines w:val="0"/>
                    <w:pageBreakBefore w:val="0"/>
                    <w:widowControl w:val="0"/>
                    <w:numPr>
                      <w:ilvl w:val="0"/>
                      <w:numId w:val="25"/>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552" w:type="pct"/>
                  <w:tcBorders>
                    <w:tl2br w:val="nil"/>
                    <w:tr2bl w:val="nil"/>
                  </w:tcBorders>
                  <w:shd w:val="clear" w:color="auto" w:fill="auto"/>
                  <w:noWrap w:val="0"/>
                  <w:vAlign w:val="center"/>
                </w:tcPr>
                <w:p w14:paraId="17942A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化学需氧量</w:t>
                  </w:r>
                </w:p>
              </w:tc>
              <w:tc>
                <w:tcPr>
                  <w:tcW w:w="805" w:type="pct"/>
                  <w:tcBorders>
                    <w:tl2br w:val="nil"/>
                    <w:tr2bl w:val="nil"/>
                  </w:tcBorders>
                  <w:shd w:val="clear" w:color="auto" w:fill="auto"/>
                  <w:noWrap w:val="0"/>
                  <w:vAlign w:val="center"/>
                </w:tcPr>
                <w:p w14:paraId="1133F5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mg/L</w:t>
                  </w:r>
                </w:p>
              </w:tc>
              <w:tc>
                <w:tcPr>
                  <w:tcW w:w="805" w:type="pct"/>
                  <w:tcBorders>
                    <w:tl2br w:val="nil"/>
                    <w:tr2bl w:val="nil"/>
                  </w:tcBorders>
                  <w:shd w:val="clear" w:color="auto" w:fill="auto"/>
                  <w:noWrap w:val="0"/>
                  <w:vAlign w:val="center"/>
                </w:tcPr>
                <w:p w14:paraId="4CA853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300</w:t>
                  </w:r>
                </w:p>
              </w:tc>
              <w:tc>
                <w:tcPr>
                  <w:tcW w:w="1418" w:type="pct"/>
                  <w:vMerge w:val="continue"/>
                  <w:tcBorders>
                    <w:tl2br w:val="nil"/>
                    <w:tr2bl w:val="nil"/>
                  </w:tcBorders>
                  <w:noWrap w:val="0"/>
                  <w:vAlign w:val="center"/>
                </w:tcPr>
                <w:p w14:paraId="65F625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p>
              </w:tc>
            </w:tr>
            <w:tr w14:paraId="19EBC79D">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81" w:hRule="atLeast"/>
                <w:jc w:val="center"/>
              </w:trPr>
              <w:tc>
                <w:tcPr>
                  <w:tcW w:w="417" w:type="pct"/>
                  <w:tcBorders>
                    <w:tl2br w:val="nil"/>
                    <w:tr2bl w:val="nil"/>
                  </w:tcBorders>
                  <w:shd w:val="clear" w:color="auto" w:fill="auto"/>
                  <w:noWrap w:val="0"/>
                  <w:vAlign w:val="center"/>
                </w:tcPr>
                <w:p w14:paraId="42931E2B">
                  <w:pPr>
                    <w:pStyle w:val="63"/>
                    <w:keepNext w:val="0"/>
                    <w:keepLines w:val="0"/>
                    <w:pageBreakBefore w:val="0"/>
                    <w:widowControl w:val="0"/>
                    <w:numPr>
                      <w:ilvl w:val="0"/>
                      <w:numId w:val="25"/>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552" w:type="pct"/>
                  <w:tcBorders>
                    <w:tl2br w:val="nil"/>
                    <w:tr2bl w:val="nil"/>
                  </w:tcBorders>
                  <w:shd w:val="clear" w:color="auto" w:fill="auto"/>
                  <w:noWrap w:val="0"/>
                  <w:vAlign w:val="center"/>
                </w:tcPr>
                <w:p w14:paraId="0A8D5F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氨氮</w:t>
                  </w:r>
                </w:p>
              </w:tc>
              <w:tc>
                <w:tcPr>
                  <w:tcW w:w="805" w:type="pct"/>
                  <w:tcBorders>
                    <w:tl2br w:val="nil"/>
                    <w:tr2bl w:val="nil"/>
                  </w:tcBorders>
                  <w:shd w:val="clear" w:color="auto" w:fill="auto"/>
                  <w:noWrap w:val="0"/>
                  <w:vAlign w:val="center"/>
                </w:tcPr>
                <w:p w14:paraId="5E7D0E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mg/L</w:t>
                  </w:r>
                </w:p>
              </w:tc>
              <w:tc>
                <w:tcPr>
                  <w:tcW w:w="805" w:type="pct"/>
                  <w:tcBorders>
                    <w:tl2br w:val="nil"/>
                    <w:tr2bl w:val="nil"/>
                  </w:tcBorders>
                  <w:shd w:val="clear" w:color="auto" w:fill="auto"/>
                  <w:noWrap w:val="0"/>
                  <w:vAlign w:val="center"/>
                </w:tcPr>
                <w:p w14:paraId="50D017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30</w:t>
                  </w:r>
                </w:p>
              </w:tc>
              <w:tc>
                <w:tcPr>
                  <w:tcW w:w="1418" w:type="pct"/>
                  <w:vMerge w:val="continue"/>
                  <w:tcBorders>
                    <w:tl2br w:val="nil"/>
                    <w:tr2bl w:val="nil"/>
                  </w:tcBorders>
                  <w:noWrap w:val="0"/>
                  <w:vAlign w:val="center"/>
                </w:tcPr>
                <w:p w14:paraId="00BC5A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p>
              </w:tc>
            </w:tr>
            <w:tr w14:paraId="5C883FA8">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81" w:hRule="atLeast"/>
                <w:jc w:val="center"/>
              </w:trPr>
              <w:tc>
                <w:tcPr>
                  <w:tcW w:w="417" w:type="pct"/>
                  <w:tcBorders>
                    <w:tl2br w:val="nil"/>
                    <w:tr2bl w:val="nil"/>
                  </w:tcBorders>
                  <w:shd w:val="clear" w:color="auto" w:fill="auto"/>
                  <w:noWrap w:val="0"/>
                  <w:vAlign w:val="center"/>
                </w:tcPr>
                <w:p w14:paraId="5F1DEAF8">
                  <w:pPr>
                    <w:pStyle w:val="63"/>
                    <w:keepNext w:val="0"/>
                    <w:keepLines w:val="0"/>
                    <w:pageBreakBefore w:val="0"/>
                    <w:widowControl w:val="0"/>
                    <w:numPr>
                      <w:ilvl w:val="0"/>
                      <w:numId w:val="25"/>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552" w:type="pct"/>
                  <w:tcBorders>
                    <w:tl2br w:val="nil"/>
                    <w:tr2bl w:val="nil"/>
                  </w:tcBorders>
                  <w:shd w:val="clear" w:color="auto" w:fill="auto"/>
                  <w:noWrap w:val="0"/>
                  <w:vAlign w:val="center"/>
                </w:tcPr>
                <w:p w14:paraId="27A364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总氮</w:t>
                  </w:r>
                </w:p>
              </w:tc>
              <w:tc>
                <w:tcPr>
                  <w:tcW w:w="805" w:type="pct"/>
                  <w:tcBorders>
                    <w:tl2br w:val="nil"/>
                    <w:tr2bl w:val="nil"/>
                  </w:tcBorders>
                  <w:shd w:val="clear" w:color="auto" w:fill="auto"/>
                  <w:noWrap w:val="0"/>
                  <w:vAlign w:val="center"/>
                </w:tcPr>
                <w:p w14:paraId="2E66BF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mg/L</w:t>
                  </w:r>
                </w:p>
              </w:tc>
              <w:tc>
                <w:tcPr>
                  <w:tcW w:w="805" w:type="pct"/>
                  <w:tcBorders>
                    <w:tl2br w:val="nil"/>
                    <w:tr2bl w:val="nil"/>
                  </w:tcBorders>
                  <w:shd w:val="clear" w:color="auto" w:fill="auto"/>
                  <w:noWrap w:val="0"/>
                  <w:vAlign w:val="center"/>
                </w:tcPr>
                <w:p w14:paraId="4C0BD7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50</w:t>
                  </w:r>
                </w:p>
              </w:tc>
              <w:tc>
                <w:tcPr>
                  <w:tcW w:w="1418" w:type="pct"/>
                  <w:vMerge w:val="continue"/>
                  <w:tcBorders>
                    <w:tl2br w:val="nil"/>
                    <w:tr2bl w:val="nil"/>
                  </w:tcBorders>
                  <w:noWrap w:val="0"/>
                  <w:vAlign w:val="center"/>
                </w:tcPr>
                <w:p w14:paraId="769F72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p>
              </w:tc>
            </w:tr>
            <w:tr w14:paraId="5F7A6293">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81" w:hRule="atLeast"/>
                <w:jc w:val="center"/>
              </w:trPr>
              <w:tc>
                <w:tcPr>
                  <w:tcW w:w="417" w:type="pct"/>
                  <w:tcBorders>
                    <w:tl2br w:val="nil"/>
                    <w:tr2bl w:val="nil"/>
                  </w:tcBorders>
                  <w:shd w:val="clear" w:color="auto" w:fill="auto"/>
                  <w:noWrap w:val="0"/>
                  <w:vAlign w:val="center"/>
                </w:tcPr>
                <w:p w14:paraId="7C9CD807">
                  <w:pPr>
                    <w:pStyle w:val="63"/>
                    <w:keepNext w:val="0"/>
                    <w:keepLines w:val="0"/>
                    <w:pageBreakBefore w:val="0"/>
                    <w:widowControl w:val="0"/>
                    <w:numPr>
                      <w:ilvl w:val="0"/>
                      <w:numId w:val="25"/>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552" w:type="pct"/>
                  <w:tcBorders>
                    <w:tl2br w:val="nil"/>
                    <w:tr2bl w:val="nil"/>
                  </w:tcBorders>
                  <w:shd w:val="clear" w:color="auto" w:fill="auto"/>
                  <w:noWrap w:val="0"/>
                  <w:vAlign w:val="center"/>
                </w:tcPr>
                <w:p w14:paraId="128008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总磷</w:t>
                  </w:r>
                </w:p>
              </w:tc>
              <w:tc>
                <w:tcPr>
                  <w:tcW w:w="805" w:type="pct"/>
                  <w:tcBorders>
                    <w:tl2br w:val="nil"/>
                    <w:tr2bl w:val="nil"/>
                  </w:tcBorders>
                  <w:shd w:val="clear" w:color="auto" w:fill="auto"/>
                  <w:noWrap w:val="0"/>
                  <w:vAlign w:val="center"/>
                </w:tcPr>
                <w:p w14:paraId="58CFEC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mg/L</w:t>
                  </w:r>
                </w:p>
              </w:tc>
              <w:tc>
                <w:tcPr>
                  <w:tcW w:w="805" w:type="pct"/>
                  <w:tcBorders>
                    <w:tl2br w:val="nil"/>
                    <w:tr2bl w:val="nil"/>
                  </w:tcBorders>
                  <w:shd w:val="clear" w:color="auto" w:fill="auto"/>
                  <w:noWrap w:val="0"/>
                  <w:vAlign w:val="center"/>
                </w:tcPr>
                <w:p w14:paraId="51BCD5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5.0</w:t>
                  </w:r>
                </w:p>
              </w:tc>
              <w:tc>
                <w:tcPr>
                  <w:tcW w:w="1418" w:type="pct"/>
                  <w:vMerge w:val="continue"/>
                  <w:tcBorders>
                    <w:tl2br w:val="nil"/>
                    <w:tr2bl w:val="nil"/>
                  </w:tcBorders>
                  <w:noWrap w:val="0"/>
                  <w:vAlign w:val="center"/>
                </w:tcPr>
                <w:p w14:paraId="54EAD3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p>
              </w:tc>
            </w:tr>
            <w:tr w14:paraId="14528AC4">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81" w:hRule="atLeast"/>
                <w:jc w:val="center"/>
              </w:trPr>
              <w:tc>
                <w:tcPr>
                  <w:tcW w:w="417" w:type="pct"/>
                  <w:tcBorders>
                    <w:tl2br w:val="nil"/>
                    <w:tr2bl w:val="nil"/>
                  </w:tcBorders>
                  <w:shd w:val="clear" w:color="auto" w:fill="auto"/>
                  <w:noWrap w:val="0"/>
                  <w:vAlign w:val="center"/>
                </w:tcPr>
                <w:p w14:paraId="22C66458">
                  <w:pPr>
                    <w:pStyle w:val="63"/>
                    <w:keepNext w:val="0"/>
                    <w:keepLines w:val="0"/>
                    <w:pageBreakBefore w:val="0"/>
                    <w:widowControl w:val="0"/>
                    <w:numPr>
                      <w:ilvl w:val="0"/>
                      <w:numId w:val="25"/>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552" w:type="pct"/>
                  <w:tcBorders>
                    <w:tl2br w:val="nil"/>
                    <w:tr2bl w:val="nil"/>
                  </w:tcBorders>
                  <w:shd w:val="clear" w:color="auto" w:fill="auto"/>
                  <w:noWrap w:val="0"/>
                  <w:vAlign w:val="center"/>
                </w:tcPr>
                <w:p w14:paraId="687FFE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总氰化物</w:t>
                  </w:r>
                </w:p>
              </w:tc>
              <w:tc>
                <w:tcPr>
                  <w:tcW w:w="805" w:type="pct"/>
                  <w:tcBorders>
                    <w:tl2br w:val="nil"/>
                    <w:tr2bl w:val="nil"/>
                  </w:tcBorders>
                  <w:shd w:val="clear" w:color="auto" w:fill="auto"/>
                  <w:noWrap w:val="0"/>
                  <w:vAlign w:val="center"/>
                </w:tcPr>
                <w:p w14:paraId="589BC4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t>mg/L</w:t>
                  </w:r>
                </w:p>
              </w:tc>
              <w:tc>
                <w:tcPr>
                  <w:tcW w:w="805" w:type="pct"/>
                  <w:tcBorders>
                    <w:tl2br w:val="nil"/>
                    <w:tr2bl w:val="nil"/>
                  </w:tcBorders>
                  <w:shd w:val="clear" w:color="auto" w:fill="auto"/>
                  <w:noWrap w:val="0"/>
                  <w:vAlign w:val="center"/>
                </w:tcPr>
                <w:p w14:paraId="441607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w:t>
                  </w:r>
                </w:p>
              </w:tc>
              <w:tc>
                <w:tcPr>
                  <w:tcW w:w="1418" w:type="pct"/>
                  <w:vMerge w:val="continue"/>
                  <w:tcBorders>
                    <w:tl2br w:val="nil"/>
                    <w:tr2bl w:val="nil"/>
                  </w:tcBorders>
                  <w:noWrap w:val="0"/>
                  <w:vAlign w:val="center"/>
                </w:tcPr>
                <w:p w14:paraId="6FDE84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bl>
          <w:p w14:paraId="3FAF0AC2">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jc w:val="left"/>
              <w:textAlignment w:val="auto"/>
              <w:rPr>
                <w:rFonts w:hint="default" w:ascii="Times New Roman" w:hAnsi="Times New Roman" w:cs="Times New Roman"/>
                <w:b/>
                <w:bCs/>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2.</w:t>
            </w:r>
            <w:r>
              <w:rPr>
                <w:rFonts w:hint="eastAsia" w:cs="Times New Roman"/>
                <w:b/>
                <w:bCs/>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b/>
                <w:bCs/>
                <w:color w:val="000000" w:themeColor="text1"/>
                <w:sz w:val="24"/>
                <w:szCs w:val="24"/>
                <w:highlight w:val="none"/>
                <w14:textFill>
                  <w14:solidFill>
                    <w14:schemeClr w14:val="tx1"/>
                  </w14:solidFill>
                </w14:textFill>
              </w:rPr>
              <w:t>、噪声</w:t>
            </w:r>
          </w:p>
          <w:p w14:paraId="28F96C74">
            <w:pPr>
              <w:keepNext w:val="0"/>
              <w:keepLines w:val="0"/>
              <w:widowControl/>
              <w:suppressLineNumbers w:val="0"/>
              <w:adjustRightInd w:val="0"/>
              <w:snapToGrid w:val="0"/>
              <w:spacing w:before="72" w:beforeLines="30" w:beforeAutospacing="0" w:after="72" w:afterLines="30" w:afterAutospacing="0" w:line="360" w:lineRule="auto"/>
              <w:ind w:left="0" w:right="0" w:firstLine="480" w:firstLineChars="200"/>
              <w:jc w:val="left"/>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根据</w:t>
            </w: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沈本新城噪声环境功能区划</w:t>
            </w:r>
            <w:r>
              <w:rPr>
                <w:rFonts w:hint="eastAsia" w:cs="Times New Roman"/>
                <w:b w:val="0"/>
                <w:color w:val="000000" w:themeColor="text1"/>
                <w:kern w:val="2"/>
                <w:sz w:val="24"/>
                <w:szCs w:val="24"/>
                <w:highlight w:val="none"/>
                <w:lang w:val="en-US" w:eastAsia="zh-CN" w:bidi="ar-SA"/>
                <w14:textFill>
                  <w14:solidFill>
                    <w14:schemeClr w14:val="tx1"/>
                  </w14:solidFill>
                </w14:textFill>
              </w:rPr>
              <w:t>（详见附图9）</w:t>
            </w: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本项目南、西厂界噪声执行《工业企业厂界环境噪声排放标准》（GB12348-2008）2类标准限值；东、北厂界噪声执行《工业企业厂界环境噪声排放标准》（GB12348-2008）3类标准限值，</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详见下表：</w:t>
            </w:r>
          </w:p>
          <w:p w14:paraId="5F66CC66">
            <w:pPr>
              <w:keepNext w:val="0"/>
              <w:keepLines w:val="0"/>
              <w:pageBreakBefore w:val="0"/>
              <w:widowControl w:val="0"/>
              <w:numPr>
                <w:ilvl w:val="0"/>
                <w:numId w:val="24"/>
              </w:numPr>
              <w:suppressLineNumbers w:val="0"/>
              <w:kinsoku/>
              <w:wordWrap/>
              <w:overflowPunct/>
              <w:topLinePunct w:val="0"/>
              <w:autoSpaceDE/>
              <w:autoSpaceDN/>
              <w:bidi w:val="0"/>
              <w:adjustRightInd/>
              <w:snapToGrid w:val="0"/>
              <w:spacing w:before="157" w:beforeLines="5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zh-CN"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1"/>
                <w:szCs w:val="21"/>
                <w:highlight w:val="none"/>
                <w:lang w:val="zh-CN" w:eastAsia="zh-CN"/>
                <w14:textFill>
                  <w14:solidFill>
                    <w14:schemeClr w14:val="tx1"/>
                  </w14:solidFill>
                </w14:textFill>
              </w:rPr>
              <w:t>工业企业厂界环境噪声排放标准</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1"/>
                <w:szCs w:val="21"/>
                <w:highlight w:val="none"/>
                <w:lang w:val="zh-CN" w:eastAsia="zh-CN"/>
                <w14:textFill>
                  <w14:solidFill>
                    <w14:schemeClr w14:val="tx1"/>
                  </w14:solidFill>
                </w14:textFill>
              </w:rPr>
              <w:t>单位：dB(A)</w:t>
            </w:r>
          </w:p>
          <w:tbl>
            <w:tblPr>
              <w:tblStyle w:val="35"/>
              <w:tblW w:w="4999" w:type="pct"/>
              <w:tblInd w:w="0" w:type="dxa"/>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78"/>
              <w:gridCol w:w="2079"/>
              <w:gridCol w:w="2079"/>
              <w:gridCol w:w="2079"/>
            </w:tblGrid>
            <w:tr w14:paraId="5217AEF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PrEx>
              <w:trPr>
                <w:trHeight w:val="375" w:hRule="atLeast"/>
              </w:trPr>
              <w:tc>
                <w:tcPr>
                  <w:tcW w:w="1250" w:type="pct"/>
                  <w:tcBorders>
                    <w:tl2br w:val="nil"/>
                    <w:tr2bl w:val="nil"/>
                  </w:tcBorders>
                  <w:vAlign w:val="center"/>
                </w:tcPr>
                <w:p w14:paraId="217DFDBD">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厂界</w:t>
                  </w:r>
                </w:p>
              </w:tc>
              <w:tc>
                <w:tcPr>
                  <w:tcW w:w="1250" w:type="pct"/>
                  <w:tcBorders>
                    <w:tl2br w:val="nil"/>
                    <w:tr2bl w:val="nil"/>
                  </w:tcBorders>
                  <w:vAlign w:val="center"/>
                </w:tcPr>
                <w:p w14:paraId="5D6C6F6C">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标准</w:t>
                  </w:r>
                </w:p>
              </w:tc>
              <w:tc>
                <w:tcPr>
                  <w:tcW w:w="1250" w:type="pct"/>
                  <w:tcBorders>
                    <w:tl2br w:val="nil"/>
                    <w:tr2bl w:val="nil"/>
                  </w:tcBorders>
                  <w:vAlign w:val="center"/>
                </w:tcPr>
                <w:p w14:paraId="17D14D51">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昼间</w:t>
                  </w:r>
                </w:p>
              </w:tc>
              <w:tc>
                <w:tcPr>
                  <w:tcW w:w="1250" w:type="pct"/>
                  <w:tcBorders>
                    <w:tl2br w:val="nil"/>
                    <w:tr2bl w:val="nil"/>
                  </w:tcBorders>
                  <w:vAlign w:val="center"/>
                </w:tcPr>
                <w:p w14:paraId="6C05CDE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夜间</w:t>
                  </w:r>
                </w:p>
              </w:tc>
            </w:tr>
            <w:tr w14:paraId="0A8FB4F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1250" w:type="pct"/>
                  <w:tcBorders>
                    <w:tl2br w:val="nil"/>
                    <w:tr2bl w:val="nil"/>
                  </w:tcBorders>
                  <w:vAlign w:val="center"/>
                </w:tcPr>
                <w:p w14:paraId="374A5D17">
                  <w:pPr>
                    <w:keepNext w:val="0"/>
                    <w:keepLines w:val="0"/>
                    <w:suppressLineNumbers w:val="0"/>
                    <w:spacing w:before="0" w:beforeAutospacing="0" w:after="0" w:afterAutospacing="0" w:line="240" w:lineRule="auto"/>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南、西厂界</w:t>
                  </w:r>
                </w:p>
              </w:tc>
              <w:tc>
                <w:tcPr>
                  <w:tcW w:w="1250" w:type="pct"/>
                  <w:tcBorders>
                    <w:tl2br w:val="nil"/>
                    <w:tr2bl w:val="nil"/>
                  </w:tcBorders>
                  <w:vAlign w:val="center"/>
                </w:tcPr>
                <w:p w14:paraId="245FEFE9">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类</w:t>
                  </w:r>
                </w:p>
              </w:tc>
              <w:tc>
                <w:tcPr>
                  <w:tcW w:w="1250" w:type="pct"/>
                  <w:tcBorders>
                    <w:tl2br w:val="nil"/>
                    <w:tr2bl w:val="nil"/>
                  </w:tcBorders>
                  <w:vAlign w:val="center"/>
                </w:tcPr>
                <w:p w14:paraId="287E282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60</w:t>
                  </w:r>
                </w:p>
              </w:tc>
              <w:tc>
                <w:tcPr>
                  <w:tcW w:w="1250" w:type="pct"/>
                  <w:tcBorders>
                    <w:tl2br w:val="nil"/>
                    <w:tr2bl w:val="nil"/>
                  </w:tcBorders>
                  <w:vAlign w:val="center"/>
                </w:tcPr>
                <w:p w14:paraId="286D93BE">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50</w:t>
                  </w:r>
                </w:p>
              </w:tc>
            </w:tr>
            <w:tr w14:paraId="28528B6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1250" w:type="pct"/>
                  <w:tcBorders>
                    <w:tl2br w:val="nil"/>
                    <w:tr2bl w:val="nil"/>
                  </w:tcBorders>
                  <w:vAlign w:val="center"/>
                </w:tcPr>
                <w:p w14:paraId="78B4EC40">
                  <w:pPr>
                    <w:keepNext w:val="0"/>
                    <w:keepLines w:val="0"/>
                    <w:suppressLineNumbers w:val="0"/>
                    <w:spacing w:before="0" w:beforeAutospacing="0" w:after="0" w:afterAutospacing="0" w:line="240" w:lineRule="auto"/>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东、北厂界</w:t>
                  </w:r>
                </w:p>
              </w:tc>
              <w:tc>
                <w:tcPr>
                  <w:tcW w:w="1250" w:type="pct"/>
                  <w:tcBorders>
                    <w:tl2br w:val="nil"/>
                    <w:tr2bl w:val="nil"/>
                  </w:tcBorders>
                  <w:vAlign w:val="center"/>
                </w:tcPr>
                <w:p w14:paraId="603A00BB">
                  <w:pPr>
                    <w:keepNext w:val="0"/>
                    <w:keepLines w:val="0"/>
                    <w:suppressLineNumbers w:val="0"/>
                    <w:spacing w:before="0" w:beforeAutospacing="0" w:after="0" w:afterAutospacing="0" w:line="240" w:lineRule="auto"/>
                    <w:ind w:left="0" w:right="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3类</w:t>
                  </w:r>
                </w:p>
              </w:tc>
              <w:tc>
                <w:tcPr>
                  <w:tcW w:w="1250" w:type="pct"/>
                  <w:tcBorders>
                    <w:tl2br w:val="nil"/>
                    <w:tr2bl w:val="nil"/>
                  </w:tcBorders>
                  <w:vAlign w:val="center"/>
                </w:tcPr>
                <w:p w14:paraId="2154B955">
                  <w:pPr>
                    <w:keepNext w:val="0"/>
                    <w:keepLines w:val="0"/>
                    <w:suppressLineNumbers w:val="0"/>
                    <w:spacing w:before="0" w:beforeAutospacing="0" w:after="0" w:afterAutospacing="0" w:line="240" w:lineRule="auto"/>
                    <w:ind w:left="0" w:right="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65</w:t>
                  </w:r>
                </w:p>
              </w:tc>
              <w:tc>
                <w:tcPr>
                  <w:tcW w:w="1250" w:type="pct"/>
                  <w:tcBorders>
                    <w:tl2br w:val="nil"/>
                    <w:tr2bl w:val="nil"/>
                  </w:tcBorders>
                  <w:vAlign w:val="center"/>
                </w:tcPr>
                <w:p w14:paraId="775A42F7">
                  <w:pPr>
                    <w:keepNext w:val="0"/>
                    <w:keepLines w:val="0"/>
                    <w:suppressLineNumbers w:val="0"/>
                    <w:spacing w:before="0" w:beforeAutospacing="0" w:after="0" w:afterAutospacing="0" w:line="240" w:lineRule="auto"/>
                    <w:ind w:left="0" w:right="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55</w:t>
                  </w:r>
                </w:p>
              </w:tc>
            </w:tr>
          </w:tbl>
          <w:p w14:paraId="5797135D">
            <w:pPr>
              <w:keepNext w:val="0"/>
              <w:keepLines w:val="0"/>
              <w:widowControl/>
              <w:suppressLineNumbers w:val="0"/>
              <w:adjustRightInd w:val="0"/>
              <w:snapToGrid w:val="0"/>
              <w:spacing w:before="72" w:beforeLines="30" w:beforeAutospacing="0" w:after="72" w:afterLines="30" w:afterAutospacing="0" w:line="360" w:lineRule="auto"/>
              <w:ind w:left="0" w:right="0"/>
              <w:jc w:val="left"/>
              <w:rPr>
                <w:rFonts w:hint="default" w:ascii="Times New Roman" w:hAnsi="Times New Roman" w:cs="Times New Roman"/>
                <w:b/>
                <w:bCs/>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2.</w:t>
            </w:r>
            <w:r>
              <w:rPr>
                <w:rFonts w:hint="eastAsia" w:cs="Times New Roman"/>
                <w:b/>
                <w:bCs/>
                <w:color w:val="000000" w:themeColor="text1"/>
                <w:sz w:val="24"/>
                <w:szCs w:val="24"/>
                <w:highlight w:val="none"/>
                <w:lang w:val="en-US" w:eastAsia="zh-CN"/>
                <w14:textFill>
                  <w14:solidFill>
                    <w14:schemeClr w14:val="tx1"/>
                  </w14:solidFill>
                </w14:textFill>
              </w:rPr>
              <w:t>4</w:t>
            </w:r>
            <w:r>
              <w:rPr>
                <w:rFonts w:hint="default" w:ascii="Times New Roman" w:hAnsi="Times New Roman" w:cs="Times New Roman"/>
                <w:b/>
                <w:bCs/>
                <w:color w:val="000000" w:themeColor="text1"/>
                <w:sz w:val="24"/>
                <w:szCs w:val="24"/>
                <w:highlight w:val="none"/>
                <w14:textFill>
                  <w14:solidFill>
                    <w14:schemeClr w14:val="tx1"/>
                  </w14:solidFill>
                </w14:textFill>
              </w:rPr>
              <w:t>、固体废物</w:t>
            </w:r>
          </w:p>
          <w:p w14:paraId="50AB954A">
            <w:pPr>
              <w:keepNext w:val="0"/>
              <w:keepLines w:val="0"/>
              <w:widowControl/>
              <w:suppressLineNumbers w:val="0"/>
              <w:adjustRightInd w:val="0"/>
              <w:snapToGrid w:val="0"/>
              <w:spacing w:before="72" w:beforeLines="30" w:beforeAutospacing="0" w:after="72" w:afterLines="30" w:afterAutospacing="0" w:line="360" w:lineRule="auto"/>
              <w:ind w:left="0" w:right="0" w:firstLine="480" w:firstLineChars="200"/>
              <w:jc w:val="left"/>
              <w:rPr>
                <w:rFonts w:hint="default" w:ascii="Times New Roman" w:hAnsi="Times New Roman" w:cs="Times New Roman"/>
                <w:color w:val="000000" w:themeColor="text1"/>
                <w:sz w:val="24"/>
                <w:szCs w:val="24"/>
                <w:highlight w:val="none"/>
                <w:lang w:eastAsia="zh-CN"/>
                <w14:textFill>
                  <w14:solidFill>
                    <w14:schemeClr w14:val="tx1"/>
                  </w14:solidFill>
                </w14:textFill>
              </w:rPr>
            </w:pP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一般工业固体废物</w:t>
            </w:r>
          </w:p>
          <w:p w14:paraId="537C0F84">
            <w:pPr>
              <w:keepNext w:val="0"/>
              <w:keepLines w:val="0"/>
              <w:pageBreakBefore w:val="0"/>
              <w:widowControl/>
              <w:suppressLineNumbers w:val="0"/>
              <w:kinsoku/>
              <w:wordWrap w:val="0"/>
              <w:overflowPunct/>
              <w:topLinePunct w:val="0"/>
              <w:autoSpaceDE/>
              <w:autoSpaceDN/>
              <w:bidi w:val="0"/>
              <w:adjustRightInd w:val="0"/>
              <w:snapToGrid w:val="0"/>
              <w:spacing w:before="72" w:beforeLines="30" w:beforeAutospacing="0" w:after="72" w:afterLines="30" w:afterAutospacing="0" w:line="360" w:lineRule="auto"/>
              <w:ind w:left="0" w:right="0" w:firstLine="480" w:firstLineChars="200"/>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参照执行</w:t>
            </w:r>
            <w:r>
              <w:rPr>
                <w:rFonts w:hint="default" w:ascii="Times New Roman" w:hAnsi="Times New Roman" w:cs="Times New Roman"/>
                <w:color w:val="000000" w:themeColor="text1"/>
                <w:sz w:val="24"/>
                <w:szCs w:val="24"/>
                <w:highlight w:val="none"/>
                <w14:textFill>
                  <w14:solidFill>
                    <w14:schemeClr w14:val="tx1"/>
                  </w14:solidFill>
                </w14:textFill>
              </w:rPr>
              <w:t>《一般工业固体废物贮存和填埋污染控制标准》（GB 18599—2020）。</w:t>
            </w:r>
          </w:p>
          <w:p w14:paraId="0A378BCE">
            <w:pPr>
              <w:keepNext w:val="0"/>
              <w:keepLines w:val="0"/>
              <w:widowControl/>
              <w:suppressLineNumbers w:val="0"/>
              <w:adjustRightInd w:val="0"/>
              <w:snapToGrid w:val="0"/>
              <w:spacing w:before="72" w:beforeLines="30" w:beforeAutospacing="0" w:after="72" w:afterLines="30" w:afterAutospacing="0" w:line="360" w:lineRule="auto"/>
              <w:ind w:left="0" w:right="0" w:firstLine="480" w:firstLineChars="200"/>
              <w:jc w:val="left"/>
              <w:rPr>
                <w:rFonts w:hint="default" w:ascii="Times New Roman" w:hAnsi="Times New Roman" w:cs="Times New Roman"/>
                <w:color w:val="000000" w:themeColor="text1"/>
                <w:sz w:val="24"/>
                <w:szCs w:val="24"/>
                <w:highlight w:val="none"/>
                <w:lang w:eastAsia="zh-CN"/>
                <w14:textFill>
                  <w14:solidFill>
                    <w14:schemeClr w14:val="tx1"/>
                  </w14:solidFill>
                </w14:textFill>
              </w:rPr>
            </w:pP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危险废物</w:t>
            </w:r>
          </w:p>
          <w:p w14:paraId="06A4581F">
            <w:pPr>
              <w:keepNext w:val="0"/>
              <w:keepLines w:val="0"/>
              <w:widowControl/>
              <w:suppressLineNumbers w:val="0"/>
              <w:adjustRightInd w:val="0"/>
              <w:snapToGrid w:val="0"/>
              <w:spacing w:before="72" w:beforeLines="30" w:beforeAutospacing="0" w:after="72" w:afterLines="30" w:afterAutospacing="0" w:line="360" w:lineRule="auto"/>
              <w:ind w:left="0" w:right="0" w:firstLine="480" w:firstLineChars="200"/>
              <w:jc w:val="left"/>
              <w:rPr>
                <w:rFonts w:hint="default" w:ascii="Times New Roman" w:hAnsi="Times New Roman" w:cs="Times New Roman"/>
                <w:color w:val="000000" w:themeColor="text1"/>
                <w:sz w:val="24"/>
                <w:szCs w:val="24"/>
                <w:highlight w:val="none"/>
                <w:lang w:eastAsia="zh-CN"/>
                <w14:textFill>
                  <w14:solidFill>
                    <w14:schemeClr w14:val="tx1"/>
                  </w14:solidFill>
                </w14:textFill>
              </w:rPr>
            </w:pPr>
            <w:r>
              <w:rPr>
                <w:rFonts w:hint="default" w:ascii="Times New Roman" w:hAnsi="Times New Roman" w:cs="Times New Roman"/>
                <w:color w:val="000000" w:themeColor="text1"/>
                <w:sz w:val="24"/>
                <w:szCs w:val="24"/>
                <w:highlight w:val="none"/>
                <w:lang w:eastAsia="zh-CN"/>
                <w14:textFill>
                  <w14:solidFill>
                    <w14:schemeClr w14:val="tx1"/>
                  </w14:solidFill>
                </w14:textFill>
              </w:rPr>
              <w:t>危险废物按照《国家危险废物名录》（202</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color w:val="000000" w:themeColor="text1"/>
                <w:sz w:val="24"/>
                <w:szCs w:val="24"/>
                <w:highlight w:val="none"/>
                <w:lang w:eastAsia="zh-CN"/>
                <w14:textFill>
                  <w14:solidFill>
                    <w14:schemeClr w14:val="tx1"/>
                  </w14:solidFill>
                </w14:textFill>
              </w:rPr>
              <w:t>年版）分类，执行《危险废物贮存污染控制标准》（GB 18597—2023）。</w:t>
            </w:r>
          </w:p>
          <w:p w14:paraId="107B33CF">
            <w:pPr>
              <w:keepNext w:val="0"/>
              <w:keepLines w:val="0"/>
              <w:widowControl/>
              <w:suppressLineNumbers w:val="0"/>
              <w:adjustRightInd w:val="0"/>
              <w:snapToGrid w:val="0"/>
              <w:spacing w:before="72" w:beforeLines="30" w:beforeAutospacing="0" w:after="72" w:afterLines="30" w:afterAutospacing="0" w:line="360" w:lineRule="auto"/>
              <w:ind w:left="0" w:right="0" w:firstLine="480" w:firstLineChars="200"/>
              <w:jc w:val="left"/>
              <w:rPr>
                <w:rFonts w:hint="default" w:ascii="Times New Roman" w:hAnsi="Times New Roman" w:cs="Times New Roman"/>
                <w:color w:val="000000" w:themeColor="text1"/>
                <w:sz w:val="24"/>
                <w:szCs w:val="24"/>
                <w:highlight w:val="none"/>
                <w:lang w:eastAsia="zh-CN"/>
                <w14:textFill>
                  <w14:solidFill>
                    <w14:schemeClr w14:val="tx1"/>
                  </w14:solidFill>
                </w14:textFill>
              </w:rPr>
            </w:pPr>
          </w:p>
          <w:p w14:paraId="226FBAFA">
            <w:pPr>
              <w:keepNext w:val="0"/>
              <w:keepLines w:val="0"/>
              <w:widowControl/>
              <w:suppressLineNumbers w:val="0"/>
              <w:adjustRightInd w:val="0"/>
              <w:snapToGrid w:val="0"/>
              <w:spacing w:before="72" w:beforeLines="30" w:beforeAutospacing="0" w:after="72" w:afterLines="30" w:afterAutospacing="0" w:line="360" w:lineRule="auto"/>
              <w:ind w:left="0" w:right="0" w:firstLine="480" w:firstLineChars="200"/>
              <w:jc w:val="left"/>
              <w:rPr>
                <w:rFonts w:hint="default" w:ascii="Times New Roman" w:hAnsi="Times New Roman" w:cs="Times New Roman"/>
                <w:color w:val="000000" w:themeColor="text1"/>
                <w:sz w:val="24"/>
                <w:szCs w:val="24"/>
                <w:highlight w:val="none"/>
                <w:lang w:eastAsia="zh-CN"/>
                <w14:textFill>
                  <w14:solidFill>
                    <w14:schemeClr w14:val="tx1"/>
                  </w14:solidFill>
                </w14:textFill>
              </w:rPr>
            </w:pPr>
          </w:p>
          <w:p w14:paraId="4A8B48F7">
            <w:pPr>
              <w:keepNext w:val="0"/>
              <w:keepLines w:val="0"/>
              <w:widowControl/>
              <w:suppressLineNumbers w:val="0"/>
              <w:adjustRightInd w:val="0"/>
              <w:snapToGrid w:val="0"/>
              <w:spacing w:before="72" w:beforeLines="30" w:beforeAutospacing="0" w:after="72" w:afterLines="30" w:afterAutospacing="0" w:line="360" w:lineRule="auto"/>
              <w:ind w:left="0" w:right="0" w:firstLine="480" w:firstLineChars="200"/>
              <w:jc w:val="left"/>
              <w:rPr>
                <w:rFonts w:hint="default" w:ascii="Times New Roman" w:hAnsi="Times New Roman" w:cs="Times New Roman"/>
                <w:color w:val="000000" w:themeColor="text1"/>
                <w:sz w:val="24"/>
                <w:szCs w:val="24"/>
                <w:highlight w:val="none"/>
                <w:lang w:eastAsia="zh-CN"/>
                <w14:textFill>
                  <w14:solidFill>
                    <w14:schemeClr w14:val="tx1"/>
                  </w14:solidFill>
                </w14:textFill>
              </w:rPr>
            </w:pPr>
          </w:p>
          <w:p w14:paraId="6AD38A09">
            <w:pPr>
              <w:keepNext w:val="0"/>
              <w:keepLines w:val="0"/>
              <w:widowControl/>
              <w:suppressLineNumbers w:val="0"/>
              <w:adjustRightInd w:val="0"/>
              <w:snapToGrid w:val="0"/>
              <w:spacing w:before="72" w:beforeLines="30" w:beforeAutospacing="0" w:after="72" w:afterLines="30" w:afterAutospacing="0" w:line="360" w:lineRule="auto"/>
              <w:ind w:left="0" w:right="0" w:firstLine="480" w:firstLineChars="200"/>
              <w:jc w:val="left"/>
              <w:rPr>
                <w:rFonts w:hint="default" w:ascii="Times New Roman" w:hAnsi="Times New Roman" w:cs="Times New Roman"/>
                <w:color w:val="000000" w:themeColor="text1"/>
                <w:sz w:val="24"/>
                <w:szCs w:val="24"/>
                <w:highlight w:val="none"/>
                <w:lang w:eastAsia="zh-CN"/>
                <w14:textFill>
                  <w14:solidFill>
                    <w14:schemeClr w14:val="tx1"/>
                  </w14:solidFill>
                </w14:textFill>
              </w:rPr>
            </w:pPr>
          </w:p>
          <w:p w14:paraId="0A52AEA9">
            <w:pPr>
              <w:keepNext w:val="0"/>
              <w:keepLines w:val="0"/>
              <w:widowControl/>
              <w:suppressLineNumbers w:val="0"/>
              <w:adjustRightInd w:val="0"/>
              <w:snapToGrid w:val="0"/>
              <w:spacing w:before="72" w:beforeLines="30" w:beforeAutospacing="0" w:after="72" w:afterLines="30" w:afterAutospacing="0" w:line="360" w:lineRule="auto"/>
              <w:ind w:left="0" w:right="0" w:firstLine="480" w:firstLineChars="200"/>
              <w:jc w:val="left"/>
              <w:rPr>
                <w:rFonts w:hint="default" w:ascii="Times New Roman" w:hAnsi="Times New Roman" w:cs="Times New Roman"/>
                <w:color w:val="000000" w:themeColor="text1"/>
                <w:sz w:val="24"/>
                <w:szCs w:val="24"/>
                <w:highlight w:val="none"/>
                <w:lang w:eastAsia="zh-CN"/>
                <w14:textFill>
                  <w14:solidFill>
                    <w14:schemeClr w14:val="tx1"/>
                  </w14:solidFill>
                </w14:textFill>
              </w:rPr>
            </w:pPr>
          </w:p>
          <w:p w14:paraId="49CF944B">
            <w:pPr>
              <w:keepNext w:val="0"/>
              <w:keepLines w:val="0"/>
              <w:widowControl/>
              <w:suppressLineNumbers w:val="0"/>
              <w:adjustRightInd w:val="0"/>
              <w:snapToGrid w:val="0"/>
              <w:spacing w:before="72" w:beforeLines="30" w:beforeAutospacing="0" w:after="72" w:afterLines="30" w:afterAutospacing="0" w:line="360" w:lineRule="auto"/>
              <w:ind w:left="0" w:right="0" w:firstLine="480" w:firstLineChars="200"/>
              <w:jc w:val="left"/>
              <w:rPr>
                <w:rFonts w:hint="default" w:ascii="Times New Roman" w:hAnsi="Times New Roman" w:cs="Times New Roman"/>
                <w:color w:val="000000" w:themeColor="text1"/>
                <w:sz w:val="24"/>
                <w:szCs w:val="24"/>
                <w:highlight w:val="none"/>
                <w:lang w:eastAsia="zh-CN"/>
                <w14:textFill>
                  <w14:solidFill>
                    <w14:schemeClr w14:val="tx1"/>
                  </w14:solidFill>
                </w14:textFill>
              </w:rPr>
            </w:pPr>
          </w:p>
        </w:tc>
      </w:tr>
      <w:tr w14:paraId="61C21E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30" w:hRule="atLeast"/>
          <w:jc w:val="center"/>
        </w:trPr>
        <w:tc>
          <w:tcPr>
            <w:tcW w:w="528" w:type="dxa"/>
            <w:vAlign w:val="center"/>
          </w:tcPr>
          <w:p w14:paraId="0E53686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总量</w:t>
            </w:r>
          </w:p>
          <w:p w14:paraId="768AB58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控制</w:t>
            </w:r>
          </w:p>
          <w:p w14:paraId="3D3466A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指标</w:t>
            </w:r>
          </w:p>
        </w:tc>
        <w:tc>
          <w:tcPr>
            <w:tcW w:w="8533" w:type="dxa"/>
          </w:tcPr>
          <w:p w14:paraId="09008C7B">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color w:val="000000" w:themeColor="text1"/>
                <w:sz w:val="24"/>
                <w:szCs w:val="24"/>
                <w:highlight w:val="none"/>
                <w14:textFill>
                  <w14:solidFill>
                    <w14:schemeClr w14:val="tx1"/>
                  </w14:solidFill>
                </w14:textFill>
              </w:rPr>
              <w:t>根据《辽宁省环境保护厅关于贯彻执行环保部建设项目主要污染物排放总量指标审核及管理暂行办法的通知》（辽环发[2015]17号）</w:t>
            </w:r>
            <w:r>
              <w:rPr>
                <w:rFonts w:hint="eastAsia"/>
                <w:color w:val="000000" w:themeColor="text1"/>
                <w:sz w:val="24"/>
                <w:szCs w:val="24"/>
                <w:highlight w:val="none"/>
                <w:lang w:eastAsia="zh-CN"/>
                <w14:textFill>
                  <w14:solidFill>
                    <w14:schemeClr w14:val="tx1"/>
                  </w14:solidFill>
                </w14:textFill>
              </w:rPr>
              <w:t>、</w:t>
            </w:r>
            <w:r>
              <w:rPr>
                <w:rFonts w:hint="default"/>
                <w:color w:val="000000" w:themeColor="text1"/>
                <w:sz w:val="24"/>
                <w:szCs w:val="24"/>
                <w:highlight w:val="none"/>
                <w14:textFill>
                  <w14:solidFill>
                    <w14:schemeClr w14:val="tx1"/>
                  </w14:solidFill>
                </w14:textFill>
              </w:rPr>
              <w:t>《辽宁省生态环境厅关于进一步加强建设项目主要污染物排放总量指标审核和管理的通知》（辽综环函[2020]38</w:t>
            </w:r>
            <w:r>
              <w:rPr>
                <w:rFonts w:hint="eastAsia"/>
                <w:color w:val="000000" w:themeColor="text1"/>
                <w:sz w:val="24"/>
                <w:szCs w:val="24"/>
                <w:highlight w:val="none"/>
                <w14:textFill>
                  <w14:solidFill>
                    <w14:schemeClr w14:val="tx1"/>
                  </w14:solidFill>
                </w14:textFill>
              </w:rPr>
              <w:t>0</w:t>
            </w:r>
            <w:r>
              <w:rPr>
                <w:rFonts w:hint="default"/>
                <w:color w:val="000000" w:themeColor="text1"/>
                <w:sz w:val="24"/>
                <w:szCs w:val="24"/>
                <w:highlight w:val="none"/>
                <w14:textFill>
                  <w14:solidFill>
                    <w14:schemeClr w14:val="tx1"/>
                  </w14:solidFill>
                </w14:textFill>
              </w:rPr>
              <w:t>号</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和《“十五五”污染减排工作方案编制</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技术指南》，结合本项目污染物排放情况，建议本项目总量控制指标建议为：COD、总磷。</w:t>
            </w:r>
          </w:p>
          <w:p w14:paraId="3B86DCF8">
            <w:pPr>
              <w:keepNext w:val="0"/>
              <w:keepLines w:val="0"/>
              <w:numPr>
                <w:ilvl w:val="0"/>
                <w:numId w:val="0"/>
              </w:numPr>
              <w:suppressLineNumbers w:val="0"/>
              <w:spacing w:before="0" w:beforeAutospacing="0" w:after="0" w:afterAutospacing="0" w:line="360" w:lineRule="auto"/>
              <w:ind w:left="0" w:right="0" w:firstLine="480" w:firstLineChars="200"/>
              <w:jc w:val="left"/>
              <w:outlineLvl w:val="9"/>
              <w:rPr>
                <w:rFonts w:hint="default" w:ascii="Times New Roman" w:hAnsi="Times New Roman" w:eastAsia="宋体" w:cs="Times New Roman"/>
                <w:b w:val="0"/>
                <w:bCs w:val="0"/>
                <w:strike w:val="0"/>
                <w:dstrike w:val="0"/>
                <w:color w:val="000000" w:themeColor="text1"/>
                <w:sz w:val="24"/>
                <w:szCs w:val="24"/>
                <w:highlight w:val="none"/>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本项目</w:t>
            </w:r>
            <w:r>
              <w:rPr>
                <w:rFonts w:hint="eastAsia" w:eastAsia="新宋体" w:cs="Times New Roman"/>
                <w:color w:val="000000" w:themeColor="text1"/>
                <w:sz w:val="24"/>
                <w:szCs w:val="24"/>
                <w:highlight w:val="none"/>
                <w:lang w:val="en-US" w:eastAsia="zh-CN"/>
                <w14:textFill>
                  <w14:solidFill>
                    <w14:schemeClr w14:val="tx1"/>
                  </w14:solidFill>
                </w14:textFill>
              </w:rPr>
              <w:t>废水排放量为</w:t>
            </w:r>
            <w:r>
              <w:rPr>
                <w:rFonts w:hint="eastAsia" w:eastAsia="新宋体" w:cs="Times New Roman"/>
                <w:color w:val="000000" w:themeColor="text1"/>
                <w:sz w:val="24"/>
                <w:szCs w:val="24"/>
                <w:highlight w:val="none"/>
                <w:lang w:val="en-US" w:eastAsia="zh-CN" w:bidi="ar-SA"/>
                <w14:textFill>
                  <w14:solidFill>
                    <w14:schemeClr w14:val="tx1"/>
                  </w14:solidFill>
                </w14:textFill>
              </w:rPr>
              <w:t>15485.93</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/a</w:t>
            </w:r>
            <w:r>
              <w:rPr>
                <w:rFonts w:hint="eastAsia" w:cs="Times New Roman"/>
                <w:color w:val="000000" w:themeColor="text1"/>
                <w:sz w:val="24"/>
                <w:szCs w:val="24"/>
                <w:highlight w:val="no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现有项目废水</w:t>
            </w:r>
            <w:r>
              <w:rPr>
                <w:rFonts w:hint="eastAsia" w:cs="Times New Roman"/>
                <w:color w:val="000000" w:themeColor="text1"/>
                <w:kern w:val="0"/>
                <w:sz w:val="24"/>
                <w:szCs w:val="24"/>
                <w:highlight w:val="none"/>
                <w:lang w:val="en-US" w:eastAsia="zh-CN" w:bidi="ar-SA"/>
                <w14:textFill>
                  <w14:solidFill>
                    <w14:schemeClr w14:val="tx1"/>
                  </w14:solidFill>
                </w14:textFill>
              </w:rPr>
              <w:t>排放</w:t>
            </w:r>
            <w:r>
              <w:rPr>
                <w:rFonts w:hint="eastAsia" w:eastAsia="新宋体" w:cs="Times New Roman"/>
                <w:color w:val="000000" w:themeColor="text1"/>
                <w:sz w:val="24"/>
                <w:szCs w:val="24"/>
                <w:highlight w:val="none"/>
                <w:lang w:val="en-US" w:eastAsia="zh-CN" w:bidi="ar-SA"/>
                <w14:textFill>
                  <w14:solidFill>
                    <w14:schemeClr w14:val="tx1"/>
                  </w14:solidFill>
                </w14:textFill>
              </w:rPr>
              <w:t>量为158000</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/a</w:t>
            </w:r>
            <w:r>
              <w:rPr>
                <w:rFonts w:hint="eastAsia" w:cs="Times New Roman"/>
                <w:color w:val="000000" w:themeColor="text1"/>
                <w:sz w:val="24"/>
                <w:szCs w:val="24"/>
                <w:highlight w:val="no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项目建成后废水</w:t>
            </w:r>
            <w:r>
              <w:rPr>
                <w:rFonts w:hint="eastAsia" w:cs="Times New Roman"/>
                <w:color w:val="000000" w:themeColor="text1"/>
                <w:kern w:val="0"/>
                <w:sz w:val="24"/>
                <w:szCs w:val="24"/>
                <w:highlight w:val="none"/>
                <w:lang w:val="en-US" w:eastAsia="zh-CN" w:bidi="ar-SA"/>
                <w14:textFill>
                  <w14:solidFill>
                    <w14:schemeClr w14:val="tx1"/>
                  </w14:solidFill>
                </w14:textFill>
              </w:rPr>
              <w:t>排放总</w:t>
            </w:r>
            <w:r>
              <w:rPr>
                <w:rFonts w:hint="eastAsia" w:eastAsia="新宋体" w:cs="Times New Roman"/>
                <w:color w:val="000000" w:themeColor="text1"/>
                <w:sz w:val="24"/>
                <w:szCs w:val="24"/>
                <w:highlight w:val="none"/>
                <w:lang w:val="en-US" w:eastAsia="zh-CN" w:bidi="ar-SA"/>
                <w14:textFill>
                  <w14:solidFill>
                    <w14:schemeClr w14:val="tx1"/>
                  </w14:solidFill>
                </w14:textFill>
              </w:rPr>
              <w:t>量为173485.93</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/a</w:t>
            </w:r>
            <w:r>
              <w:rPr>
                <w:rFonts w:hint="eastAsia" w:eastAsia="新宋体" w:cs="Times New Roman"/>
                <w:color w:val="000000" w:themeColor="text1"/>
                <w:sz w:val="24"/>
                <w:szCs w:val="24"/>
                <w:highlight w:val="none"/>
                <w:lang w:val="en-US" w:eastAsia="zh-CN" w:bidi="ar-SA"/>
                <w14:textFill>
                  <w14:solidFill>
                    <w14:schemeClr w14:val="tx1"/>
                  </w14:solidFill>
                </w14:textFill>
              </w:rPr>
              <w:t>。</w:t>
            </w:r>
            <w:r>
              <w:rPr>
                <w:rFonts w:hint="eastAsia" w:ascii="Times New Roman" w:hAnsi="Times New Roman" w:eastAsia="宋体"/>
                <w:color w:val="000000" w:themeColor="text1"/>
                <w:sz w:val="24"/>
                <w:szCs w:val="24"/>
                <w:highlight w:val="none"/>
                <w14:textFill>
                  <w14:solidFill>
                    <w14:schemeClr w14:val="tx1"/>
                  </w14:solidFill>
                </w14:textFill>
              </w:rPr>
              <w:t>项目</w:t>
            </w:r>
            <w:r>
              <w:rPr>
                <w:rFonts w:hint="eastAsia" w:ascii="Times New Roman" w:hAnsi="Times New Roman" w:eastAsia="新宋体" w:cs="Times New Roman"/>
                <w:color w:val="000000" w:themeColor="text1"/>
                <w:sz w:val="24"/>
                <w:szCs w:val="24"/>
                <w:highlight w:val="none"/>
                <w:lang w:eastAsia="zh-CN"/>
                <w14:textFill>
                  <w14:solidFill>
                    <w14:schemeClr w14:val="tx1"/>
                  </w14:solidFill>
                </w14:textFill>
              </w:rPr>
              <w:t>产生的废水</w:t>
            </w:r>
            <w:r>
              <w:rPr>
                <w:rFonts w:hint="eastAsia" w:eastAsia="新宋体" w:cs="Times New Roman"/>
                <w:color w:val="000000" w:themeColor="text1"/>
                <w:sz w:val="24"/>
                <w:szCs w:val="24"/>
                <w:highlight w:val="none"/>
                <w:lang w:val="en-US" w:eastAsia="zh-CN"/>
                <w14:textFill>
                  <w14:solidFill>
                    <w14:schemeClr w14:val="tx1"/>
                  </w14:solidFill>
                </w14:textFill>
              </w:rPr>
              <w:t>经</w:t>
            </w:r>
            <w:r>
              <w:rPr>
                <w:rFonts w:hint="eastAsia" w:ascii="Times New Roman" w:hAnsi="Times New Roman" w:eastAsia="新宋体" w:cs="Times New Roman"/>
                <w:color w:val="000000" w:themeColor="text1"/>
                <w:sz w:val="24"/>
                <w:szCs w:val="24"/>
                <w:highlight w:val="none"/>
                <w:lang w:eastAsia="zh-CN"/>
                <w14:textFill>
                  <w14:solidFill>
                    <w14:schemeClr w14:val="tx1"/>
                  </w14:solidFill>
                </w14:textFill>
              </w:rPr>
              <w:t>厂内污水处理站处理达标后，</w:t>
            </w:r>
            <w:r>
              <w:rPr>
                <w:rFonts w:hint="eastAsia" w:eastAsia="新宋体" w:cs="Times New Roman"/>
                <w:color w:val="000000" w:themeColor="text1"/>
                <w:sz w:val="24"/>
                <w:szCs w:val="24"/>
                <w:highlight w:val="none"/>
                <w:lang w:val="en-US" w:eastAsia="zh-CN"/>
                <w14:textFill>
                  <w14:solidFill>
                    <w14:schemeClr w14:val="tx1"/>
                  </w14:solidFill>
                </w14:textFill>
              </w:rPr>
              <w:t>经</w:t>
            </w:r>
            <w:r>
              <w:rPr>
                <w:rFonts w:hint="eastAsia" w:ascii="Times New Roman" w:hAnsi="Times New Roman" w:eastAsia="新宋体" w:cs="Times New Roman"/>
                <w:color w:val="000000" w:themeColor="text1"/>
                <w:sz w:val="24"/>
                <w:szCs w:val="24"/>
                <w:highlight w:val="none"/>
                <w:lang w:eastAsia="zh-CN"/>
                <w14:textFill>
                  <w14:solidFill>
                    <w14:schemeClr w14:val="tx1"/>
                  </w14:solidFill>
                </w14:textFill>
              </w:rPr>
              <w:t>高新区市政管网最终排入</w:t>
            </w:r>
            <w:r>
              <w:rPr>
                <w:rFonts w:hint="eastAsia" w:cs="Times New Roman"/>
                <w:color w:val="000000" w:themeColor="text1"/>
                <w:sz w:val="24"/>
                <w:szCs w:val="24"/>
                <w:highlight w:val="none"/>
                <w:lang w:eastAsia="zh-CN"/>
                <w14:textFill>
                  <w14:solidFill>
                    <w14:schemeClr w14:val="tx1"/>
                  </w14:solidFill>
                </w14:textFill>
              </w:rPr>
              <w:t>石桥子污水处理厂</w:t>
            </w:r>
            <w:r>
              <w:rPr>
                <w:rFonts w:hint="eastAsia" w:ascii="Times New Roman" w:hAnsi="Times New Roman" w:eastAsia="新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 w:val="0"/>
                <w:bCs w:val="0"/>
                <w:strike w:val="0"/>
                <w:dstrike w:val="0"/>
                <w:color w:val="000000" w:themeColor="text1"/>
                <w:sz w:val="24"/>
                <w:szCs w:val="24"/>
                <w:highlight w:val="none"/>
                <w14:textFill>
                  <w14:solidFill>
                    <w14:schemeClr w14:val="tx1"/>
                  </w14:solidFill>
                </w14:textFill>
              </w:rPr>
              <w:t>收纳污水的</w:t>
            </w:r>
            <w:r>
              <w:rPr>
                <w:rFonts w:hint="eastAsia" w:cs="Times New Roman"/>
                <w:color w:val="000000" w:themeColor="text1"/>
                <w:sz w:val="24"/>
                <w:szCs w:val="24"/>
                <w:highlight w:val="none"/>
                <w:lang w:eastAsia="zh-CN"/>
                <w14:textFill>
                  <w14:solidFill>
                    <w14:schemeClr w14:val="tx1"/>
                  </w14:solidFill>
                </w14:textFill>
              </w:rPr>
              <w:t>石桥子污水处理厂</w:t>
            </w:r>
            <w:r>
              <w:rPr>
                <w:rFonts w:hint="default" w:ascii="Times New Roman" w:hAnsi="Times New Roman" w:eastAsia="宋体" w:cs="Times New Roman"/>
                <w:b w:val="0"/>
                <w:bCs w:val="0"/>
                <w:strike w:val="0"/>
                <w:dstrike w:val="0"/>
                <w:color w:val="000000" w:themeColor="text1"/>
                <w:sz w:val="24"/>
                <w:szCs w:val="24"/>
                <w:highlight w:val="none"/>
                <w14:textFill>
                  <w14:solidFill>
                    <w14:schemeClr w14:val="tx1"/>
                  </w14:solidFill>
                </w14:textFill>
              </w:rPr>
              <w:t>出水水质执行《城镇污水处理厂污染物排放标准》（GB18918-2002）中一级A标准，</w:t>
            </w:r>
            <w:r>
              <w:rPr>
                <w:rFonts w:hint="default" w:ascii="Times New Roman" w:hAnsi="Times New Roman" w:eastAsia="宋体" w:cs="Times New Roman"/>
                <w:b w:val="0"/>
                <w:color w:val="000000" w:themeColor="text1"/>
                <w:kern w:val="2"/>
                <w:sz w:val="24"/>
                <w:szCs w:val="24"/>
                <w:highlight w:val="none"/>
                <w:lang w:val="zh-CN" w:eastAsia="zh-CN" w:bidi="ar-SA"/>
                <w14:textFill>
                  <w14:solidFill>
                    <w14:schemeClr w14:val="tx1"/>
                  </w14:solidFill>
                </w14:textFill>
              </w:rPr>
              <w:t>CODcr</w:t>
            </w:r>
            <w:r>
              <w:rPr>
                <w:rFonts w:hint="default" w:ascii="Times New Roman" w:hAnsi="Times New Roman" w:eastAsia="宋体" w:cs="Times New Roman"/>
                <w:b w:val="0"/>
                <w:bCs w:val="0"/>
                <w:strike w:val="0"/>
                <w:dstrike w:val="0"/>
                <w:color w:val="000000" w:themeColor="text1"/>
                <w:sz w:val="24"/>
                <w:szCs w:val="24"/>
                <w:highlight w:val="none"/>
                <w14:textFill>
                  <w14:solidFill>
                    <w14:schemeClr w14:val="tx1"/>
                  </w14:solidFill>
                </w14:textFill>
              </w:rPr>
              <w:t>浓度为50mg/L，</w:t>
            </w:r>
            <w:r>
              <w:rPr>
                <w:rFonts w:hint="eastAsia" w:cs="Times New Roman"/>
                <w:b w:val="0"/>
                <w:color w:val="000000" w:themeColor="text1"/>
                <w:kern w:val="2"/>
                <w:sz w:val="24"/>
                <w:szCs w:val="24"/>
                <w:highlight w:val="none"/>
                <w:lang w:val="en-US" w:eastAsia="zh-CN" w:bidi="ar-SA"/>
                <w14:textFill>
                  <w14:solidFill>
                    <w14:schemeClr w14:val="tx1"/>
                  </w14:solidFill>
                </w14:textFill>
              </w:rPr>
              <w:t>TP</w:t>
            </w:r>
            <w:r>
              <w:rPr>
                <w:rFonts w:hint="default" w:ascii="Times New Roman" w:hAnsi="Times New Roman" w:eastAsia="宋体" w:cs="Times New Roman"/>
                <w:b w:val="0"/>
                <w:bCs w:val="0"/>
                <w:strike w:val="0"/>
                <w:dstrike w:val="0"/>
                <w:color w:val="000000" w:themeColor="text1"/>
                <w:sz w:val="24"/>
                <w:szCs w:val="24"/>
                <w:highlight w:val="none"/>
                <w14:textFill>
                  <w14:solidFill>
                    <w14:schemeClr w14:val="tx1"/>
                  </w14:solidFill>
                </w14:textFill>
              </w:rPr>
              <w:t>排放浓度取</w:t>
            </w:r>
            <w:r>
              <w:rPr>
                <w:rFonts w:hint="eastAsia" w:cs="Times New Roman"/>
                <w:b w:val="0"/>
                <w:bCs w:val="0"/>
                <w:strike w:val="0"/>
                <w:dstrike w:val="0"/>
                <w:color w:val="000000" w:themeColor="text1"/>
                <w:sz w:val="24"/>
                <w:szCs w:val="24"/>
                <w:highlight w:val="none"/>
                <w:lang w:val="en-US" w:eastAsia="zh-CN"/>
                <w14:textFill>
                  <w14:solidFill>
                    <w14:schemeClr w14:val="tx1"/>
                  </w14:solidFill>
                </w14:textFill>
              </w:rPr>
              <w:t>0.</w:t>
            </w:r>
            <w:r>
              <w:rPr>
                <w:rFonts w:hint="default" w:ascii="Times New Roman" w:hAnsi="Times New Roman" w:eastAsia="宋体" w:cs="Times New Roman"/>
                <w:b w:val="0"/>
                <w:bCs w:val="0"/>
                <w:strike w:val="0"/>
                <w:dstrike w:val="0"/>
                <w:color w:val="000000" w:themeColor="text1"/>
                <w:sz w:val="24"/>
                <w:szCs w:val="24"/>
                <w:highlight w:val="none"/>
                <w14:textFill>
                  <w14:solidFill>
                    <w14:schemeClr w14:val="tx1"/>
                  </w14:solidFill>
                </w14:textFill>
              </w:rPr>
              <w:t>5mg/L。</w:t>
            </w:r>
          </w:p>
          <w:p w14:paraId="103486C7">
            <w:pPr>
              <w:keepNext w:val="0"/>
              <w:keepLines w:val="0"/>
              <w:numPr>
                <w:ilvl w:val="0"/>
                <w:numId w:val="0"/>
              </w:numPr>
              <w:suppressLineNumbers w:val="0"/>
              <w:spacing w:before="0" w:beforeAutospacing="0" w:after="0" w:afterAutospacing="0" w:line="360" w:lineRule="auto"/>
              <w:ind w:left="0" w:right="0" w:firstLine="480" w:firstLineChars="200"/>
              <w:jc w:val="left"/>
              <w:outlineLvl w:val="9"/>
              <w:rPr>
                <w:rFonts w:hint="default" w:ascii="Times New Roman" w:hAnsi="Times New Roman" w:eastAsia="宋体" w:cs="Times New Roman"/>
                <w:b w:val="0"/>
                <w:bCs w:val="0"/>
                <w:strike w:val="0"/>
                <w:dstrike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color w:val="000000" w:themeColor="text1"/>
                <w:kern w:val="2"/>
                <w:sz w:val="24"/>
                <w:szCs w:val="24"/>
                <w:highlight w:val="none"/>
                <w:lang w:val="zh-CN" w:eastAsia="zh-CN" w:bidi="ar-SA"/>
                <w14:textFill>
                  <w14:solidFill>
                    <w14:schemeClr w14:val="tx1"/>
                  </w14:solidFill>
                </w14:textFill>
              </w:rPr>
              <w:t>①CODcr</w:t>
            </w:r>
            <w:r>
              <w:rPr>
                <w:rFonts w:hint="eastAsia" w:cs="Times New Roman"/>
                <w:b w:val="0"/>
                <w:bCs w:val="0"/>
                <w:strike w:val="0"/>
                <w:dstrike w:val="0"/>
                <w:color w:val="000000" w:themeColor="text1"/>
                <w:sz w:val="24"/>
                <w:szCs w:val="24"/>
                <w:highlight w:val="none"/>
                <w:lang w:eastAsia="zh-CN"/>
                <w14:textFill>
                  <w14:solidFill>
                    <w14:schemeClr w14:val="tx1"/>
                  </w14:solidFill>
                </w14:textFill>
              </w:rPr>
              <w:t>：</w:t>
            </w:r>
            <w:r>
              <w:rPr>
                <w:rFonts w:hint="eastAsia" w:cs="Times New Roman"/>
                <w:b w:val="0"/>
                <w:color w:val="000000" w:themeColor="text1"/>
                <w:kern w:val="2"/>
                <w:sz w:val="24"/>
                <w:szCs w:val="24"/>
                <w:highlight w:val="none"/>
                <w:lang w:val="en-US" w:eastAsia="zh-CN" w:bidi="ar-SA"/>
                <w14:textFill>
                  <w14:solidFill>
                    <w14:schemeClr w14:val="tx1"/>
                  </w14:solidFill>
                </w14:textFill>
              </w:rPr>
              <w:t>本项目</w:t>
            </w:r>
            <w:r>
              <w:rPr>
                <w:rFonts w:hint="default" w:ascii="Times New Roman" w:hAnsi="Times New Roman" w:eastAsia="宋体" w:cs="Times New Roman"/>
                <w:b w:val="0"/>
                <w:bCs w:val="0"/>
                <w:strike w:val="0"/>
                <w:dstrike w:val="0"/>
                <w:color w:val="000000" w:themeColor="text1"/>
                <w:sz w:val="24"/>
                <w:szCs w:val="24"/>
                <w:highlight w:val="none"/>
                <w14:textFill>
                  <w14:solidFill>
                    <w14:schemeClr w14:val="tx1"/>
                  </w14:solidFill>
                </w14:textFill>
              </w:rPr>
              <w:t>=</w:t>
            </w:r>
            <w:r>
              <w:rPr>
                <w:rFonts w:hint="eastAsia" w:eastAsia="宋体" w:cs="Times New Roman"/>
                <w:b w:val="0"/>
                <w:bCs w:val="0"/>
                <w:strike w:val="0"/>
                <w:dstrike w:val="0"/>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b w:val="0"/>
                <w:bCs w:val="0"/>
                <w:strike w:val="0"/>
                <w:dstrike w:val="0"/>
                <w:color w:val="000000" w:themeColor="text1"/>
                <w:sz w:val="24"/>
                <w:szCs w:val="24"/>
                <w:highlight w:val="none"/>
                <w14:textFill>
                  <w14:solidFill>
                    <w14:schemeClr w14:val="tx1"/>
                  </w14:solidFill>
                </w14:textFill>
              </w:rPr>
              <w:t>0mg/L×15485.93m³/a×10</w:t>
            </w:r>
            <w:r>
              <w:rPr>
                <w:rFonts w:hint="default" w:ascii="Times New Roman" w:hAnsi="Times New Roman" w:eastAsia="宋体" w:cs="Times New Roman"/>
                <w:b w:val="0"/>
                <w:bCs w:val="0"/>
                <w:strike w:val="0"/>
                <w:dstrike w:val="0"/>
                <w:color w:val="000000" w:themeColor="text1"/>
                <w:sz w:val="24"/>
                <w:szCs w:val="24"/>
                <w:highlight w:val="none"/>
                <w:vertAlign w:val="superscript"/>
                <w14:textFill>
                  <w14:solidFill>
                    <w14:schemeClr w14:val="tx1"/>
                  </w14:solidFill>
                </w14:textFill>
              </w:rPr>
              <w:t>-6</w:t>
            </w:r>
            <w:r>
              <w:rPr>
                <w:rFonts w:hint="default" w:ascii="Times New Roman" w:hAnsi="Times New Roman" w:eastAsia="宋体" w:cs="Times New Roman"/>
                <w:b w:val="0"/>
                <w:bCs w:val="0"/>
                <w:strike w:val="0"/>
                <w:dstrike w:val="0"/>
                <w:color w:val="000000" w:themeColor="text1"/>
                <w:sz w:val="24"/>
                <w:szCs w:val="24"/>
                <w:highlight w:val="none"/>
                <w14:textFill>
                  <w14:solidFill>
                    <w14:schemeClr w14:val="tx1"/>
                  </w14:solidFill>
                </w14:textFill>
              </w:rPr>
              <w:t>=</w:t>
            </w:r>
            <w:r>
              <w:rPr>
                <w:rFonts w:hint="eastAsia" w:cs="Times New Roman"/>
                <w:b w:val="0"/>
                <w:bCs w:val="0"/>
                <w:strike w:val="0"/>
                <w:dstrike w:val="0"/>
                <w:color w:val="000000" w:themeColor="text1"/>
                <w:sz w:val="24"/>
                <w:szCs w:val="24"/>
                <w:highlight w:val="none"/>
                <w:lang w:val="en-US" w:eastAsia="zh-CN"/>
                <w14:textFill>
                  <w14:solidFill>
                    <w14:schemeClr w14:val="tx1"/>
                  </w14:solidFill>
                </w14:textFill>
              </w:rPr>
              <w:t>0.7743</w:t>
            </w:r>
            <w:r>
              <w:rPr>
                <w:rFonts w:hint="default" w:ascii="Times New Roman" w:hAnsi="Times New Roman" w:eastAsia="宋体" w:cs="Times New Roman"/>
                <w:b w:val="0"/>
                <w:bCs w:val="0"/>
                <w:strike w:val="0"/>
                <w:dstrike w:val="0"/>
                <w:color w:val="000000" w:themeColor="text1"/>
                <w:sz w:val="24"/>
                <w:szCs w:val="24"/>
                <w:highlight w:val="none"/>
                <w14:textFill>
                  <w14:solidFill>
                    <w14:schemeClr w14:val="tx1"/>
                  </w14:solidFill>
                </w14:textFill>
              </w:rPr>
              <w:t>t/a</w:t>
            </w:r>
          </w:p>
          <w:p w14:paraId="266F78D7">
            <w:pPr>
              <w:keepNext w:val="0"/>
              <w:keepLines w:val="0"/>
              <w:numPr>
                <w:ilvl w:val="0"/>
                <w:numId w:val="0"/>
              </w:numPr>
              <w:suppressLineNumbers w:val="0"/>
              <w:spacing w:before="0" w:beforeAutospacing="0" w:after="0" w:afterAutospacing="0" w:line="360" w:lineRule="auto"/>
              <w:ind w:left="0" w:right="0" w:firstLine="480" w:firstLineChars="200"/>
              <w:jc w:val="left"/>
              <w:outlineLvl w:val="9"/>
              <w:rPr>
                <w:rFonts w:hint="default" w:ascii="Times New Roman" w:hAnsi="Times New Roman" w:eastAsia="宋体" w:cs="Times New Roman"/>
                <w:b w:val="0"/>
                <w:bCs w:val="0"/>
                <w:strike w:val="0"/>
                <w:dstrike w:val="0"/>
                <w:color w:val="000000" w:themeColor="text1"/>
                <w:sz w:val="24"/>
                <w:szCs w:val="24"/>
                <w:highlight w:val="none"/>
                <w14:textFill>
                  <w14:solidFill>
                    <w14:schemeClr w14:val="tx1"/>
                  </w14:solidFill>
                </w14:textFill>
              </w:rPr>
            </w:pPr>
            <w:r>
              <w:rPr>
                <w:rFonts w:hint="eastAsia" w:cs="Times New Roman"/>
                <w:b w:val="0"/>
                <w:bCs w:val="0"/>
                <w:strike w:val="0"/>
                <w:dstrike w:val="0"/>
                <w:color w:val="000000" w:themeColor="text1"/>
                <w:sz w:val="24"/>
                <w:szCs w:val="24"/>
                <w:highlight w:val="none"/>
                <w:lang w:val="en-US" w:eastAsia="zh-CN"/>
                <w14:textFill>
                  <w14:solidFill>
                    <w14:schemeClr w14:val="tx1"/>
                  </w14:solidFill>
                </w14:textFill>
              </w:rPr>
              <w:t xml:space="preserve">          现有项目=</w:t>
            </w:r>
            <w:r>
              <w:rPr>
                <w:rFonts w:hint="eastAsia" w:eastAsia="宋体" w:cs="Times New Roman"/>
                <w:b w:val="0"/>
                <w:bCs w:val="0"/>
                <w:strike w:val="0"/>
                <w:dstrike w:val="0"/>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b w:val="0"/>
                <w:bCs w:val="0"/>
                <w:strike w:val="0"/>
                <w:dstrike w:val="0"/>
                <w:color w:val="000000" w:themeColor="text1"/>
                <w:sz w:val="24"/>
                <w:szCs w:val="24"/>
                <w:highlight w:val="none"/>
                <w14:textFill>
                  <w14:solidFill>
                    <w14:schemeClr w14:val="tx1"/>
                  </w14:solidFill>
                </w14:textFill>
              </w:rPr>
              <w:t>0mg/L×158000m³/a×10</w:t>
            </w:r>
            <w:r>
              <w:rPr>
                <w:rFonts w:hint="default" w:ascii="Times New Roman" w:hAnsi="Times New Roman" w:eastAsia="宋体" w:cs="Times New Roman"/>
                <w:b w:val="0"/>
                <w:bCs w:val="0"/>
                <w:strike w:val="0"/>
                <w:dstrike w:val="0"/>
                <w:color w:val="000000" w:themeColor="text1"/>
                <w:sz w:val="24"/>
                <w:szCs w:val="24"/>
                <w:highlight w:val="none"/>
                <w:vertAlign w:val="superscript"/>
                <w14:textFill>
                  <w14:solidFill>
                    <w14:schemeClr w14:val="tx1"/>
                  </w14:solidFill>
                </w14:textFill>
              </w:rPr>
              <w:t>-6</w:t>
            </w:r>
            <w:r>
              <w:rPr>
                <w:rFonts w:hint="default" w:ascii="Times New Roman" w:hAnsi="Times New Roman" w:eastAsia="宋体" w:cs="Times New Roman"/>
                <w:b w:val="0"/>
                <w:bCs w:val="0"/>
                <w:strike w:val="0"/>
                <w:dstrike w:val="0"/>
                <w:color w:val="000000" w:themeColor="text1"/>
                <w:sz w:val="24"/>
                <w:szCs w:val="24"/>
                <w:highlight w:val="none"/>
                <w14:textFill>
                  <w14:solidFill>
                    <w14:schemeClr w14:val="tx1"/>
                  </w14:solidFill>
                </w14:textFill>
              </w:rPr>
              <w:t>=</w:t>
            </w:r>
            <w:r>
              <w:rPr>
                <w:rFonts w:hint="eastAsia" w:cs="Times New Roman"/>
                <w:b w:val="0"/>
                <w:bCs w:val="0"/>
                <w:strike w:val="0"/>
                <w:dstrike w:val="0"/>
                <w:color w:val="000000" w:themeColor="text1"/>
                <w:sz w:val="24"/>
                <w:szCs w:val="24"/>
                <w:highlight w:val="none"/>
                <w:lang w:val="en-US" w:eastAsia="zh-CN"/>
                <w14:textFill>
                  <w14:solidFill>
                    <w14:schemeClr w14:val="tx1"/>
                  </w14:solidFill>
                </w14:textFill>
              </w:rPr>
              <w:t>7.90</w:t>
            </w:r>
            <w:r>
              <w:rPr>
                <w:rFonts w:hint="default" w:ascii="Times New Roman" w:hAnsi="Times New Roman" w:eastAsia="宋体" w:cs="Times New Roman"/>
                <w:b w:val="0"/>
                <w:bCs w:val="0"/>
                <w:strike w:val="0"/>
                <w:dstrike w:val="0"/>
                <w:color w:val="000000" w:themeColor="text1"/>
                <w:sz w:val="24"/>
                <w:szCs w:val="24"/>
                <w:highlight w:val="none"/>
                <w14:textFill>
                  <w14:solidFill>
                    <w14:schemeClr w14:val="tx1"/>
                  </w14:solidFill>
                </w14:textFill>
              </w:rPr>
              <w:t>t/a</w:t>
            </w:r>
          </w:p>
          <w:p w14:paraId="7C214AB5">
            <w:pPr>
              <w:keepNext w:val="0"/>
              <w:keepLines w:val="0"/>
              <w:numPr>
                <w:ilvl w:val="0"/>
                <w:numId w:val="0"/>
              </w:numPr>
              <w:suppressLineNumbers w:val="0"/>
              <w:spacing w:before="0" w:beforeAutospacing="0" w:after="0" w:afterAutospacing="0" w:line="360" w:lineRule="auto"/>
              <w:ind w:left="0" w:right="0" w:firstLine="480" w:firstLineChars="200"/>
              <w:jc w:val="left"/>
              <w:outlineLvl w:val="9"/>
              <w:rPr>
                <w:rFonts w:hint="default" w:ascii="Times New Roman" w:hAnsi="Times New Roman" w:eastAsia="宋体" w:cs="Times New Roman"/>
                <w:b w:val="0"/>
                <w:bCs w:val="0"/>
                <w:strike w:val="0"/>
                <w:dstrike w:val="0"/>
                <w:color w:val="000000" w:themeColor="text1"/>
                <w:sz w:val="24"/>
                <w:szCs w:val="24"/>
                <w:highlight w:val="none"/>
                <w:lang w:val="en-US" w:eastAsia="zh-CN"/>
                <w14:textFill>
                  <w14:solidFill>
                    <w14:schemeClr w14:val="tx1"/>
                  </w14:solidFill>
                </w14:textFill>
              </w:rPr>
            </w:pPr>
            <w:r>
              <w:rPr>
                <w:rFonts w:hint="eastAsia" w:cs="Times New Roman"/>
                <w:b w:val="0"/>
                <w:bCs w:val="0"/>
                <w:strike w:val="0"/>
                <w:dstrike w:val="0"/>
                <w:color w:val="000000" w:themeColor="text1"/>
                <w:sz w:val="24"/>
                <w:szCs w:val="24"/>
                <w:highlight w:val="none"/>
                <w:lang w:val="en-US" w:eastAsia="zh-CN"/>
                <w14:textFill>
                  <w14:solidFill>
                    <w14:schemeClr w14:val="tx1"/>
                  </w14:solidFill>
                </w14:textFill>
              </w:rPr>
              <w:t xml:space="preserve">          </w:t>
            </w:r>
            <w:r>
              <w:rPr>
                <w:rFonts w:hint="eastAsia" w:eastAsia="宋体" w:cs="Times New Roman"/>
                <w:b w:val="0"/>
                <w:bCs w:val="0"/>
                <w:strike w:val="0"/>
                <w:dstrike w:val="0"/>
                <w:color w:val="000000" w:themeColor="text1"/>
                <w:sz w:val="24"/>
                <w:szCs w:val="24"/>
                <w:highlight w:val="none"/>
                <w:lang w:val="en-US" w:eastAsia="zh-CN"/>
                <w14:textFill>
                  <w14:solidFill>
                    <w14:schemeClr w14:val="tx1"/>
                  </w14:solidFill>
                </w14:textFill>
              </w:rPr>
              <w:t>项目建成后=</w:t>
            </w:r>
            <w:r>
              <w:rPr>
                <w:rFonts w:hint="eastAsia" w:cs="Times New Roman"/>
                <w:b w:val="0"/>
                <w:bCs w:val="0"/>
                <w:strike w:val="0"/>
                <w:dstrike w:val="0"/>
                <w:color w:val="000000" w:themeColor="text1"/>
                <w:sz w:val="24"/>
                <w:szCs w:val="24"/>
                <w:highlight w:val="none"/>
                <w:lang w:val="en-US" w:eastAsia="zh-CN"/>
                <w14:textFill>
                  <w14:solidFill>
                    <w14:schemeClr w14:val="tx1"/>
                  </w14:solidFill>
                </w14:textFill>
              </w:rPr>
              <w:t>0.7743</w:t>
            </w:r>
            <w:r>
              <w:rPr>
                <w:rFonts w:hint="default" w:ascii="Times New Roman" w:hAnsi="Times New Roman" w:eastAsia="宋体" w:cs="Times New Roman"/>
                <w:b w:val="0"/>
                <w:bCs w:val="0"/>
                <w:strike w:val="0"/>
                <w:dstrike w:val="0"/>
                <w:color w:val="000000" w:themeColor="text1"/>
                <w:sz w:val="24"/>
                <w:szCs w:val="24"/>
                <w:highlight w:val="none"/>
                <w14:textFill>
                  <w14:solidFill>
                    <w14:schemeClr w14:val="tx1"/>
                  </w14:solidFill>
                </w14:textFill>
              </w:rPr>
              <w:t>t/a</w:t>
            </w:r>
            <w:r>
              <w:rPr>
                <w:rFonts w:hint="eastAsia" w:eastAsia="宋体" w:cs="Times New Roman"/>
                <w:b w:val="0"/>
                <w:bCs w:val="0"/>
                <w:strike w:val="0"/>
                <w:dstrike w:val="0"/>
                <w:color w:val="000000" w:themeColor="text1"/>
                <w:sz w:val="24"/>
                <w:szCs w:val="24"/>
                <w:highlight w:val="none"/>
                <w:lang w:val="en-US" w:eastAsia="zh-CN"/>
                <w14:textFill>
                  <w14:solidFill>
                    <w14:schemeClr w14:val="tx1"/>
                  </w14:solidFill>
                </w14:textFill>
              </w:rPr>
              <w:t>+</w:t>
            </w:r>
            <w:r>
              <w:rPr>
                <w:rFonts w:hint="eastAsia" w:cs="Times New Roman"/>
                <w:b w:val="0"/>
                <w:bCs w:val="0"/>
                <w:strike w:val="0"/>
                <w:dstrike w:val="0"/>
                <w:color w:val="000000" w:themeColor="text1"/>
                <w:sz w:val="24"/>
                <w:szCs w:val="24"/>
                <w:highlight w:val="none"/>
                <w:lang w:val="en-US" w:eastAsia="zh-CN"/>
                <w14:textFill>
                  <w14:solidFill>
                    <w14:schemeClr w14:val="tx1"/>
                  </w14:solidFill>
                </w14:textFill>
              </w:rPr>
              <w:t>7.90</w:t>
            </w:r>
            <w:r>
              <w:rPr>
                <w:rFonts w:hint="default" w:ascii="Times New Roman" w:hAnsi="Times New Roman" w:eastAsia="宋体" w:cs="Times New Roman"/>
                <w:b w:val="0"/>
                <w:bCs w:val="0"/>
                <w:strike w:val="0"/>
                <w:dstrike w:val="0"/>
                <w:color w:val="000000" w:themeColor="text1"/>
                <w:sz w:val="24"/>
                <w:szCs w:val="24"/>
                <w:highlight w:val="none"/>
                <w14:textFill>
                  <w14:solidFill>
                    <w14:schemeClr w14:val="tx1"/>
                  </w14:solidFill>
                </w14:textFill>
              </w:rPr>
              <w:t>t/a</w:t>
            </w:r>
            <w:r>
              <w:rPr>
                <w:rFonts w:hint="eastAsia" w:eastAsia="宋体" w:cs="Times New Roman"/>
                <w:b w:val="0"/>
                <w:bCs w:val="0"/>
                <w:strike w:val="0"/>
                <w:dstrike w:val="0"/>
                <w:color w:val="000000" w:themeColor="text1"/>
                <w:sz w:val="24"/>
                <w:szCs w:val="24"/>
                <w:highlight w:val="none"/>
                <w:lang w:val="en-US" w:eastAsia="zh-CN"/>
                <w14:textFill>
                  <w14:solidFill>
                    <w14:schemeClr w14:val="tx1"/>
                  </w14:solidFill>
                </w14:textFill>
              </w:rPr>
              <w:t>=</w:t>
            </w:r>
            <w:r>
              <w:rPr>
                <w:rFonts w:hint="eastAsia" w:cs="Times New Roman"/>
                <w:b w:val="0"/>
                <w:bCs w:val="0"/>
                <w:strike w:val="0"/>
                <w:dstrike w:val="0"/>
                <w:color w:val="000000" w:themeColor="text1"/>
                <w:sz w:val="24"/>
                <w:szCs w:val="24"/>
                <w:highlight w:val="none"/>
                <w:lang w:val="en-US" w:eastAsia="zh-CN"/>
                <w14:textFill>
                  <w14:solidFill>
                    <w14:schemeClr w14:val="tx1"/>
                  </w14:solidFill>
                </w14:textFill>
              </w:rPr>
              <w:t>8.6743</w:t>
            </w:r>
            <w:r>
              <w:rPr>
                <w:rFonts w:hint="default" w:ascii="Times New Roman" w:hAnsi="Times New Roman" w:eastAsia="宋体" w:cs="Times New Roman"/>
                <w:b w:val="0"/>
                <w:bCs w:val="0"/>
                <w:strike w:val="0"/>
                <w:dstrike w:val="0"/>
                <w:color w:val="000000" w:themeColor="text1"/>
                <w:sz w:val="24"/>
                <w:szCs w:val="24"/>
                <w:highlight w:val="none"/>
                <w14:textFill>
                  <w14:solidFill>
                    <w14:schemeClr w14:val="tx1"/>
                  </w14:solidFill>
                </w14:textFill>
              </w:rPr>
              <w:t>t/a</w:t>
            </w:r>
          </w:p>
          <w:p w14:paraId="40CC7CF4">
            <w:pPr>
              <w:keepNext w:val="0"/>
              <w:keepLines w:val="0"/>
              <w:numPr>
                <w:ilvl w:val="0"/>
                <w:numId w:val="0"/>
              </w:numPr>
              <w:suppressLineNumbers w:val="0"/>
              <w:spacing w:before="0" w:beforeAutospacing="0" w:after="0" w:afterAutospacing="0" w:line="360" w:lineRule="auto"/>
              <w:ind w:left="0" w:right="0" w:firstLine="480" w:firstLineChars="200"/>
              <w:jc w:val="left"/>
              <w:outlineLvl w:val="9"/>
              <w:rPr>
                <w:rFonts w:hint="default" w:ascii="Times New Roman" w:hAnsi="Times New Roman" w:eastAsia="宋体" w:cs="Times New Roman"/>
                <w:b w:val="0"/>
                <w:bCs w:val="0"/>
                <w:strike w:val="0"/>
                <w:dstrike w:val="0"/>
                <w:color w:val="000000" w:themeColor="text1"/>
                <w:sz w:val="24"/>
                <w:szCs w:val="24"/>
                <w:highlight w:val="none"/>
                <w14:textFill>
                  <w14:solidFill>
                    <w14:schemeClr w14:val="tx1"/>
                  </w14:solidFill>
                </w14:textFill>
              </w:rPr>
            </w:pPr>
            <w:r>
              <w:rPr>
                <w:rFonts w:hint="eastAsia" w:cs="Times New Roman"/>
                <w:b w:val="0"/>
                <w:color w:val="000000" w:themeColor="text1"/>
                <w:kern w:val="2"/>
                <w:sz w:val="24"/>
                <w:szCs w:val="24"/>
                <w:highlight w:val="none"/>
                <w:lang w:val="en-US" w:eastAsia="zh-CN" w:bidi="ar-SA"/>
                <w14:textFill>
                  <w14:solidFill>
                    <w14:schemeClr w14:val="tx1"/>
                  </w14:solidFill>
                </w14:textFill>
              </w:rPr>
              <w:t>②TP</w:t>
            </w:r>
            <w:r>
              <w:rPr>
                <w:rFonts w:hint="eastAsia" w:cs="Times New Roman"/>
                <w:b w:val="0"/>
                <w:bCs w:val="0"/>
                <w:strike w:val="0"/>
                <w:dstrike w:val="0"/>
                <w:color w:val="000000" w:themeColor="text1"/>
                <w:sz w:val="24"/>
                <w:szCs w:val="24"/>
                <w:highlight w:val="none"/>
                <w:lang w:val="en-US" w:eastAsia="zh-CN"/>
                <w14:textFill>
                  <w14:solidFill>
                    <w14:schemeClr w14:val="tx1"/>
                  </w14:solidFill>
                </w14:textFill>
              </w:rPr>
              <w:t>：</w:t>
            </w:r>
            <w:r>
              <w:rPr>
                <w:rFonts w:hint="eastAsia" w:cs="Times New Roman"/>
                <w:b w:val="0"/>
                <w:color w:val="000000" w:themeColor="text1"/>
                <w:kern w:val="2"/>
                <w:sz w:val="24"/>
                <w:szCs w:val="24"/>
                <w:highlight w:val="none"/>
                <w:lang w:val="en-US" w:eastAsia="zh-CN" w:bidi="ar-SA"/>
                <w14:textFill>
                  <w14:solidFill>
                    <w14:schemeClr w14:val="tx1"/>
                  </w14:solidFill>
                </w14:textFill>
              </w:rPr>
              <w:t>本项目</w:t>
            </w:r>
            <w:r>
              <w:rPr>
                <w:rFonts w:hint="default" w:ascii="Times New Roman" w:hAnsi="Times New Roman" w:eastAsia="宋体" w:cs="Times New Roman"/>
                <w:b w:val="0"/>
                <w:bCs w:val="0"/>
                <w:strike w:val="0"/>
                <w:dstrike w:val="0"/>
                <w:color w:val="000000" w:themeColor="text1"/>
                <w:sz w:val="24"/>
                <w:szCs w:val="24"/>
                <w:highlight w:val="none"/>
                <w14:textFill>
                  <w14:solidFill>
                    <w14:schemeClr w14:val="tx1"/>
                  </w14:solidFill>
                </w14:textFill>
              </w:rPr>
              <w:t>=</w:t>
            </w:r>
            <w:r>
              <w:rPr>
                <w:rFonts w:hint="eastAsia" w:cs="Times New Roman"/>
                <w:b w:val="0"/>
                <w:bCs w:val="0"/>
                <w:strike w:val="0"/>
                <w:dstrike w:val="0"/>
                <w:color w:val="000000" w:themeColor="text1"/>
                <w:sz w:val="24"/>
                <w:szCs w:val="24"/>
                <w:highlight w:val="none"/>
                <w:lang w:val="en-US" w:eastAsia="zh-CN"/>
                <w14:textFill>
                  <w14:solidFill>
                    <w14:schemeClr w14:val="tx1"/>
                  </w14:solidFill>
                </w14:textFill>
              </w:rPr>
              <w:t>0.5</w:t>
            </w:r>
            <w:r>
              <w:rPr>
                <w:rFonts w:hint="default" w:ascii="Times New Roman" w:hAnsi="Times New Roman" w:eastAsia="宋体" w:cs="Times New Roman"/>
                <w:b w:val="0"/>
                <w:bCs w:val="0"/>
                <w:strike w:val="0"/>
                <w:dstrike w:val="0"/>
                <w:color w:val="000000" w:themeColor="text1"/>
                <w:sz w:val="24"/>
                <w:szCs w:val="24"/>
                <w:highlight w:val="none"/>
                <w14:textFill>
                  <w14:solidFill>
                    <w14:schemeClr w14:val="tx1"/>
                  </w14:solidFill>
                </w14:textFill>
              </w:rPr>
              <w:t>mg/L×15485.93m³/a×10</w:t>
            </w:r>
            <w:r>
              <w:rPr>
                <w:rFonts w:hint="default" w:ascii="Times New Roman" w:hAnsi="Times New Roman" w:eastAsia="宋体" w:cs="Times New Roman"/>
                <w:b w:val="0"/>
                <w:bCs w:val="0"/>
                <w:strike w:val="0"/>
                <w:dstrike w:val="0"/>
                <w:color w:val="000000" w:themeColor="text1"/>
                <w:sz w:val="24"/>
                <w:szCs w:val="24"/>
                <w:highlight w:val="none"/>
                <w:vertAlign w:val="superscript"/>
                <w14:textFill>
                  <w14:solidFill>
                    <w14:schemeClr w14:val="tx1"/>
                  </w14:solidFill>
                </w14:textFill>
              </w:rPr>
              <w:t>-6</w:t>
            </w:r>
            <w:r>
              <w:rPr>
                <w:rFonts w:hint="default" w:ascii="Times New Roman" w:hAnsi="Times New Roman" w:eastAsia="宋体" w:cs="Times New Roman"/>
                <w:b w:val="0"/>
                <w:bCs w:val="0"/>
                <w:strike w:val="0"/>
                <w:dstrike w:val="0"/>
                <w:color w:val="000000" w:themeColor="text1"/>
                <w:sz w:val="24"/>
                <w:szCs w:val="24"/>
                <w:highlight w:val="none"/>
                <w14:textFill>
                  <w14:solidFill>
                    <w14:schemeClr w14:val="tx1"/>
                  </w14:solidFill>
                </w14:textFill>
              </w:rPr>
              <w:t>=</w:t>
            </w:r>
            <w:r>
              <w:rPr>
                <w:rFonts w:hint="eastAsia" w:cs="Times New Roman"/>
                <w:b w:val="0"/>
                <w:bCs w:val="0"/>
                <w:strike w:val="0"/>
                <w:dstrike w:val="0"/>
                <w:color w:val="000000" w:themeColor="text1"/>
                <w:sz w:val="24"/>
                <w:szCs w:val="24"/>
                <w:highlight w:val="none"/>
                <w:lang w:val="en-US" w:eastAsia="zh-CN"/>
                <w14:textFill>
                  <w14:solidFill>
                    <w14:schemeClr w14:val="tx1"/>
                  </w14:solidFill>
                </w14:textFill>
              </w:rPr>
              <w:t>0.0077</w:t>
            </w:r>
            <w:r>
              <w:rPr>
                <w:rFonts w:hint="default" w:ascii="Times New Roman" w:hAnsi="Times New Roman" w:eastAsia="宋体" w:cs="Times New Roman"/>
                <w:b w:val="0"/>
                <w:bCs w:val="0"/>
                <w:strike w:val="0"/>
                <w:dstrike w:val="0"/>
                <w:color w:val="000000" w:themeColor="text1"/>
                <w:sz w:val="24"/>
                <w:szCs w:val="24"/>
                <w:highlight w:val="none"/>
                <w14:textFill>
                  <w14:solidFill>
                    <w14:schemeClr w14:val="tx1"/>
                  </w14:solidFill>
                </w14:textFill>
              </w:rPr>
              <w:t>t/a</w:t>
            </w:r>
          </w:p>
          <w:p w14:paraId="7D036555">
            <w:pPr>
              <w:keepNext w:val="0"/>
              <w:keepLines w:val="0"/>
              <w:numPr>
                <w:ilvl w:val="0"/>
                <w:numId w:val="0"/>
              </w:numPr>
              <w:suppressLineNumbers w:val="0"/>
              <w:spacing w:before="0" w:beforeAutospacing="0" w:after="0" w:afterAutospacing="0" w:line="360" w:lineRule="auto"/>
              <w:ind w:left="0" w:right="0" w:firstLine="480" w:firstLineChars="200"/>
              <w:jc w:val="left"/>
              <w:outlineLvl w:val="9"/>
              <w:rPr>
                <w:rFonts w:hint="default" w:ascii="Times New Roman" w:hAnsi="Times New Roman" w:eastAsia="宋体" w:cs="Times New Roman"/>
                <w:b w:val="0"/>
                <w:bCs w:val="0"/>
                <w:strike w:val="0"/>
                <w:dstrike w:val="0"/>
                <w:color w:val="000000" w:themeColor="text1"/>
                <w:sz w:val="24"/>
                <w:szCs w:val="24"/>
                <w:highlight w:val="none"/>
                <w14:textFill>
                  <w14:solidFill>
                    <w14:schemeClr w14:val="tx1"/>
                  </w14:solidFill>
                </w14:textFill>
              </w:rPr>
            </w:pPr>
            <w:r>
              <w:rPr>
                <w:rFonts w:hint="eastAsia" w:cs="Times New Roman"/>
                <w:b w:val="0"/>
                <w:bCs w:val="0"/>
                <w:strike w:val="0"/>
                <w:dstrike w:val="0"/>
                <w:color w:val="000000" w:themeColor="text1"/>
                <w:sz w:val="24"/>
                <w:szCs w:val="24"/>
                <w:highlight w:val="none"/>
                <w:lang w:val="en-US" w:eastAsia="zh-CN"/>
                <w14:textFill>
                  <w14:solidFill>
                    <w14:schemeClr w14:val="tx1"/>
                  </w14:solidFill>
                </w14:textFill>
              </w:rPr>
              <w:t xml:space="preserve">      现有项目=0.5</w:t>
            </w:r>
            <w:r>
              <w:rPr>
                <w:rFonts w:hint="default" w:ascii="Times New Roman" w:hAnsi="Times New Roman" w:eastAsia="宋体" w:cs="Times New Roman"/>
                <w:b w:val="0"/>
                <w:bCs w:val="0"/>
                <w:strike w:val="0"/>
                <w:dstrike w:val="0"/>
                <w:color w:val="000000" w:themeColor="text1"/>
                <w:sz w:val="24"/>
                <w:szCs w:val="24"/>
                <w:highlight w:val="none"/>
                <w14:textFill>
                  <w14:solidFill>
                    <w14:schemeClr w14:val="tx1"/>
                  </w14:solidFill>
                </w14:textFill>
              </w:rPr>
              <w:t>mg/L×158000m³/a×10</w:t>
            </w:r>
            <w:r>
              <w:rPr>
                <w:rFonts w:hint="default" w:ascii="Times New Roman" w:hAnsi="Times New Roman" w:eastAsia="宋体" w:cs="Times New Roman"/>
                <w:b w:val="0"/>
                <w:bCs w:val="0"/>
                <w:strike w:val="0"/>
                <w:dstrike w:val="0"/>
                <w:color w:val="000000" w:themeColor="text1"/>
                <w:sz w:val="24"/>
                <w:szCs w:val="24"/>
                <w:highlight w:val="none"/>
                <w:vertAlign w:val="superscript"/>
                <w14:textFill>
                  <w14:solidFill>
                    <w14:schemeClr w14:val="tx1"/>
                  </w14:solidFill>
                </w14:textFill>
              </w:rPr>
              <w:t>-6</w:t>
            </w:r>
            <w:r>
              <w:rPr>
                <w:rFonts w:hint="default" w:ascii="Times New Roman" w:hAnsi="Times New Roman" w:eastAsia="宋体" w:cs="Times New Roman"/>
                <w:b w:val="0"/>
                <w:bCs w:val="0"/>
                <w:strike w:val="0"/>
                <w:dstrike w:val="0"/>
                <w:color w:val="000000" w:themeColor="text1"/>
                <w:sz w:val="24"/>
                <w:szCs w:val="24"/>
                <w:highlight w:val="none"/>
                <w14:textFill>
                  <w14:solidFill>
                    <w14:schemeClr w14:val="tx1"/>
                  </w14:solidFill>
                </w14:textFill>
              </w:rPr>
              <w:t>=</w:t>
            </w:r>
            <w:r>
              <w:rPr>
                <w:rFonts w:hint="eastAsia" w:cs="Times New Roman"/>
                <w:b w:val="0"/>
                <w:bCs w:val="0"/>
                <w:strike w:val="0"/>
                <w:dstrike w:val="0"/>
                <w:color w:val="000000" w:themeColor="text1"/>
                <w:sz w:val="24"/>
                <w:szCs w:val="24"/>
                <w:highlight w:val="none"/>
                <w:lang w:val="en-US" w:eastAsia="zh-CN"/>
                <w14:textFill>
                  <w14:solidFill>
                    <w14:schemeClr w14:val="tx1"/>
                  </w14:solidFill>
                </w14:textFill>
              </w:rPr>
              <w:t>0.0790</w:t>
            </w:r>
            <w:r>
              <w:rPr>
                <w:rFonts w:hint="default" w:ascii="Times New Roman" w:hAnsi="Times New Roman" w:eastAsia="宋体" w:cs="Times New Roman"/>
                <w:b w:val="0"/>
                <w:bCs w:val="0"/>
                <w:strike w:val="0"/>
                <w:dstrike w:val="0"/>
                <w:color w:val="000000" w:themeColor="text1"/>
                <w:sz w:val="24"/>
                <w:szCs w:val="24"/>
                <w:highlight w:val="none"/>
                <w14:textFill>
                  <w14:solidFill>
                    <w14:schemeClr w14:val="tx1"/>
                  </w14:solidFill>
                </w14:textFill>
              </w:rPr>
              <w:t>t/a</w:t>
            </w:r>
          </w:p>
          <w:p w14:paraId="65ECBE77">
            <w:pPr>
              <w:keepNext w:val="0"/>
              <w:keepLines w:val="0"/>
              <w:numPr>
                <w:ilvl w:val="0"/>
                <w:numId w:val="0"/>
              </w:numPr>
              <w:suppressLineNumbers w:val="0"/>
              <w:spacing w:before="0" w:beforeAutospacing="0" w:after="0" w:afterAutospacing="0" w:line="360" w:lineRule="auto"/>
              <w:ind w:left="0" w:right="0" w:firstLine="480" w:firstLineChars="200"/>
              <w:jc w:val="left"/>
              <w:outlineLvl w:val="9"/>
              <w:rPr>
                <w:rFonts w:hint="default" w:ascii="Times New Roman" w:hAnsi="Times New Roman" w:eastAsia="宋体" w:cs="Times New Roman"/>
                <w:b w:val="0"/>
                <w:bCs w:val="0"/>
                <w:strike w:val="0"/>
                <w:dstrike w:val="0"/>
                <w:color w:val="000000" w:themeColor="text1"/>
                <w:sz w:val="24"/>
                <w:szCs w:val="24"/>
                <w:highlight w:val="none"/>
                <w:lang w:val="en-US" w:eastAsia="zh-CN"/>
                <w14:textFill>
                  <w14:solidFill>
                    <w14:schemeClr w14:val="tx1"/>
                  </w14:solidFill>
                </w14:textFill>
              </w:rPr>
            </w:pPr>
            <w:r>
              <w:rPr>
                <w:rFonts w:hint="eastAsia" w:cs="Times New Roman"/>
                <w:b w:val="0"/>
                <w:bCs w:val="0"/>
                <w:strike w:val="0"/>
                <w:dstrike w:val="0"/>
                <w:color w:val="000000" w:themeColor="text1"/>
                <w:sz w:val="24"/>
                <w:szCs w:val="24"/>
                <w:highlight w:val="none"/>
                <w:lang w:val="en-US" w:eastAsia="zh-CN"/>
                <w14:textFill>
                  <w14:solidFill>
                    <w14:schemeClr w14:val="tx1"/>
                  </w14:solidFill>
                </w14:textFill>
              </w:rPr>
              <w:t xml:space="preserve">      </w:t>
            </w:r>
            <w:r>
              <w:rPr>
                <w:rFonts w:hint="eastAsia" w:eastAsia="宋体" w:cs="Times New Roman"/>
                <w:b w:val="0"/>
                <w:bCs w:val="0"/>
                <w:strike w:val="0"/>
                <w:dstrike w:val="0"/>
                <w:color w:val="000000" w:themeColor="text1"/>
                <w:sz w:val="24"/>
                <w:szCs w:val="24"/>
                <w:highlight w:val="none"/>
                <w:lang w:val="en-US" w:eastAsia="zh-CN"/>
                <w14:textFill>
                  <w14:solidFill>
                    <w14:schemeClr w14:val="tx1"/>
                  </w14:solidFill>
                </w14:textFill>
              </w:rPr>
              <w:t>项目建成后=</w:t>
            </w:r>
            <w:r>
              <w:rPr>
                <w:rFonts w:hint="eastAsia" w:cs="Times New Roman"/>
                <w:b w:val="0"/>
                <w:bCs w:val="0"/>
                <w:strike w:val="0"/>
                <w:dstrike w:val="0"/>
                <w:color w:val="000000" w:themeColor="text1"/>
                <w:sz w:val="24"/>
                <w:szCs w:val="24"/>
                <w:highlight w:val="none"/>
                <w:lang w:val="en-US" w:eastAsia="zh-CN"/>
                <w14:textFill>
                  <w14:solidFill>
                    <w14:schemeClr w14:val="tx1"/>
                  </w14:solidFill>
                </w14:textFill>
              </w:rPr>
              <w:t>0.0077</w:t>
            </w:r>
            <w:r>
              <w:rPr>
                <w:rFonts w:hint="default" w:ascii="Times New Roman" w:hAnsi="Times New Roman" w:eastAsia="宋体" w:cs="Times New Roman"/>
                <w:b w:val="0"/>
                <w:bCs w:val="0"/>
                <w:strike w:val="0"/>
                <w:dstrike w:val="0"/>
                <w:color w:val="000000" w:themeColor="text1"/>
                <w:sz w:val="24"/>
                <w:szCs w:val="24"/>
                <w:highlight w:val="none"/>
                <w14:textFill>
                  <w14:solidFill>
                    <w14:schemeClr w14:val="tx1"/>
                  </w14:solidFill>
                </w14:textFill>
              </w:rPr>
              <w:t>t/a</w:t>
            </w:r>
            <w:r>
              <w:rPr>
                <w:rFonts w:hint="eastAsia" w:eastAsia="宋体" w:cs="Times New Roman"/>
                <w:b w:val="0"/>
                <w:bCs w:val="0"/>
                <w:strike w:val="0"/>
                <w:dstrike w:val="0"/>
                <w:color w:val="000000" w:themeColor="text1"/>
                <w:sz w:val="24"/>
                <w:szCs w:val="24"/>
                <w:highlight w:val="none"/>
                <w:lang w:val="en-US" w:eastAsia="zh-CN"/>
                <w14:textFill>
                  <w14:solidFill>
                    <w14:schemeClr w14:val="tx1"/>
                  </w14:solidFill>
                </w14:textFill>
              </w:rPr>
              <w:t>+</w:t>
            </w:r>
            <w:r>
              <w:rPr>
                <w:rFonts w:hint="eastAsia" w:cs="Times New Roman"/>
                <w:b w:val="0"/>
                <w:bCs w:val="0"/>
                <w:strike w:val="0"/>
                <w:dstrike w:val="0"/>
                <w:color w:val="000000" w:themeColor="text1"/>
                <w:sz w:val="24"/>
                <w:szCs w:val="24"/>
                <w:highlight w:val="none"/>
                <w:lang w:val="en-US" w:eastAsia="zh-CN"/>
                <w14:textFill>
                  <w14:solidFill>
                    <w14:schemeClr w14:val="tx1"/>
                  </w14:solidFill>
                </w14:textFill>
              </w:rPr>
              <w:t>0.0790</w:t>
            </w:r>
            <w:r>
              <w:rPr>
                <w:rFonts w:hint="default" w:ascii="Times New Roman" w:hAnsi="Times New Roman" w:eastAsia="宋体" w:cs="Times New Roman"/>
                <w:b w:val="0"/>
                <w:bCs w:val="0"/>
                <w:strike w:val="0"/>
                <w:dstrike w:val="0"/>
                <w:color w:val="000000" w:themeColor="text1"/>
                <w:sz w:val="24"/>
                <w:szCs w:val="24"/>
                <w:highlight w:val="none"/>
                <w14:textFill>
                  <w14:solidFill>
                    <w14:schemeClr w14:val="tx1"/>
                  </w14:solidFill>
                </w14:textFill>
              </w:rPr>
              <w:t>t/a</w:t>
            </w:r>
            <w:r>
              <w:rPr>
                <w:rFonts w:hint="eastAsia" w:eastAsia="宋体" w:cs="Times New Roman"/>
                <w:b w:val="0"/>
                <w:bCs w:val="0"/>
                <w:strike w:val="0"/>
                <w:dstrike w:val="0"/>
                <w:color w:val="000000" w:themeColor="text1"/>
                <w:sz w:val="24"/>
                <w:szCs w:val="24"/>
                <w:highlight w:val="none"/>
                <w:lang w:val="en-US" w:eastAsia="zh-CN"/>
                <w14:textFill>
                  <w14:solidFill>
                    <w14:schemeClr w14:val="tx1"/>
                  </w14:solidFill>
                </w14:textFill>
              </w:rPr>
              <w:t>=</w:t>
            </w:r>
            <w:r>
              <w:rPr>
                <w:rFonts w:hint="eastAsia" w:cs="Times New Roman"/>
                <w:b w:val="0"/>
                <w:bCs w:val="0"/>
                <w:strike w:val="0"/>
                <w:dstrike w:val="0"/>
                <w:color w:val="000000" w:themeColor="text1"/>
                <w:sz w:val="24"/>
                <w:szCs w:val="24"/>
                <w:highlight w:val="none"/>
                <w:lang w:val="en-US" w:eastAsia="zh-CN"/>
                <w14:textFill>
                  <w14:solidFill>
                    <w14:schemeClr w14:val="tx1"/>
                  </w14:solidFill>
                </w14:textFill>
              </w:rPr>
              <w:t>0.0867</w:t>
            </w:r>
            <w:r>
              <w:rPr>
                <w:rFonts w:hint="default" w:ascii="Times New Roman" w:hAnsi="Times New Roman" w:eastAsia="宋体" w:cs="Times New Roman"/>
                <w:b w:val="0"/>
                <w:bCs w:val="0"/>
                <w:strike w:val="0"/>
                <w:dstrike w:val="0"/>
                <w:color w:val="000000" w:themeColor="text1"/>
                <w:sz w:val="24"/>
                <w:szCs w:val="24"/>
                <w:highlight w:val="none"/>
                <w14:textFill>
                  <w14:solidFill>
                    <w14:schemeClr w14:val="tx1"/>
                  </w14:solidFill>
                </w14:textFill>
              </w:rPr>
              <w:t>t/a</w:t>
            </w:r>
          </w:p>
          <w:p w14:paraId="0C9E9BD8">
            <w:pPr>
              <w:keepNext w:val="0"/>
              <w:keepLines w:val="0"/>
              <w:numPr>
                <w:ilvl w:val="0"/>
                <w:numId w:val="0"/>
              </w:numPr>
              <w:suppressLineNumbers w:val="0"/>
              <w:spacing w:before="0" w:beforeAutospacing="0" w:after="0" w:afterAutospacing="0" w:line="360" w:lineRule="auto"/>
              <w:ind w:left="0" w:right="0" w:firstLine="480" w:firstLineChars="200"/>
              <w:jc w:val="left"/>
              <w:outlineLvl w:val="9"/>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pPr>
            <w:r>
              <w:rPr>
                <w:rFonts w:hint="eastAsia" w:cs="Times New Roman"/>
                <w:b w:val="0"/>
                <w:color w:val="000000" w:themeColor="text1"/>
                <w:kern w:val="2"/>
                <w:sz w:val="24"/>
                <w:szCs w:val="24"/>
                <w:highlight w:val="none"/>
                <w:lang w:val="en-US" w:eastAsia="zh-CN" w:bidi="ar-SA"/>
                <w14:textFill>
                  <w14:solidFill>
                    <w14:schemeClr w14:val="tx1"/>
                  </w14:solidFill>
                </w14:textFill>
              </w:rPr>
              <w:t>现有项目环评批复中</w:t>
            </w:r>
            <w:r>
              <w:rPr>
                <w:rFonts w:hint="default" w:cs="Times New Roman"/>
                <w:b w:val="0"/>
                <w:color w:val="000000" w:themeColor="text1"/>
                <w:kern w:val="2"/>
                <w:sz w:val="24"/>
                <w:szCs w:val="24"/>
                <w:highlight w:val="none"/>
                <w:lang w:val="zh-CN" w:eastAsia="zh-CN" w:bidi="ar-SA"/>
                <w14:textFill>
                  <w14:solidFill>
                    <w14:schemeClr w14:val="tx1"/>
                  </w14:solidFill>
                </w14:textFill>
              </w:rPr>
              <w:t>CODcr</w:t>
            </w:r>
            <w:r>
              <w:rPr>
                <w:rFonts w:hint="eastAsia" w:cs="Times New Roman"/>
                <w:b w:val="0"/>
                <w:color w:val="000000" w:themeColor="text1"/>
                <w:kern w:val="2"/>
                <w:sz w:val="24"/>
                <w:szCs w:val="24"/>
                <w:highlight w:val="none"/>
                <w:lang w:val="en-US" w:eastAsia="zh-CN" w:bidi="ar-SA"/>
                <w14:textFill>
                  <w14:solidFill>
                    <w14:schemeClr w14:val="tx1"/>
                  </w14:solidFill>
                </w14:textFill>
              </w:rPr>
              <w:t>总量指标为31.107</w:t>
            </w:r>
            <w:r>
              <w:rPr>
                <w:rFonts w:hint="default" w:cs="Times New Roman"/>
                <w:b w:val="0"/>
                <w:color w:val="000000" w:themeColor="text1"/>
                <w:kern w:val="2"/>
                <w:sz w:val="24"/>
                <w:szCs w:val="24"/>
                <w:highlight w:val="none"/>
                <w:lang w:val="en-US" w:eastAsia="zh-CN" w:bidi="ar-SA"/>
                <w14:textFill>
                  <w14:solidFill>
                    <w14:schemeClr w14:val="tx1"/>
                  </w14:solidFill>
                </w14:textFill>
              </w:rPr>
              <w:t>t/a</w:t>
            </w:r>
            <w:r>
              <w:rPr>
                <w:rFonts w:hint="eastAsia" w:cs="Times New Roman"/>
                <w:b w:val="0"/>
                <w:color w:val="000000" w:themeColor="text1"/>
                <w:kern w:val="2"/>
                <w:sz w:val="24"/>
                <w:szCs w:val="24"/>
                <w:highlight w:val="none"/>
                <w:lang w:val="en-US" w:eastAsia="zh-CN" w:bidi="ar-SA"/>
                <w14:textFill>
                  <w14:solidFill>
                    <w14:schemeClr w14:val="tx1"/>
                  </w14:solidFill>
                </w14:textFill>
              </w:rPr>
              <w:t>，TP无总量指标，项目建成后</w:t>
            </w:r>
            <w:r>
              <w:rPr>
                <w:rFonts w:hint="default" w:cs="Times New Roman"/>
                <w:b w:val="0"/>
                <w:color w:val="000000" w:themeColor="text1"/>
                <w:kern w:val="2"/>
                <w:sz w:val="24"/>
                <w:szCs w:val="24"/>
                <w:highlight w:val="none"/>
                <w:lang w:val="zh-CN" w:eastAsia="zh-CN" w:bidi="ar-SA"/>
                <w14:textFill>
                  <w14:solidFill>
                    <w14:schemeClr w14:val="tx1"/>
                  </w14:solidFill>
                </w14:textFill>
              </w:rPr>
              <w:t>CODcr</w:t>
            </w:r>
            <w:r>
              <w:rPr>
                <w:rFonts w:hint="eastAsia" w:cs="Times New Roman"/>
                <w:b w:val="0"/>
                <w:color w:val="000000" w:themeColor="text1"/>
                <w:kern w:val="2"/>
                <w:sz w:val="24"/>
                <w:szCs w:val="24"/>
                <w:highlight w:val="none"/>
                <w:lang w:val="en-US" w:eastAsia="zh-CN" w:bidi="ar-SA"/>
                <w14:textFill>
                  <w14:solidFill>
                    <w14:schemeClr w14:val="tx1"/>
                  </w14:solidFill>
                </w14:textFill>
              </w:rPr>
              <w:t>排放量为</w:t>
            </w:r>
            <w:r>
              <w:rPr>
                <w:rFonts w:hint="eastAsia" w:cs="Times New Roman"/>
                <w:b w:val="0"/>
                <w:bCs w:val="0"/>
                <w:strike w:val="0"/>
                <w:dstrike w:val="0"/>
                <w:color w:val="000000" w:themeColor="text1"/>
                <w:sz w:val="24"/>
                <w:szCs w:val="24"/>
                <w:highlight w:val="none"/>
                <w:lang w:val="en-US" w:eastAsia="zh-CN"/>
                <w14:textFill>
                  <w14:solidFill>
                    <w14:schemeClr w14:val="tx1"/>
                  </w14:solidFill>
                </w14:textFill>
              </w:rPr>
              <w:t>8.6743</w:t>
            </w:r>
            <w:r>
              <w:rPr>
                <w:rFonts w:hint="default" w:cs="Times New Roman"/>
                <w:b w:val="0"/>
                <w:color w:val="000000" w:themeColor="text1"/>
                <w:kern w:val="2"/>
                <w:sz w:val="24"/>
                <w:szCs w:val="24"/>
                <w:highlight w:val="none"/>
                <w:lang w:val="en-US" w:eastAsia="zh-CN" w:bidi="ar-SA"/>
                <w14:textFill>
                  <w14:solidFill>
                    <w14:schemeClr w14:val="tx1"/>
                  </w14:solidFill>
                </w14:textFill>
              </w:rPr>
              <w:t>t/a＜</w:t>
            </w:r>
            <w:r>
              <w:rPr>
                <w:rFonts w:hint="eastAsia" w:cs="Times New Roman"/>
                <w:b w:val="0"/>
                <w:color w:val="000000" w:themeColor="text1"/>
                <w:kern w:val="2"/>
                <w:sz w:val="24"/>
                <w:szCs w:val="24"/>
                <w:highlight w:val="none"/>
                <w:lang w:val="en-US" w:eastAsia="zh-CN" w:bidi="ar-SA"/>
                <w14:textFill>
                  <w14:solidFill>
                    <w14:schemeClr w14:val="tx1"/>
                  </w14:solidFill>
                </w14:textFill>
              </w:rPr>
              <w:t>31.107</w:t>
            </w:r>
            <w:r>
              <w:rPr>
                <w:rFonts w:hint="default" w:cs="Times New Roman"/>
                <w:b w:val="0"/>
                <w:color w:val="000000" w:themeColor="text1"/>
                <w:kern w:val="2"/>
                <w:sz w:val="24"/>
                <w:szCs w:val="24"/>
                <w:highlight w:val="none"/>
                <w:lang w:val="en-US" w:eastAsia="zh-CN" w:bidi="ar-SA"/>
                <w14:textFill>
                  <w14:solidFill>
                    <w14:schemeClr w14:val="tx1"/>
                  </w14:solidFill>
                </w14:textFill>
              </w:rPr>
              <w:t>t/a</w:t>
            </w:r>
            <w:r>
              <w:rPr>
                <w:rFonts w:hint="eastAsia" w:cs="Times New Roman"/>
                <w:b w:val="0"/>
                <w:color w:val="000000" w:themeColor="text1"/>
                <w:kern w:val="2"/>
                <w:sz w:val="24"/>
                <w:szCs w:val="24"/>
                <w:highlight w:val="none"/>
                <w:lang w:val="en-US" w:eastAsia="zh-CN" w:bidi="ar-SA"/>
                <w14:textFill>
                  <w14:solidFill>
                    <w14:schemeClr w14:val="tx1"/>
                  </w14:solidFill>
                </w14:textFill>
              </w:rPr>
              <w:t>，无需申请指标；TP需申请总量指标为</w:t>
            </w:r>
            <w:r>
              <w:rPr>
                <w:rFonts w:hint="eastAsia" w:cs="Times New Roman"/>
                <w:b w:val="0"/>
                <w:bCs w:val="0"/>
                <w:strike w:val="0"/>
                <w:dstrike w:val="0"/>
                <w:color w:val="000000" w:themeColor="text1"/>
                <w:sz w:val="24"/>
                <w:szCs w:val="24"/>
                <w:highlight w:val="none"/>
                <w:lang w:val="en-US" w:eastAsia="zh-CN"/>
                <w14:textFill>
                  <w14:solidFill>
                    <w14:schemeClr w14:val="tx1"/>
                  </w14:solidFill>
                </w14:textFill>
              </w:rPr>
              <w:t>0.0867</w:t>
            </w:r>
            <w:r>
              <w:rPr>
                <w:rFonts w:hint="default" w:ascii="Times New Roman" w:hAnsi="Times New Roman" w:eastAsia="宋体" w:cs="Times New Roman"/>
                <w:b w:val="0"/>
                <w:bCs w:val="0"/>
                <w:strike w:val="0"/>
                <w:dstrike w:val="0"/>
                <w:color w:val="000000" w:themeColor="text1"/>
                <w:sz w:val="24"/>
                <w:szCs w:val="24"/>
                <w:highlight w:val="none"/>
                <w14:textFill>
                  <w14:solidFill>
                    <w14:schemeClr w14:val="tx1"/>
                  </w14:solidFill>
                </w14:textFill>
              </w:rPr>
              <w:t>t/a</w:t>
            </w:r>
            <w:r>
              <w:rPr>
                <w:rFonts w:hint="eastAsia" w:cs="Times New Roman"/>
                <w:b w:val="0"/>
                <w:color w:val="000000" w:themeColor="text1"/>
                <w:kern w:val="2"/>
                <w:sz w:val="24"/>
                <w:szCs w:val="24"/>
                <w:highlight w:val="none"/>
                <w:lang w:val="en-US" w:eastAsia="zh-CN" w:bidi="ar-SA"/>
                <w14:textFill>
                  <w14:solidFill>
                    <w14:schemeClr w14:val="tx1"/>
                  </w14:solidFill>
                </w14:textFill>
              </w:rPr>
              <w:t>。本项目污染物总量指标</w:t>
            </w: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详见下表。</w:t>
            </w:r>
          </w:p>
          <w:p w14:paraId="5CE19176">
            <w:pPr>
              <w:keepNext w:val="0"/>
              <w:keepLines w:val="0"/>
              <w:pageBreakBefore w:val="0"/>
              <w:widowControl w:val="0"/>
              <w:numPr>
                <w:ilvl w:val="0"/>
                <w:numId w:val="24"/>
              </w:numPr>
              <w:suppressLineNumbers w:val="0"/>
              <w:kinsoku/>
              <w:wordWrap/>
              <w:overflowPunct/>
              <w:topLinePunct w:val="0"/>
              <w:autoSpaceDE/>
              <w:autoSpaceDN/>
              <w:bidi w:val="0"/>
              <w:adjustRightInd/>
              <w:snapToGrid w:val="0"/>
              <w:spacing w:before="157" w:beforeLines="5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本项目</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污染物排放总量指标一览表</w:t>
            </w:r>
          </w:p>
          <w:tbl>
            <w:tblPr>
              <w:tblStyle w:val="35"/>
              <w:tblW w:w="4998" w:type="pct"/>
              <w:jc w:val="center"/>
              <w:tblBorders>
                <w:top w:val="double" w:color="auto" w:sz="4" w:space="0"/>
                <w:left w:val="none" w:color="auto" w:sz="0" w:space="0"/>
                <w:bottom w:val="doub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589"/>
              <w:gridCol w:w="1343"/>
              <w:gridCol w:w="1343"/>
              <w:gridCol w:w="1343"/>
              <w:gridCol w:w="1348"/>
              <w:gridCol w:w="1348"/>
            </w:tblGrid>
            <w:tr w14:paraId="6F36D829">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4" w:hRule="atLeast"/>
                <w:jc w:val="center"/>
              </w:trPr>
              <w:tc>
                <w:tcPr>
                  <w:tcW w:w="955" w:type="pct"/>
                  <w:tcBorders>
                    <w:tl2br w:val="nil"/>
                    <w:tr2bl w:val="nil"/>
                  </w:tcBorders>
                  <w:noWrap w:val="0"/>
                  <w:vAlign w:val="center"/>
                </w:tcPr>
                <w:p w14:paraId="4A5EE5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污染物</w:t>
                  </w:r>
                </w:p>
              </w:tc>
              <w:tc>
                <w:tcPr>
                  <w:tcW w:w="807" w:type="pct"/>
                  <w:tcBorders>
                    <w:tl2br w:val="nil"/>
                    <w:tr2bl w:val="nil"/>
                  </w:tcBorders>
                  <w:noWrap w:val="0"/>
                  <w:vAlign w:val="center"/>
                </w:tcPr>
                <w:p w14:paraId="29FFA5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本项目</w:t>
                  </w:r>
                  <w:r>
                    <w:rPr>
                      <w:rFonts w:hint="eastAsia" w:cs="Times New Roman"/>
                      <w:b/>
                      <w:bCs/>
                      <w:color w:val="000000" w:themeColor="text1"/>
                      <w:sz w:val="21"/>
                      <w:szCs w:val="21"/>
                      <w:highlight w:val="none"/>
                      <w:lang w:val="en-US" w:eastAsia="zh-CN"/>
                      <w14:textFill>
                        <w14:solidFill>
                          <w14:schemeClr w14:val="tx1"/>
                        </w14:solidFill>
                      </w14:textFill>
                    </w:rPr>
                    <w:t>排放量</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t/a</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p>
              </w:tc>
              <w:tc>
                <w:tcPr>
                  <w:tcW w:w="807" w:type="pct"/>
                  <w:tcBorders>
                    <w:tl2br w:val="nil"/>
                    <w:tr2bl w:val="nil"/>
                  </w:tcBorders>
                  <w:noWrap w:val="0"/>
                  <w:vAlign w:val="center"/>
                </w:tcPr>
                <w:p w14:paraId="306C80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现有项目排放量</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t/a</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p>
              </w:tc>
              <w:tc>
                <w:tcPr>
                  <w:tcW w:w="807" w:type="pct"/>
                  <w:tcBorders>
                    <w:tl2br w:val="nil"/>
                    <w:tr2bl w:val="nil"/>
                  </w:tcBorders>
                  <w:noWrap w:val="0"/>
                  <w:vAlign w:val="center"/>
                </w:tcPr>
                <w:p w14:paraId="11CE52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项目建成后排放量</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t/a</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p>
              </w:tc>
              <w:tc>
                <w:tcPr>
                  <w:tcW w:w="810" w:type="pct"/>
                  <w:tcBorders>
                    <w:tl2br w:val="nil"/>
                    <w:tr2bl w:val="nil"/>
                  </w:tcBorders>
                  <w:noWrap w:val="0"/>
                  <w:vAlign w:val="center"/>
                </w:tcPr>
                <w:p w14:paraId="1C52F4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现有总量指标</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t/a</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p>
              </w:tc>
              <w:tc>
                <w:tcPr>
                  <w:tcW w:w="810" w:type="pct"/>
                  <w:tcBorders>
                    <w:tl2br w:val="nil"/>
                    <w:tr2bl w:val="nil"/>
                  </w:tcBorders>
                  <w:noWrap w:val="0"/>
                  <w:vAlign w:val="center"/>
                </w:tcPr>
                <w:p w14:paraId="557186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本次环评需要申请总量指标</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t/a</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p>
              </w:tc>
            </w:tr>
            <w:tr w14:paraId="6AAB83F2">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955" w:type="pct"/>
                  <w:tcBorders>
                    <w:tl2br w:val="nil"/>
                    <w:tr2bl w:val="nil"/>
                  </w:tcBorders>
                  <w:noWrap w:val="0"/>
                  <w:vAlign w:val="center"/>
                </w:tcPr>
                <w:p w14:paraId="174082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color w:val="000000" w:themeColor="text1"/>
                      <w:kern w:val="2"/>
                      <w:sz w:val="21"/>
                      <w:szCs w:val="21"/>
                      <w:highlight w:val="none"/>
                      <w:lang w:val="zh-CN" w:eastAsia="zh-CN" w:bidi="ar-SA"/>
                      <w14:textFill>
                        <w14:solidFill>
                          <w14:schemeClr w14:val="tx1"/>
                        </w14:solidFill>
                      </w14:textFill>
                    </w:rPr>
                    <w:t>化学需氧量</w:t>
                  </w:r>
                  <w:r>
                    <w:rPr>
                      <w:rFonts w:hint="eastAsia" w:ascii="Times New Roman" w:hAnsi="Times New Roman" w:eastAsia="宋体" w:cs="Times New Roman"/>
                      <w:b w:val="0"/>
                      <w:color w:val="000000" w:themeColor="text1"/>
                      <w:kern w:val="2"/>
                      <w:sz w:val="21"/>
                      <w:szCs w:val="21"/>
                      <w:highlight w:val="none"/>
                      <w:lang w:val="zh-CN" w:eastAsia="zh-CN" w:bidi="ar-SA"/>
                      <w14:textFill>
                        <w14:solidFill>
                          <w14:schemeClr w14:val="tx1"/>
                        </w14:solidFill>
                      </w14:textFill>
                    </w:rPr>
                    <w:t>（</w:t>
                  </w:r>
                  <w:r>
                    <w:rPr>
                      <w:rFonts w:hint="default" w:ascii="Times New Roman" w:hAnsi="Times New Roman" w:eastAsia="宋体" w:cs="Times New Roman"/>
                      <w:b w:val="0"/>
                      <w:color w:val="000000" w:themeColor="text1"/>
                      <w:kern w:val="2"/>
                      <w:sz w:val="21"/>
                      <w:szCs w:val="21"/>
                      <w:highlight w:val="none"/>
                      <w:lang w:val="zh-CN" w:eastAsia="zh-CN" w:bidi="ar-SA"/>
                      <w14:textFill>
                        <w14:solidFill>
                          <w14:schemeClr w14:val="tx1"/>
                        </w14:solidFill>
                      </w14:textFill>
                    </w:rPr>
                    <w:t>CODcr</w:t>
                  </w:r>
                  <w:r>
                    <w:rPr>
                      <w:rFonts w:hint="eastAsia" w:ascii="Times New Roman" w:hAnsi="Times New Roman" w:eastAsia="宋体" w:cs="Times New Roman"/>
                      <w:b w:val="0"/>
                      <w:color w:val="000000" w:themeColor="text1"/>
                      <w:kern w:val="2"/>
                      <w:sz w:val="21"/>
                      <w:szCs w:val="21"/>
                      <w:highlight w:val="none"/>
                      <w:lang w:val="zh-CN" w:eastAsia="zh-CN" w:bidi="ar-SA"/>
                      <w14:textFill>
                        <w14:solidFill>
                          <w14:schemeClr w14:val="tx1"/>
                        </w14:solidFill>
                      </w14:textFill>
                    </w:rPr>
                    <w:t>）</w:t>
                  </w:r>
                </w:p>
              </w:tc>
              <w:tc>
                <w:tcPr>
                  <w:tcW w:w="807" w:type="pct"/>
                  <w:tcBorders>
                    <w:tl2br w:val="nil"/>
                    <w:tr2bl w:val="nil"/>
                  </w:tcBorders>
                  <w:noWrap w:val="0"/>
                  <w:vAlign w:val="center"/>
                </w:tcPr>
                <w:p w14:paraId="057EE1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b w:val="0"/>
                      <w:bCs w:val="0"/>
                      <w:strike w:val="0"/>
                      <w:dstrike w:val="0"/>
                      <w:color w:val="000000" w:themeColor="text1"/>
                      <w:sz w:val="21"/>
                      <w:szCs w:val="21"/>
                      <w:highlight w:val="none"/>
                      <w:lang w:val="en-US" w:eastAsia="zh-CN"/>
                      <w14:textFill>
                        <w14:solidFill>
                          <w14:schemeClr w14:val="tx1"/>
                        </w14:solidFill>
                      </w14:textFill>
                    </w:rPr>
                    <w:t>0.7743</w:t>
                  </w:r>
                </w:p>
              </w:tc>
              <w:tc>
                <w:tcPr>
                  <w:tcW w:w="807" w:type="pct"/>
                  <w:tcBorders>
                    <w:tl2br w:val="nil"/>
                    <w:tr2bl w:val="nil"/>
                  </w:tcBorders>
                  <w:noWrap w:val="0"/>
                  <w:vAlign w:val="center"/>
                </w:tcPr>
                <w:p w14:paraId="2A9799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b w:val="0"/>
                      <w:bCs w:val="0"/>
                      <w:strike w:val="0"/>
                      <w:dstrike w:val="0"/>
                      <w:color w:val="000000" w:themeColor="text1"/>
                      <w:sz w:val="21"/>
                      <w:szCs w:val="21"/>
                      <w:highlight w:val="none"/>
                      <w:lang w:val="en-US" w:eastAsia="zh-CN"/>
                      <w14:textFill>
                        <w14:solidFill>
                          <w14:schemeClr w14:val="tx1"/>
                        </w14:solidFill>
                      </w14:textFill>
                    </w:rPr>
                  </w:pPr>
                  <w:r>
                    <w:rPr>
                      <w:rFonts w:hint="eastAsia" w:cs="Times New Roman"/>
                      <w:b w:val="0"/>
                      <w:bCs w:val="0"/>
                      <w:strike w:val="0"/>
                      <w:dstrike w:val="0"/>
                      <w:color w:val="000000" w:themeColor="text1"/>
                      <w:sz w:val="21"/>
                      <w:szCs w:val="21"/>
                      <w:highlight w:val="none"/>
                      <w:lang w:val="en-US" w:eastAsia="zh-CN"/>
                      <w14:textFill>
                        <w14:solidFill>
                          <w14:schemeClr w14:val="tx1"/>
                        </w14:solidFill>
                      </w14:textFill>
                    </w:rPr>
                    <w:t>7.90</w:t>
                  </w:r>
                </w:p>
              </w:tc>
              <w:tc>
                <w:tcPr>
                  <w:tcW w:w="807" w:type="pct"/>
                  <w:tcBorders>
                    <w:tl2br w:val="nil"/>
                    <w:tr2bl w:val="nil"/>
                  </w:tcBorders>
                  <w:noWrap w:val="0"/>
                  <w:vAlign w:val="center"/>
                </w:tcPr>
                <w:p w14:paraId="3F088C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b w:val="0"/>
                      <w:bCs w:val="0"/>
                      <w:strike w:val="0"/>
                      <w:dstrike w:val="0"/>
                      <w:color w:val="000000" w:themeColor="text1"/>
                      <w:sz w:val="21"/>
                      <w:szCs w:val="21"/>
                      <w:highlight w:val="none"/>
                      <w:lang w:val="en-US" w:eastAsia="zh-CN"/>
                      <w14:textFill>
                        <w14:solidFill>
                          <w14:schemeClr w14:val="tx1"/>
                        </w14:solidFill>
                      </w14:textFill>
                    </w:rPr>
                  </w:pPr>
                  <w:r>
                    <w:rPr>
                      <w:rFonts w:hint="eastAsia" w:cs="Times New Roman"/>
                      <w:b w:val="0"/>
                      <w:bCs w:val="0"/>
                      <w:strike w:val="0"/>
                      <w:dstrike w:val="0"/>
                      <w:color w:val="000000" w:themeColor="text1"/>
                      <w:sz w:val="21"/>
                      <w:szCs w:val="21"/>
                      <w:highlight w:val="none"/>
                      <w:lang w:val="en-US" w:eastAsia="zh-CN"/>
                      <w14:textFill>
                        <w14:solidFill>
                          <w14:schemeClr w14:val="tx1"/>
                        </w14:solidFill>
                      </w14:textFill>
                    </w:rPr>
                    <w:t>8.6743</w:t>
                  </w:r>
                </w:p>
              </w:tc>
              <w:tc>
                <w:tcPr>
                  <w:tcW w:w="810" w:type="pct"/>
                  <w:tcBorders>
                    <w:tl2br w:val="nil"/>
                    <w:tr2bl w:val="nil"/>
                  </w:tcBorders>
                  <w:noWrap w:val="0"/>
                  <w:vAlign w:val="center"/>
                </w:tcPr>
                <w:p w14:paraId="4D57FD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b w:val="0"/>
                      <w:bCs w:val="0"/>
                      <w:strike w:val="0"/>
                      <w:dstrike w:val="0"/>
                      <w:color w:val="000000" w:themeColor="text1"/>
                      <w:sz w:val="21"/>
                      <w:szCs w:val="21"/>
                      <w:highlight w:val="none"/>
                      <w:lang w:val="en-US" w:eastAsia="zh-CN"/>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31.107</w:t>
                  </w:r>
                </w:p>
              </w:tc>
              <w:tc>
                <w:tcPr>
                  <w:tcW w:w="810" w:type="pct"/>
                  <w:tcBorders>
                    <w:tl2br w:val="nil"/>
                    <w:tr2bl w:val="nil"/>
                  </w:tcBorders>
                  <w:noWrap w:val="0"/>
                  <w:vAlign w:val="center"/>
                </w:tcPr>
                <w:p w14:paraId="1AB5C4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b w:val="0"/>
                      <w:bCs w:val="0"/>
                      <w:strike w:val="0"/>
                      <w:dstrike w:val="0"/>
                      <w:color w:val="000000" w:themeColor="text1"/>
                      <w:sz w:val="21"/>
                      <w:szCs w:val="21"/>
                      <w:highlight w:val="none"/>
                      <w:lang w:val="en-US" w:eastAsia="zh-CN"/>
                      <w14:textFill>
                        <w14:solidFill>
                          <w14:schemeClr w14:val="tx1"/>
                        </w14:solidFill>
                      </w14:textFill>
                    </w:rPr>
                  </w:pPr>
                  <w:r>
                    <w:rPr>
                      <w:rFonts w:hint="eastAsia" w:cs="Times New Roman"/>
                      <w:b w:val="0"/>
                      <w:bCs w:val="0"/>
                      <w:strike w:val="0"/>
                      <w:dstrike w:val="0"/>
                      <w:color w:val="000000" w:themeColor="text1"/>
                      <w:sz w:val="21"/>
                      <w:szCs w:val="21"/>
                      <w:highlight w:val="none"/>
                      <w:lang w:val="en-US" w:eastAsia="zh-CN"/>
                      <w14:textFill>
                        <w14:solidFill>
                          <w14:schemeClr w14:val="tx1"/>
                        </w14:solidFill>
                      </w14:textFill>
                    </w:rPr>
                    <w:t>0</w:t>
                  </w:r>
                </w:p>
              </w:tc>
            </w:tr>
            <w:tr w14:paraId="4640CE11">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97" w:hRule="atLeast"/>
                <w:jc w:val="center"/>
              </w:trPr>
              <w:tc>
                <w:tcPr>
                  <w:tcW w:w="955" w:type="pct"/>
                  <w:tcBorders>
                    <w:tl2br w:val="nil"/>
                    <w:tr2bl w:val="nil"/>
                  </w:tcBorders>
                  <w:noWrap w:val="0"/>
                  <w:vAlign w:val="center"/>
                </w:tcPr>
                <w:p w14:paraId="1A6ED4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color w:val="000000" w:themeColor="text1"/>
                      <w:kern w:val="2"/>
                      <w:sz w:val="21"/>
                      <w:szCs w:val="21"/>
                      <w:highlight w:val="none"/>
                      <w:lang w:val="zh-CN" w:eastAsia="zh-CN" w:bidi="ar-SA"/>
                      <w14:textFill>
                        <w14:solidFill>
                          <w14:schemeClr w14:val="tx1"/>
                        </w14:solidFill>
                      </w14:textFill>
                    </w:rPr>
                    <w:t>总磷</w:t>
                  </w:r>
                  <w:r>
                    <w:rPr>
                      <w:rFonts w:hint="eastAsia" w:cs="Times New Roman"/>
                      <w:b w:val="0"/>
                      <w:color w:val="000000" w:themeColor="text1"/>
                      <w:kern w:val="2"/>
                      <w:sz w:val="21"/>
                      <w:szCs w:val="21"/>
                      <w:highlight w:val="none"/>
                      <w:lang w:val="zh-CN" w:eastAsia="zh-CN" w:bidi="ar-SA"/>
                      <w14:textFill>
                        <w14:solidFill>
                          <w14:schemeClr w14:val="tx1"/>
                        </w14:solidFill>
                      </w14:textFill>
                    </w:rPr>
                    <w:t>（</w:t>
                  </w:r>
                  <w:r>
                    <w:rPr>
                      <w:rFonts w:hint="eastAsia" w:cs="Times New Roman"/>
                      <w:b w:val="0"/>
                      <w:color w:val="000000" w:themeColor="text1"/>
                      <w:kern w:val="2"/>
                      <w:sz w:val="21"/>
                      <w:szCs w:val="21"/>
                      <w:highlight w:val="none"/>
                      <w:lang w:val="en-US" w:eastAsia="zh-CN" w:bidi="ar-SA"/>
                      <w14:textFill>
                        <w14:solidFill>
                          <w14:schemeClr w14:val="tx1"/>
                        </w14:solidFill>
                      </w14:textFill>
                    </w:rPr>
                    <w:t>TP</w:t>
                  </w:r>
                  <w:r>
                    <w:rPr>
                      <w:rFonts w:hint="eastAsia" w:cs="Times New Roman"/>
                      <w:b w:val="0"/>
                      <w:color w:val="000000" w:themeColor="text1"/>
                      <w:kern w:val="2"/>
                      <w:sz w:val="21"/>
                      <w:szCs w:val="21"/>
                      <w:highlight w:val="none"/>
                      <w:lang w:val="zh-CN" w:eastAsia="zh-CN" w:bidi="ar-SA"/>
                      <w14:textFill>
                        <w14:solidFill>
                          <w14:schemeClr w14:val="tx1"/>
                        </w14:solidFill>
                      </w14:textFill>
                    </w:rPr>
                    <w:t>）</w:t>
                  </w:r>
                </w:p>
              </w:tc>
              <w:tc>
                <w:tcPr>
                  <w:tcW w:w="807" w:type="pct"/>
                  <w:tcBorders>
                    <w:tl2br w:val="nil"/>
                    <w:tr2bl w:val="nil"/>
                  </w:tcBorders>
                  <w:noWrap w:val="0"/>
                  <w:vAlign w:val="center"/>
                </w:tcPr>
                <w:p w14:paraId="68DB47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b w:val="0"/>
                      <w:bCs w:val="0"/>
                      <w:strike w:val="0"/>
                      <w:dstrike w:val="0"/>
                      <w:color w:val="000000" w:themeColor="text1"/>
                      <w:sz w:val="21"/>
                      <w:szCs w:val="21"/>
                      <w:highlight w:val="none"/>
                      <w:lang w:val="en-US" w:eastAsia="zh-CN"/>
                      <w14:textFill>
                        <w14:solidFill>
                          <w14:schemeClr w14:val="tx1"/>
                        </w14:solidFill>
                      </w14:textFill>
                    </w:rPr>
                    <w:t>0.0077</w:t>
                  </w:r>
                </w:p>
              </w:tc>
              <w:tc>
                <w:tcPr>
                  <w:tcW w:w="807" w:type="pct"/>
                  <w:tcBorders>
                    <w:tl2br w:val="nil"/>
                    <w:tr2bl w:val="nil"/>
                  </w:tcBorders>
                  <w:noWrap w:val="0"/>
                  <w:vAlign w:val="center"/>
                </w:tcPr>
                <w:p w14:paraId="38B0EA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b w:val="0"/>
                      <w:bCs w:val="0"/>
                      <w:strike w:val="0"/>
                      <w:dstrike w:val="0"/>
                      <w:color w:val="000000" w:themeColor="text1"/>
                      <w:sz w:val="21"/>
                      <w:szCs w:val="21"/>
                      <w:highlight w:val="none"/>
                      <w:lang w:val="en-US" w:eastAsia="zh-CN"/>
                      <w14:textFill>
                        <w14:solidFill>
                          <w14:schemeClr w14:val="tx1"/>
                        </w14:solidFill>
                      </w14:textFill>
                    </w:rPr>
                  </w:pPr>
                  <w:r>
                    <w:rPr>
                      <w:rFonts w:hint="eastAsia" w:cs="Times New Roman"/>
                      <w:b w:val="0"/>
                      <w:bCs w:val="0"/>
                      <w:strike w:val="0"/>
                      <w:dstrike w:val="0"/>
                      <w:color w:val="000000" w:themeColor="text1"/>
                      <w:sz w:val="21"/>
                      <w:szCs w:val="21"/>
                      <w:highlight w:val="none"/>
                      <w:lang w:val="en-US" w:eastAsia="zh-CN"/>
                      <w14:textFill>
                        <w14:solidFill>
                          <w14:schemeClr w14:val="tx1"/>
                        </w14:solidFill>
                      </w14:textFill>
                    </w:rPr>
                    <w:t>0.0790</w:t>
                  </w:r>
                </w:p>
              </w:tc>
              <w:tc>
                <w:tcPr>
                  <w:tcW w:w="807" w:type="pct"/>
                  <w:tcBorders>
                    <w:tl2br w:val="nil"/>
                    <w:tr2bl w:val="nil"/>
                  </w:tcBorders>
                  <w:noWrap w:val="0"/>
                  <w:vAlign w:val="center"/>
                </w:tcPr>
                <w:p w14:paraId="6C1882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b w:val="0"/>
                      <w:bCs w:val="0"/>
                      <w:strike w:val="0"/>
                      <w:dstrike w:val="0"/>
                      <w:color w:val="000000" w:themeColor="text1"/>
                      <w:sz w:val="21"/>
                      <w:szCs w:val="21"/>
                      <w:highlight w:val="none"/>
                      <w:lang w:val="en-US" w:eastAsia="zh-CN"/>
                      <w14:textFill>
                        <w14:solidFill>
                          <w14:schemeClr w14:val="tx1"/>
                        </w14:solidFill>
                      </w14:textFill>
                    </w:rPr>
                  </w:pPr>
                  <w:r>
                    <w:rPr>
                      <w:rFonts w:hint="eastAsia" w:cs="Times New Roman"/>
                      <w:b w:val="0"/>
                      <w:bCs w:val="0"/>
                      <w:strike w:val="0"/>
                      <w:dstrike w:val="0"/>
                      <w:color w:val="000000" w:themeColor="text1"/>
                      <w:sz w:val="21"/>
                      <w:szCs w:val="21"/>
                      <w:highlight w:val="none"/>
                      <w:lang w:val="en-US" w:eastAsia="zh-CN"/>
                      <w14:textFill>
                        <w14:solidFill>
                          <w14:schemeClr w14:val="tx1"/>
                        </w14:solidFill>
                      </w14:textFill>
                    </w:rPr>
                    <w:t>0.0867</w:t>
                  </w:r>
                </w:p>
              </w:tc>
              <w:tc>
                <w:tcPr>
                  <w:tcW w:w="810" w:type="pct"/>
                  <w:tcBorders>
                    <w:tl2br w:val="nil"/>
                    <w:tr2bl w:val="nil"/>
                  </w:tcBorders>
                  <w:noWrap w:val="0"/>
                  <w:vAlign w:val="center"/>
                </w:tcPr>
                <w:p w14:paraId="717D2A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b w:val="0"/>
                      <w:bCs w:val="0"/>
                      <w:strike w:val="0"/>
                      <w:dstrike w:val="0"/>
                      <w:color w:val="000000" w:themeColor="text1"/>
                      <w:sz w:val="21"/>
                      <w:szCs w:val="21"/>
                      <w:highlight w:val="none"/>
                      <w:lang w:val="en-US" w:eastAsia="zh-CN"/>
                      <w14:textFill>
                        <w14:solidFill>
                          <w14:schemeClr w14:val="tx1"/>
                        </w14:solidFill>
                      </w14:textFill>
                    </w:rPr>
                  </w:pPr>
                  <w:r>
                    <w:rPr>
                      <w:rFonts w:hint="eastAsia" w:cs="Times New Roman"/>
                      <w:b w:val="0"/>
                      <w:bCs w:val="0"/>
                      <w:strike w:val="0"/>
                      <w:dstrike w:val="0"/>
                      <w:color w:val="000000" w:themeColor="text1"/>
                      <w:sz w:val="21"/>
                      <w:szCs w:val="21"/>
                      <w:highlight w:val="none"/>
                      <w:lang w:val="en-US" w:eastAsia="zh-CN"/>
                      <w14:textFill>
                        <w14:solidFill>
                          <w14:schemeClr w14:val="tx1"/>
                        </w14:solidFill>
                      </w14:textFill>
                    </w:rPr>
                    <w:t>无</w:t>
                  </w:r>
                </w:p>
              </w:tc>
              <w:tc>
                <w:tcPr>
                  <w:tcW w:w="810" w:type="pct"/>
                  <w:tcBorders>
                    <w:tl2br w:val="nil"/>
                    <w:tr2bl w:val="nil"/>
                  </w:tcBorders>
                  <w:noWrap w:val="0"/>
                  <w:vAlign w:val="center"/>
                </w:tcPr>
                <w:p w14:paraId="20C7D0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 w:val="0"/>
                      <w:bCs w:val="0"/>
                      <w:strike w:val="0"/>
                      <w:dstrike w:val="0"/>
                      <w:color w:val="000000" w:themeColor="text1"/>
                      <w:sz w:val="21"/>
                      <w:szCs w:val="21"/>
                      <w:highlight w:val="none"/>
                      <w:lang w:val="en-US" w:eastAsia="zh-CN"/>
                      <w14:textFill>
                        <w14:solidFill>
                          <w14:schemeClr w14:val="tx1"/>
                        </w14:solidFill>
                      </w14:textFill>
                    </w:rPr>
                  </w:pPr>
                  <w:r>
                    <w:rPr>
                      <w:rFonts w:hint="eastAsia" w:cs="Times New Roman"/>
                      <w:b w:val="0"/>
                      <w:bCs w:val="0"/>
                      <w:strike w:val="0"/>
                      <w:dstrike w:val="0"/>
                      <w:color w:val="000000" w:themeColor="text1"/>
                      <w:sz w:val="21"/>
                      <w:szCs w:val="21"/>
                      <w:highlight w:val="none"/>
                      <w:lang w:val="en-US" w:eastAsia="zh-CN"/>
                      <w14:textFill>
                        <w14:solidFill>
                          <w14:schemeClr w14:val="tx1"/>
                        </w14:solidFill>
                      </w14:textFill>
                    </w:rPr>
                    <w:t>0.0867</w:t>
                  </w:r>
                </w:p>
              </w:tc>
            </w:tr>
          </w:tbl>
          <w:p w14:paraId="1B03C90C">
            <w:pPr>
              <w:pStyle w:val="43"/>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p w14:paraId="319A1C50">
            <w:pPr>
              <w:pStyle w:val="43"/>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firstLine="480" w:firstLineChars="200"/>
              <w:jc w:val="left"/>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tc>
      </w:tr>
    </w:tbl>
    <w:p w14:paraId="4E0FCE0B">
      <w:pPr>
        <w:pStyle w:val="8"/>
        <w:jc w:val="center"/>
        <w:outlineLvl w:val="0"/>
        <w:rPr>
          <w:rFonts w:ascii="黑体" w:hAnsi="黑体" w:eastAsia="黑体"/>
          <w:snapToGrid w:val="0"/>
          <w:color w:val="000000" w:themeColor="text1"/>
          <w:sz w:val="30"/>
          <w:szCs w:val="30"/>
          <w:highlight w:val="none"/>
          <w14:textFill>
            <w14:solidFill>
              <w14:schemeClr w14:val="tx1"/>
            </w14:solidFill>
          </w14:textFill>
        </w:rPr>
      </w:pPr>
      <w:r>
        <w:rPr>
          <w:rFonts w:ascii="黑体" w:hAnsi="黑体" w:eastAsia="黑体"/>
          <w:snapToGrid w:val="0"/>
          <w:color w:val="000000" w:themeColor="text1"/>
          <w:sz w:val="36"/>
          <w:szCs w:val="36"/>
          <w:highlight w:val="none"/>
          <w14:textFill>
            <w14:solidFill>
              <w14:schemeClr w14:val="tx1"/>
            </w14:solidFill>
          </w14:textFill>
        </w:rPr>
        <w:br w:type="page"/>
      </w:r>
      <w:r>
        <w:rPr>
          <w:rFonts w:hint="eastAsia" w:ascii="黑体" w:hAnsi="黑体" w:eastAsia="黑体"/>
          <w:b/>
          <w:bCs/>
          <w:snapToGrid w:val="0"/>
          <w:color w:val="000000" w:themeColor="text1"/>
          <w:sz w:val="30"/>
          <w:szCs w:val="30"/>
          <w:highlight w:val="none"/>
          <w14:textFill>
            <w14:solidFill>
              <w14:schemeClr w14:val="tx1"/>
            </w14:solidFill>
          </w14:textFill>
        </w:rPr>
        <w:t>四、主要环境影响和保护措施</w:t>
      </w:r>
    </w:p>
    <w:tbl>
      <w:tblPr>
        <w:tblStyle w:val="35"/>
        <w:tblW w:w="898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98"/>
        <w:gridCol w:w="8583"/>
      </w:tblGrid>
      <w:tr w14:paraId="02F6AC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8" w:hRule="atLeast"/>
          <w:jc w:val="center"/>
        </w:trPr>
        <w:tc>
          <w:tcPr>
            <w:tcW w:w="398" w:type="dxa"/>
            <w:tcMar>
              <w:left w:w="28" w:type="dxa"/>
              <w:right w:w="28" w:type="dxa"/>
            </w:tcMar>
            <w:vAlign w:val="center"/>
          </w:tcPr>
          <w:p w14:paraId="77091B07">
            <w:pPr>
              <w:pStyle w:val="8"/>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2"/>
                <w:sz w:val="24"/>
                <w:szCs w:val="24"/>
                <w:highlight w:val="none"/>
                <w14:textFill>
                  <w14:solidFill>
                    <w14:schemeClr w14:val="tx1"/>
                  </w14:solidFill>
                </w14:textFill>
              </w:rPr>
            </w:pPr>
            <w:r>
              <w:rPr>
                <w:rFonts w:hint="default" w:ascii="Times New Roman" w:hAnsi="Times New Roman" w:cs="Times New Roman"/>
                <w:color w:val="000000" w:themeColor="text1"/>
                <w:kern w:val="2"/>
                <w:sz w:val="24"/>
                <w:szCs w:val="24"/>
                <w:highlight w:val="none"/>
                <w14:textFill>
                  <w14:solidFill>
                    <w14:schemeClr w14:val="tx1"/>
                  </w14:solidFill>
                </w14:textFill>
              </w:rPr>
              <w:t>施</w:t>
            </w:r>
          </w:p>
          <w:p w14:paraId="50FF8A7A">
            <w:pPr>
              <w:pStyle w:val="8"/>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2"/>
                <w:sz w:val="24"/>
                <w:szCs w:val="24"/>
                <w:highlight w:val="none"/>
                <w14:textFill>
                  <w14:solidFill>
                    <w14:schemeClr w14:val="tx1"/>
                  </w14:solidFill>
                </w14:textFill>
              </w:rPr>
            </w:pPr>
            <w:r>
              <w:rPr>
                <w:rFonts w:hint="default" w:ascii="Times New Roman" w:hAnsi="Times New Roman" w:cs="Times New Roman"/>
                <w:color w:val="000000" w:themeColor="text1"/>
                <w:kern w:val="2"/>
                <w:sz w:val="24"/>
                <w:szCs w:val="24"/>
                <w:highlight w:val="none"/>
                <w14:textFill>
                  <w14:solidFill>
                    <w14:schemeClr w14:val="tx1"/>
                  </w14:solidFill>
                </w14:textFill>
              </w:rPr>
              <w:t>工</w:t>
            </w:r>
          </w:p>
          <w:p w14:paraId="61BC64D4">
            <w:pPr>
              <w:pStyle w:val="8"/>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2"/>
                <w:sz w:val="24"/>
                <w:szCs w:val="24"/>
                <w:highlight w:val="none"/>
                <w14:textFill>
                  <w14:solidFill>
                    <w14:schemeClr w14:val="tx1"/>
                  </w14:solidFill>
                </w14:textFill>
              </w:rPr>
            </w:pPr>
            <w:r>
              <w:rPr>
                <w:rFonts w:hint="default" w:ascii="Times New Roman" w:hAnsi="Times New Roman" w:cs="Times New Roman"/>
                <w:color w:val="000000" w:themeColor="text1"/>
                <w:kern w:val="2"/>
                <w:sz w:val="24"/>
                <w:szCs w:val="24"/>
                <w:highlight w:val="none"/>
                <w14:textFill>
                  <w14:solidFill>
                    <w14:schemeClr w14:val="tx1"/>
                  </w14:solidFill>
                </w14:textFill>
              </w:rPr>
              <w:t>期</w:t>
            </w:r>
          </w:p>
          <w:p w14:paraId="4A909464">
            <w:pPr>
              <w:pStyle w:val="8"/>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2"/>
                <w:sz w:val="24"/>
                <w:szCs w:val="24"/>
                <w:highlight w:val="none"/>
                <w14:textFill>
                  <w14:solidFill>
                    <w14:schemeClr w14:val="tx1"/>
                  </w14:solidFill>
                </w14:textFill>
              </w:rPr>
            </w:pPr>
            <w:r>
              <w:rPr>
                <w:rFonts w:hint="default" w:ascii="Times New Roman" w:hAnsi="Times New Roman" w:cs="Times New Roman"/>
                <w:color w:val="000000" w:themeColor="text1"/>
                <w:kern w:val="2"/>
                <w:sz w:val="24"/>
                <w:szCs w:val="24"/>
                <w:highlight w:val="none"/>
                <w14:textFill>
                  <w14:solidFill>
                    <w14:schemeClr w14:val="tx1"/>
                  </w14:solidFill>
                </w14:textFill>
              </w:rPr>
              <w:t>环</w:t>
            </w:r>
          </w:p>
          <w:p w14:paraId="6E7DAC5D">
            <w:pPr>
              <w:pStyle w:val="8"/>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2"/>
                <w:sz w:val="24"/>
                <w:szCs w:val="24"/>
                <w:highlight w:val="none"/>
                <w14:textFill>
                  <w14:solidFill>
                    <w14:schemeClr w14:val="tx1"/>
                  </w14:solidFill>
                </w14:textFill>
              </w:rPr>
            </w:pPr>
            <w:r>
              <w:rPr>
                <w:rFonts w:hint="default" w:ascii="Times New Roman" w:hAnsi="Times New Roman" w:cs="Times New Roman"/>
                <w:color w:val="000000" w:themeColor="text1"/>
                <w:kern w:val="2"/>
                <w:sz w:val="24"/>
                <w:szCs w:val="24"/>
                <w:highlight w:val="none"/>
                <w14:textFill>
                  <w14:solidFill>
                    <w14:schemeClr w14:val="tx1"/>
                  </w14:solidFill>
                </w14:textFill>
              </w:rPr>
              <w:t>境</w:t>
            </w:r>
          </w:p>
          <w:p w14:paraId="68BD4DE5">
            <w:pPr>
              <w:pStyle w:val="8"/>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2"/>
                <w:sz w:val="24"/>
                <w:szCs w:val="24"/>
                <w:highlight w:val="none"/>
                <w14:textFill>
                  <w14:solidFill>
                    <w14:schemeClr w14:val="tx1"/>
                  </w14:solidFill>
                </w14:textFill>
              </w:rPr>
            </w:pPr>
            <w:r>
              <w:rPr>
                <w:rFonts w:hint="default" w:ascii="Times New Roman" w:hAnsi="Times New Roman" w:cs="Times New Roman"/>
                <w:color w:val="000000" w:themeColor="text1"/>
                <w:kern w:val="2"/>
                <w:sz w:val="24"/>
                <w:szCs w:val="24"/>
                <w:highlight w:val="none"/>
                <w14:textFill>
                  <w14:solidFill>
                    <w14:schemeClr w14:val="tx1"/>
                  </w14:solidFill>
                </w14:textFill>
              </w:rPr>
              <w:t>保</w:t>
            </w:r>
          </w:p>
          <w:p w14:paraId="59E02411">
            <w:pPr>
              <w:pStyle w:val="8"/>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2"/>
                <w:sz w:val="24"/>
                <w:szCs w:val="24"/>
                <w:highlight w:val="none"/>
                <w14:textFill>
                  <w14:solidFill>
                    <w14:schemeClr w14:val="tx1"/>
                  </w14:solidFill>
                </w14:textFill>
              </w:rPr>
            </w:pPr>
            <w:r>
              <w:rPr>
                <w:rFonts w:hint="default" w:ascii="Times New Roman" w:hAnsi="Times New Roman" w:cs="Times New Roman"/>
                <w:color w:val="000000" w:themeColor="text1"/>
                <w:kern w:val="2"/>
                <w:sz w:val="24"/>
                <w:szCs w:val="24"/>
                <w:highlight w:val="none"/>
                <w14:textFill>
                  <w14:solidFill>
                    <w14:schemeClr w14:val="tx1"/>
                  </w14:solidFill>
                </w14:textFill>
              </w:rPr>
              <w:t>护</w:t>
            </w:r>
          </w:p>
          <w:p w14:paraId="46334BFD">
            <w:pPr>
              <w:pStyle w:val="8"/>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kern w:val="2"/>
                <w:sz w:val="24"/>
                <w:szCs w:val="24"/>
                <w:highlight w:val="none"/>
                <w14:textFill>
                  <w14:solidFill>
                    <w14:schemeClr w14:val="tx1"/>
                  </w14:solidFill>
                </w14:textFill>
              </w:rPr>
            </w:pPr>
            <w:r>
              <w:rPr>
                <w:rFonts w:hint="default" w:ascii="Times New Roman" w:hAnsi="Times New Roman" w:cs="Times New Roman"/>
                <w:color w:val="000000" w:themeColor="text1"/>
                <w:kern w:val="2"/>
                <w:sz w:val="24"/>
                <w:szCs w:val="24"/>
                <w:highlight w:val="none"/>
                <w14:textFill>
                  <w14:solidFill>
                    <w14:schemeClr w14:val="tx1"/>
                  </w14:solidFill>
                </w14:textFill>
              </w:rPr>
              <w:t>措</w:t>
            </w:r>
          </w:p>
          <w:p w14:paraId="1A9F791B">
            <w:pPr>
              <w:pStyle w:val="8"/>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000000" w:themeColor="text1"/>
                <w:kern w:val="2"/>
                <w:sz w:val="24"/>
                <w:szCs w:val="24"/>
                <w:highlight w:val="none"/>
                <w14:textFill>
                  <w14:solidFill>
                    <w14:schemeClr w14:val="tx1"/>
                  </w14:solidFill>
                </w14:textFill>
              </w:rPr>
            </w:pPr>
            <w:r>
              <w:rPr>
                <w:rFonts w:hint="default" w:ascii="Times New Roman" w:hAnsi="Times New Roman" w:cs="Times New Roman"/>
                <w:color w:val="000000" w:themeColor="text1"/>
                <w:kern w:val="2"/>
                <w:sz w:val="24"/>
                <w:szCs w:val="24"/>
                <w:highlight w:val="none"/>
                <w14:textFill>
                  <w14:solidFill>
                    <w14:schemeClr w14:val="tx1"/>
                  </w14:solidFill>
                </w14:textFill>
              </w:rPr>
              <w:t>施</w:t>
            </w:r>
          </w:p>
        </w:tc>
        <w:tc>
          <w:tcPr>
            <w:tcW w:w="8583" w:type="dxa"/>
            <w:vAlign w:val="center"/>
          </w:tcPr>
          <w:p w14:paraId="15FE07F2">
            <w:pPr>
              <w:keepNext w:val="0"/>
              <w:keepLines w:val="0"/>
              <w:pageBreakBefore w:val="0"/>
              <w:widowControl w:val="0"/>
              <w:suppressLineNumbers w:val="0"/>
              <w:kinsoku w:val="0"/>
              <w:wordWrap/>
              <w:overflowPunct w:val="0"/>
              <w:topLinePunct w:val="0"/>
              <w:autoSpaceDE w:val="0"/>
              <w:autoSpaceDN w:val="0"/>
              <w:bidi w:val="0"/>
              <w:adjustRightInd/>
              <w:snapToGrid/>
              <w:spacing w:before="157" w:beforeLines="50" w:beforeAutospacing="0" w:after="0" w:afterAutospacing="0" w:line="360" w:lineRule="auto"/>
              <w:ind w:left="0" w:leftChars="0" w:right="0" w:firstLine="480" w:firstLineChars="200"/>
              <w:jc w:val="left"/>
              <w:textAlignment w:val="auto"/>
              <w:rPr>
                <w:rFonts w:hint="eastAsia" w:ascii="Times New Roman" w:hAnsi="Times New Roman" w:eastAsia="瀹嬩綋" w:cs="Times New Roman"/>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eastAsia="瀹嬩綋" w:cs="Times New Roman"/>
                <w:color w:val="000000" w:themeColor="text1"/>
                <w:kern w:val="0"/>
                <w:sz w:val="24"/>
                <w:szCs w:val="24"/>
                <w:highlight w:val="none"/>
                <w:lang w:val="en-US" w:eastAsia="zh-CN" w:bidi="ar"/>
                <w14:textFill>
                  <w14:solidFill>
                    <w14:schemeClr w14:val="tx1"/>
                  </w14:solidFill>
                </w14:textFill>
              </w:rPr>
              <w:t>本项目在</w:t>
            </w:r>
            <w:r>
              <w:rPr>
                <w:rFonts w:hint="eastAsia" w:cs="Times New Roman"/>
                <w:color w:val="000000" w:themeColor="text1"/>
                <w:kern w:val="2"/>
                <w:sz w:val="24"/>
                <w:szCs w:val="24"/>
                <w:highlight w:val="none"/>
                <w:lang w:val="en-US" w:eastAsia="zh-CN" w:bidi="ar-SA"/>
                <w14:textFill>
                  <w14:solidFill>
                    <w14:schemeClr w14:val="tx1"/>
                  </w14:solidFill>
                </w14:textFill>
              </w:rPr>
              <w:t>前处理车间和</w:t>
            </w:r>
            <w:r>
              <w:rPr>
                <w:rFonts w:hint="eastAsia" w:ascii="Times New Roman" w:hAnsi="Times New Roman" w:cs="Times New Roman"/>
                <w:color w:val="000000" w:themeColor="text1"/>
                <w:kern w:val="0"/>
                <w:sz w:val="24"/>
                <w:szCs w:val="24"/>
                <w:highlight w:val="none"/>
                <w:u w:val="none"/>
                <w:lang w:val="en-US" w:eastAsia="zh-CN"/>
                <w14:textFill>
                  <w14:solidFill>
                    <w14:schemeClr w14:val="tx1"/>
                  </w14:solidFill>
                </w14:textFill>
              </w:rPr>
              <w:t>综合制剂车间二层</w:t>
            </w:r>
            <w:r>
              <w:rPr>
                <w:rFonts w:hint="eastAsia" w:cs="Times New Roman"/>
                <w:color w:val="000000" w:themeColor="text1"/>
                <w:kern w:val="0"/>
                <w:sz w:val="24"/>
                <w:szCs w:val="24"/>
                <w:highlight w:val="none"/>
                <w:u w:val="none"/>
                <w:lang w:val="en-US" w:eastAsia="zh-CN"/>
                <w14:textFill>
                  <w14:solidFill>
                    <w14:schemeClr w14:val="tx1"/>
                  </w14:solidFill>
                </w14:textFill>
              </w:rPr>
              <w:t>进行改扩建，并在厂区西南新建成品库，</w:t>
            </w:r>
            <w:r>
              <w:rPr>
                <w:rFonts w:hint="eastAsia" w:ascii="Times New Roman" w:hAnsi="Times New Roman" w:eastAsia="瀹嬩綋" w:cs="Times New Roman"/>
                <w:color w:val="000000" w:themeColor="text1"/>
                <w:kern w:val="0"/>
                <w:sz w:val="24"/>
                <w:szCs w:val="24"/>
                <w:highlight w:val="none"/>
                <w:lang w:val="en-US" w:eastAsia="zh-CN" w:bidi="ar"/>
                <w14:textFill>
                  <w14:solidFill>
                    <w14:schemeClr w14:val="tx1"/>
                  </w14:solidFill>
                </w14:textFill>
              </w:rPr>
              <w:t>施工期</w:t>
            </w:r>
            <w:r>
              <w:rPr>
                <w:rFonts w:hint="eastAsia" w:eastAsia="瀹嬩綋" w:cs="Times New Roman"/>
                <w:color w:val="000000" w:themeColor="text1"/>
                <w:kern w:val="0"/>
                <w:sz w:val="24"/>
                <w:szCs w:val="24"/>
                <w:highlight w:val="none"/>
                <w:lang w:val="en-US" w:eastAsia="zh-CN" w:bidi="ar"/>
                <w14:textFill>
                  <w14:solidFill>
                    <w14:schemeClr w14:val="tx1"/>
                  </w14:solidFill>
                </w14:textFill>
              </w:rPr>
              <w:t>在</w:t>
            </w:r>
            <w:r>
              <w:rPr>
                <w:rFonts w:hint="eastAsia" w:cs="Times New Roman"/>
                <w:color w:val="000000" w:themeColor="text1"/>
                <w:kern w:val="2"/>
                <w:sz w:val="24"/>
                <w:szCs w:val="24"/>
                <w:highlight w:val="none"/>
                <w:lang w:val="en-US" w:eastAsia="zh-CN" w:bidi="ar-SA"/>
                <w14:textFill>
                  <w14:solidFill>
                    <w14:schemeClr w14:val="tx1"/>
                  </w14:solidFill>
                </w14:textFill>
              </w:rPr>
              <w:t>前处理车间和</w:t>
            </w:r>
            <w:r>
              <w:rPr>
                <w:rFonts w:hint="eastAsia" w:ascii="Times New Roman" w:hAnsi="Times New Roman" w:cs="Times New Roman"/>
                <w:color w:val="000000" w:themeColor="text1"/>
                <w:kern w:val="0"/>
                <w:sz w:val="24"/>
                <w:szCs w:val="24"/>
                <w:highlight w:val="none"/>
                <w:u w:val="none"/>
                <w:lang w:val="en-US" w:eastAsia="zh-CN"/>
                <w14:textFill>
                  <w14:solidFill>
                    <w14:schemeClr w14:val="tx1"/>
                  </w14:solidFill>
                </w14:textFill>
              </w:rPr>
              <w:t>综合制剂车间</w:t>
            </w:r>
            <w:r>
              <w:rPr>
                <w:rFonts w:hint="eastAsia" w:ascii="Times New Roman" w:hAnsi="Times New Roman" w:eastAsia="瀹嬩綋" w:cs="Times New Roman"/>
                <w:color w:val="000000" w:themeColor="text1"/>
                <w:kern w:val="0"/>
                <w:sz w:val="24"/>
                <w:szCs w:val="24"/>
                <w:highlight w:val="none"/>
                <w:lang w:val="en-US" w:eastAsia="zh-CN" w:bidi="ar"/>
                <w14:textFill>
                  <w14:solidFill>
                    <w14:schemeClr w14:val="tx1"/>
                  </w14:solidFill>
                </w14:textFill>
              </w:rPr>
              <w:t>主要是</w:t>
            </w:r>
            <w:r>
              <w:rPr>
                <w:rFonts w:hint="eastAsia"/>
                <w:color w:val="000000" w:themeColor="text1"/>
                <w:sz w:val="24"/>
                <w:szCs w:val="24"/>
                <w:highlight w:val="none"/>
                <w:lang w:val="en-US" w:eastAsia="zh-CN"/>
                <w14:textFill>
                  <w14:solidFill>
                    <w14:schemeClr w14:val="tx1"/>
                  </w14:solidFill>
                </w14:textFill>
              </w:rPr>
              <w:t>设备安装调试等</w:t>
            </w:r>
            <w:r>
              <w:rPr>
                <w:rFonts w:hint="eastAsia" w:eastAsia="瀹嬩綋" w:cs="Times New Roman"/>
                <w:color w:val="000000" w:themeColor="text1"/>
                <w:kern w:val="0"/>
                <w:sz w:val="24"/>
                <w:szCs w:val="24"/>
                <w:highlight w:val="none"/>
                <w:lang w:val="en-US" w:eastAsia="zh-CN" w:bidi="ar"/>
                <w14:textFill>
                  <w14:solidFill>
                    <w14:schemeClr w14:val="tx1"/>
                  </w14:solidFill>
                </w14:textFill>
              </w:rPr>
              <w:t>，新建成品库</w:t>
            </w:r>
            <w:r>
              <w:rPr>
                <w:rFonts w:hint="eastAsia" w:ascii="Times New Roman" w:hAnsi="Times New Roman" w:eastAsia="瀹嬩綋" w:cs="Times New Roman"/>
                <w:color w:val="000000" w:themeColor="text1"/>
                <w:kern w:val="0"/>
                <w:sz w:val="24"/>
                <w:szCs w:val="24"/>
                <w:highlight w:val="none"/>
                <w:lang w:val="en-US" w:eastAsia="zh-CN" w:bidi="ar"/>
                <w14:textFill>
                  <w14:solidFill>
                    <w14:schemeClr w14:val="tx1"/>
                  </w14:solidFill>
                </w14:textFill>
              </w:rPr>
              <w:t>涉及大规模土建工程，施工过程中将产生施工人员生活污水、施工噪声、少量粉尘、以及建筑垃圾、生活垃圾等固废。</w:t>
            </w:r>
          </w:p>
          <w:p w14:paraId="45C2F1B3">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leftChars="0" w:right="0" w:firstLine="482" w:firstLineChars="200"/>
              <w:jc w:val="left"/>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施工期</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废气</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污染防治措施</w:t>
            </w:r>
          </w:p>
          <w:p w14:paraId="5E23A978">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leftChars="0" w:right="0"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（1）施工场地周边设置连续封闭的围挡，围挡材质选用硬质材料，定期对围挡进行清洗维护，保持其整洁。</w:t>
            </w:r>
          </w:p>
          <w:p w14:paraId="79E816A2">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leftChars="0" w:right="0"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2）对施工场地内的道路、材料堆场等进行硬化处理，使用混凝土或沥青铺设。施工期间安排专人定期对硬化路面进行清扫和洒水，洒水频率根据天气情况调整，一般每天不少于2次，在大风天气时适当增加洒水次数。</w:t>
            </w:r>
          </w:p>
          <w:p w14:paraId="4A9AC8D0">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leftChars="0" w:right="0"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（3）建筑材料（如砂石、水泥等）应分类堆放在封闭的仓库或堆场中，堆场上方设置顶棚，四周设置围挡。对于散装材料，在运输和堆放过程中采取覆盖措施，使用防尘网进行覆盖，防止扬尘扩散。</w:t>
            </w:r>
          </w:p>
          <w:p w14:paraId="3476B631">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leftChars="0" w:right="0"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（4）施工车辆（如渣土车、混凝土搅拌车等）在出场前必须对车轮和车身进行清洗，确保车辆不带泥上路。运输车辆应加盖篷布，防止物料遗撒。</w:t>
            </w:r>
          </w:p>
          <w:p w14:paraId="2CD30318">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leftChars="0" w:right="0"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（5）施工过程中使用的燃油机械设备（如挖掘机、装载机等）应选用符合国家排放标准的低排放设备，定期对设备进行维护保养，确保其正常运行，减少废气排放。</w:t>
            </w:r>
          </w:p>
          <w:p w14:paraId="4664E6F4">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leftChars="0" w:right="0" w:firstLine="480" w:firstLineChars="200"/>
              <w:jc w:val="both"/>
              <w:textAlignment w:val="auto"/>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6）本项目施工期严格落实扬尘污染防治“六个百分百”要求，即施工工地周边100%围挡、物料堆放100%覆盖、出入车辆100%冲洗、施工现场地面100%硬化、拆迁工地100%湿法作业、渣土车辆100%密闭运输，通过源头防控与过程管控相结合，有效降低施工扬尘对周边环境空气的影响，实现绿色施工、文明施工。</w:t>
            </w:r>
          </w:p>
          <w:p w14:paraId="262297EF">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leftChars="0" w:right="0" w:firstLine="482" w:firstLineChars="200"/>
              <w:jc w:val="left"/>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施工期</w:t>
            </w:r>
            <w:r>
              <w:rPr>
                <w:rFonts w:hint="default" w:ascii="Times New Roman" w:hAnsi="Times New Roman" w:eastAsia="宋体" w:cs="Times New Roman"/>
                <w:b/>
                <w:bCs/>
                <w:color w:val="000000" w:themeColor="text1"/>
                <w:sz w:val="24"/>
                <w:szCs w:val="24"/>
                <w:highlight w:val="none"/>
                <w:lang w:eastAsia="zh-CN"/>
                <w14:textFill>
                  <w14:solidFill>
                    <w14:schemeClr w14:val="tx1"/>
                  </w14:solidFill>
                </w14:textFill>
              </w:rPr>
              <w:t>废水</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污染防治措施</w:t>
            </w:r>
          </w:p>
          <w:p w14:paraId="45413A3E">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leftChars="0" w:right="0" w:firstLine="480" w:firstLineChars="200"/>
              <w:jc w:val="left"/>
              <w:textAlignment w:val="auto"/>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1）在施工现场设置沉淀池，沉淀池的有效容积应根据施工废水产生量确定。施工废水（包括混凝土搅拌废水、设备冲洗废水等）经沉淀池沉淀处理后，上清液可回用于施工现场洒水降尘或混凝土搅拌，实现废水的循环利用。</w:t>
            </w:r>
          </w:p>
          <w:p w14:paraId="4B553C17">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leftChars="0" w:right="0" w:firstLine="480" w:firstLineChars="200"/>
              <w:jc w:val="left"/>
              <w:textAlignment w:val="auto"/>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（2）对沉淀池定期进行清理，清理出的沉渣应妥善处置，避免造成二次污染。</w:t>
            </w:r>
          </w:p>
          <w:p w14:paraId="7A2F3AE1">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leftChars="0" w:right="0"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（3）施工人员的生活污水依托厂内现有化粪池和污水处理站处理达标后，排入厂区污水管网后排入高新区市政管网最终排入石桥子污水处理厂。</w:t>
            </w:r>
          </w:p>
          <w:p w14:paraId="0617520F">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leftChars="0" w:right="0" w:firstLine="482" w:firstLineChars="200"/>
              <w:jc w:val="left"/>
              <w:textAlignment w:val="auto"/>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施工期</w:t>
            </w:r>
            <w:r>
              <w:rPr>
                <w:rFonts w:hint="default" w:ascii="Times New Roman" w:hAnsi="Times New Roman" w:eastAsia="宋体" w:cs="Times New Roman"/>
                <w:b/>
                <w:bCs/>
                <w:color w:val="000000" w:themeColor="text1"/>
                <w:sz w:val="24"/>
                <w:szCs w:val="24"/>
                <w:highlight w:val="none"/>
                <w:lang w:eastAsia="zh-CN"/>
                <w14:textFill>
                  <w14:solidFill>
                    <w14:schemeClr w14:val="tx1"/>
                  </w14:solidFill>
                </w14:textFill>
              </w:rPr>
              <w:t>噪声</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污染防治措施</w:t>
            </w:r>
          </w:p>
          <w:p w14:paraId="7D7AB153">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leftChars="0" w:right="0"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（1）选用低噪声的施工机械设备，如低噪声的挖掘机、装载机、混凝土搅拌机等。对高噪声设备（如电锯等）采取隔声、减振措施，在设备底部安装减振垫等。</w:t>
            </w:r>
          </w:p>
          <w:p w14:paraId="21DF92BF">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leftChars="0" w:right="0"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（2）合理安排施工时间，避免在夜间（22:00-次日6:00）和午休时间（12:00-14:00）进行高噪声作业。</w:t>
            </w:r>
          </w:p>
          <w:p w14:paraId="7851369D">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leftChars="0" w:right="0" w:firstLine="482" w:firstLineChars="200"/>
              <w:jc w:val="left"/>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4、施工期固体废物污染防治措施</w:t>
            </w:r>
          </w:p>
          <w:p w14:paraId="61C5E475">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leftChars="0" w:right="0" w:firstLine="480" w:firstLineChars="200"/>
              <w:jc w:val="left"/>
              <w:textAlignment w:val="auto"/>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1）对施工过程中产生的建筑垃圾（如废混凝土、废砖块、废砂石等）进行分类收集，可回收利用的建筑垃圾（如废钢筋、废钢材等）应进行回收利用，不可回收利用的建筑垃圾应委托有资质的建筑垃圾处理单位进行处置，严禁随意丢弃。</w:t>
            </w:r>
          </w:p>
          <w:p w14:paraId="2A257A90">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leftChars="0" w:right="0" w:firstLine="480" w:firstLineChars="200"/>
              <w:jc w:val="left"/>
              <w:textAlignment w:val="auto"/>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（2）在施工现场设置分类垃圾桶，对施工人员产生的生活垃圾进行分类收集，由当地的环卫部门定期进行清运，做到日产日清。</w:t>
            </w:r>
          </w:p>
          <w:p w14:paraId="6952F94B">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leftChars="0" w:right="0" w:firstLine="480" w:firstLineChars="200"/>
              <w:jc w:val="left"/>
              <w:textAlignment w:val="auto"/>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（3）施工机械优先在就近具备资质的维修厂进行集中维修保养，维修过程产生的废机油由维修厂规范处置。</w:t>
            </w:r>
          </w:p>
          <w:p w14:paraId="629CC9B4">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leftChars="0" w:right="0"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综上所述，本项目施工期的影响是暂时的，在施工结束后，影响区域的各环境要素基本可以得以恢复。只要严格按施工规范文明施工，认真制定和落实工程施工期应采取的环保对策措施，可以将工程施工对环境产生的影响降到最小。</w:t>
            </w:r>
          </w:p>
          <w:p w14:paraId="50B5E13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szCs w:val="24"/>
                <w:highlight w:val="none"/>
                <w14:textFill>
                  <w14:solidFill>
                    <w14:schemeClr w14:val="tx1"/>
                  </w14:solidFill>
                </w14:textFill>
              </w:rPr>
            </w:pPr>
          </w:p>
        </w:tc>
      </w:tr>
      <w:tr w14:paraId="34708D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856" w:hRule="atLeast"/>
          <w:jc w:val="center"/>
        </w:trPr>
        <w:tc>
          <w:tcPr>
            <w:tcW w:w="398" w:type="dxa"/>
            <w:tcMar>
              <w:left w:w="28" w:type="dxa"/>
              <w:right w:w="28" w:type="dxa"/>
            </w:tcMar>
            <w:vAlign w:val="center"/>
          </w:tcPr>
          <w:p w14:paraId="16F01F1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000000" w:themeColor="text1"/>
                <w:sz w:val="24"/>
                <w:szCs w:val="24"/>
                <w:highlight w:val="none"/>
                <w14:textFill>
                  <w14:solidFill>
                    <w14:schemeClr w14:val="tx1"/>
                  </w14:solidFill>
                </w14:textFill>
              </w:rPr>
            </w:pPr>
            <w:r>
              <w:rPr>
                <w:rFonts w:hint="default" w:ascii="Times New Roman" w:hAnsi="Times New Roman" w:cs="Times New Roman"/>
                <w:bCs/>
                <w:color w:val="000000" w:themeColor="text1"/>
                <w:sz w:val="24"/>
                <w:szCs w:val="24"/>
                <w:highlight w:val="none"/>
                <w14:textFill>
                  <w14:solidFill>
                    <w14:schemeClr w14:val="tx1"/>
                  </w14:solidFill>
                </w14:textFill>
              </w:rPr>
              <w:t>运</w:t>
            </w:r>
          </w:p>
          <w:p w14:paraId="7F08477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000000" w:themeColor="text1"/>
                <w:sz w:val="24"/>
                <w:szCs w:val="24"/>
                <w:highlight w:val="none"/>
                <w14:textFill>
                  <w14:solidFill>
                    <w14:schemeClr w14:val="tx1"/>
                  </w14:solidFill>
                </w14:textFill>
              </w:rPr>
            </w:pPr>
            <w:r>
              <w:rPr>
                <w:rFonts w:hint="default" w:ascii="Times New Roman" w:hAnsi="Times New Roman" w:cs="Times New Roman"/>
                <w:bCs/>
                <w:color w:val="000000" w:themeColor="text1"/>
                <w:sz w:val="24"/>
                <w:szCs w:val="24"/>
                <w:highlight w:val="none"/>
                <w14:textFill>
                  <w14:solidFill>
                    <w14:schemeClr w14:val="tx1"/>
                  </w14:solidFill>
                </w14:textFill>
              </w:rPr>
              <w:t>营</w:t>
            </w:r>
          </w:p>
          <w:p w14:paraId="7BB0D13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000000" w:themeColor="text1"/>
                <w:sz w:val="24"/>
                <w:szCs w:val="24"/>
                <w:highlight w:val="none"/>
                <w14:textFill>
                  <w14:solidFill>
                    <w14:schemeClr w14:val="tx1"/>
                  </w14:solidFill>
                </w14:textFill>
              </w:rPr>
            </w:pPr>
            <w:r>
              <w:rPr>
                <w:rFonts w:hint="default" w:ascii="Times New Roman" w:hAnsi="Times New Roman" w:cs="Times New Roman"/>
                <w:bCs/>
                <w:color w:val="000000" w:themeColor="text1"/>
                <w:sz w:val="24"/>
                <w:szCs w:val="24"/>
                <w:highlight w:val="none"/>
                <w14:textFill>
                  <w14:solidFill>
                    <w14:schemeClr w14:val="tx1"/>
                  </w14:solidFill>
                </w14:textFill>
              </w:rPr>
              <w:t>期</w:t>
            </w:r>
          </w:p>
          <w:p w14:paraId="1C33407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000000" w:themeColor="text1"/>
                <w:sz w:val="24"/>
                <w:szCs w:val="24"/>
                <w:highlight w:val="none"/>
                <w14:textFill>
                  <w14:solidFill>
                    <w14:schemeClr w14:val="tx1"/>
                  </w14:solidFill>
                </w14:textFill>
              </w:rPr>
            </w:pPr>
            <w:r>
              <w:rPr>
                <w:rFonts w:hint="default" w:ascii="Times New Roman" w:hAnsi="Times New Roman" w:cs="Times New Roman"/>
                <w:bCs/>
                <w:color w:val="000000" w:themeColor="text1"/>
                <w:sz w:val="24"/>
                <w:szCs w:val="24"/>
                <w:highlight w:val="none"/>
                <w14:textFill>
                  <w14:solidFill>
                    <w14:schemeClr w14:val="tx1"/>
                  </w14:solidFill>
                </w14:textFill>
              </w:rPr>
              <w:t>环</w:t>
            </w:r>
          </w:p>
          <w:p w14:paraId="36EC3A4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000000" w:themeColor="text1"/>
                <w:sz w:val="24"/>
                <w:szCs w:val="24"/>
                <w:highlight w:val="none"/>
                <w14:textFill>
                  <w14:solidFill>
                    <w14:schemeClr w14:val="tx1"/>
                  </w14:solidFill>
                </w14:textFill>
              </w:rPr>
            </w:pPr>
            <w:r>
              <w:rPr>
                <w:rFonts w:hint="default" w:ascii="Times New Roman" w:hAnsi="Times New Roman" w:cs="Times New Roman"/>
                <w:bCs/>
                <w:color w:val="000000" w:themeColor="text1"/>
                <w:sz w:val="24"/>
                <w:szCs w:val="24"/>
                <w:highlight w:val="none"/>
                <w14:textFill>
                  <w14:solidFill>
                    <w14:schemeClr w14:val="tx1"/>
                  </w14:solidFill>
                </w14:textFill>
              </w:rPr>
              <w:t>境</w:t>
            </w:r>
          </w:p>
          <w:p w14:paraId="74DA577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000000" w:themeColor="text1"/>
                <w:sz w:val="24"/>
                <w:szCs w:val="24"/>
                <w:highlight w:val="none"/>
                <w14:textFill>
                  <w14:solidFill>
                    <w14:schemeClr w14:val="tx1"/>
                  </w14:solidFill>
                </w14:textFill>
              </w:rPr>
            </w:pPr>
            <w:r>
              <w:rPr>
                <w:rFonts w:hint="default" w:ascii="Times New Roman" w:hAnsi="Times New Roman" w:cs="Times New Roman"/>
                <w:bCs/>
                <w:color w:val="000000" w:themeColor="text1"/>
                <w:sz w:val="24"/>
                <w:szCs w:val="24"/>
                <w:highlight w:val="none"/>
                <w14:textFill>
                  <w14:solidFill>
                    <w14:schemeClr w14:val="tx1"/>
                  </w14:solidFill>
                </w14:textFill>
              </w:rPr>
              <w:t>影</w:t>
            </w:r>
          </w:p>
          <w:p w14:paraId="19F505E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000000" w:themeColor="text1"/>
                <w:sz w:val="24"/>
                <w:szCs w:val="24"/>
                <w:highlight w:val="none"/>
                <w14:textFill>
                  <w14:solidFill>
                    <w14:schemeClr w14:val="tx1"/>
                  </w14:solidFill>
                </w14:textFill>
              </w:rPr>
            </w:pPr>
            <w:r>
              <w:rPr>
                <w:rFonts w:hint="default" w:ascii="Times New Roman" w:hAnsi="Times New Roman" w:cs="Times New Roman"/>
                <w:bCs/>
                <w:color w:val="000000" w:themeColor="text1"/>
                <w:sz w:val="24"/>
                <w:szCs w:val="24"/>
                <w:highlight w:val="none"/>
                <w14:textFill>
                  <w14:solidFill>
                    <w14:schemeClr w14:val="tx1"/>
                  </w14:solidFill>
                </w14:textFill>
              </w:rPr>
              <w:t>响</w:t>
            </w:r>
          </w:p>
          <w:p w14:paraId="3FA7904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000000" w:themeColor="text1"/>
                <w:sz w:val="24"/>
                <w:szCs w:val="24"/>
                <w:highlight w:val="none"/>
                <w14:textFill>
                  <w14:solidFill>
                    <w14:schemeClr w14:val="tx1"/>
                  </w14:solidFill>
                </w14:textFill>
              </w:rPr>
            </w:pPr>
            <w:r>
              <w:rPr>
                <w:rFonts w:hint="default" w:ascii="Times New Roman" w:hAnsi="Times New Roman" w:cs="Times New Roman"/>
                <w:bCs/>
                <w:color w:val="000000" w:themeColor="text1"/>
                <w:sz w:val="24"/>
                <w:szCs w:val="24"/>
                <w:highlight w:val="none"/>
                <w14:textFill>
                  <w14:solidFill>
                    <w14:schemeClr w14:val="tx1"/>
                  </w14:solidFill>
                </w14:textFill>
              </w:rPr>
              <w:t>和</w:t>
            </w:r>
          </w:p>
          <w:p w14:paraId="3E239E3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000000" w:themeColor="text1"/>
                <w:sz w:val="24"/>
                <w:szCs w:val="24"/>
                <w:highlight w:val="none"/>
                <w14:textFill>
                  <w14:solidFill>
                    <w14:schemeClr w14:val="tx1"/>
                  </w14:solidFill>
                </w14:textFill>
              </w:rPr>
            </w:pPr>
            <w:r>
              <w:rPr>
                <w:rFonts w:hint="default" w:ascii="Times New Roman" w:hAnsi="Times New Roman" w:cs="Times New Roman"/>
                <w:bCs/>
                <w:color w:val="000000" w:themeColor="text1"/>
                <w:sz w:val="24"/>
                <w:szCs w:val="24"/>
                <w:highlight w:val="none"/>
                <w14:textFill>
                  <w14:solidFill>
                    <w14:schemeClr w14:val="tx1"/>
                  </w14:solidFill>
                </w14:textFill>
              </w:rPr>
              <w:t>保</w:t>
            </w:r>
          </w:p>
          <w:p w14:paraId="0169C9A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000000" w:themeColor="text1"/>
                <w:sz w:val="24"/>
                <w:szCs w:val="24"/>
                <w:highlight w:val="none"/>
                <w14:textFill>
                  <w14:solidFill>
                    <w14:schemeClr w14:val="tx1"/>
                  </w14:solidFill>
                </w14:textFill>
              </w:rPr>
            </w:pPr>
            <w:r>
              <w:rPr>
                <w:rFonts w:hint="default" w:ascii="Times New Roman" w:hAnsi="Times New Roman" w:cs="Times New Roman"/>
                <w:bCs/>
                <w:color w:val="000000" w:themeColor="text1"/>
                <w:sz w:val="24"/>
                <w:szCs w:val="24"/>
                <w:highlight w:val="none"/>
                <w14:textFill>
                  <w14:solidFill>
                    <w14:schemeClr w14:val="tx1"/>
                  </w14:solidFill>
                </w14:textFill>
              </w:rPr>
              <w:t>护</w:t>
            </w:r>
          </w:p>
          <w:p w14:paraId="5F0FAF3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000000" w:themeColor="text1"/>
                <w:sz w:val="24"/>
                <w:szCs w:val="24"/>
                <w:highlight w:val="none"/>
                <w14:textFill>
                  <w14:solidFill>
                    <w14:schemeClr w14:val="tx1"/>
                  </w14:solidFill>
                </w14:textFill>
              </w:rPr>
            </w:pPr>
            <w:r>
              <w:rPr>
                <w:rFonts w:hint="default" w:ascii="Times New Roman" w:hAnsi="Times New Roman" w:cs="Times New Roman"/>
                <w:bCs/>
                <w:color w:val="000000" w:themeColor="text1"/>
                <w:sz w:val="24"/>
                <w:szCs w:val="24"/>
                <w:highlight w:val="none"/>
                <w14:textFill>
                  <w14:solidFill>
                    <w14:schemeClr w14:val="tx1"/>
                  </w14:solidFill>
                </w14:textFill>
              </w:rPr>
              <w:t>措</w:t>
            </w:r>
          </w:p>
          <w:p w14:paraId="232C7DF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000000" w:themeColor="text1"/>
                <w:sz w:val="24"/>
                <w:szCs w:val="24"/>
                <w:highlight w:val="none"/>
                <w14:textFill>
                  <w14:solidFill>
                    <w14:schemeClr w14:val="tx1"/>
                  </w14:solidFill>
                </w14:textFill>
              </w:rPr>
            </w:pPr>
            <w:r>
              <w:rPr>
                <w:rFonts w:hint="default" w:ascii="Times New Roman" w:hAnsi="Times New Roman" w:cs="Times New Roman"/>
                <w:bCs/>
                <w:color w:val="000000" w:themeColor="text1"/>
                <w:sz w:val="24"/>
                <w:szCs w:val="24"/>
                <w:highlight w:val="none"/>
                <w14:textFill>
                  <w14:solidFill>
                    <w14:schemeClr w14:val="tx1"/>
                  </w14:solidFill>
                </w14:textFill>
              </w:rPr>
              <w:t>施</w:t>
            </w:r>
          </w:p>
        </w:tc>
        <w:tc>
          <w:tcPr>
            <w:tcW w:w="8583" w:type="dxa"/>
            <w:vAlign w:val="center"/>
          </w:tcPr>
          <w:p w14:paraId="5C3309FC">
            <w:pPr>
              <w:keepNext w:val="0"/>
              <w:keepLines w:val="0"/>
              <w:suppressLineNumbers w:val="0"/>
              <w:spacing w:before="0" w:beforeAutospacing="0" w:after="0" w:afterAutospacing="0" w:line="360" w:lineRule="auto"/>
              <w:ind w:left="0" w:right="0"/>
              <w:jc w:val="both"/>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1</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大气环境影响分析和保护措施</w:t>
            </w:r>
          </w:p>
          <w:p w14:paraId="24FBCCBA">
            <w:pPr>
              <w:keepNext w:val="0"/>
              <w:keepLines w:val="0"/>
              <w:suppressLineNumbers w:val="0"/>
              <w:autoSpaceDE w:val="0"/>
              <w:autoSpaceDN w:val="0"/>
              <w:spacing w:before="0" w:beforeAutospacing="0" w:after="0" w:afterAutospacing="0" w:line="360" w:lineRule="auto"/>
              <w:ind w:left="0" w:right="0" w:firstLine="480" w:firstLineChars="20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本项目</w:t>
            </w:r>
            <w:r>
              <w:rPr>
                <w:rFonts w:hint="eastAsia"/>
                <w:color w:val="000000" w:themeColor="text1"/>
                <w:sz w:val="24"/>
                <w:szCs w:val="24"/>
                <w:highlight w:val="none"/>
                <w:lang w:val="en-US" w:eastAsia="zh-CN"/>
                <w14:textFill>
                  <w14:solidFill>
                    <w14:schemeClr w14:val="tx1"/>
                  </w14:solidFill>
                </w14:textFill>
              </w:rPr>
              <w:t>改扩建后，新增加的有组织</w:t>
            </w:r>
            <w:r>
              <w:rPr>
                <w:rFonts w:hint="eastAsia"/>
                <w:color w:val="000000" w:themeColor="text1"/>
                <w:sz w:val="24"/>
                <w:szCs w:val="24"/>
                <w:highlight w:val="none"/>
                <w14:textFill>
                  <w14:solidFill>
                    <w14:schemeClr w14:val="tx1"/>
                  </w14:solidFill>
                </w14:textFill>
              </w:rPr>
              <w:t>废气主要为</w:t>
            </w:r>
            <w:r>
              <w:rPr>
                <w:rFonts w:hint="eastAsia"/>
                <w:color w:val="000000" w:themeColor="text1"/>
                <w:sz w:val="24"/>
                <w:szCs w:val="24"/>
                <w:highlight w:val="none"/>
                <w:lang w:val="en-US" w:eastAsia="zh-CN"/>
                <w14:textFill>
                  <w14:solidFill>
                    <w14:schemeClr w14:val="tx1"/>
                  </w14:solidFill>
                </w14:textFill>
              </w:rPr>
              <w:t>炮制废气（包括筛选</w:t>
            </w:r>
            <w:r>
              <w:rPr>
                <w:rFonts w:hint="eastAsia" w:eastAsia="宋体" w:cs="Times New Roman"/>
                <w:color w:val="000000" w:themeColor="text1"/>
                <w:sz w:val="24"/>
                <w:szCs w:val="24"/>
                <w:highlight w:val="none"/>
                <w:lang w:val="en-US" w:eastAsia="zh-CN"/>
                <w14:textFill>
                  <w14:solidFill>
                    <w14:schemeClr w14:val="tx1"/>
                  </w14:solidFill>
                </w14:textFill>
              </w:rPr>
              <w:t>工序</w:t>
            </w:r>
            <w:r>
              <w:rPr>
                <w:rFonts w:hint="eastAsia"/>
                <w:color w:val="000000" w:themeColor="text1"/>
                <w:sz w:val="24"/>
                <w:szCs w:val="24"/>
                <w:highlight w:val="none"/>
                <w:lang w:val="en-US" w:eastAsia="zh-CN"/>
                <w14:textFill>
                  <w14:solidFill>
                    <w14:schemeClr w14:val="tx1"/>
                  </w14:solidFill>
                </w14:textFill>
              </w:rPr>
              <w:t>产生的颗粒物；</w:t>
            </w:r>
            <w:r>
              <w:rPr>
                <w:rFonts w:hint="eastAsia" w:eastAsia="宋体" w:cs="Times New Roman"/>
                <w:color w:val="000000" w:themeColor="text1"/>
                <w:sz w:val="24"/>
                <w:szCs w:val="24"/>
                <w:highlight w:val="none"/>
                <w:lang w:val="en-US" w:eastAsia="zh-CN"/>
                <w14:textFill>
                  <w14:solidFill>
                    <w14:schemeClr w14:val="tx1"/>
                  </w14:solidFill>
                </w14:textFill>
              </w:rPr>
              <w:t>炒制工序</w:t>
            </w:r>
            <w:r>
              <w:rPr>
                <w:rFonts w:hint="eastAsia"/>
                <w:color w:val="000000" w:themeColor="text1"/>
                <w:sz w:val="24"/>
                <w:szCs w:val="24"/>
                <w:highlight w:val="none"/>
                <w:lang w:val="en-US" w:eastAsia="zh-CN"/>
                <w14:textFill>
                  <w14:solidFill>
                    <w14:schemeClr w14:val="tx1"/>
                  </w14:solidFill>
                </w14:textFill>
              </w:rPr>
              <w:t>产生的颗粒物、臭气浓度；打碎、除杂和粉碎工序产生的颗粒物）；</w:t>
            </w:r>
            <w:r>
              <w:rPr>
                <w:rFonts w:hint="eastAsia" w:ascii="Times New Roman" w:hAnsi="Times New Roman" w:cs="Times New Roman"/>
                <w:b w:val="0"/>
                <w:bCs w:val="0"/>
                <w:color w:val="000000" w:themeColor="text1"/>
                <w:kern w:val="0"/>
                <w:sz w:val="24"/>
                <w:szCs w:val="24"/>
                <w:highlight w:val="none"/>
                <w:lang w:val="en-US" w:eastAsia="zh-CN" w:bidi="en-US"/>
                <w14:textFill>
                  <w14:solidFill>
                    <w14:schemeClr w14:val="tx1"/>
                  </w14:solidFill>
                </w14:textFill>
              </w:rPr>
              <w:t>创新制剂车间</w:t>
            </w:r>
            <w:r>
              <w:rPr>
                <w:rFonts w:hint="eastAsia"/>
                <w:color w:val="000000" w:themeColor="text1"/>
                <w:sz w:val="24"/>
                <w:szCs w:val="24"/>
                <w:highlight w:val="none"/>
                <w:lang w:val="en-US" w:eastAsia="zh-CN"/>
                <w14:textFill>
                  <w14:solidFill>
                    <w14:schemeClr w14:val="tx1"/>
                  </w14:solidFill>
                </w14:textFill>
              </w:rPr>
              <w:t>废气（包括</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制粒、</w:t>
            </w:r>
            <w:r>
              <w:rPr>
                <w:rFonts w:hint="eastAsia" w:cs="Times New Roman"/>
                <w:b w:val="0"/>
                <w:bCs/>
                <w:color w:val="000000" w:themeColor="text1"/>
                <w:sz w:val="24"/>
                <w:szCs w:val="24"/>
                <w:highlight w:val="none"/>
                <w:lang w:val="en-US" w:eastAsia="zh-CN"/>
                <w14:textFill>
                  <w14:solidFill>
                    <w14:schemeClr w14:val="tx1"/>
                  </w14:solidFill>
                </w14:textFill>
              </w:rPr>
              <w:t>包衣</w:t>
            </w:r>
            <w:r>
              <w:rPr>
                <w:rFonts w:hint="eastAsia"/>
                <w:color w:val="000000" w:themeColor="text1"/>
                <w:sz w:val="24"/>
                <w:szCs w:val="24"/>
                <w:highlight w:val="none"/>
                <w:lang w:val="en-US" w:eastAsia="zh-CN"/>
                <w14:textFill>
                  <w14:solidFill>
                    <w14:schemeClr w14:val="tx1"/>
                  </w14:solidFill>
                </w14:textFill>
              </w:rPr>
              <w:t>工序产生的颗粒物）；综合制剂车间废气（包括整粒、制粒、筛选工序产生的颗粒物）。</w:t>
            </w:r>
          </w:p>
          <w:p w14:paraId="2C44E229">
            <w:pPr>
              <w:keepNext w:val="0"/>
              <w:keepLines w:val="0"/>
              <w:suppressLineNumbers w:val="0"/>
              <w:autoSpaceDE w:val="0"/>
              <w:autoSpaceDN w:val="0"/>
              <w:spacing w:before="0" w:beforeAutospacing="0" w:after="0" w:afterAutospacing="0" w:line="360" w:lineRule="auto"/>
              <w:ind w:left="0" w:right="0" w:firstLine="480" w:firstLineChars="200"/>
              <w:rPr>
                <w:rFonts w:hint="default" w:eastAsia="宋体"/>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无组织废气为软化和干燥工序产生的臭气浓度；</w:t>
            </w:r>
            <w:r>
              <w:rPr>
                <w:rFonts w:hint="eastAsia" w:ascii="Times New Roman" w:hAnsi="Times New Roman" w:cs="Times New Roman"/>
                <w:b w:val="0"/>
                <w:bCs w:val="0"/>
                <w:color w:val="000000" w:themeColor="text1"/>
                <w:kern w:val="0"/>
                <w:sz w:val="24"/>
                <w:szCs w:val="24"/>
                <w:highlight w:val="none"/>
                <w:lang w:val="en-US" w:eastAsia="zh-CN" w:bidi="en-US"/>
                <w14:textFill>
                  <w14:solidFill>
                    <w14:schemeClr w14:val="tx1"/>
                  </w14:solidFill>
                </w14:textFill>
              </w:rPr>
              <w:t>创新制剂车间</w:t>
            </w:r>
            <w:r>
              <w:rPr>
                <w:rFonts w:hint="eastAsia"/>
                <w:color w:val="000000" w:themeColor="text1"/>
                <w:sz w:val="24"/>
                <w:szCs w:val="24"/>
                <w:highlight w:val="none"/>
                <w:lang w:val="en-US" w:eastAsia="zh-CN"/>
                <w14:textFill>
                  <w14:solidFill>
                    <w14:schemeClr w14:val="tx1"/>
                  </w14:solidFill>
                </w14:textFill>
              </w:rPr>
              <w:t>废气（包括</w:t>
            </w:r>
            <w:r>
              <w:rPr>
                <w:rFonts w:hint="eastAsia" w:eastAsia="宋体" w:cs="Times New Roman" w:asciiTheme="minorEastAsia" w:hAnsiTheme="minorEastAsia"/>
                <w:color w:val="000000" w:themeColor="text1"/>
                <w:sz w:val="24"/>
                <w:highlight w:val="none"/>
                <w:lang w:val="en-US" w:eastAsia="zh-CN"/>
                <w14:textFill>
                  <w14:solidFill>
                    <w14:schemeClr w14:val="tx1"/>
                  </w14:solidFill>
                </w14:textFill>
              </w:rPr>
              <w:t>称量配料、</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粉碎、总混、颗粒内包、</w:t>
            </w:r>
            <w:r>
              <w:rPr>
                <w:rFonts w:hint="eastAsia" w:cs="Times New Roman"/>
                <w:b w:val="0"/>
                <w:bCs/>
                <w:color w:val="000000" w:themeColor="text1"/>
                <w:sz w:val="24"/>
                <w:szCs w:val="24"/>
                <w:highlight w:val="none"/>
                <w:lang w:val="en-US" w:eastAsia="zh-CN"/>
                <w14:textFill>
                  <w14:solidFill>
                    <w14:schemeClr w14:val="tx1"/>
                  </w14:solidFill>
                </w14:textFill>
              </w:rPr>
              <w:t>压片和胶囊填充</w:t>
            </w:r>
            <w:r>
              <w:rPr>
                <w:rFonts w:hint="eastAsia"/>
                <w:color w:val="000000" w:themeColor="text1"/>
                <w:sz w:val="24"/>
                <w:szCs w:val="24"/>
                <w:highlight w:val="none"/>
                <w:lang w:val="en-US" w:eastAsia="zh-CN"/>
                <w14:textFill>
                  <w14:solidFill>
                    <w14:schemeClr w14:val="tx1"/>
                  </w14:solidFill>
                </w14:textFill>
              </w:rPr>
              <w:t>工序产生的颗粒物；泡罩包装、枕式包装工序产生的</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非甲烷总烃</w:t>
            </w:r>
            <w:r>
              <w:rPr>
                <w:rFonts w:hint="eastAsia"/>
                <w:color w:val="000000" w:themeColor="text1"/>
                <w:sz w:val="24"/>
                <w:szCs w:val="24"/>
                <w:highlight w:val="none"/>
                <w:lang w:val="en-US" w:eastAsia="zh-CN"/>
                <w14:textFill>
                  <w14:solidFill>
                    <w14:schemeClr w14:val="tx1"/>
                  </w14:solidFill>
                </w14:textFill>
              </w:rPr>
              <w:t>）；柴油发电机组应急发电和定期维护运行产生的污染物颗粒物、SO2、NOx、CO和非甲烷总烃；中药渣贮存产生的恶臭气体（氨气、硫氨气、臭气浓度）。</w:t>
            </w:r>
          </w:p>
          <w:p w14:paraId="4578C7DF">
            <w:pPr>
              <w:keepNext w:val="0"/>
              <w:keepLines w:val="0"/>
              <w:suppressLineNumbers w:val="0"/>
              <w:autoSpaceDE w:val="0"/>
              <w:autoSpaceDN w:val="0"/>
              <w:spacing w:before="0" w:beforeAutospacing="0" w:after="0" w:afterAutospacing="0" w:line="360" w:lineRule="auto"/>
              <w:ind w:left="0" w:right="0"/>
              <w:rPr>
                <w:rFonts w:hint="default"/>
                <w:b/>
                <w:bCs/>
                <w:color w:val="000000" w:themeColor="text1"/>
                <w:sz w:val="24"/>
                <w:szCs w:val="24"/>
                <w:highlight w:val="none"/>
                <w:lang w:val="en-US"/>
                <w14:textFill>
                  <w14:solidFill>
                    <w14:schemeClr w14:val="tx1"/>
                  </w14:solidFill>
                </w14:textFill>
              </w:rPr>
            </w:pPr>
            <w:r>
              <w:rPr>
                <w:rFonts w:hint="eastAsia"/>
                <w:b/>
                <w:bCs/>
                <w:color w:val="000000" w:themeColor="text1"/>
                <w:sz w:val="24"/>
                <w:szCs w:val="24"/>
                <w:highlight w:val="none"/>
                <w:lang w:val="en-US" w:eastAsia="zh-CN"/>
                <w14:textFill>
                  <w14:solidFill>
                    <w14:schemeClr w14:val="tx1"/>
                  </w14:solidFill>
                </w14:textFill>
              </w:rPr>
              <w:t>1.1、炮制废气</w:t>
            </w:r>
          </w:p>
          <w:p w14:paraId="083DB010">
            <w:pPr>
              <w:keepNext w:val="0"/>
              <w:keepLines w:val="0"/>
              <w:suppressLineNumbers w:val="0"/>
              <w:adjustRightInd w:val="0"/>
              <w:snapToGrid w:val="0"/>
              <w:spacing w:before="0" w:beforeAutospacing="0" w:after="0" w:afterAutospacing="0" w:line="360" w:lineRule="auto"/>
              <w:ind w:left="0" w:right="0" w:firstLine="480" w:firstLineChars="200"/>
              <w:rPr>
                <w:rFonts w:hint="default" w:eastAsia="宋体"/>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1</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颗粒物</w:t>
            </w:r>
          </w:p>
          <w:p w14:paraId="4E2BE782">
            <w:pPr>
              <w:keepNext w:val="0"/>
              <w:keepLines w:val="0"/>
              <w:suppressLineNumbers w:val="0"/>
              <w:adjustRightInd w:val="0"/>
              <w:snapToGrid w:val="0"/>
              <w:spacing w:before="0" w:beforeAutospacing="0" w:after="0" w:afterAutospacing="0" w:line="360" w:lineRule="auto"/>
              <w:ind w:left="0" w:right="0" w:firstLine="480" w:firstLineChars="200"/>
              <w:rPr>
                <w:rFonts w:hint="default"/>
                <w:color w:val="000000" w:themeColor="text1"/>
                <w:sz w:val="24"/>
                <w:highlight w:val="none"/>
                <w14:textFill>
                  <w14:solidFill>
                    <w14:schemeClr w14:val="tx1"/>
                  </w14:solidFill>
                </w14:textFill>
              </w:rPr>
            </w:pPr>
            <w:r>
              <w:rPr>
                <w:rFonts w:hint="eastAsia" w:eastAsia="宋体"/>
                <w:color w:val="000000" w:themeColor="text1"/>
                <w:sz w:val="24"/>
                <w:szCs w:val="24"/>
                <w:highlight w:val="none"/>
                <w:lang w:eastAsia="zh-CN"/>
                <w14:textFill>
                  <w14:solidFill>
                    <w14:schemeClr w14:val="tx1"/>
                  </w14:solidFill>
                </w14:textFill>
              </w:rPr>
              <w:t>根据</w:t>
            </w:r>
            <w:r>
              <w:rPr>
                <w:rFonts w:hint="default"/>
                <w:bCs/>
                <w:color w:val="000000" w:themeColor="text1"/>
                <w:sz w:val="24"/>
                <w:highlight w:val="none"/>
                <w14:textFill>
                  <w14:solidFill>
                    <w14:schemeClr w14:val="tx1"/>
                  </w14:solidFill>
                </w14:textFill>
              </w:rPr>
              <w:t>《排放源统计调查产排污核算方法和系数手册》（环境部公告2021年第24号）</w:t>
            </w:r>
            <w:r>
              <w:rPr>
                <w:rFonts w:hint="eastAsia"/>
                <w:bCs/>
                <w:color w:val="000000" w:themeColor="text1"/>
                <w:sz w:val="24"/>
                <w:highlight w:val="none"/>
                <w14:textFill>
                  <w14:solidFill>
                    <w14:schemeClr w14:val="tx1"/>
                  </w14:solidFill>
                </w14:textFill>
              </w:rPr>
              <w:t>中的</w:t>
            </w:r>
            <w:r>
              <w:rPr>
                <w:rFonts w:hint="eastAsia"/>
                <w:color w:val="000000" w:themeColor="text1"/>
                <w:sz w:val="24"/>
                <w:highlight w:val="none"/>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2730中药饮片加工</w:t>
            </w:r>
            <w:r>
              <w:rPr>
                <w:rFonts w:hint="eastAsia"/>
                <w:bCs/>
                <w:color w:val="000000" w:themeColor="text1"/>
                <w:sz w:val="24"/>
                <w:highlight w:val="none"/>
                <w14:textFill>
                  <w14:solidFill>
                    <w14:schemeClr w14:val="tx1"/>
                  </w14:solidFill>
                </w14:textFill>
              </w:rPr>
              <w:t>行业系数手册</w:t>
            </w:r>
            <w:r>
              <w:rPr>
                <w:rFonts w:hint="eastAsia"/>
                <w:color w:val="000000" w:themeColor="text1"/>
                <w:sz w:val="24"/>
                <w:highlight w:val="none"/>
                <w14:textFill>
                  <w14:solidFill>
                    <w14:schemeClr w14:val="tx1"/>
                  </w14:solidFill>
                </w14:textFill>
              </w:rPr>
              <w:t>”中</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炮制-中药饮片-中药草-规模等级</w:t>
            </w:r>
            <w:r>
              <w:rPr>
                <w:rFonts w:hint="default" w:ascii="Times New Roman" w:hAnsi="Times New Roman" w:cs="Times New Roman"/>
                <w:b w:val="0"/>
                <w:bCs w:val="0"/>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cs="Times New Roman"/>
                <w:b w:val="0"/>
                <w:bCs w:val="0"/>
                <w:color w:val="000000" w:themeColor="text1"/>
                <w:kern w:val="0"/>
                <w:sz w:val="24"/>
                <w:szCs w:val="24"/>
                <w:highlight w:val="none"/>
                <w:lang w:val="en-US" w:eastAsia="zh-CN" w:bidi="ar"/>
                <w14:textFill>
                  <w14:solidFill>
                    <w14:schemeClr w14:val="tx1"/>
                  </w14:solidFill>
                </w14:textFill>
              </w:rPr>
              <w:t>200</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t/a</w:t>
            </w:r>
            <w:r>
              <w:rPr>
                <w:rFonts w:hint="eastAsia" w:ascii="Times New Roman" w:hAnsi="Times New Roman" w:cs="Times New Roman"/>
                <w:b w:val="0"/>
                <w:bCs w:val="0"/>
                <w:color w:val="000000" w:themeColor="text1"/>
                <w:kern w:val="0"/>
                <w:sz w:val="24"/>
                <w:szCs w:val="24"/>
                <w:highlight w:val="none"/>
                <w:lang w:val="en-US" w:eastAsia="zh-CN" w:bidi="ar"/>
                <w14:textFill>
                  <w14:solidFill>
                    <w14:schemeClr w14:val="tx1"/>
                  </w14:solidFill>
                </w14:textFill>
              </w:rPr>
              <w:t>中药饮片</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可知</w:t>
            </w:r>
            <w:r>
              <w:rPr>
                <w:rFonts w:hint="default"/>
                <w:color w:val="000000" w:themeColor="text1"/>
                <w:sz w:val="24"/>
                <w:highlight w:val="none"/>
                <w14:textFill>
                  <w14:solidFill>
                    <w14:schemeClr w14:val="tx1"/>
                  </w14:solidFill>
                </w14:textFill>
              </w:rPr>
              <w:t>产排污系数详见下表：</w:t>
            </w:r>
          </w:p>
          <w:p w14:paraId="3E615B8E">
            <w:pPr>
              <w:keepNext w:val="0"/>
              <w:keepLines w:val="0"/>
              <w:numPr>
                <w:ilvl w:val="0"/>
                <w:numId w:val="26"/>
              </w:numPr>
              <w:suppressLineNumbers w:val="0"/>
              <w:snapToGrid w:val="0"/>
              <w:spacing w:before="0" w:beforeAutospacing="0" w:after="0" w:afterAutospacing="0" w:line="240" w:lineRule="auto"/>
              <w:ind w:left="0" w:right="0"/>
              <w:jc w:val="center"/>
              <w:rPr>
                <w:rFonts w:hint="eastAsia"/>
                <w:b/>
                <w:bCs/>
                <w:color w:val="000000" w:themeColor="text1"/>
                <w:szCs w:val="21"/>
                <w:highlight w:val="none"/>
                <w14:textFill>
                  <w14:solidFill>
                    <w14:schemeClr w14:val="tx1"/>
                  </w14:solidFill>
                </w14:textFill>
              </w:rPr>
            </w:pPr>
            <w:r>
              <w:rPr>
                <w:rFonts w:hint="eastAsia"/>
                <w:b/>
                <w:bCs/>
                <w:color w:val="000000" w:themeColor="text1"/>
                <w:szCs w:val="21"/>
                <w:highlight w:val="none"/>
                <w14:textFill>
                  <w14:solidFill>
                    <w14:schemeClr w14:val="tx1"/>
                  </w14:solidFill>
                </w14:textFill>
              </w:rPr>
              <w:t xml:space="preserve">  污染物产排污系数</w:t>
            </w:r>
          </w:p>
          <w:tbl>
            <w:tblPr>
              <w:tblStyle w:val="35"/>
              <w:tblW w:w="4998" w:type="pct"/>
              <w:tblInd w:w="0" w:type="dxa"/>
              <w:tblBorders>
                <w:top w:val="double" w:color="auto" w:sz="4" w:space="0"/>
                <w:left w:val="none" w:color="auto" w:sz="0" w:space="0"/>
                <w:bottom w:val="double" w:color="auto" w:sz="4"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776"/>
              <w:gridCol w:w="1543"/>
              <w:gridCol w:w="2532"/>
              <w:gridCol w:w="3513"/>
            </w:tblGrid>
            <w:tr w14:paraId="4392C6AA">
              <w:tblPrEx>
                <w:tblBorders>
                  <w:top w:val="double" w:color="auto" w:sz="4" w:space="0"/>
                  <w:left w:val="none" w:color="auto" w:sz="0" w:space="0"/>
                  <w:bottom w:val="double" w:color="auto" w:sz="4" w:space="0"/>
                  <w:right w:val="none" w:color="auto" w:sz="0" w:space="0"/>
                  <w:insideH w:val="single" w:color="auto" w:sz="2" w:space="0"/>
                  <w:insideV w:val="single" w:color="auto" w:sz="2" w:space="0"/>
                </w:tblBorders>
                <w:tblCellMar>
                  <w:top w:w="0" w:type="dxa"/>
                  <w:left w:w="108" w:type="dxa"/>
                  <w:bottom w:w="0" w:type="dxa"/>
                  <w:right w:w="108" w:type="dxa"/>
                </w:tblCellMar>
              </w:tblPrEx>
              <w:trPr>
                <w:cantSplit/>
                <w:trHeight w:val="397" w:hRule="atLeast"/>
              </w:trPr>
              <w:tc>
                <w:tcPr>
                  <w:tcW w:w="464" w:type="pct"/>
                  <w:noWrap w:val="0"/>
                  <w:vAlign w:val="center"/>
                </w:tcPr>
                <w:p w14:paraId="55543EE3">
                  <w:pPr>
                    <w:keepNext w:val="0"/>
                    <w:keepLines w:val="0"/>
                    <w:suppressLineNumbers w:val="0"/>
                    <w:adjustRightInd w:val="0"/>
                    <w:snapToGrid w:val="0"/>
                    <w:spacing w:before="0" w:beforeAutospacing="0" w:after="0" w:afterAutospacing="0"/>
                    <w:ind w:left="0" w:right="0"/>
                    <w:jc w:val="center"/>
                    <w:rPr>
                      <w:rFonts w:hint="default"/>
                      <w:b/>
                      <w:bCs/>
                      <w:color w:val="000000" w:themeColor="text1"/>
                      <w:szCs w:val="21"/>
                      <w:highlight w:val="none"/>
                      <w14:textFill>
                        <w14:solidFill>
                          <w14:schemeClr w14:val="tx1"/>
                        </w14:solidFill>
                      </w14:textFill>
                    </w:rPr>
                  </w:pPr>
                  <w:r>
                    <w:rPr>
                      <w:rFonts w:hint="default"/>
                      <w:b/>
                      <w:bCs/>
                      <w:color w:val="000000" w:themeColor="text1"/>
                      <w:szCs w:val="21"/>
                      <w:highlight w:val="none"/>
                      <w14:textFill>
                        <w14:solidFill>
                          <w14:schemeClr w14:val="tx1"/>
                        </w14:solidFill>
                      </w14:textFill>
                    </w:rPr>
                    <w:t>序号</w:t>
                  </w:r>
                </w:p>
              </w:tc>
              <w:tc>
                <w:tcPr>
                  <w:tcW w:w="922" w:type="pct"/>
                  <w:noWrap w:val="0"/>
                  <w:vAlign w:val="center"/>
                </w:tcPr>
                <w:p w14:paraId="2AEE7CBD">
                  <w:pPr>
                    <w:keepNext w:val="0"/>
                    <w:keepLines w:val="0"/>
                    <w:suppressLineNumbers w:val="0"/>
                    <w:adjustRightInd w:val="0"/>
                    <w:snapToGrid w:val="0"/>
                    <w:spacing w:before="0" w:beforeAutospacing="0" w:after="0" w:afterAutospacing="0"/>
                    <w:ind w:left="0" w:right="0"/>
                    <w:jc w:val="center"/>
                    <w:rPr>
                      <w:rFonts w:hint="default"/>
                      <w:b/>
                      <w:bCs/>
                      <w:color w:val="000000" w:themeColor="text1"/>
                      <w:szCs w:val="21"/>
                      <w:highlight w:val="none"/>
                      <w14:textFill>
                        <w14:solidFill>
                          <w14:schemeClr w14:val="tx1"/>
                        </w14:solidFill>
                      </w14:textFill>
                    </w:rPr>
                  </w:pPr>
                  <w:r>
                    <w:rPr>
                      <w:rFonts w:hint="default"/>
                      <w:b/>
                      <w:bCs/>
                      <w:color w:val="000000" w:themeColor="text1"/>
                      <w:szCs w:val="21"/>
                      <w:highlight w:val="none"/>
                      <w14:textFill>
                        <w14:solidFill>
                          <w14:schemeClr w14:val="tx1"/>
                        </w14:solidFill>
                      </w14:textFill>
                    </w:rPr>
                    <w:t>污染物</w:t>
                  </w:r>
                </w:p>
              </w:tc>
              <w:tc>
                <w:tcPr>
                  <w:tcW w:w="1513" w:type="pct"/>
                  <w:noWrap w:val="0"/>
                  <w:vAlign w:val="center"/>
                </w:tcPr>
                <w:p w14:paraId="0335534B">
                  <w:pPr>
                    <w:keepNext w:val="0"/>
                    <w:keepLines w:val="0"/>
                    <w:suppressLineNumbers w:val="0"/>
                    <w:adjustRightInd w:val="0"/>
                    <w:snapToGrid w:val="0"/>
                    <w:spacing w:before="0" w:beforeAutospacing="0" w:after="0" w:afterAutospacing="0"/>
                    <w:ind w:left="0" w:right="0"/>
                    <w:jc w:val="center"/>
                    <w:rPr>
                      <w:rFonts w:hint="default"/>
                      <w:b/>
                      <w:bCs/>
                      <w:color w:val="000000" w:themeColor="text1"/>
                      <w:szCs w:val="21"/>
                      <w:highlight w:val="none"/>
                      <w14:textFill>
                        <w14:solidFill>
                          <w14:schemeClr w14:val="tx1"/>
                        </w14:solidFill>
                      </w14:textFill>
                    </w:rPr>
                  </w:pPr>
                  <w:r>
                    <w:rPr>
                      <w:rFonts w:hint="default"/>
                      <w:b/>
                      <w:bCs/>
                      <w:color w:val="000000" w:themeColor="text1"/>
                      <w:szCs w:val="21"/>
                      <w:highlight w:val="none"/>
                      <w14:textFill>
                        <w14:solidFill>
                          <w14:schemeClr w14:val="tx1"/>
                        </w14:solidFill>
                      </w14:textFill>
                    </w:rPr>
                    <w:t>产污系数</w:t>
                  </w:r>
                </w:p>
              </w:tc>
              <w:tc>
                <w:tcPr>
                  <w:tcW w:w="2099" w:type="pct"/>
                  <w:noWrap w:val="0"/>
                  <w:vAlign w:val="center"/>
                </w:tcPr>
                <w:p w14:paraId="00ED0A9C">
                  <w:pPr>
                    <w:keepNext w:val="0"/>
                    <w:keepLines w:val="0"/>
                    <w:suppressLineNumbers w:val="0"/>
                    <w:adjustRightInd w:val="0"/>
                    <w:snapToGrid w:val="0"/>
                    <w:spacing w:before="0" w:beforeAutospacing="0" w:after="0" w:afterAutospacing="0"/>
                    <w:ind w:left="0" w:right="0"/>
                    <w:jc w:val="center"/>
                    <w:rPr>
                      <w:rFonts w:hint="default"/>
                      <w:b/>
                      <w:bCs/>
                      <w:color w:val="000000" w:themeColor="text1"/>
                      <w:szCs w:val="21"/>
                      <w:highlight w:val="none"/>
                      <w14:textFill>
                        <w14:solidFill>
                          <w14:schemeClr w14:val="tx1"/>
                        </w14:solidFill>
                      </w14:textFill>
                    </w:rPr>
                  </w:pPr>
                  <w:r>
                    <w:rPr>
                      <w:rFonts w:hint="default"/>
                      <w:b/>
                      <w:bCs/>
                      <w:color w:val="000000" w:themeColor="text1"/>
                      <w:szCs w:val="21"/>
                      <w:highlight w:val="none"/>
                      <w14:textFill>
                        <w14:solidFill>
                          <w14:schemeClr w14:val="tx1"/>
                        </w14:solidFill>
                      </w14:textFill>
                    </w:rPr>
                    <w:t>数据来源</w:t>
                  </w:r>
                </w:p>
              </w:tc>
            </w:tr>
            <w:tr w14:paraId="2976BB9B">
              <w:tblPrEx>
                <w:tblBorders>
                  <w:top w:val="double" w:color="auto" w:sz="4" w:space="0"/>
                  <w:left w:val="none" w:color="auto" w:sz="0" w:space="0"/>
                  <w:bottom w:val="double" w:color="auto" w:sz="4" w:space="0"/>
                  <w:right w:val="none" w:color="auto" w:sz="0" w:space="0"/>
                  <w:insideH w:val="single" w:color="auto" w:sz="2" w:space="0"/>
                  <w:insideV w:val="single" w:color="auto" w:sz="2" w:space="0"/>
                </w:tblBorders>
                <w:tblCellMar>
                  <w:top w:w="0" w:type="dxa"/>
                  <w:left w:w="108" w:type="dxa"/>
                  <w:bottom w:w="0" w:type="dxa"/>
                  <w:right w:w="108" w:type="dxa"/>
                </w:tblCellMar>
              </w:tblPrEx>
              <w:trPr>
                <w:cantSplit/>
                <w:trHeight w:val="537" w:hRule="atLeast"/>
              </w:trPr>
              <w:tc>
                <w:tcPr>
                  <w:tcW w:w="464" w:type="pct"/>
                  <w:noWrap w:val="0"/>
                  <w:vAlign w:val="center"/>
                </w:tcPr>
                <w:p w14:paraId="241DAD90">
                  <w:pPr>
                    <w:keepNext w:val="0"/>
                    <w:keepLines w:val="0"/>
                    <w:suppressLineNumbers w:val="0"/>
                    <w:adjustRightInd w:val="0"/>
                    <w:snapToGrid w:val="0"/>
                    <w:spacing w:before="0" w:beforeAutospacing="0" w:after="0" w:afterAutospacing="0"/>
                    <w:ind w:left="0" w:right="0"/>
                    <w:jc w:val="center"/>
                    <w:rPr>
                      <w:rFonts w:hint="default"/>
                      <w:color w:val="000000" w:themeColor="text1"/>
                      <w:szCs w:val="21"/>
                      <w:highlight w:val="none"/>
                      <w14:textFill>
                        <w14:solidFill>
                          <w14:schemeClr w14:val="tx1"/>
                        </w14:solidFill>
                      </w14:textFill>
                    </w:rPr>
                  </w:pPr>
                  <w:r>
                    <w:rPr>
                      <w:rFonts w:hint="default"/>
                      <w:color w:val="000000" w:themeColor="text1"/>
                      <w:szCs w:val="21"/>
                      <w:highlight w:val="none"/>
                      <w14:textFill>
                        <w14:solidFill>
                          <w14:schemeClr w14:val="tx1"/>
                        </w14:solidFill>
                      </w14:textFill>
                    </w:rPr>
                    <w:t>1</w:t>
                  </w:r>
                </w:p>
              </w:tc>
              <w:tc>
                <w:tcPr>
                  <w:tcW w:w="922" w:type="pct"/>
                  <w:noWrap w:val="0"/>
                  <w:vAlign w:val="center"/>
                </w:tcPr>
                <w:p w14:paraId="6B35A0C0">
                  <w:pPr>
                    <w:keepNext w:val="0"/>
                    <w:keepLines w:val="0"/>
                    <w:suppressLineNumbers w:val="0"/>
                    <w:adjustRightInd w:val="0"/>
                    <w:snapToGrid w:val="0"/>
                    <w:spacing w:before="0" w:beforeAutospacing="0" w:after="0" w:afterAutospacing="0"/>
                    <w:ind w:left="0" w:right="0"/>
                    <w:jc w:val="center"/>
                    <w:rPr>
                      <w:rFonts w:hint="default"/>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工业</w:t>
                  </w:r>
                  <w:r>
                    <w:rPr>
                      <w:rFonts w:hint="default"/>
                      <w:color w:val="000000" w:themeColor="text1"/>
                      <w:szCs w:val="21"/>
                      <w:highlight w:val="none"/>
                      <w14:textFill>
                        <w14:solidFill>
                          <w14:schemeClr w14:val="tx1"/>
                        </w14:solidFill>
                      </w14:textFill>
                    </w:rPr>
                    <w:t>废气量</w:t>
                  </w:r>
                </w:p>
              </w:tc>
              <w:tc>
                <w:tcPr>
                  <w:tcW w:w="1513" w:type="pct"/>
                  <w:noWrap w:val="0"/>
                  <w:vAlign w:val="center"/>
                </w:tcPr>
                <w:p w14:paraId="048AB486">
                  <w:pPr>
                    <w:keepNext w:val="0"/>
                    <w:keepLines w:val="0"/>
                    <w:suppressLineNumbers w:val="0"/>
                    <w:adjustRightInd w:val="0"/>
                    <w:snapToGrid w:val="0"/>
                    <w:spacing w:before="0" w:beforeAutospacing="0" w:after="0" w:afterAutospacing="0"/>
                    <w:ind w:left="0" w:right="0"/>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11900</w:t>
                  </w:r>
                  <w:r>
                    <w:rPr>
                      <w:rFonts w:hint="default"/>
                      <w:color w:val="000000" w:themeColor="text1"/>
                      <w:szCs w:val="21"/>
                      <w:highlight w:val="none"/>
                      <w14:textFill>
                        <w14:solidFill>
                          <w14:schemeClr w14:val="tx1"/>
                        </w14:solidFill>
                      </w14:textFill>
                    </w:rPr>
                    <w:t>m³/</w:t>
                  </w:r>
                  <w:r>
                    <w:rPr>
                      <w:rFonts w:hint="eastAsia"/>
                      <w:color w:val="000000" w:themeColor="text1"/>
                      <w:szCs w:val="21"/>
                      <w:highlight w:val="none"/>
                      <w:lang w:val="en-US" w:eastAsia="zh-CN"/>
                      <w14:textFill>
                        <w14:solidFill>
                          <w14:schemeClr w14:val="tx1"/>
                        </w14:solidFill>
                      </w14:textFill>
                    </w:rPr>
                    <w:t>t</w:t>
                  </w:r>
                  <w:r>
                    <w:rPr>
                      <w:rFonts w:hint="eastAsia"/>
                      <w:color w:val="000000" w:themeColor="text1"/>
                      <w:szCs w:val="21"/>
                      <w:highlight w:val="none"/>
                      <w14:textFill>
                        <w14:solidFill>
                          <w14:schemeClr w14:val="tx1"/>
                        </w14:solidFill>
                      </w14:textFill>
                    </w:rPr>
                    <w:t>-中药饮片</w:t>
                  </w:r>
                </w:p>
              </w:tc>
              <w:tc>
                <w:tcPr>
                  <w:tcW w:w="2099" w:type="pct"/>
                  <w:vMerge w:val="restart"/>
                  <w:noWrap w:val="0"/>
                  <w:vAlign w:val="center"/>
                </w:tcPr>
                <w:p w14:paraId="1FB28BA5">
                  <w:pPr>
                    <w:keepNext w:val="0"/>
                    <w:keepLines w:val="0"/>
                    <w:suppressLineNumbers w:val="0"/>
                    <w:adjustRightInd w:val="0"/>
                    <w:snapToGrid w:val="0"/>
                    <w:spacing w:before="0" w:beforeAutospacing="0" w:after="0" w:afterAutospacing="0"/>
                    <w:ind w:left="0" w:right="0"/>
                    <w:jc w:val="center"/>
                    <w:rPr>
                      <w:rFonts w:hint="default"/>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《排放源统计调查产排污核算方法和系数手册》（环境部公告2021年第24号）中的“2730中药饮片加工行业系数手册”</w:t>
                  </w:r>
                </w:p>
              </w:tc>
            </w:tr>
            <w:tr w14:paraId="5D846CB8">
              <w:tblPrEx>
                <w:tblBorders>
                  <w:top w:val="double" w:color="auto" w:sz="4" w:space="0"/>
                  <w:left w:val="none" w:color="auto" w:sz="0" w:space="0"/>
                  <w:bottom w:val="double" w:color="auto" w:sz="4" w:space="0"/>
                  <w:right w:val="none" w:color="auto" w:sz="0" w:space="0"/>
                  <w:insideH w:val="single" w:color="auto" w:sz="2" w:space="0"/>
                  <w:insideV w:val="single" w:color="auto" w:sz="2" w:space="0"/>
                </w:tblBorders>
                <w:tblCellMar>
                  <w:top w:w="0" w:type="dxa"/>
                  <w:left w:w="108" w:type="dxa"/>
                  <w:bottom w:w="0" w:type="dxa"/>
                  <w:right w:w="108" w:type="dxa"/>
                </w:tblCellMar>
              </w:tblPrEx>
              <w:trPr>
                <w:cantSplit/>
                <w:trHeight w:val="397" w:hRule="atLeast"/>
              </w:trPr>
              <w:tc>
                <w:tcPr>
                  <w:tcW w:w="464" w:type="pct"/>
                  <w:noWrap w:val="0"/>
                  <w:vAlign w:val="center"/>
                </w:tcPr>
                <w:p w14:paraId="47D1CBC3">
                  <w:pPr>
                    <w:keepNext w:val="0"/>
                    <w:keepLines w:val="0"/>
                    <w:suppressLineNumbers w:val="0"/>
                    <w:adjustRightInd w:val="0"/>
                    <w:snapToGrid w:val="0"/>
                    <w:spacing w:before="0" w:beforeAutospacing="0" w:after="0" w:afterAutospacing="0"/>
                    <w:ind w:left="0" w:right="0"/>
                    <w:jc w:val="center"/>
                    <w:rPr>
                      <w:rFonts w:hint="default"/>
                      <w:color w:val="000000" w:themeColor="text1"/>
                      <w:szCs w:val="21"/>
                      <w:highlight w:val="none"/>
                      <w14:textFill>
                        <w14:solidFill>
                          <w14:schemeClr w14:val="tx1"/>
                        </w14:solidFill>
                      </w14:textFill>
                    </w:rPr>
                  </w:pPr>
                  <w:r>
                    <w:rPr>
                      <w:rFonts w:hint="default"/>
                      <w:color w:val="000000" w:themeColor="text1"/>
                      <w:szCs w:val="21"/>
                      <w:highlight w:val="none"/>
                      <w14:textFill>
                        <w14:solidFill>
                          <w14:schemeClr w14:val="tx1"/>
                        </w14:solidFill>
                      </w14:textFill>
                    </w:rPr>
                    <w:t>2</w:t>
                  </w:r>
                </w:p>
              </w:tc>
              <w:tc>
                <w:tcPr>
                  <w:tcW w:w="922" w:type="pct"/>
                  <w:noWrap w:val="0"/>
                  <w:vAlign w:val="center"/>
                </w:tcPr>
                <w:p w14:paraId="5FB471BA">
                  <w:pPr>
                    <w:keepNext w:val="0"/>
                    <w:keepLines w:val="0"/>
                    <w:suppressLineNumbers w:val="0"/>
                    <w:adjustRightInd w:val="0"/>
                    <w:snapToGrid w:val="0"/>
                    <w:spacing w:before="0" w:beforeAutospacing="0" w:after="0" w:afterAutospacing="0"/>
                    <w:ind w:left="0" w:right="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颗粒物</w:t>
                  </w:r>
                </w:p>
              </w:tc>
              <w:tc>
                <w:tcPr>
                  <w:tcW w:w="1513" w:type="pct"/>
                  <w:noWrap w:val="0"/>
                  <w:vAlign w:val="center"/>
                </w:tcPr>
                <w:p w14:paraId="296C1CAD">
                  <w:pPr>
                    <w:keepNext w:val="0"/>
                    <w:keepLines w:val="0"/>
                    <w:suppressLineNumbers w:val="0"/>
                    <w:adjustRightInd w:val="0"/>
                    <w:snapToGrid w:val="0"/>
                    <w:spacing w:before="0" w:beforeAutospacing="0" w:after="0" w:afterAutospacing="0"/>
                    <w:ind w:left="0" w:right="0"/>
                    <w:jc w:val="center"/>
                    <w:rPr>
                      <w:rFonts w:hint="default"/>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2.69k</w:t>
                  </w:r>
                  <w:r>
                    <w:rPr>
                      <w:rFonts w:hint="eastAsia"/>
                      <w:color w:val="000000" w:themeColor="text1"/>
                      <w:szCs w:val="21"/>
                      <w:highlight w:val="none"/>
                      <w14:textFill>
                        <w14:solidFill>
                          <w14:schemeClr w14:val="tx1"/>
                        </w14:solidFill>
                      </w14:textFill>
                    </w:rPr>
                    <w:t>g/t-中药饮片</w:t>
                  </w:r>
                </w:p>
              </w:tc>
              <w:tc>
                <w:tcPr>
                  <w:tcW w:w="2099" w:type="pct"/>
                  <w:vMerge w:val="continue"/>
                  <w:noWrap w:val="0"/>
                  <w:vAlign w:val="center"/>
                </w:tcPr>
                <w:p w14:paraId="5AD1AEAE">
                  <w:pPr>
                    <w:keepNext w:val="0"/>
                    <w:keepLines w:val="0"/>
                    <w:suppressLineNumbers w:val="0"/>
                    <w:adjustRightInd w:val="0"/>
                    <w:snapToGrid w:val="0"/>
                    <w:spacing w:before="0" w:beforeAutospacing="0" w:after="0" w:afterAutospacing="0"/>
                    <w:ind w:left="0" w:right="0"/>
                    <w:jc w:val="center"/>
                    <w:rPr>
                      <w:rFonts w:hint="default"/>
                      <w:bCs/>
                      <w:color w:val="000000" w:themeColor="text1"/>
                      <w:szCs w:val="21"/>
                      <w:highlight w:val="none"/>
                      <w14:textFill>
                        <w14:solidFill>
                          <w14:schemeClr w14:val="tx1"/>
                        </w14:solidFill>
                      </w14:textFill>
                    </w:rPr>
                  </w:pPr>
                </w:p>
              </w:tc>
            </w:tr>
          </w:tbl>
          <w:p w14:paraId="3547767C">
            <w:pPr>
              <w:keepNext w:val="0"/>
              <w:keepLines w:val="0"/>
              <w:suppressLineNumbers w:val="0"/>
              <w:adjustRightInd w:val="0"/>
              <w:snapToGrid w:val="0"/>
              <w:spacing w:before="0" w:beforeAutospacing="0" w:after="0" w:afterAutospacing="0" w:line="360" w:lineRule="auto"/>
              <w:ind w:left="0" w:right="0" w:firstLine="480" w:firstLineChars="200"/>
              <w:rPr>
                <w:rFonts w:hint="eastAsia" w:eastAsia="宋体"/>
                <w:color w:val="000000" w:themeColor="text1"/>
                <w:sz w:val="24"/>
                <w:szCs w:val="24"/>
                <w:highlight w:val="none"/>
                <w:lang w:eastAsia="zh-CN"/>
                <w14:textFill>
                  <w14:solidFill>
                    <w14:schemeClr w14:val="tx1"/>
                  </w14:solidFill>
                </w14:textFill>
              </w:rPr>
            </w:pPr>
            <w:r>
              <w:rPr>
                <w:rFonts w:hint="eastAsia" w:eastAsia="宋体"/>
                <w:color w:val="000000" w:themeColor="text1"/>
                <w:sz w:val="24"/>
                <w:szCs w:val="24"/>
                <w:highlight w:val="none"/>
                <w:lang w:eastAsia="zh-CN"/>
                <w14:textFill>
                  <w14:solidFill>
                    <w14:schemeClr w14:val="tx1"/>
                  </w14:solidFill>
                </w14:textFill>
              </w:rPr>
              <w:t>本项目</w:t>
            </w:r>
            <w:r>
              <w:rPr>
                <w:rFonts w:hint="eastAsia" w:eastAsia="宋体"/>
                <w:color w:val="000000" w:themeColor="text1"/>
                <w:sz w:val="24"/>
                <w:szCs w:val="24"/>
                <w:highlight w:val="none"/>
                <w:lang w:val="en-US" w:eastAsia="zh-CN"/>
                <w14:textFill>
                  <w14:solidFill>
                    <w14:schemeClr w14:val="tx1"/>
                  </w14:solidFill>
                </w14:textFill>
              </w:rPr>
              <w:t>前处理车间炮制</w:t>
            </w:r>
            <w:r>
              <w:rPr>
                <w:rFonts w:hint="eastAsia"/>
                <w:color w:val="000000" w:themeColor="text1"/>
                <w:sz w:val="24"/>
                <w:szCs w:val="24"/>
                <w:highlight w:val="none"/>
                <w:lang w:val="en-US" w:eastAsia="zh-CN"/>
                <w14:textFill>
                  <w14:solidFill>
                    <w14:schemeClr w14:val="tx1"/>
                  </w14:solidFill>
                </w14:textFill>
              </w:rPr>
              <w:t>单元</w:t>
            </w:r>
            <w:r>
              <w:rPr>
                <w:rFonts w:hint="eastAsia" w:eastAsia="宋体"/>
                <w:color w:val="000000" w:themeColor="text1"/>
                <w:sz w:val="24"/>
                <w:szCs w:val="24"/>
                <w:highlight w:val="none"/>
                <w:lang w:val="en-US" w:eastAsia="zh-CN"/>
                <w14:textFill>
                  <w14:solidFill>
                    <w14:schemeClr w14:val="tx1"/>
                  </w14:solidFill>
                </w14:textFill>
              </w:rPr>
              <w:t>生产中药饮片总产量为142.5</w:t>
            </w:r>
            <w:r>
              <w:rPr>
                <w:rFonts w:hint="eastAsia"/>
                <w:color w:val="000000" w:themeColor="text1"/>
                <w:sz w:val="24"/>
                <w:szCs w:val="24"/>
                <w:highlight w:val="none"/>
                <w:lang w:val="en-US" w:eastAsia="zh-CN"/>
                <w14:textFill>
                  <w14:solidFill>
                    <w14:schemeClr w14:val="tx1"/>
                  </w14:solidFill>
                </w14:textFill>
              </w:rPr>
              <w:t>t/a，</w:t>
            </w:r>
            <w:r>
              <w:rPr>
                <w:rFonts w:hint="eastAsia" w:eastAsia="宋体"/>
                <w:color w:val="000000" w:themeColor="text1"/>
                <w:sz w:val="24"/>
                <w:szCs w:val="24"/>
                <w:highlight w:val="none"/>
                <w:lang w:val="en-US" w:eastAsia="zh-CN"/>
                <w14:textFill>
                  <w14:solidFill>
                    <w14:schemeClr w14:val="tx1"/>
                  </w14:solidFill>
                </w14:textFill>
              </w:rPr>
              <w:t>年</w:t>
            </w:r>
            <w:r>
              <w:rPr>
                <w:rFonts w:hint="eastAsia"/>
                <w:color w:val="000000" w:themeColor="text1"/>
                <w:sz w:val="24"/>
                <w:szCs w:val="24"/>
                <w:highlight w:val="none"/>
                <w:lang w:val="en-US" w:eastAsia="zh-CN"/>
                <w14:textFill>
                  <w14:solidFill>
                    <w14:schemeClr w14:val="tx1"/>
                  </w14:solidFill>
                </w14:textFill>
              </w:rPr>
              <w:t>生产</w:t>
            </w:r>
            <w:r>
              <w:rPr>
                <w:rFonts w:hint="eastAsia" w:eastAsia="宋体"/>
                <w:color w:val="000000" w:themeColor="text1"/>
                <w:sz w:val="24"/>
                <w:szCs w:val="24"/>
                <w:highlight w:val="none"/>
                <w:lang w:val="en-US" w:eastAsia="zh-CN"/>
                <w14:textFill>
                  <w14:solidFill>
                    <w14:schemeClr w14:val="tx1"/>
                  </w14:solidFill>
                </w14:textFill>
              </w:rPr>
              <w:t>时间为3000h</w:t>
            </w:r>
            <w:r>
              <w:rPr>
                <w:rFonts w:hint="eastAsia"/>
                <w:color w:val="000000" w:themeColor="text1"/>
                <w:sz w:val="24"/>
                <w:szCs w:val="24"/>
                <w:highlight w:val="none"/>
                <w:lang w:val="en-US" w:eastAsia="zh-CN"/>
                <w14:textFill>
                  <w14:solidFill>
                    <w14:schemeClr w14:val="tx1"/>
                  </w14:solidFill>
                </w14:textFill>
              </w:rPr>
              <w:t>，根据上表4-1产污系数计算，</w:t>
            </w:r>
            <w:r>
              <w:rPr>
                <w:rFonts w:hint="eastAsia" w:eastAsia="宋体"/>
                <w:color w:val="000000" w:themeColor="text1"/>
                <w:sz w:val="24"/>
                <w:szCs w:val="24"/>
                <w:highlight w:val="none"/>
                <w:lang w:eastAsia="zh-CN"/>
                <w14:textFill>
                  <w14:solidFill>
                    <w14:schemeClr w14:val="tx1"/>
                  </w14:solidFill>
                </w14:textFill>
              </w:rPr>
              <w:t>则</w:t>
            </w:r>
            <w:r>
              <w:rPr>
                <w:rFonts w:hint="eastAsia"/>
                <w:color w:val="000000" w:themeColor="text1"/>
                <w:sz w:val="24"/>
                <w:szCs w:val="24"/>
                <w:highlight w:val="none"/>
                <w:lang w:val="en-US" w:eastAsia="zh-CN"/>
                <w14:textFill>
                  <w14:solidFill>
                    <w14:schemeClr w14:val="tx1"/>
                  </w14:solidFill>
                </w14:textFill>
              </w:rPr>
              <w:t>炮制单元</w:t>
            </w:r>
            <w:r>
              <w:rPr>
                <w:rFonts w:hint="eastAsia" w:eastAsia="宋体"/>
                <w:color w:val="000000" w:themeColor="text1"/>
                <w:sz w:val="24"/>
                <w:szCs w:val="24"/>
                <w:highlight w:val="none"/>
                <w:lang w:val="en-US" w:eastAsia="zh-CN"/>
                <w14:textFill>
                  <w14:solidFill>
                    <w14:schemeClr w14:val="tx1"/>
                  </w14:solidFill>
                </w14:textFill>
              </w:rPr>
              <w:t>工业废气量为</w:t>
            </w:r>
            <w:r>
              <w:rPr>
                <w:rFonts w:hint="eastAsia"/>
                <w:color w:val="000000" w:themeColor="text1"/>
                <w:sz w:val="24"/>
                <w:szCs w:val="24"/>
                <w:highlight w:val="none"/>
                <w:lang w:val="en-US" w:eastAsia="zh-CN"/>
                <w14:textFill>
                  <w14:solidFill>
                    <w14:schemeClr w14:val="tx1"/>
                  </w14:solidFill>
                </w14:textFill>
              </w:rPr>
              <w:t>565</w:t>
            </w:r>
            <w:r>
              <w:rPr>
                <w:rFonts w:hint="eastAsia" w:eastAsia="宋体"/>
                <w:color w:val="000000" w:themeColor="text1"/>
                <w:sz w:val="24"/>
                <w:szCs w:val="24"/>
                <w:highlight w:val="none"/>
                <w:lang w:val="en-US" w:eastAsia="zh-CN"/>
                <w14:textFill>
                  <w14:solidFill>
                    <w14:schemeClr w14:val="tx1"/>
                  </w14:solidFill>
                </w14:textFill>
              </w:rPr>
              <w:t>m</w:t>
            </w:r>
            <w:r>
              <w:rPr>
                <w:rFonts w:hint="eastAsia" w:eastAsia="宋体"/>
                <w:color w:val="000000" w:themeColor="text1"/>
                <w:sz w:val="24"/>
                <w:szCs w:val="24"/>
                <w:highlight w:val="none"/>
                <w:vertAlign w:val="superscript"/>
                <w:lang w:val="en-US" w:eastAsia="zh-CN"/>
                <w14:textFill>
                  <w14:solidFill>
                    <w14:schemeClr w14:val="tx1"/>
                  </w14:solidFill>
                </w14:textFill>
              </w:rPr>
              <w:t>3</w:t>
            </w:r>
            <w:r>
              <w:rPr>
                <w:rFonts w:hint="eastAsia" w:eastAsia="宋体"/>
                <w:color w:val="000000" w:themeColor="text1"/>
                <w:sz w:val="24"/>
                <w:szCs w:val="24"/>
                <w:highlight w:val="none"/>
                <w:lang w:val="en-US" w:eastAsia="zh-CN"/>
                <w14:textFill>
                  <w14:solidFill>
                    <w14:schemeClr w14:val="tx1"/>
                  </w14:solidFill>
                </w14:textFill>
              </w:rPr>
              <w:t>/h</w:t>
            </w:r>
            <w:r>
              <w:rPr>
                <w:rFonts w:hint="eastAsia" w:eastAsia="宋体"/>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污染物颗粒物</w:t>
            </w:r>
            <w:r>
              <w:rPr>
                <w:rFonts w:hint="eastAsia" w:eastAsia="宋体"/>
                <w:color w:val="000000" w:themeColor="text1"/>
                <w:sz w:val="24"/>
                <w:szCs w:val="24"/>
                <w:highlight w:val="none"/>
                <w:lang w:val="en-US" w:eastAsia="zh-CN"/>
                <w14:textFill>
                  <w14:solidFill>
                    <w14:schemeClr w14:val="tx1"/>
                  </w14:solidFill>
                </w14:textFill>
              </w:rPr>
              <w:t>产生量为</w:t>
            </w:r>
            <w:r>
              <w:rPr>
                <w:rFonts w:hint="eastAsia"/>
                <w:color w:val="000000" w:themeColor="text1"/>
                <w:sz w:val="24"/>
                <w:szCs w:val="24"/>
                <w:highlight w:val="none"/>
                <w:lang w:val="en-US" w:eastAsia="zh-CN"/>
                <w14:textFill>
                  <w14:solidFill>
                    <w14:schemeClr w14:val="tx1"/>
                  </w14:solidFill>
                </w14:textFill>
              </w:rPr>
              <w:t>0.3834</w:t>
            </w:r>
            <w:r>
              <w:rPr>
                <w:rFonts w:hint="eastAsia" w:eastAsia="宋体"/>
                <w:color w:val="000000" w:themeColor="text1"/>
                <w:sz w:val="24"/>
                <w:szCs w:val="24"/>
                <w:highlight w:val="none"/>
                <w:lang w:val="en-US" w:eastAsia="zh-CN"/>
                <w14:textFill>
                  <w14:solidFill>
                    <w14:schemeClr w14:val="tx1"/>
                  </w14:solidFill>
                </w14:textFill>
              </w:rPr>
              <w:t>t</w:t>
            </w:r>
            <w:r>
              <w:rPr>
                <w:rFonts w:hint="eastAsia" w:eastAsia="宋体"/>
                <w:color w:val="000000" w:themeColor="text1"/>
                <w:sz w:val="24"/>
                <w:szCs w:val="24"/>
                <w:highlight w:val="none"/>
                <w:lang w:eastAsia="zh-CN"/>
                <w14:textFill>
                  <w14:solidFill>
                    <w14:schemeClr w14:val="tx1"/>
                  </w14:solidFill>
                </w14:textFill>
              </w:rPr>
              <w:t>/a</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产生速率为0.1278</w:t>
            </w:r>
            <w:r>
              <w:rPr>
                <w:rFonts w:hint="eastAsia" w:eastAsia="新宋体"/>
                <w:color w:val="000000" w:themeColor="text1"/>
                <w:sz w:val="24"/>
                <w:szCs w:val="24"/>
                <w:highlight w:val="none"/>
                <w:lang w:val="en-US" w:eastAsia="zh-CN"/>
                <w14:textFill>
                  <w14:solidFill>
                    <w14:schemeClr w14:val="tx1"/>
                  </w14:solidFill>
                </w14:textFill>
              </w:rPr>
              <w:t>kg/h，产生浓度为226.05</w:t>
            </w:r>
            <w:r>
              <w:rPr>
                <w:rFonts w:hint="eastAsia" w:eastAsia="宋体"/>
                <w:color w:val="000000" w:themeColor="text1"/>
                <w:sz w:val="24"/>
                <w:szCs w:val="24"/>
                <w:highlight w:val="none"/>
                <w:lang w:eastAsia="zh-CN"/>
                <w14:textFill>
                  <w14:solidFill>
                    <w14:schemeClr w14:val="tx1"/>
                  </w14:solidFill>
                </w14:textFill>
              </w:rPr>
              <w:t>mg/m</w:t>
            </w:r>
            <w:r>
              <w:rPr>
                <w:rFonts w:hint="eastAsia" w:eastAsia="宋体"/>
                <w:color w:val="000000" w:themeColor="text1"/>
                <w:sz w:val="24"/>
                <w:szCs w:val="24"/>
                <w:highlight w:val="none"/>
                <w:vertAlign w:val="superscript"/>
                <w:lang w:eastAsia="zh-CN"/>
                <w14:textFill>
                  <w14:solidFill>
                    <w14:schemeClr w14:val="tx1"/>
                  </w14:solidFill>
                </w14:textFill>
              </w:rPr>
              <w:t>3</w:t>
            </w:r>
            <w:r>
              <w:rPr>
                <w:rFonts w:hint="eastAsia" w:eastAsia="新宋体"/>
                <w:color w:val="000000" w:themeColor="text1"/>
                <w:sz w:val="24"/>
                <w:szCs w:val="24"/>
                <w:highlight w:val="none"/>
                <w:lang w:val="en-US" w:eastAsia="zh-CN"/>
                <w14:textFill>
                  <w14:solidFill>
                    <w14:schemeClr w14:val="tx1"/>
                  </w14:solidFill>
                </w14:textFill>
              </w:rPr>
              <w:t>。本项目在</w:t>
            </w:r>
            <w:r>
              <w:rPr>
                <w:rFonts w:hint="default" w:cs="Times New Roman" w:asciiTheme="minorEastAsia" w:hAnsiTheme="minorEastAsia"/>
                <w:color w:val="000000" w:themeColor="text1"/>
                <w:sz w:val="24"/>
                <w:highlight w:val="none"/>
                <w14:textFill>
                  <w14:solidFill>
                    <w14:schemeClr w14:val="tx1"/>
                  </w14:solidFill>
                </w14:textFill>
              </w:rPr>
              <w:t>筛选机</w:t>
            </w:r>
            <w:r>
              <w:rPr>
                <w:rFonts w:hint="eastAsia" w:eastAsia="新宋体"/>
                <w:color w:val="000000" w:themeColor="text1"/>
                <w:sz w:val="24"/>
                <w:szCs w:val="24"/>
                <w:highlight w:val="none"/>
                <w:lang w:val="en-US" w:eastAsia="zh-CN"/>
                <w14:textFill>
                  <w14:solidFill>
                    <w14:schemeClr w14:val="tx1"/>
                  </w14:solidFill>
                </w14:textFill>
              </w:rPr>
              <w:t>上方设置</w:t>
            </w:r>
            <w:r>
              <w:rPr>
                <w:rFonts w:hint="eastAsia"/>
                <w:color w:val="000000" w:themeColor="text1"/>
                <w:sz w:val="24"/>
                <w:szCs w:val="24"/>
                <w:highlight w:val="none"/>
                <w:lang w:val="en-US" w:eastAsia="zh-CN"/>
                <w14:textFill>
                  <w14:solidFill>
                    <w14:schemeClr w14:val="tx1"/>
                  </w14:solidFill>
                </w14:textFill>
              </w:rPr>
              <w:t>上吸式</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集气罩，收集效率不低于80%，然后经密闭管道送入</w:t>
            </w:r>
            <w:r>
              <w:rPr>
                <w:rFonts w:hint="eastAsia" w:eastAsia="宋体"/>
                <w:color w:val="000000" w:themeColor="text1"/>
                <w:sz w:val="24"/>
                <w:szCs w:val="24"/>
                <w:highlight w:val="none"/>
                <w:lang w:eastAsia="zh-CN"/>
                <w14:textFill>
                  <w14:solidFill>
                    <w14:schemeClr w14:val="tx1"/>
                  </w14:solidFill>
                </w14:textFill>
              </w:rPr>
              <w:t>布袋除尘器（TA0</w:t>
            </w:r>
            <w:r>
              <w:rPr>
                <w:rFonts w:hint="eastAsia"/>
                <w:color w:val="000000" w:themeColor="text1"/>
                <w:sz w:val="24"/>
                <w:szCs w:val="24"/>
                <w:highlight w:val="none"/>
                <w:lang w:val="en-US" w:eastAsia="zh-CN"/>
                <w14:textFill>
                  <w14:solidFill>
                    <w14:schemeClr w14:val="tx1"/>
                  </w14:solidFill>
                </w14:textFill>
              </w:rPr>
              <w:t>25</w:t>
            </w:r>
            <w:r>
              <w:rPr>
                <w:rFonts w:hint="eastAsia" w:eastAsia="宋体"/>
                <w:color w:val="000000" w:themeColor="text1"/>
                <w:sz w:val="24"/>
                <w:szCs w:val="24"/>
                <w:highlight w:val="none"/>
                <w:lang w:eastAsia="zh-CN"/>
                <w14:textFill>
                  <w14:solidFill>
                    <w14:schemeClr w14:val="tx1"/>
                  </w14:solidFill>
                </w14:textFill>
              </w:rPr>
              <w:t>）处理后由</w:t>
            </w:r>
            <w:r>
              <w:rPr>
                <w:rFonts w:hint="eastAsia" w:eastAsia="宋体"/>
                <w:color w:val="000000" w:themeColor="text1"/>
                <w:sz w:val="24"/>
                <w:szCs w:val="24"/>
                <w:highlight w:val="none"/>
                <w:lang w:val="en-US" w:eastAsia="zh-CN"/>
                <w14:textFill>
                  <w14:solidFill>
                    <w14:schemeClr w14:val="tx1"/>
                  </w14:solidFill>
                </w14:textFill>
              </w:rPr>
              <w:t>不低于</w:t>
            </w:r>
            <w:r>
              <w:rPr>
                <w:rFonts w:hint="eastAsia" w:eastAsia="宋体"/>
                <w:color w:val="000000" w:themeColor="text1"/>
                <w:sz w:val="24"/>
                <w:szCs w:val="24"/>
                <w:highlight w:val="none"/>
                <w:lang w:eastAsia="zh-CN"/>
                <w14:textFill>
                  <w14:solidFill>
                    <w14:schemeClr w14:val="tx1"/>
                  </w14:solidFill>
                </w14:textFill>
              </w:rPr>
              <w:t>15m高的排气筒（DA0</w:t>
            </w:r>
            <w:r>
              <w:rPr>
                <w:rFonts w:hint="eastAsia"/>
                <w:color w:val="000000" w:themeColor="text1"/>
                <w:sz w:val="24"/>
                <w:szCs w:val="24"/>
                <w:highlight w:val="none"/>
                <w:lang w:val="en-US" w:eastAsia="zh-CN"/>
                <w14:textFill>
                  <w14:solidFill>
                    <w14:schemeClr w14:val="tx1"/>
                  </w14:solidFill>
                </w14:textFill>
              </w:rPr>
              <w:t>16</w:t>
            </w:r>
            <w:r>
              <w:rPr>
                <w:rFonts w:hint="eastAsia" w:eastAsia="宋体"/>
                <w:color w:val="000000" w:themeColor="text1"/>
                <w:sz w:val="24"/>
                <w:szCs w:val="24"/>
                <w:highlight w:val="none"/>
                <w:lang w:eastAsia="zh-CN"/>
                <w14:textFill>
                  <w14:solidFill>
                    <w14:schemeClr w14:val="tx1"/>
                  </w14:solidFill>
                </w14:textFill>
              </w:rPr>
              <w:t>）排放；</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在</w:t>
            </w:r>
            <w:r>
              <w:rPr>
                <w:rFonts w:hint="eastAsia" w:cs="Times New Roman" w:asciiTheme="minorEastAsia" w:hAnsiTheme="minorEastAsia"/>
                <w:color w:val="000000" w:themeColor="text1"/>
                <w:sz w:val="24"/>
                <w:highlight w:val="none"/>
                <w14:textFill>
                  <w14:solidFill>
                    <w14:schemeClr w14:val="tx1"/>
                  </w14:solidFill>
                </w14:textFill>
              </w:rPr>
              <w:t>炒药机</w:t>
            </w:r>
            <w:r>
              <w:rPr>
                <w:rFonts w:hint="eastAsia" w:eastAsia="新宋体"/>
                <w:color w:val="000000" w:themeColor="text1"/>
                <w:sz w:val="24"/>
                <w:szCs w:val="24"/>
                <w:highlight w:val="none"/>
                <w:lang w:val="en-US" w:eastAsia="zh-CN"/>
                <w14:textFill>
                  <w14:solidFill>
                    <w14:schemeClr w14:val="tx1"/>
                  </w14:solidFill>
                </w14:textFill>
              </w:rPr>
              <w:t>上方设置</w:t>
            </w:r>
            <w:r>
              <w:rPr>
                <w:rFonts w:hint="eastAsia"/>
                <w:color w:val="000000" w:themeColor="text1"/>
                <w:sz w:val="24"/>
                <w:szCs w:val="24"/>
                <w:highlight w:val="none"/>
                <w:lang w:val="en-US" w:eastAsia="zh-CN"/>
                <w14:textFill>
                  <w14:solidFill>
                    <w14:schemeClr w14:val="tx1"/>
                  </w14:solidFill>
                </w14:textFill>
              </w:rPr>
              <w:t>上吸式</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集气罩，收集效率不低于80%，然后经密闭管道送入</w:t>
            </w:r>
            <w:r>
              <w:rPr>
                <w:rFonts w:hint="eastAsia"/>
                <w:color w:val="000000" w:themeColor="text1"/>
                <w:sz w:val="24"/>
                <w:szCs w:val="24"/>
                <w:highlight w:val="none"/>
                <w:lang w:val="en-US" w:eastAsia="zh-CN"/>
                <w14:textFill>
                  <w14:solidFill>
                    <w14:schemeClr w14:val="tx1"/>
                  </w14:solidFill>
                </w14:textFill>
              </w:rPr>
              <w:t>布袋除尘器+二级活性炭吸附设施（TA026）</w:t>
            </w:r>
            <w:r>
              <w:rPr>
                <w:rFonts w:hint="eastAsia" w:eastAsia="宋体"/>
                <w:color w:val="000000" w:themeColor="text1"/>
                <w:sz w:val="24"/>
                <w:szCs w:val="24"/>
                <w:highlight w:val="none"/>
                <w:lang w:eastAsia="zh-CN"/>
                <w14:textFill>
                  <w14:solidFill>
                    <w14:schemeClr w14:val="tx1"/>
                  </w14:solidFill>
                </w14:textFill>
              </w:rPr>
              <w:t>处理后由</w:t>
            </w:r>
            <w:r>
              <w:rPr>
                <w:rFonts w:hint="eastAsia" w:eastAsia="宋体"/>
                <w:color w:val="000000" w:themeColor="text1"/>
                <w:sz w:val="24"/>
                <w:szCs w:val="24"/>
                <w:highlight w:val="none"/>
                <w:lang w:val="en-US" w:eastAsia="zh-CN"/>
                <w14:textFill>
                  <w14:solidFill>
                    <w14:schemeClr w14:val="tx1"/>
                  </w14:solidFill>
                </w14:textFill>
              </w:rPr>
              <w:t>不低于</w:t>
            </w:r>
            <w:r>
              <w:rPr>
                <w:rFonts w:hint="eastAsia" w:eastAsia="宋体"/>
                <w:color w:val="000000" w:themeColor="text1"/>
                <w:sz w:val="24"/>
                <w:szCs w:val="24"/>
                <w:highlight w:val="none"/>
                <w:lang w:eastAsia="zh-CN"/>
                <w14:textFill>
                  <w14:solidFill>
                    <w14:schemeClr w14:val="tx1"/>
                  </w14:solidFill>
                </w14:textFill>
              </w:rPr>
              <w:t>15m高的排气筒（DA0</w:t>
            </w:r>
            <w:r>
              <w:rPr>
                <w:rFonts w:hint="eastAsia"/>
                <w:color w:val="000000" w:themeColor="text1"/>
                <w:sz w:val="24"/>
                <w:szCs w:val="24"/>
                <w:highlight w:val="none"/>
                <w:lang w:val="en-US" w:eastAsia="zh-CN"/>
                <w14:textFill>
                  <w14:solidFill>
                    <w14:schemeClr w14:val="tx1"/>
                  </w14:solidFill>
                </w14:textFill>
              </w:rPr>
              <w:t>16</w:t>
            </w:r>
            <w:r>
              <w:rPr>
                <w:rFonts w:hint="eastAsia" w:eastAsia="宋体"/>
                <w:color w:val="000000" w:themeColor="text1"/>
                <w:sz w:val="24"/>
                <w:szCs w:val="24"/>
                <w:highlight w:val="none"/>
                <w:lang w:eastAsia="zh-CN"/>
                <w14:textFill>
                  <w14:solidFill>
                    <w14:schemeClr w14:val="tx1"/>
                  </w14:solidFill>
                </w14:textFill>
              </w:rPr>
              <w:t>）排放</w:t>
            </w:r>
            <w:r>
              <w:rPr>
                <w:rFonts w:hint="eastAsia" w:eastAsia="宋体"/>
                <w:color w:val="000000" w:themeColor="text1"/>
                <w:sz w:val="24"/>
                <w:szCs w:val="24"/>
                <w:highlight w:val="none"/>
                <w:lang w:val="en-US" w:eastAsia="zh-CN"/>
                <w14:textFill>
                  <w14:solidFill>
                    <w14:schemeClr w14:val="tx1"/>
                  </w14:solidFill>
                </w14:textFill>
              </w:rPr>
              <w:t>。</w:t>
            </w:r>
          </w:p>
          <w:p w14:paraId="6BA7171F">
            <w:pPr>
              <w:keepNext w:val="0"/>
              <w:keepLines w:val="0"/>
              <w:suppressLineNumbers w:val="0"/>
              <w:adjustRightInd w:val="0"/>
              <w:snapToGrid w:val="0"/>
              <w:spacing w:before="0" w:beforeAutospacing="0" w:after="0" w:afterAutospacing="0" w:line="360" w:lineRule="auto"/>
              <w:ind w:left="0" w:right="0" w:firstLine="480" w:firstLineChars="20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本项目</w:t>
            </w:r>
            <w:r>
              <w:rPr>
                <w:rFonts w:hint="eastAsia" w:eastAsia="宋体"/>
                <w:color w:val="000000" w:themeColor="text1"/>
                <w:sz w:val="24"/>
                <w:szCs w:val="24"/>
                <w:highlight w:val="none"/>
                <w:lang w:eastAsia="zh-CN"/>
                <w14:textFill>
                  <w14:solidFill>
                    <w14:schemeClr w14:val="tx1"/>
                  </w14:solidFill>
                </w14:textFill>
              </w:rPr>
              <w:t>布袋除尘器</w:t>
            </w:r>
            <w:r>
              <w:rPr>
                <w:rFonts w:hint="eastAsia" w:eastAsia="宋体"/>
                <w:color w:val="000000" w:themeColor="text1"/>
                <w:sz w:val="24"/>
                <w:szCs w:val="24"/>
                <w:highlight w:val="none"/>
                <w:lang w:val="en-US" w:eastAsia="zh-CN"/>
                <w14:textFill>
                  <w14:solidFill>
                    <w14:schemeClr w14:val="tx1"/>
                  </w14:solidFill>
                </w14:textFill>
              </w:rPr>
              <w:t>处理效率为99%，</w:t>
            </w:r>
            <w:r>
              <w:rPr>
                <w:rFonts w:hint="eastAsia"/>
                <w:color w:val="000000" w:themeColor="text1"/>
                <w:sz w:val="24"/>
                <w:highlight w:val="none"/>
                <w:lang w:val="en-US" w:eastAsia="zh-CN"/>
                <w14:textFill>
                  <w14:solidFill>
                    <w14:schemeClr w14:val="tx1"/>
                  </w14:solidFill>
                </w14:textFill>
              </w:rPr>
              <w:t>根据计算，</w:t>
            </w:r>
            <w:r>
              <w:rPr>
                <w:rFonts w:hint="eastAsia"/>
                <w:color w:val="000000" w:themeColor="text1"/>
                <w:sz w:val="24"/>
                <w:szCs w:val="24"/>
                <w:highlight w:val="none"/>
                <w:lang w:val="en-US" w:eastAsia="zh-CN"/>
                <w14:textFill>
                  <w14:solidFill>
                    <w14:schemeClr w14:val="tx1"/>
                  </w14:solidFill>
                </w14:textFill>
              </w:rPr>
              <w:t>炮制单元污染物颗粒物有组织排放量为0.0031</w:t>
            </w:r>
            <w:r>
              <w:rPr>
                <w:rFonts w:hint="eastAsia" w:eastAsia="宋体"/>
                <w:color w:val="000000" w:themeColor="text1"/>
                <w:sz w:val="24"/>
                <w:szCs w:val="24"/>
                <w:highlight w:val="none"/>
                <w:lang w:eastAsia="zh-CN"/>
                <w14:textFill>
                  <w14:solidFill>
                    <w14:schemeClr w14:val="tx1"/>
                  </w14:solidFill>
                </w14:textFill>
              </w:rPr>
              <w:t>t/a，</w:t>
            </w:r>
            <w:r>
              <w:rPr>
                <w:rFonts w:hint="eastAsia" w:eastAsia="宋体"/>
                <w:color w:val="000000" w:themeColor="text1"/>
                <w:sz w:val="24"/>
                <w:szCs w:val="24"/>
                <w:highlight w:val="none"/>
                <w:lang w:val="en-US" w:eastAsia="zh-CN"/>
                <w14:textFill>
                  <w14:solidFill>
                    <w14:schemeClr w14:val="tx1"/>
                  </w14:solidFill>
                </w14:textFill>
              </w:rPr>
              <w:t>排放</w:t>
            </w:r>
            <w:r>
              <w:rPr>
                <w:rFonts w:hint="eastAsia" w:eastAsia="宋体"/>
                <w:color w:val="000000" w:themeColor="text1"/>
                <w:sz w:val="24"/>
                <w:szCs w:val="24"/>
                <w:highlight w:val="none"/>
                <w:lang w:eastAsia="zh-CN"/>
                <w14:textFill>
                  <w14:solidFill>
                    <w14:schemeClr w14:val="tx1"/>
                  </w14:solidFill>
                </w14:textFill>
              </w:rPr>
              <w:t>浓度</w:t>
            </w:r>
            <w:r>
              <w:rPr>
                <w:rFonts w:hint="eastAsia"/>
                <w:color w:val="000000" w:themeColor="text1"/>
                <w:sz w:val="24"/>
                <w:szCs w:val="24"/>
                <w:highlight w:val="none"/>
                <w:lang w:val="en-US" w:eastAsia="zh-CN"/>
                <w14:textFill>
                  <w14:solidFill>
                    <w14:schemeClr w14:val="tx1"/>
                  </w14:solidFill>
                </w14:textFill>
              </w:rPr>
              <w:t>1.81</w:t>
            </w:r>
            <w:r>
              <w:rPr>
                <w:rFonts w:hint="eastAsia" w:eastAsia="宋体"/>
                <w:color w:val="000000" w:themeColor="text1"/>
                <w:sz w:val="24"/>
                <w:szCs w:val="24"/>
                <w:highlight w:val="none"/>
                <w:lang w:eastAsia="zh-CN"/>
                <w14:textFill>
                  <w14:solidFill>
                    <w14:schemeClr w14:val="tx1"/>
                  </w14:solidFill>
                </w14:textFill>
              </w:rPr>
              <w:t>mg/m</w:t>
            </w:r>
            <w:r>
              <w:rPr>
                <w:rFonts w:hint="eastAsia" w:eastAsia="宋体"/>
                <w:color w:val="000000" w:themeColor="text1"/>
                <w:sz w:val="24"/>
                <w:szCs w:val="24"/>
                <w:highlight w:val="none"/>
                <w:vertAlign w:val="superscript"/>
                <w:lang w:eastAsia="zh-CN"/>
                <w14:textFill>
                  <w14:solidFill>
                    <w14:schemeClr w14:val="tx1"/>
                  </w14:solidFill>
                </w14:textFill>
              </w:rPr>
              <w:t>3</w:t>
            </w:r>
            <w:r>
              <w:rPr>
                <w:rFonts w:hint="eastAsia" w:eastAsia="宋体"/>
                <w:color w:val="000000" w:themeColor="text1"/>
                <w:sz w:val="24"/>
                <w:szCs w:val="24"/>
                <w:highlight w:val="none"/>
                <w:lang w:eastAsia="zh-CN"/>
                <w14:textFill>
                  <w14:solidFill>
                    <w14:schemeClr w14:val="tx1"/>
                  </w14:solidFill>
                </w14:textFill>
              </w:rPr>
              <w:t>，</w:t>
            </w:r>
            <w:r>
              <w:rPr>
                <w:rFonts w:hint="eastAsia" w:eastAsia="宋体"/>
                <w:color w:val="000000" w:themeColor="text1"/>
                <w:sz w:val="24"/>
                <w:szCs w:val="24"/>
                <w:highlight w:val="none"/>
                <w:lang w:val="en-US" w:eastAsia="zh-CN"/>
                <w14:textFill>
                  <w14:solidFill>
                    <w14:schemeClr w14:val="tx1"/>
                  </w14:solidFill>
                </w14:textFill>
              </w:rPr>
              <w:t>排放</w:t>
            </w:r>
            <w:r>
              <w:rPr>
                <w:rFonts w:hint="eastAsia" w:eastAsia="宋体"/>
                <w:color w:val="000000" w:themeColor="text1"/>
                <w:sz w:val="24"/>
                <w:szCs w:val="24"/>
                <w:highlight w:val="none"/>
                <w:lang w:eastAsia="zh-CN"/>
                <w14:textFill>
                  <w14:solidFill>
                    <w14:schemeClr w14:val="tx1"/>
                  </w14:solidFill>
                </w14:textFill>
              </w:rPr>
              <w:t>速率为</w:t>
            </w:r>
            <w:r>
              <w:rPr>
                <w:rFonts w:hint="eastAsia" w:eastAsia="宋体"/>
                <w:color w:val="000000" w:themeColor="text1"/>
                <w:sz w:val="24"/>
                <w:szCs w:val="24"/>
                <w:highlight w:val="none"/>
                <w:lang w:val="en-US" w:eastAsia="zh-CN"/>
                <w14:textFill>
                  <w14:solidFill>
                    <w14:schemeClr w14:val="tx1"/>
                  </w14:solidFill>
                </w14:textFill>
              </w:rPr>
              <w:t>0.0010</w:t>
            </w:r>
            <w:r>
              <w:rPr>
                <w:rFonts w:hint="eastAsia" w:eastAsia="宋体"/>
                <w:color w:val="000000" w:themeColor="text1"/>
                <w:sz w:val="24"/>
                <w:szCs w:val="24"/>
                <w:highlight w:val="none"/>
                <w:lang w:eastAsia="zh-CN"/>
                <w14:textFill>
                  <w14:solidFill>
                    <w14:schemeClr w14:val="tx1"/>
                  </w14:solidFill>
                </w14:textFill>
              </w:rPr>
              <w:t>kg/h；</w:t>
            </w:r>
            <w:r>
              <w:rPr>
                <w:rFonts w:hint="eastAsia" w:eastAsia="宋体"/>
                <w:color w:val="000000" w:themeColor="text1"/>
                <w:sz w:val="24"/>
                <w:szCs w:val="24"/>
                <w:highlight w:val="none"/>
                <w:lang w:val="en-US" w:eastAsia="zh-CN"/>
                <w14:textFill>
                  <w14:solidFill>
                    <w14:schemeClr w14:val="tx1"/>
                  </w14:solidFill>
                </w14:textFill>
              </w:rPr>
              <w:t>无组织排放量为0.0768</w:t>
            </w:r>
            <w:r>
              <w:rPr>
                <w:rFonts w:hint="eastAsia" w:eastAsia="宋体"/>
                <w:color w:val="000000" w:themeColor="text1"/>
                <w:sz w:val="24"/>
                <w:szCs w:val="24"/>
                <w:highlight w:val="none"/>
                <w:lang w:eastAsia="zh-CN"/>
                <w14:textFill>
                  <w14:solidFill>
                    <w14:schemeClr w14:val="tx1"/>
                  </w14:solidFill>
                </w14:textFill>
              </w:rPr>
              <w:t>t/a，</w:t>
            </w:r>
            <w:r>
              <w:rPr>
                <w:rFonts w:hint="eastAsia" w:eastAsia="宋体"/>
                <w:color w:val="000000" w:themeColor="text1"/>
                <w:sz w:val="24"/>
                <w:szCs w:val="24"/>
                <w:highlight w:val="none"/>
                <w:lang w:val="en-US" w:eastAsia="zh-CN"/>
                <w14:textFill>
                  <w14:solidFill>
                    <w14:schemeClr w14:val="tx1"/>
                  </w14:solidFill>
                </w14:textFill>
              </w:rPr>
              <w:t>排放速率为0.0256</w:t>
            </w:r>
            <w:r>
              <w:rPr>
                <w:rFonts w:hint="eastAsia" w:eastAsia="宋体"/>
                <w:color w:val="000000" w:themeColor="text1"/>
                <w:sz w:val="24"/>
                <w:szCs w:val="24"/>
                <w:highlight w:val="none"/>
                <w:lang w:eastAsia="zh-CN"/>
                <w14:textFill>
                  <w14:solidFill>
                    <w14:schemeClr w14:val="tx1"/>
                  </w14:solidFill>
                </w14:textFill>
              </w:rPr>
              <w:t>kg/h</w:t>
            </w:r>
            <w:r>
              <w:rPr>
                <w:rFonts w:hint="eastAsia"/>
                <w:color w:val="000000" w:themeColor="text1"/>
                <w:sz w:val="24"/>
                <w:szCs w:val="24"/>
                <w:highlight w:val="none"/>
                <w:lang w:val="en-US" w:eastAsia="zh-CN"/>
                <w14:textFill>
                  <w14:solidFill>
                    <w14:schemeClr w14:val="tx1"/>
                  </w14:solidFill>
                </w14:textFill>
              </w:rPr>
              <w:t>。</w:t>
            </w:r>
          </w:p>
          <w:p w14:paraId="38C8D14A">
            <w:pPr>
              <w:keepNext w:val="0"/>
              <w:keepLines w:val="0"/>
              <w:pageBreakBefore w:val="0"/>
              <w:widowControl w:val="0"/>
              <w:numPr>
                <w:ilvl w:val="0"/>
                <w:numId w:val="26"/>
              </w:numPr>
              <w:suppressLineNumbers w:val="0"/>
              <w:kinsoku/>
              <w:wordWrap/>
              <w:overflowPunct/>
              <w:topLinePunct w:val="0"/>
              <w:autoSpaceDE/>
              <w:autoSpaceDN/>
              <w:bidi w:val="0"/>
              <w:adjustRightInd/>
              <w:snapToGrid w:val="0"/>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炮制</w:t>
            </w:r>
            <w:r>
              <w:rPr>
                <w:rFonts w:hint="eastAsia" w:cs="Times New Roman"/>
                <w:b/>
                <w:bCs/>
                <w:color w:val="000000" w:themeColor="text1"/>
                <w:sz w:val="21"/>
                <w:szCs w:val="21"/>
                <w:highlight w:val="none"/>
                <w:lang w:val="en-US" w:eastAsia="zh-CN"/>
                <w14:textFill>
                  <w14:solidFill>
                    <w14:schemeClr w14:val="tx1"/>
                  </w14:solidFill>
                </w14:textFill>
              </w:rPr>
              <w:t>单元污染物颗粒物</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产排情况</w:t>
            </w:r>
          </w:p>
          <w:tbl>
            <w:tblPr>
              <w:tblStyle w:val="35"/>
              <w:tblW w:w="4997"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65"/>
              <w:gridCol w:w="755"/>
              <w:gridCol w:w="594"/>
              <w:gridCol w:w="867"/>
              <w:gridCol w:w="867"/>
              <w:gridCol w:w="832"/>
              <w:gridCol w:w="1374"/>
              <w:gridCol w:w="872"/>
              <w:gridCol w:w="868"/>
              <w:gridCol w:w="868"/>
            </w:tblGrid>
            <w:tr w14:paraId="7CEFD1F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PrEx>
              <w:trPr>
                <w:jc w:val="center"/>
              </w:trPr>
              <w:tc>
                <w:tcPr>
                  <w:tcW w:w="278" w:type="pct"/>
                  <w:tcBorders>
                    <w:tl2br w:val="nil"/>
                    <w:tr2bl w:val="nil"/>
                  </w:tcBorders>
                  <w:noWrap w:val="0"/>
                  <w:vAlign w:val="center"/>
                </w:tcPr>
                <w:p w14:paraId="1427CBE4">
                  <w:pPr>
                    <w:pStyle w:val="31"/>
                    <w:keepNext w:val="0"/>
                    <w:keepLines w:val="0"/>
                    <w:suppressLineNumbers w:val="0"/>
                    <w:spacing w:before="0" w:beforeAutospacing="0" w:after="0" w:afterAutospacing="0"/>
                    <w:ind w:left="0" w:right="0"/>
                    <w:jc w:val="center"/>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排放形式</w:t>
                  </w:r>
                </w:p>
              </w:tc>
              <w:tc>
                <w:tcPr>
                  <w:tcW w:w="451" w:type="pct"/>
                  <w:tcBorders>
                    <w:tl2br w:val="nil"/>
                    <w:tr2bl w:val="nil"/>
                  </w:tcBorders>
                  <w:noWrap w:val="0"/>
                  <w:vAlign w:val="center"/>
                </w:tcPr>
                <w:p w14:paraId="0D8C4D05">
                  <w:pPr>
                    <w:pStyle w:val="31"/>
                    <w:keepNext w:val="0"/>
                    <w:keepLines w:val="0"/>
                    <w:suppressLineNumbers w:val="0"/>
                    <w:spacing w:before="0" w:beforeAutospacing="0" w:after="0" w:afterAutospacing="0"/>
                    <w:ind w:left="0" w:right="0"/>
                    <w:jc w:val="center"/>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产污</w:t>
                  </w:r>
                </w:p>
                <w:p w14:paraId="3F14E06D">
                  <w:pPr>
                    <w:pStyle w:val="31"/>
                    <w:keepNext w:val="0"/>
                    <w:keepLines w:val="0"/>
                    <w:suppressLineNumbers w:val="0"/>
                    <w:spacing w:before="0" w:beforeAutospacing="0" w:after="0" w:afterAutospacing="0"/>
                    <w:ind w:left="0" w:right="0"/>
                    <w:jc w:val="center"/>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环节</w:t>
                  </w:r>
                </w:p>
              </w:tc>
              <w:tc>
                <w:tcPr>
                  <w:tcW w:w="355" w:type="pct"/>
                  <w:tcBorders>
                    <w:tl2br w:val="nil"/>
                    <w:tr2bl w:val="nil"/>
                  </w:tcBorders>
                  <w:noWrap w:val="0"/>
                  <w:vAlign w:val="center"/>
                </w:tcPr>
                <w:p w14:paraId="570E221B">
                  <w:pPr>
                    <w:pStyle w:val="31"/>
                    <w:keepNext w:val="0"/>
                    <w:keepLines w:val="0"/>
                    <w:suppressLineNumbers w:val="0"/>
                    <w:spacing w:before="0" w:beforeAutospacing="0" w:after="0" w:afterAutospacing="0"/>
                    <w:ind w:left="0" w:right="0"/>
                    <w:jc w:val="center"/>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污染物名称</w:t>
                  </w:r>
                </w:p>
              </w:tc>
              <w:tc>
                <w:tcPr>
                  <w:tcW w:w="518" w:type="pct"/>
                  <w:tcBorders>
                    <w:tl2br w:val="nil"/>
                    <w:tr2bl w:val="nil"/>
                  </w:tcBorders>
                  <w:shd w:val="clear" w:color="auto" w:fill="auto"/>
                  <w:noWrap w:val="0"/>
                  <w:vAlign w:val="center"/>
                </w:tcPr>
                <w:p w14:paraId="3F3D0169">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eastAsia="宋体" w:cs="Times New Roman"/>
                      <w:b/>
                      <w:bCs/>
                      <w:color w:val="000000" w:themeColor="text1"/>
                      <w:kern w:val="2"/>
                      <w:sz w:val="21"/>
                      <w:szCs w:val="21"/>
                      <w:highlight w:val="none"/>
                      <w:lang w:val="en-US" w:eastAsia="zh-CN" w:bidi="ar-SA"/>
                      <w14:textFill>
                        <w14:solidFill>
                          <w14:schemeClr w14:val="tx1"/>
                        </w14:solidFill>
                      </w14:textFill>
                    </w:rPr>
                    <w:t>产生速率</w:t>
                  </w: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kg/h</w:t>
                  </w:r>
                </w:p>
              </w:tc>
              <w:tc>
                <w:tcPr>
                  <w:tcW w:w="518" w:type="pct"/>
                  <w:tcBorders>
                    <w:tl2br w:val="nil"/>
                    <w:tr2bl w:val="nil"/>
                  </w:tcBorders>
                  <w:noWrap w:val="0"/>
                  <w:vAlign w:val="center"/>
                </w:tcPr>
                <w:p w14:paraId="66F3F433">
                  <w:pPr>
                    <w:pStyle w:val="31"/>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产生</w:t>
                  </w:r>
                  <w:r>
                    <w:rPr>
                      <w:rFonts w:hint="eastAsia"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量</w:t>
                  </w:r>
                </w:p>
                <w:p w14:paraId="2FB5A8B8">
                  <w:pPr>
                    <w:pStyle w:val="31"/>
                    <w:keepNext w:val="0"/>
                    <w:keepLines w:val="0"/>
                    <w:suppressLineNumbers w:val="0"/>
                    <w:spacing w:before="0" w:beforeAutospacing="0" w:after="0" w:afterAutospacing="0"/>
                    <w:ind w:left="0" w:right="0"/>
                    <w:jc w:val="center"/>
                    <w:rPr>
                      <w:rFonts w:hint="default"/>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t/a</w:t>
                  </w:r>
                </w:p>
              </w:tc>
              <w:tc>
                <w:tcPr>
                  <w:tcW w:w="497" w:type="pct"/>
                  <w:tcBorders>
                    <w:tl2br w:val="nil"/>
                    <w:tr2bl w:val="nil"/>
                  </w:tcBorders>
                  <w:noWrap w:val="0"/>
                  <w:vAlign w:val="center"/>
                </w:tcPr>
                <w:p w14:paraId="49975B25">
                  <w:pPr>
                    <w:pStyle w:val="3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cs="Times New Roman"/>
                      <w:b/>
                      <w:bCs/>
                      <w:color w:val="000000" w:themeColor="text1"/>
                      <w:kern w:val="2"/>
                      <w:sz w:val="21"/>
                      <w:szCs w:val="21"/>
                      <w:highlight w:val="none"/>
                      <w:lang w:val="en-US" w:eastAsia="zh-CN" w:bidi="ar-SA"/>
                      <w14:textFill>
                        <w14:solidFill>
                          <w14:schemeClr w14:val="tx1"/>
                        </w14:solidFill>
                      </w14:textFill>
                    </w:rPr>
                    <w:t>工业废气量</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Nm</w:t>
                  </w:r>
                  <w:r>
                    <w:rPr>
                      <w:rFonts w:hint="default" w:ascii="Times New Roman" w:hAnsi="Times New Roman" w:eastAsia="宋体" w:cs="Times New Roman"/>
                      <w:color w:val="000000" w:themeColor="text1"/>
                      <w:kern w:val="0"/>
                      <w:sz w:val="21"/>
                      <w:szCs w:val="21"/>
                      <w:highlight w:val="none"/>
                      <w:vertAlign w:val="superscript"/>
                      <w14:textFill>
                        <w14:solidFill>
                          <w14:schemeClr w14:val="tx1"/>
                        </w14:solidFill>
                      </w14:textFill>
                    </w:rPr>
                    <w:t>3</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/h</w:t>
                  </w:r>
                </w:p>
              </w:tc>
              <w:tc>
                <w:tcPr>
                  <w:tcW w:w="821" w:type="pct"/>
                  <w:tcBorders>
                    <w:tl2br w:val="nil"/>
                    <w:tr2bl w:val="nil"/>
                  </w:tcBorders>
                  <w:noWrap w:val="0"/>
                  <w:vAlign w:val="center"/>
                </w:tcPr>
                <w:p w14:paraId="14355B70">
                  <w:pPr>
                    <w:pStyle w:val="31"/>
                    <w:keepNext w:val="0"/>
                    <w:keepLines w:val="0"/>
                    <w:suppressLineNumbers w:val="0"/>
                    <w:spacing w:before="0" w:beforeAutospacing="0" w:after="0" w:afterAutospacing="0"/>
                    <w:ind w:left="0" w:right="0"/>
                    <w:jc w:val="center"/>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治理措施</w:t>
                  </w:r>
                </w:p>
              </w:tc>
              <w:tc>
                <w:tcPr>
                  <w:tcW w:w="521" w:type="pct"/>
                  <w:tcBorders>
                    <w:tl2br w:val="nil"/>
                    <w:tr2bl w:val="nil"/>
                  </w:tcBorders>
                  <w:noWrap w:val="0"/>
                  <w:vAlign w:val="center"/>
                </w:tcPr>
                <w:p w14:paraId="781975D5">
                  <w:pPr>
                    <w:pStyle w:val="31"/>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排放浓度mg/</w:t>
                  </w: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m</w:t>
                  </w:r>
                  <w:r>
                    <w:rPr>
                      <w:rFonts w:hint="default" w:ascii="Times New Roman" w:hAnsi="Times New Roman" w:eastAsia="宋体" w:cs="Times New Roman"/>
                      <w:b/>
                      <w:bCs/>
                      <w:color w:val="000000" w:themeColor="text1"/>
                      <w:kern w:val="0"/>
                      <w:sz w:val="21"/>
                      <w:szCs w:val="21"/>
                      <w:highlight w:val="none"/>
                      <w:vertAlign w:val="superscript"/>
                      <w:lang w:val="en-US" w:eastAsia="zh-CN" w:bidi="ar-SA"/>
                      <w14:textFill>
                        <w14:solidFill>
                          <w14:schemeClr w14:val="tx1"/>
                        </w14:solidFill>
                      </w14:textFill>
                    </w:rPr>
                    <w:t>3</w:t>
                  </w:r>
                </w:p>
              </w:tc>
              <w:tc>
                <w:tcPr>
                  <w:tcW w:w="518" w:type="pct"/>
                  <w:tcBorders>
                    <w:tl2br w:val="nil"/>
                    <w:tr2bl w:val="nil"/>
                  </w:tcBorders>
                  <w:shd w:val="clear" w:color="auto" w:fill="auto"/>
                  <w:noWrap w:val="0"/>
                  <w:vAlign w:val="center"/>
                </w:tcPr>
                <w:p w14:paraId="224E7773">
                  <w:pPr>
                    <w:pStyle w:val="31"/>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排放速率</w:t>
                  </w: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kg/h</w:t>
                  </w:r>
                </w:p>
              </w:tc>
              <w:tc>
                <w:tcPr>
                  <w:tcW w:w="518" w:type="pct"/>
                  <w:tcBorders>
                    <w:tl2br w:val="nil"/>
                    <w:tr2bl w:val="nil"/>
                  </w:tcBorders>
                  <w:shd w:val="clear" w:color="auto" w:fill="auto"/>
                  <w:noWrap w:val="0"/>
                  <w:vAlign w:val="center"/>
                </w:tcPr>
                <w:p w14:paraId="0ED3B887">
                  <w:pPr>
                    <w:pStyle w:val="31"/>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排放</w:t>
                  </w:r>
                  <w:r>
                    <w:rPr>
                      <w:rFonts w:hint="eastAsia"/>
                      <w:b/>
                      <w:bCs/>
                      <w:color w:val="000000" w:themeColor="text1"/>
                      <w:sz w:val="21"/>
                      <w:szCs w:val="21"/>
                      <w:highlight w:val="none"/>
                      <w:lang w:eastAsia="zh-CN"/>
                      <w14:textFill>
                        <w14:solidFill>
                          <w14:schemeClr w14:val="tx1"/>
                        </w14:solidFill>
                      </w14:textFill>
                    </w:rPr>
                    <w:t>量</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t/a</w:t>
                  </w:r>
                </w:p>
              </w:tc>
            </w:tr>
            <w:tr w14:paraId="284CC4F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15" w:hRule="atLeast"/>
                <w:jc w:val="center"/>
              </w:trPr>
              <w:tc>
                <w:tcPr>
                  <w:tcW w:w="278" w:type="pct"/>
                  <w:tcBorders>
                    <w:tl2br w:val="nil"/>
                    <w:tr2bl w:val="nil"/>
                  </w:tcBorders>
                  <w:noWrap w:val="0"/>
                  <w:vAlign w:val="center"/>
                </w:tcPr>
                <w:p w14:paraId="03B70B31">
                  <w:pPr>
                    <w:pStyle w:val="31"/>
                    <w:keepNext w:val="0"/>
                    <w:keepLines w:val="0"/>
                    <w:suppressLineNumbers w:val="0"/>
                    <w:spacing w:before="0" w:beforeAutospacing="0" w:after="0" w:afterAutospacing="0"/>
                    <w:ind w:left="0" w:leftChars="0" w:right="0" w:rightChars="0"/>
                    <w:jc w:val="center"/>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有组织</w:t>
                  </w:r>
                </w:p>
              </w:tc>
              <w:tc>
                <w:tcPr>
                  <w:tcW w:w="451" w:type="pct"/>
                  <w:tcBorders>
                    <w:tl2br w:val="nil"/>
                    <w:tr2bl w:val="nil"/>
                  </w:tcBorders>
                  <w:noWrap w:val="0"/>
                  <w:vAlign w:val="center"/>
                </w:tcPr>
                <w:p w14:paraId="56D52DE8">
                  <w:pPr>
                    <w:pStyle w:val="31"/>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炮制</w:t>
                  </w:r>
                </w:p>
              </w:tc>
              <w:tc>
                <w:tcPr>
                  <w:tcW w:w="355" w:type="pct"/>
                  <w:tcBorders>
                    <w:tl2br w:val="nil"/>
                    <w:tr2bl w:val="nil"/>
                  </w:tcBorders>
                  <w:noWrap w:val="0"/>
                  <w:vAlign w:val="center"/>
                </w:tcPr>
                <w:p w14:paraId="28B2F37E">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color w:val="000000" w:themeColor="text1"/>
                      <w:sz w:val="21"/>
                      <w:szCs w:val="21"/>
                      <w:highlight w:val="none"/>
                      <w14:textFill>
                        <w14:solidFill>
                          <w14:schemeClr w14:val="tx1"/>
                        </w14:solidFill>
                      </w14:textFill>
                    </w:rPr>
                    <w:t>颗粒物</w:t>
                  </w:r>
                </w:p>
              </w:tc>
              <w:tc>
                <w:tcPr>
                  <w:tcW w:w="518" w:type="pct"/>
                  <w:tcBorders>
                    <w:tl2br w:val="nil"/>
                    <w:tr2bl w:val="nil"/>
                  </w:tcBorders>
                  <w:shd w:val="clear" w:color="auto" w:fill="auto"/>
                  <w:noWrap w:val="0"/>
                  <w:vAlign w:val="center"/>
                </w:tcPr>
                <w:p w14:paraId="718E65F6">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0.1022</w:t>
                  </w:r>
                </w:p>
              </w:tc>
              <w:tc>
                <w:tcPr>
                  <w:tcW w:w="518" w:type="pct"/>
                  <w:tcBorders>
                    <w:tl2br w:val="nil"/>
                    <w:tr2bl w:val="nil"/>
                  </w:tcBorders>
                  <w:noWrap w:val="0"/>
                  <w:vAlign w:val="center"/>
                </w:tcPr>
                <w:p w14:paraId="41F6E184">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0.3066</w:t>
                  </w:r>
                </w:p>
              </w:tc>
              <w:tc>
                <w:tcPr>
                  <w:tcW w:w="497" w:type="pct"/>
                  <w:tcBorders>
                    <w:tl2br w:val="nil"/>
                    <w:tr2bl w:val="nil"/>
                  </w:tcBorders>
                  <w:noWrap w:val="0"/>
                  <w:vAlign w:val="center"/>
                </w:tcPr>
                <w:p w14:paraId="7878FC1A">
                  <w:pPr>
                    <w:pStyle w:val="31"/>
                    <w:keepNext w:val="0"/>
                    <w:keepLines w:val="0"/>
                    <w:suppressLineNumbers w:val="0"/>
                    <w:spacing w:before="0" w:beforeAutospacing="0" w:after="0" w:afterAutospacing="0"/>
                    <w:ind w:left="0" w:leftChars="0" w:right="0" w:rightChars="0"/>
                    <w:jc w:val="center"/>
                    <w:rPr>
                      <w:rFonts w:hint="default" w:cs="Times New Roman"/>
                      <w:color w:val="000000" w:themeColor="text1"/>
                      <w:kern w:val="2"/>
                      <w:sz w:val="21"/>
                      <w:szCs w:val="21"/>
                      <w:highlight w:val="none"/>
                      <w:lang w:val="en-US" w:eastAsia="zh-CN" w:bidi="ar"/>
                      <w14:textFill>
                        <w14:solidFill>
                          <w14:schemeClr w14:val="tx1"/>
                        </w14:solidFill>
                      </w14:textFill>
                    </w:rPr>
                  </w:pPr>
                  <w:r>
                    <w:rPr>
                      <w:rFonts w:hint="eastAsia" w:cs="Times New Roman"/>
                      <w:color w:val="000000" w:themeColor="text1"/>
                      <w:kern w:val="2"/>
                      <w:sz w:val="21"/>
                      <w:szCs w:val="21"/>
                      <w:highlight w:val="none"/>
                      <w:lang w:val="en-US" w:eastAsia="zh-CN" w:bidi="ar"/>
                      <w14:textFill>
                        <w14:solidFill>
                          <w14:schemeClr w14:val="tx1"/>
                        </w14:solidFill>
                      </w14:textFill>
                    </w:rPr>
                    <w:t>565</w:t>
                  </w:r>
                </w:p>
              </w:tc>
              <w:tc>
                <w:tcPr>
                  <w:tcW w:w="821" w:type="pct"/>
                  <w:tcBorders>
                    <w:tl2br w:val="nil"/>
                    <w:tr2bl w:val="nil"/>
                  </w:tcBorders>
                  <w:noWrap w:val="0"/>
                  <w:vAlign w:val="center"/>
                </w:tcPr>
                <w:p w14:paraId="3C3EA801">
                  <w:pPr>
                    <w:pStyle w:val="31"/>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上吸式集气罩</w:t>
                  </w:r>
                  <w:r>
                    <w:rPr>
                      <w:rFonts w:hint="default"/>
                      <w:color w:val="000000" w:themeColor="text1"/>
                      <w:sz w:val="21"/>
                      <w:szCs w:val="21"/>
                      <w:highlight w:val="none"/>
                      <w14:textFill>
                        <w14:solidFill>
                          <w14:schemeClr w14:val="tx1"/>
                        </w14:solidFill>
                      </w14:textFill>
                    </w:rPr>
                    <w:t>+</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布袋除尘器（TA025）</w:t>
                  </w:r>
                  <w:r>
                    <w:rPr>
                      <w:rFonts w:hint="eastAsia"/>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布袋除尘器</w:t>
                  </w:r>
                  <w:r>
                    <w:rPr>
                      <w:rFonts w:hint="eastAsia"/>
                      <w:color w:val="000000" w:themeColor="text1"/>
                      <w:sz w:val="21"/>
                      <w:szCs w:val="21"/>
                      <w:highlight w:val="none"/>
                      <w:lang w:val="en-US" w:eastAsia="zh-CN"/>
                      <w14:textFill>
                        <w14:solidFill>
                          <w14:schemeClr w14:val="tx1"/>
                        </w14:solidFill>
                      </w14:textFill>
                    </w:rPr>
                    <w:t>+二级活性炭吸附设施</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（TA0</w:t>
                  </w:r>
                  <w:r>
                    <w:rPr>
                      <w:rFonts w:hint="eastAsia"/>
                      <w:color w:val="000000" w:themeColor="text1"/>
                      <w:sz w:val="24"/>
                      <w:szCs w:val="24"/>
                      <w:highlight w:val="none"/>
                      <w:lang w:val="en-US" w:eastAsia="zh-CN"/>
                      <w14:textFill>
                        <w14:solidFill>
                          <w14:schemeClr w14:val="tx1"/>
                        </w14:solidFill>
                      </w14:textFill>
                    </w:rPr>
                    <w:t>26</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w:t>
                  </w:r>
                  <w:r>
                    <w:rPr>
                      <w:rFonts w:hint="default"/>
                      <w:color w:val="000000" w:themeColor="text1"/>
                      <w:sz w:val="21"/>
                      <w:szCs w:val="21"/>
                      <w:highlight w:val="none"/>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不低于</w:t>
                  </w:r>
                  <w:r>
                    <w:rPr>
                      <w:rFonts w:hint="eastAsia"/>
                      <w:color w:val="000000" w:themeColor="text1"/>
                      <w:sz w:val="21"/>
                      <w:szCs w:val="21"/>
                      <w:highlight w:val="none"/>
                      <w:lang w:eastAsia="zh-CN"/>
                      <w14:textFill>
                        <w14:solidFill>
                          <w14:schemeClr w14:val="tx1"/>
                        </w14:solidFill>
                      </w14:textFill>
                    </w:rPr>
                    <w:t>15m</w:t>
                  </w:r>
                  <w:r>
                    <w:rPr>
                      <w:rFonts w:hint="default"/>
                      <w:color w:val="000000" w:themeColor="text1"/>
                      <w:sz w:val="21"/>
                      <w:szCs w:val="21"/>
                      <w:highlight w:val="none"/>
                      <w14:textFill>
                        <w14:solidFill>
                          <w14:schemeClr w14:val="tx1"/>
                        </w14:solidFill>
                      </w14:textFill>
                    </w:rPr>
                    <w:t>高排气筒（DA0</w:t>
                  </w:r>
                  <w:r>
                    <w:rPr>
                      <w:rFonts w:hint="eastAsia"/>
                      <w:color w:val="000000" w:themeColor="text1"/>
                      <w:sz w:val="21"/>
                      <w:szCs w:val="21"/>
                      <w:highlight w:val="none"/>
                      <w:lang w:val="en-US" w:eastAsia="zh-CN"/>
                      <w14:textFill>
                        <w14:solidFill>
                          <w14:schemeClr w14:val="tx1"/>
                        </w14:solidFill>
                      </w14:textFill>
                    </w:rPr>
                    <w:t>16</w:t>
                  </w:r>
                  <w:r>
                    <w:rPr>
                      <w:rFonts w:hint="default"/>
                      <w:color w:val="000000" w:themeColor="text1"/>
                      <w:sz w:val="21"/>
                      <w:szCs w:val="21"/>
                      <w:highlight w:val="none"/>
                      <w14:textFill>
                        <w14:solidFill>
                          <w14:schemeClr w14:val="tx1"/>
                        </w14:solidFill>
                      </w14:textFill>
                    </w:rPr>
                    <w:t>）</w:t>
                  </w:r>
                </w:p>
              </w:tc>
              <w:tc>
                <w:tcPr>
                  <w:tcW w:w="521" w:type="pct"/>
                  <w:tcBorders>
                    <w:tl2br w:val="nil"/>
                    <w:tr2bl w:val="nil"/>
                  </w:tcBorders>
                  <w:noWrap w:val="0"/>
                  <w:vAlign w:val="center"/>
                </w:tcPr>
                <w:p w14:paraId="6234B111">
                  <w:pPr>
                    <w:pStyle w:val="31"/>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bidi="ar"/>
                      <w14:textFill>
                        <w14:solidFill>
                          <w14:schemeClr w14:val="tx1"/>
                        </w14:solidFill>
                      </w14:textFill>
                    </w:rPr>
                    <w:t>1.81</w:t>
                  </w:r>
                </w:p>
              </w:tc>
              <w:tc>
                <w:tcPr>
                  <w:tcW w:w="518" w:type="pct"/>
                  <w:tcBorders>
                    <w:tl2br w:val="nil"/>
                    <w:tr2bl w:val="nil"/>
                  </w:tcBorders>
                  <w:shd w:val="clear" w:color="auto" w:fill="auto"/>
                  <w:noWrap w:val="0"/>
                  <w:vAlign w:val="center"/>
                </w:tcPr>
                <w:p w14:paraId="20E6145E">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0.0010</w:t>
                  </w:r>
                </w:p>
              </w:tc>
              <w:tc>
                <w:tcPr>
                  <w:tcW w:w="518" w:type="pct"/>
                  <w:tcBorders>
                    <w:tl2br w:val="nil"/>
                    <w:tr2bl w:val="nil"/>
                  </w:tcBorders>
                  <w:shd w:val="clear" w:color="auto" w:fill="auto"/>
                  <w:noWrap w:val="0"/>
                  <w:vAlign w:val="center"/>
                </w:tcPr>
                <w:p w14:paraId="21B3AFD4">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0.0031</w:t>
                  </w:r>
                </w:p>
              </w:tc>
            </w:tr>
            <w:tr w14:paraId="59ABF3F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278" w:type="pct"/>
                  <w:tcBorders>
                    <w:tl2br w:val="nil"/>
                    <w:tr2bl w:val="nil"/>
                  </w:tcBorders>
                  <w:noWrap w:val="0"/>
                  <w:vAlign w:val="center"/>
                </w:tcPr>
                <w:p w14:paraId="34A2E4C5">
                  <w:pPr>
                    <w:pStyle w:val="31"/>
                    <w:keepNext w:val="0"/>
                    <w:keepLines w:val="0"/>
                    <w:suppressLineNumbers w:val="0"/>
                    <w:spacing w:before="0" w:beforeAutospacing="0" w:after="0" w:afterAutospacing="0"/>
                    <w:ind w:left="0" w:leftChars="0" w:right="0" w:rightChars="0"/>
                    <w:jc w:val="center"/>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无组织</w:t>
                  </w:r>
                </w:p>
              </w:tc>
              <w:tc>
                <w:tcPr>
                  <w:tcW w:w="451" w:type="pct"/>
                  <w:tcBorders>
                    <w:tl2br w:val="nil"/>
                    <w:tr2bl w:val="nil"/>
                  </w:tcBorders>
                  <w:shd w:val="clear" w:color="auto" w:fill="auto"/>
                  <w:noWrap w:val="0"/>
                  <w:vAlign w:val="center"/>
                </w:tcPr>
                <w:p w14:paraId="7DEEC2EA">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color w:val="000000" w:themeColor="text1"/>
                      <w:sz w:val="21"/>
                      <w:szCs w:val="21"/>
                      <w:highlight w:val="none"/>
                      <w14:textFill>
                        <w14:solidFill>
                          <w14:schemeClr w14:val="tx1"/>
                        </w14:solidFill>
                      </w14:textFill>
                    </w:rPr>
                    <w:t>除尘系统未捕集粉尘</w:t>
                  </w:r>
                </w:p>
              </w:tc>
              <w:tc>
                <w:tcPr>
                  <w:tcW w:w="355" w:type="pct"/>
                  <w:tcBorders>
                    <w:tl2br w:val="nil"/>
                    <w:tr2bl w:val="nil"/>
                  </w:tcBorders>
                  <w:shd w:val="clear" w:color="auto" w:fill="auto"/>
                  <w:noWrap w:val="0"/>
                  <w:vAlign w:val="center"/>
                </w:tcPr>
                <w:p w14:paraId="23F6EA42">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color w:val="000000" w:themeColor="text1"/>
                      <w:sz w:val="21"/>
                      <w:szCs w:val="21"/>
                      <w:highlight w:val="none"/>
                      <w14:textFill>
                        <w14:solidFill>
                          <w14:schemeClr w14:val="tx1"/>
                        </w14:solidFill>
                      </w14:textFill>
                    </w:rPr>
                    <w:t>颗粒物</w:t>
                  </w:r>
                </w:p>
              </w:tc>
              <w:tc>
                <w:tcPr>
                  <w:tcW w:w="518" w:type="pct"/>
                  <w:tcBorders>
                    <w:tl2br w:val="nil"/>
                    <w:tr2bl w:val="nil"/>
                  </w:tcBorders>
                  <w:shd w:val="clear" w:color="auto" w:fill="auto"/>
                  <w:noWrap w:val="0"/>
                  <w:vAlign w:val="center"/>
                </w:tcPr>
                <w:p w14:paraId="272594FA">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0.0256</w:t>
                  </w:r>
                </w:p>
              </w:tc>
              <w:tc>
                <w:tcPr>
                  <w:tcW w:w="518" w:type="pct"/>
                  <w:tcBorders>
                    <w:tl2br w:val="nil"/>
                    <w:tr2bl w:val="nil"/>
                  </w:tcBorders>
                  <w:shd w:val="clear" w:color="auto" w:fill="auto"/>
                  <w:noWrap w:val="0"/>
                  <w:vAlign w:val="center"/>
                </w:tcPr>
                <w:p w14:paraId="14AFF939">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0.0768</w:t>
                  </w:r>
                </w:p>
              </w:tc>
              <w:tc>
                <w:tcPr>
                  <w:tcW w:w="497" w:type="pct"/>
                  <w:tcBorders>
                    <w:tl2br w:val="nil"/>
                    <w:tr2bl w:val="nil"/>
                  </w:tcBorders>
                  <w:shd w:val="clear" w:color="auto" w:fill="auto"/>
                  <w:noWrap w:val="0"/>
                  <w:vAlign w:val="center"/>
                </w:tcPr>
                <w:p w14:paraId="68C7C6B3">
                  <w:pPr>
                    <w:pStyle w:val="31"/>
                    <w:keepNext w:val="0"/>
                    <w:keepLines w:val="0"/>
                    <w:suppressLineNumbers w:val="0"/>
                    <w:spacing w:before="0" w:beforeAutospacing="0" w:after="0" w:afterAutospacing="0"/>
                    <w:ind w:left="0" w:leftChars="0" w:right="0" w:rightChars="0"/>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w:t>
                  </w:r>
                </w:p>
              </w:tc>
              <w:tc>
                <w:tcPr>
                  <w:tcW w:w="821" w:type="pct"/>
                  <w:tcBorders>
                    <w:tl2br w:val="nil"/>
                    <w:tr2bl w:val="nil"/>
                  </w:tcBorders>
                  <w:shd w:val="clear" w:color="auto" w:fill="auto"/>
                  <w:noWrap w:val="0"/>
                  <w:vAlign w:val="center"/>
                </w:tcPr>
                <w:p w14:paraId="014AE75F">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eastAsia="宋体" w:cs="Times New Roman"/>
                      <w:color w:val="000000" w:themeColor="text1"/>
                      <w:kern w:val="0"/>
                      <w:sz w:val="21"/>
                      <w:szCs w:val="21"/>
                      <w:highlight w:val="none"/>
                      <w:lang w:val="en-US" w:eastAsia="zh-CN" w:bidi="ar-SA"/>
                      <w14:textFill>
                        <w14:solidFill>
                          <w14:schemeClr w14:val="tx1"/>
                        </w14:solidFill>
                      </w14:textFill>
                    </w:rPr>
                    <w:t>/</w:t>
                  </w:r>
                </w:p>
              </w:tc>
              <w:tc>
                <w:tcPr>
                  <w:tcW w:w="521" w:type="pct"/>
                  <w:tcBorders>
                    <w:tl2br w:val="nil"/>
                    <w:tr2bl w:val="nil"/>
                  </w:tcBorders>
                  <w:shd w:val="clear" w:color="auto" w:fill="auto"/>
                  <w:noWrap w:val="0"/>
                  <w:vAlign w:val="center"/>
                </w:tcPr>
                <w:p w14:paraId="60FC44BB">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w:t>
                  </w:r>
                </w:p>
              </w:tc>
              <w:tc>
                <w:tcPr>
                  <w:tcW w:w="518" w:type="pct"/>
                  <w:tcBorders>
                    <w:tl2br w:val="nil"/>
                    <w:tr2bl w:val="nil"/>
                  </w:tcBorders>
                  <w:shd w:val="clear" w:color="auto" w:fill="auto"/>
                  <w:noWrap w:val="0"/>
                  <w:vAlign w:val="center"/>
                </w:tcPr>
                <w:p w14:paraId="3F4F18C6">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0.0256</w:t>
                  </w:r>
                </w:p>
              </w:tc>
              <w:tc>
                <w:tcPr>
                  <w:tcW w:w="518" w:type="pct"/>
                  <w:tcBorders>
                    <w:tl2br w:val="nil"/>
                    <w:tr2bl w:val="nil"/>
                  </w:tcBorders>
                  <w:shd w:val="clear" w:color="auto" w:fill="auto"/>
                  <w:noWrap w:val="0"/>
                  <w:vAlign w:val="center"/>
                </w:tcPr>
                <w:p w14:paraId="1BA8095D">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0.0768</w:t>
                  </w:r>
                </w:p>
              </w:tc>
            </w:tr>
            <w:tr w14:paraId="63B4403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729" w:type="pct"/>
                  <w:gridSpan w:val="2"/>
                  <w:tcBorders>
                    <w:tl2br w:val="nil"/>
                    <w:tr2bl w:val="nil"/>
                  </w:tcBorders>
                  <w:noWrap w:val="0"/>
                  <w:vAlign w:val="center"/>
                </w:tcPr>
                <w:p w14:paraId="6F5A316F">
                  <w:pPr>
                    <w:pStyle w:val="31"/>
                    <w:keepNext w:val="0"/>
                    <w:keepLines w:val="0"/>
                    <w:suppressLineNumbers w:val="0"/>
                    <w:spacing w:before="0" w:beforeAutospacing="0" w:after="0" w:afterAutospacing="0"/>
                    <w:ind w:left="0" w:leftChars="0" w:right="0" w:rightChars="0"/>
                    <w:jc w:val="center"/>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总计</w:t>
                  </w:r>
                </w:p>
              </w:tc>
              <w:tc>
                <w:tcPr>
                  <w:tcW w:w="355" w:type="pct"/>
                  <w:tcBorders>
                    <w:tl2br w:val="nil"/>
                    <w:tr2bl w:val="nil"/>
                  </w:tcBorders>
                  <w:shd w:val="clear" w:color="auto" w:fill="auto"/>
                  <w:noWrap w:val="0"/>
                  <w:vAlign w:val="center"/>
                </w:tcPr>
                <w:p w14:paraId="471624C9">
                  <w:pPr>
                    <w:pStyle w:val="31"/>
                    <w:keepNext w:val="0"/>
                    <w:keepLines w:val="0"/>
                    <w:suppressLineNumbers w:val="0"/>
                    <w:spacing w:before="0" w:beforeAutospacing="0" w:after="0" w:afterAutospacing="0"/>
                    <w:ind w:left="0" w:leftChars="0" w:right="0" w:rightChars="0"/>
                    <w:jc w:val="center"/>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颗粒物</w:t>
                  </w:r>
                </w:p>
              </w:tc>
              <w:tc>
                <w:tcPr>
                  <w:tcW w:w="518" w:type="pct"/>
                  <w:tcBorders>
                    <w:tl2br w:val="nil"/>
                    <w:tr2bl w:val="nil"/>
                  </w:tcBorders>
                  <w:shd w:val="clear" w:color="auto" w:fill="auto"/>
                  <w:noWrap w:val="0"/>
                  <w:vAlign w:val="center"/>
                </w:tcPr>
                <w:p w14:paraId="58E511F5">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0.1278</w:t>
                  </w:r>
                </w:p>
              </w:tc>
              <w:tc>
                <w:tcPr>
                  <w:tcW w:w="518" w:type="pct"/>
                  <w:tcBorders>
                    <w:tl2br w:val="nil"/>
                    <w:tr2bl w:val="nil"/>
                  </w:tcBorders>
                  <w:shd w:val="clear" w:color="auto" w:fill="auto"/>
                  <w:noWrap w:val="0"/>
                  <w:vAlign w:val="center"/>
                </w:tcPr>
                <w:p w14:paraId="1F3A4540">
                  <w:pPr>
                    <w:pStyle w:val="31"/>
                    <w:keepNext w:val="0"/>
                    <w:keepLines w:val="0"/>
                    <w:suppressLineNumbers w:val="0"/>
                    <w:spacing w:before="0" w:beforeAutospacing="0" w:after="0" w:afterAutospacing="0"/>
                    <w:ind w:left="0" w:leftChars="0" w:right="0" w:rightChars="0"/>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0.3834</w:t>
                  </w:r>
                </w:p>
              </w:tc>
              <w:tc>
                <w:tcPr>
                  <w:tcW w:w="497" w:type="pct"/>
                  <w:tcBorders>
                    <w:tl2br w:val="nil"/>
                    <w:tr2bl w:val="nil"/>
                  </w:tcBorders>
                  <w:shd w:val="clear" w:color="auto" w:fill="auto"/>
                  <w:noWrap w:val="0"/>
                  <w:vAlign w:val="center"/>
                </w:tcPr>
                <w:p w14:paraId="6D8551D5">
                  <w:pPr>
                    <w:pStyle w:val="31"/>
                    <w:keepNext w:val="0"/>
                    <w:keepLines w:val="0"/>
                    <w:suppressLineNumbers w:val="0"/>
                    <w:spacing w:before="0" w:beforeAutospacing="0" w:after="0" w:afterAutospacing="0"/>
                    <w:ind w:left="0" w:leftChars="0" w:right="0" w:rightChars="0"/>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w:t>
                  </w:r>
                </w:p>
              </w:tc>
              <w:tc>
                <w:tcPr>
                  <w:tcW w:w="821" w:type="pct"/>
                  <w:tcBorders>
                    <w:tl2br w:val="nil"/>
                    <w:tr2bl w:val="nil"/>
                  </w:tcBorders>
                  <w:shd w:val="clear" w:color="auto" w:fill="auto"/>
                  <w:noWrap w:val="0"/>
                  <w:vAlign w:val="center"/>
                </w:tcPr>
                <w:p w14:paraId="78614734">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521" w:type="pct"/>
                  <w:tcBorders>
                    <w:tl2br w:val="nil"/>
                    <w:tr2bl w:val="nil"/>
                  </w:tcBorders>
                  <w:shd w:val="clear" w:color="auto" w:fill="auto"/>
                  <w:noWrap w:val="0"/>
                  <w:vAlign w:val="center"/>
                </w:tcPr>
                <w:p w14:paraId="34A52E10">
                  <w:pPr>
                    <w:pStyle w:val="31"/>
                    <w:keepNext w:val="0"/>
                    <w:keepLines w:val="0"/>
                    <w:suppressLineNumbers w:val="0"/>
                    <w:spacing w:before="0" w:beforeAutospacing="0" w:after="0" w:afterAutospacing="0"/>
                    <w:ind w:left="0" w:leftChars="0" w:right="0" w:rightChars="0"/>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w:t>
                  </w:r>
                </w:p>
              </w:tc>
              <w:tc>
                <w:tcPr>
                  <w:tcW w:w="518" w:type="pct"/>
                  <w:tcBorders>
                    <w:tl2br w:val="nil"/>
                    <w:tr2bl w:val="nil"/>
                  </w:tcBorders>
                  <w:shd w:val="clear" w:color="auto" w:fill="auto"/>
                  <w:noWrap w:val="0"/>
                  <w:vAlign w:val="center"/>
                </w:tcPr>
                <w:p w14:paraId="6B652D3B">
                  <w:pPr>
                    <w:pStyle w:val="31"/>
                    <w:keepNext w:val="0"/>
                    <w:keepLines w:val="0"/>
                    <w:suppressLineNumbers w:val="0"/>
                    <w:spacing w:before="0" w:beforeAutospacing="0" w:after="0" w:afterAutospacing="0"/>
                    <w:ind w:left="0" w:leftChars="0" w:right="0" w:rightChars="0"/>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w:t>
                  </w:r>
                </w:p>
              </w:tc>
              <w:tc>
                <w:tcPr>
                  <w:tcW w:w="518" w:type="pct"/>
                  <w:tcBorders>
                    <w:tl2br w:val="nil"/>
                    <w:tr2bl w:val="nil"/>
                  </w:tcBorders>
                  <w:shd w:val="clear" w:color="auto" w:fill="auto"/>
                  <w:noWrap w:val="0"/>
                  <w:vAlign w:val="center"/>
                </w:tcPr>
                <w:p w14:paraId="5C64952A">
                  <w:pPr>
                    <w:pStyle w:val="31"/>
                    <w:keepNext w:val="0"/>
                    <w:keepLines w:val="0"/>
                    <w:suppressLineNumbers w:val="0"/>
                    <w:spacing w:before="0" w:beforeAutospacing="0" w:after="0" w:afterAutospacing="0"/>
                    <w:ind w:left="0" w:leftChars="0" w:right="0" w:rightChars="0"/>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0.0799</w:t>
                  </w:r>
                </w:p>
              </w:tc>
            </w:tr>
          </w:tbl>
          <w:p w14:paraId="546FA641">
            <w:pPr>
              <w:keepNext w:val="0"/>
              <w:keepLines w:val="0"/>
              <w:pageBreakBefore w:val="0"/>
              <w:widowControl w:val="0"/>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firstLine="480" w:firstLineChars="200"/>
              <w:textAlignment w:val="auto"/>
              <w:rPr>
                <w:rFonts w:hint="default" w:eastAsia="宋体"/>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2</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臭气浓度</w:t>
            </w:r>
          </w:p>
          <w:p w14:paraId="3FA2119B">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本项目炮制</w:t>
            </w:r>
            <w:r>
              <w:rPr>
                <w:rFonts w:hint="eastAsia" w:cs="Times New Roman"/>
                <w:color w:val="000000" w:themeColor="text1"/>
                <w:sz w:val="24"/>
                <w:szCs w:val="24"/>
                <w:highlight w:val="none"/>
                <w:vertAlign w:val="baseline"/>
                <w:lang w:val="en-US" w:eastAsia="zh-CN"/>
                <w14:textFill>
                  <w14:solidFill>
                    <w14:schemeClr w14:val="tx1"/>
                  </w14:solidFill>
                </w14:textFill>
              </w:rPr>
              <w:t>单元</w:t>
            </w:r>
            <w: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的炒制、</w:t>
            </w:r>
            <w:r>
              <w:rPr>
                <w:rFonts w:hint="eastAsia"/>
                <w:color w:val="000000" w:themeColor="text1"/>
                <w:sz w:val="24"/>
                <w:szCs w:val="24"/>
                <w:highlight w:val="none"/>
                <w:lang w:val="en-US" w:eastAsia="zh-CN"/>
                <w14:textFill>
                  <w14:solidFill>
                    <w14:schemeClr w14:val="tx1"/>
                  </w14:solidFill>
                </w14:textFill>
              </w:rPr>
              <w:t>软化和干燥工序</w:t>
            </w:r>
            <w: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产生的废气成分比较复杂，在排放过程中会同时产生令人不愉快的异味，综合感官表征为恶臭气体。参考北京环境监测中心在吸取国外经验的基础上提出的恶臭6级分级法，该分级法以嗅觉和人的主观感觉特征两个方面来描述各级特征，即明确了各级的差别，也提高了分级的准确程度。</w:t>
            </w:r>
          </w:p>
          <w:p w14:paraId="279C0591">
            <w:pPr>
              <w:keepNext w:val="0"/>
              <w:keepLines w:val="0"/>
              <w:numPr>
                <w:ilvl w:val="0"/>
                <w:numId w:val="26"/>
              </w:numPr>
              <w:suppressLineNumbers w:val="0"/>
              <w:snapToGrid w:val="0"/>
              <w:spacing w:before="0" w:beforeAutospacing="0" w:after="0" w:afterAutospacing="0" w:line="240" w:lineRule="auto"/>
              <w:ind w:left="0" w:right="0"/>
              <w:jc w:val="center"/>
              <w:rPr>
                <w:rFonts w:hint="default" w:ascii="Times New Roman" w:hAnsi="Times New Roman" w:eastAsia="宋体" w:cs="Times New Roman"/>
                <w:b/>
                <w:bCs/>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Cs w:val="21"/>
                <w:highlight w:val="none"/>
                <w:lang w:val="en-US" w:eastAsia="zh-CN"/>
                <w14:textFill>
                  <w14:solidFill>
                    <w14:schemeClr w14:val="tx1"/>
                  </w14:solidFill>
                </w14:textFill>
              </w:rPr>
              <w:t xml:space="preserve">  恶臭6级分级法表</w:t>
            </w:r>
          </w:p>
          <w:tbl>
            <w:tblPr>
              <w:tblStyle w:val="35"/>
              <w:tblW w:w="5000" w:type="pct"/>
              <w:jc w:val="center"/>
              <w:tblBorders>
                <w:top w:val="single" w:color="000000" w:themeColor="text1" w:sz="12" w:space="0"/>
                <w:left w:val="none" w:color="auto" w:sz="0" w:space="0"/>
                <w:bottom w:val="single" w:color="000000" w:themeColor="text1" w:sz="12" w:space="0"/>
                <w:right w:val="none" w:color="auto" w:sz="0" w:space="0"/>
                <w:insideH w:val="single" w:color="000000" w:themeColor="text1" w:sz="6" w:space="0"/>
                <w:insideV w:val="single" w:color="000000" w:themeColor="text1" w:sz="6" w:space="0"/>
              </w:tblBorders>
              <w:shd w:val="clear" w:color="auto" w:fill="auto"/>
              <w:tblLayout w:type="fixed"/>
              <w:tblCellMar>
                <w:top w:w="15" w:type="dxa"/>
                <w:left w:w="15" w:type="dxa"/>
                <w:bottom w:w="15" w:type="dxa"/>
                <w:right w:w="15" w:type="dxa"/>
              </w:tblCellMar>
            </w:tblPr>
            <w:tblGrid>
              <w:gridCol w:w="1387"/>
              <w:gridCol w:w="6980"/>
            </w:tblGrid>
            <w:tr w14:paraId="3AD92621">
              <w:tblPrEx>
                <w:tblBorders>
                  <w:top w:val="single" w:color="000000" w:themeColor="text1" w:sz="12" w:space="0"/>
                  <w:left w:val="none" w:color="auto" w:sz="0" w:space="0"/>
                  <w:bottom w:val="single" w:color="000000" w:themeColor="text1" w:sz="12" w:space="0"/>
                  <w:right w:val="none" w:color="auto" w:sz="0" w:space="0"/>
                  <w:insideH w:val="single" w:color="000000" w:themeColor="text1" w:sz="6" w:space="0"/>
                  <w:insideV w:val="single" w:color="000000" w:themeColor="text1" w:sz="6" w:space="0"/>
                </w:tblBorders>
                <w:shd w:val="clear" w:color="auto" w:fill="auto"/>
                <w:tblCellMar>
                  <w:top w:w="15" w:type="dxa"/>
                  <w:left w:w="15" w:type="dxa"/>
                  <w:bottom w:w="15" w:type="dxa"/>
                  <w:right w:w="15" w:type="dxa"/>
                </w:tblCellMar>
              </w:tblPrEx>
              <w:trPr>
                <w:trHeight w:val="23" w:hRule="atLeast"/>
                <w:tblHeader/>
                <w:jc w:val="center"/>
              </w:trPr>
              <w:tc>
                <w:tcPr>
                  <w:tcW w:w="1409" w:type="dxa"/>
                  <w:tcBorders>
                    <w:tl2br w:val="nil"/>
                    <w:tr2bl w:val="nil"/>
                  </w:tcBorders>
                  <w:shd w:val="clear" w:color="auto" w:fill="auto"/>
                  <w:tcMar>
                    <w:top w:w="120" w:type="dxa"/>
                    <w:left w:w="120" w:type="dxa"/>
                    <w:bottom w:w="120" w:type="dxa"/>
                    <w:right w:w="120" w:type="dxa"/>
                  </w:tcMar>
                  <w:vAlign w:val="center"/>
                </w:tcPr>
                <w:p w14:paraId="3B51CD0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恶臭强度级</w:t>
                  </w:r>
                </w:p>
              </w:tc>
              <w:tc>
                <w:tcPr>
                  <w:tcW w:w="7107" w:type="dxa"/>
                  <w:tcBorders>
                    <w:tl2br w:val="nil"/>
                    <w:tr2bl w:val="nil"/>
                  </w:tcBorders>
                  <w:shd w:val="clear" w:color="auto" w:fill="auto"/>
                  <w:tcMar>
                    <w:top w:w="120" w:type="dxa"/>
                    <w:left w:w="120" w:type="dxa"/>
                    <w:bottom w:w="120" w:type="dxa"/>
                    <w:right w:w="120" w:type="dxa"/>
                  </w:tcMar>
                  <w:vAlign w:val="center"/>
                </w:tcPr>
                <w:p w14:paraId="2763640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特征</w:t>
                  </w:r>
                </w:p>
              </w:tc>
            </w:tr>
            <w:tr w14:paraId="0D48812D">
              <w:tblPrEx>
                <w:tblBorders>
                  <w:top w:val="single" w:color="000000" w:themeColor="text1" w:sz="12" w:space="0"/>
                  <w:left w:val="none" w:color="auto" w:sz="0" w:space="0"/>
                  <w:bottom w:val="single" w:color="000000" w:themeColor="text1" w:sz="12" w:space="0"/>
                  <w:right w:val="none" w:color="auto" w:sz="0" w:space="0"/>
                  <w:insideH w:val="single" w:color="000000" w:themeColor="text1" w:sz="6" w:space="0"/>
                  <w:insideV w:val="single" w:color="000000" w:themeColor="text1" w:sz="6" w:space="0"/>
                </w:tblBorders>
                <w:shd w:val="clear" w:color="auto" w:fill="auto"/>
                <w:tblCellMar>
                  <w:top w:w="15" w:type="dxa"/>
                  <w:left w:w="15" w:type="dxa"/>
                  <w:bottom w:w="15" w:type="dxa"/>
                  <w:right w:w="15" w:type="dxa"/>
                </w:tblCellMar>
              </w:tblPrEx>
              <w:trPr>
                <w:trHeight w:val="23" w:hRule="atLeast"/>
                <w:jc w:val="center"/>
              </w:trPr>
              <w:tc>
                <w:tcPr>
                  <w:tcW w:w="1409" w:type="dxa"/>
                  <w:tcBorders>
                    <w:tl2br w:val="nil"/>
                    <w:tr2bl w:val="nil"/>
                  </w:tcBorders>
                  <w:shd w:val="clear" w:color="auto" w:fill="auto"/>
                  <w:tcMar>
                    <w:top w:w="120" w:type="dxa"/>
                    <w:left w:w="120" w:type="dxa"/>
                    <w:bottom w:w="120" w:type="dxa"/>
                    <w:right w:w="120" w:type="dxa"/>
                  </w:tcMar>
                  <w:vAlign w:val="center"/>
                </w:tcPr>
                <w:p w14:paraId="062DC2D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0</w:t>
                  </w:r>
                </w:p>
              </w:tc>
              <w:tc>
                <w:tcPr>
                  <w:tcW w:w="7107" w:type="dxa"/>
                  <w:tcBorders>
                    <w:tl2br w:val="nil"/>
                    <w:tr2bl w:val="nil"/>
                  </w:tcBorders>
                  <w:shd w:val="clear" w:color="auto" w:fill="auto"/>
                  <w:tcMar>
                    <w:top w:w="120" w:type="dxa"/>
                    <w:left w:w="120" w:type="dxa"/>
                    <w:bottom w:w="120" w:type="dxa"/>
                    <w:right w:w="120" w:type="dxa"/>
                  </w:tcMar>
                  <w:vAlign w:val="center"/>
                </w:tcPr>
                <w:p w14:paraId="119758C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未闻到有任何气味，无任何反应</w:t>
                  </w:r>
                </w:p>
              </w:tc>
            </w:tr>
            <w:tr w14:paraId="582E4A6C">
              <w:tblPrEx>
                <w:tblBorders>
                  <w:top w:val="single" w:color="000000" w:themeColor="text1" w:sz="12" w:space="0"/>
                  <w:left w:val="none" w:color="auto" w:sz="0" w:space="0"/>
                  <w:bottom w:val="single" w:color="000000" w:themeColor="text1" w:sz="12" w:space="0"/>
                  <w:right w:val="none" w:color="auto" w:sz="0" w:space="0"/>
                  <w:insideH w:val="single" w:color="000000" w:themeColor="text1" w:sz="6" w:space="0"/>
                  <w:insideV w:val="single" w:color="000000" w:themeColor="text1" w:sz="6" w:space="0"/>
                </w:tblBorders>
                <w:shd w:val="clear" w:color="auto" w:fill="auto"/>
                <w:tblCellMar>
                  <w:top w:w="15" w:type="dxa"/>
                  <w:left w:w="15" w:type="dxa"/>
                  <w:bottom w:w="15" w:type="dxa"/>
                  <w:right w:w="15" w:type="dxa"/>
                </w:tblCellMar>
              </w:tblPrEx>
              <w:trPr>
                <w:trHeight w:val="23" w:hRule="atLeast"/>
                <w:jc w:val="center"/>
              </w:trPr>
              <w:tc>
                <w:tcPr>
                  <w:tcW w:w="1409" w:type="dxa"/>
                  <w:tcBorders>
                    <w:tl2br w:val="nil"/>
                    <w:tr2bl w:val="nil"/>
                  </w:tcBorders>
                  <w:shd w:val="clear" w:color="auto" w:fill="auto"/>
                  <w:tcMar>
                    <w:top w:w="120" w:type="dxa"/>
                    <w:left w:w="120" w:type="dxa"/>
                    <w:bottom w:w="120" w:type="dxa"/>
                    <w:right w:w="120" w:type="dxa"/>
                  </w:tcMar>
                  <w:vAlign w:val="center"/>
                </w:tcPr>
                <w:p w14:paraId="484CA0A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w:t>
                  </w:r>
                </w:p>
              </w:tc>
              <w:tc>
                <w:tcPr>
                  <w:tcW w:w="7107" w:type="dxa"/>
                  <w:tcBorders>
                    <w:tl2br w:val="nil"/>
                    <w:tr2bl w:val="nil"/>
                  </w:tcBorders>
                  <w:shd w:val="clear" w:color="auto" w:fill="auto"/>
                  <w:tcMar>
                    <w:top w:w="120" w:type="dxa"/>
                    <w:left w:w="120" w:type="dxa"/>
                    <w:bottom w:w="120" w:type="dxa"/>
                    <w:right w:w="120" w:type="dxa"/>
                  </w:tcMar>
                  <w:vAlign w:val="center"/>
                </w:tcPr>
                <w:p w14:paraId="26151D4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勉强能闻到有气味，但不易辨别企业性质（感觉阈值），认为无所谓</w:t>
                  </w:r>
                </w:p>
              </w:tc>
            </w:tr>
            <w:tr w14:paraId="26F556C3">
              <w:tblPrEx>
                <w:tblBorders>
                  <w:top w:val="single" w:color="000000" w:themeColor="text1" w:sz="12" w:space="0"/>
                  <w:left w:val="none" w:color="auto" w:sz="0" w:space="0"/>
                  <w:bottom w:val="single" w:color="000000" w:themeColor="text1" w:sz="12" w:space="0"/>
                  <w:right w:val="none" w:color="auto" w:sz="0" w:space="0"/>
                  <w:insideH w:val="single" w:color="000000" w:themeColor="text1" w:sz="6" w:space="0"/>
                  <w:insideV w:val="single" w:color="000000" w:themeColor="text1" w:sz="6" w:space="0"/>
                </w:tblBorders>
                <w:shd w:val="clear" w:color="auto" w:fill="auto"/>
                <w:tblCellMar>
                  <w:top w:w="15" w:type="dxa"/>
                  <w:left w:w="15" w:type="dxa"/>
                  <w:bottom w:w="15" w:type="dxa"/>
                  <w:right w:w="15" w:type="dxa"/>
                </w:tblCellMar>
              </w:tblPrEx>
              <w:trPr>
                <w:trHeight w:val="23" w:hRule="atLeast"/>
                <w:jc w:val="center"/>
              </w:trPr>
              <w:tc>
                <w:tcPr>
                  <w:tcW w:w="1409" w:type="dxa"/>
                  <w:tcBorders>
                    <w:tl2br w:val="nil"/>
                    <w:tr2bl w:val="nil"/>
                  </w:tcBorders>
                  <w:shd w:val="clear" w:color="auto" w:fill="auto"/>
                  <w:tcMar>
                    <w:top w:w="120" w:type="dxa"/>
                    <w:left w:w="120" w:type="dxa"/>
                    <w:bottom w:w="120" w:type="dxa"/>
                    <w:right w:w="120" w:type="dxa"/>
                  </w:tcMar>
                  <w:vAlign w:val="center"/>
                </w:tcPr>
                <w:p w14:paraId="6332AF4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w:t>
                  </w:r>
                </w:p>
              </w:tc>
              <w:tc>
                <w:tcPr>
                  <w:tcW w:w="7107" w:type="dxa"/>
                  <w:tcBorders>
                    <w:tl2br w:val="nil"/>
                    <w:tr2bl w:val="nil"/>
                  </w:tcBorders>
                  <w:shd w:val="clear" w:color="auto" w:fill="auto"/>
                  <w:tcMar>
                    <w:top w:w="120" w:type="dxa"/>
                    <w:left w:w="120" w:type="dxa"/>
                    <w:bottom w:w="120" w:type="dxa"/>
                    <w:right w:w="120" w:type="dxa"/>
                  </w:tcMar>
                  <w:vAlign w:val="center"/>
                </w:tcPr>
                <w:p w14:paraId="6DC5852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能闻到气味，且能辨认气味的性质（识别阈值），但感到很正常</w:t>
                  </w:r>
                </w:p>
              </w:tc>
            </w:tr>
            <w:tr w14:paraId="39CB08D4">
              <w:tblPrEx>
                <w:tblBorders>
                  <w:top w:val="single" w:color="000000" w:themeColor="text1" w:sz="12" w:space="0"/>
                  <w:left w:val="none" w:color="auto" w:sz="0" w:space="0"/>
                  <w:bottom w:val="single" w:color="000000" w:themeColor="text1" w:sz="12" w:space="0"/>
                  <w:right w:val="none" w:color="auto" w:sz="0" w:space="0"/>
                  <w:insideH w:val="single" w:color="000000" w:themeColor="text1" w:sz="6" w:space="0"/>
                  <w:insideV w:val="single" w:color="000000" w:themeColor="text1" w:sz="6" w:space="0"/>
                </w:tblBorders>
                <w:shd w:val="clear" w:color="auto" w:fill="auto"/>
                <w:tblCellMar>
                  <w:top w:w="15" w:type="dxa"/>
                  <w:left w:w="15" w:type="dxa"/>
                  <w:bottom w:w="15" w:type="dxa"/>
                  <w:right w:w="15" w:type="dxa"/>
                </w:tblCellMar>
              </w:tblPrEx>
              <w:trPr>
                <w:trHeight w:val="23" w:hRule="atLeast"/>
                <w:jc w:val="center"/>
              </w:trPr>
              <w:tc>
                <w:tcPr>
                  <w:tcW w:w="1409" w:type="dxa"/>
                  <w:tcBorders>
                    <w:tl2br w:val="nil"/>
                    <w:tr2bl w:val="nil"/>
                  </w:tcBorders>
                  <w:shd w:val="clear" w:color="auto" w:fill="auto"/>
                  <w:tcMar>
                    <w:top w:w="120" w:type="dxa"/>
                    <w:left w:w="120" w:type="dxa"/>
                    <w:bottom w:w="120" w:type="dxa"/>
                    <w:right w:w="120" w:type="dxa"/>
                  </w:tcMar>
                  <w:vAlign w:val="center"/>
                </w:tcPr>
                <w:p w14:paraId="50033A6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3</w:t>
                  </w:r>
                </w:p>
              </w:tc>
              <w:tc>
                <w:tcPr>
                  <w:tcW w:w="7107" w:type="dxa"/>
                  <w:tcBorders>
                    <w:tl2br w:val="nil"/>
                    <w:tr2bl w:val="nil"/>
                  </w:tcBorders>
                  <w:shd w:val="clear" w:color="auto" w:fill="auto"/>
                  <w:tcMar>
                    <w:top w:w="120" w:type="dxa"/>
                    <w:left w:w="120" w:type="dxa"/>
                    <w:bottom w:w="120" w:type="dxa"/>
                    <w:right w:w="120" w:type="dxa"/>
                  </w:tcMar>
                  <w:vAlign w:val="center"/>
                </w:tcPr>
                <w:p w14:paraId="145C2C8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很容易闻到味道，有所不快，但不反感</w:t>
                  </w:r>
                </w:p>
              </w:tc>
            </w:tr>
            <w:tr w14:paraId="2F3720D2">
              <w:tblPrEx>
                <w:tblBorders>
                  <w:top w:val="single" w:color="000000" w:themeColor="text1" w:sz="12" w:space="0"/>
                  <w:left w:val="none" w:color="auto" w:sz="0" w:space="0"/>
                  <w:bottom w:val="single" w:color="000000" w:themeColor="text1" w:sz="12" w:space="0"/>
                  <w:right w:val="none" w:color="auto" w:sz="0" w:space="0"/>
                  <w:insideH w:val="single" w:color="000000" w:themeColor="text1" w:sz="6" w:space="0"/>
                  <w:insideV w:val="single" w:color="000000" w:themeColor="text1" w:sz="6" w:space="0"/>
                </w:tblBorders>
                <w:shd w:val="clear" w:color="auto" w:fill="auto"/>
                <w:tblCellMar>
                  <w:top w:w="15" w:type="dxa"/>
                  <w:left w:w="15" w:type="dxa"/>
                  <w:bottom w:w="15" w:type="dxa"/>
                  <w:right w:w="15" w:type="dxa"/>
                </w:tblCellMar>
              </w:tblPrEx>
              <w:trPr>
                <w:trHeight w:val="23" w:hRule="atLeast"/>
                <w:jc w:val="center"/>
              </w:trPr>
              <w:tc>
                <w:tcPr>
                  <w:tcW w:w="1409" w:type="dxa"/>
                  <w:tcBorders>
                    <w:tl2br w:val="nil"/>
                    <w:tr2bl w:val="nil"/>
                  </w:tcBorders>
                  <w:shd w:val="clear" w:color="auto" w:fill="auto"/>
                  <w:tcMar>
                    <w:top w:w="120" w:type="dxa"/>
                    <w:left w:w="120" w:type="dxa"/>
                    <w:bottom w:w="120" w:type="dxa"/>
                    <w:right w:w="120" w:type="dxa"/>
                  </w:tcMar>
                  <w:vAlign w:val="center"/>
                </w:tcPr>
                <w:p w14:paraId="52459FB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4</w:t>
                  </w:r>
                </w:p>
              </w:tc>
              <w:tc>
                <w:tcPr>
                  <w:tcW w:w="7107" w:type="dxa"/>
                  <w:tcBorders>
                    <w:tl2br w:val="nil"/>
                    <w:tr2bl w:val="nil"/>
                  </w:tcBorders>
                  <w:shd w:val="clear" w:color="auto" w:fill="auto"/>
                  <w:tcMar>
                    <w:top w:w="120" w:type="dxa"/>
                    <w:left w:w="120" w:type="dxa"/>
                    <w:bottom w:w="120" w:type="dxa"/>
                    <w:right w:w="120" w:type="dxa"/>
                  </w:tcMar>
                  <w:vAlign w:val="center"/>
                </w:tcPr>
                <w:p w14:paraId="6B4ED5B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有很强的气味，而且很反感，想离开</w:t>
                  </w:r>
                </w:p>
              </w:tc>
            </w:tr>
            <w:tr w14:paraId="13746947">
              <w:tblPrEx>
                <w:tblBorders>
                  <w:top w:val="single" w:color="000000" w:themeColor="text1" w:sz="12" w:space="0"/>
                  <w:left w:val="none" w:color="auto" w:sz="0" w:space="0"/>
                  <w:bottom w:val="single" w:color="000000" w:themeColor="text1" w:sz="12" w:space="0"/>
                  <w:right w:val="none" w:color="auto" w:sz="0" w:space="0"/>
                  <w:insideH w:val="single" w:color="000000" w:themeColor="text1" w:sz="6" w:space="0"/>
                  <w:insideV w:val="single" w:color="000000" w:themeColor="text1" w:sz="6" w:space="0"/>
                </w:tblBorders>
                <w:shd w:val="clear" w:color="auto" w:fill="auto"/>
                <w:tblCellMar>
                  <w:top w:w="15" w:type="dxa"/>
                  <w:left w:w="15" w:type="dxa"/>
                  <w:bottom w:w="15" w:type="dxa"/>
                  <w:right w:w="15" w:type="dxa"/>
                </w:tblCellMar>
              </w:tblPrEx>
              <w:trPr>
                <w:trHeight w:val="23" w:hRule="atLeast"/>
                <w:jc w:val="center"/>
              </w:trPr>
              <w:tc>
                <w:tcPr>
                  <w:tcW w:w="1409" w:type="dxa"/>
                  <w:tcBorders>
                    <w:tl2br w:val="nil"/>
                    <w:tr2bl w:val="nil"/>
                  </w:tcBorders>
                  <w:shd w:val="clear" w:color="auto" w:fill="auto"/>
                  <w:tcMar>
                    <w:top w:w="120" w:type="dxa"/>
                    <w:left w:w="120" w:type="dxa"/>
                    <w:bottom w:w="120" w:type="dxa"/>
                    <w:right w:w="120" w:type="dxa"/>
                  </w:tcMar>
                  <w:vAlign w:val="center"/>
                </w:tcPr>
                <w:p w14:paraId="66A3D0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5</w:t>
                  </w:r>
                </w:p>
              </w:tc>
              <w:tc>
                <w:tcPr>
                  <w:tcW w:w="7107" w:type="dxa"/>
                  <w:tcBorders>
                    <w:tl2br w:val="nil"/>
                    <w:tr2bl w:val="nil"/>
                  </w:tcBorders>
                  <w:shd w:val="clear" w:color="auto" w:fill="auto"/>
                  <w:tcMar>
                    <w:top w:w="120" w:type="dxa"/>
                    <w:left w:w="120" w:type="dxa"/>
                    <w:bottom w:w="120" w:type="dxa"/>
                    <w:right w:w="120" w:type="dxa"/>
                  </w:tcMar>
                  <w:vAlign w:val="center"/>
                </w:tcPr>
                <w:p w14:paraId="7419A12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有极强的气味，无法忍受，立即逃</w:t>
                  </w:r>
                </w:p>
              </w:tc>
            </w:tr>
          </w:tbl>
          <w:p w14:paraId="6CD27636">
            <w:pPr>
              <w:keepNext w:val="0"/>
              <w:keepLines w:val="0"/>
              <w:pageBreakBefore w:val="0"/>
              <w:widowControl w:val="0"/>
              <w:suppressLineNumbers w:val="0"/>
              <w:kinsoku/>
              <w:wordWrap/>
              <w:overflowPunct/>
              <w:topLinePunct w:val="0"/>
              <w:autoSpaceDE w:val="0"/>
              <w:autoSpaceDN w:val="0"/>
              <w:bidi w:val="0"/>
              <w:adjustRightInd/>
              <w:snapToGrid/>
              <w:spacing w:before="157" w:beforeLines="50" w:beforeAutospacing="0" w:after="0" w:afterAutospacing="0" w:line="360" w:lineRule="auto"/>
              <w:ind w:left="0" w:right="0"/>
              <w:textAlignment w:val="auto"/>
              <w:rPr>
                <w:rFonts w:hint="eastAsia"/>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根据上表判定，项目异味等级为2~3级。废气经集气罩收集后，采取</w:t>
            </w:r>
            <w: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二级活性炭吸附</w:t>
            </w:r>
            <w: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工艺治理，尾气净化后引至</w:t>
            </w:r>
            <w:r>
              <w:rPr>
                <w:rFonts w:hint="eastAsia" w:eastAsia="宋体"/>
                <w:color w:val="000000" w:themeColor="text1"/>
                <w:sz w:val="24"/>
                <w:szCs w:val="24"/>
                <w:highlight w:val="none"/>
                <w:lang w:val="en-US" w:eastAsia="zh-CN"/>
                <w14:textFill>
                  <w14:solidFill>
                    <w14:schemeClr w14:val="tx1"/>
                  </w14:solidFill>
                </w14:textFill>
              </w:rPr>
              <w:t>不低于</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15m</w:t>
            </w:r>
            <w: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高</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排气筒</w:t>
            </w:r>
            <w: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DA002</w:t>
            </w:r>
            <w: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排放，恶臭气体通过废气收集系统引至废气处理设施集中处理后，臭气浓度将明显消减，有组织废气的臭气浓度可以满足《恶臭污染物排放标准》</w:t>
            </w:r>
            <w: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GB14554-93</w:t>
            </w:r>
            <w: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表2标准，厂界臭气浓度可满足《恶臭污染物排放标准》</w:t>
            </w:r>
            <w: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GB14554-93</w:t>
            </w:r>
            <w: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）表</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1二级新扩改建标准，对周围环境影响较小。</w:t>
            </w:r>
          </w:p>
          <w:p w14:paraId="3FC21E75">
            <w:pPr>
              <w:keepNext w:val="0"/>
              <w:keepLines w:val="0"/>
              <w:pageBreakBefore w:val="0"/>
              <w:widowControl w:val="0"/>
              <w:suppressLineNumbers w:val="0"/>
              <w:kinsoku/>
              <w:wordWrap/>
              <w:overflowPunct/>
              <w:topLinePunct w:val="0"/>
              <w:autoSpaceDE w:val="0"/>
              <w:autoSpaceDN w:val="0"/>
              <w:bidi w:val="0"/>
              <w:adjustRightInd/>
              <w:snapToGrid/>
              <w:spacing w:before="157" w:beforeLines="50" w:beforeAutospacing="0" w:after="0" w:afterAutospacing="0" w:line="360" w:lineRule="auto"/>
              <w:ind w:left="0" w:right="0"/>
              <w:textAlignment w:val="auto"/>
              <w:rPr>
                <w:rFonts w:hint="default"/>
                <w:b/>
                <w:bCs/>
                <w:color w:val="000000" w:themeColor="text1"/>
                <w:sz w:val="24"/>
                <w:szCs w:val="24"/>
                <w:highlight w:val="none"/>
                <w:lang w:val="en-US"/>
                <w14:textFill>
                  <w14:solidFill>
                    <w14:schemeClr w14:val="tx1"/>
                  </w14:solidFill>
                </w14:textFill>
              </w:rPr>
            </w:pPr>
            <w:r>
              <w:rPr>
                <w:rFonts w:hint="eastAsia"/>
                <w:b/>
                <w:bCs/>
                <w:color w:val="000000" w:themeColor="text1"/>
                <w:sz w:val="24"/>
                <w:szCs w:val="24"/>
                <w:highlight w:val="none"/>
                <w:lang w:val="en-US" w:eastAsia="zh-CN"/>
                <w14:textFill>
                  <w14:solidFill>
                    <w14:schemeClr w14:val="tx1"/>
                  </w14:solidFill>
                </w14:textFill>
              </w:rPr>
              <w:t>1.2、石膏打碎、除杂和粉碎废气</w:t>
            </w:r>
          </w:p>
          <w:p w14:paraId="470B8297">
            <w:pPr>
              <w:keepNext w:val="0"/>
              <w:keepLines w:val="0"/>
              <w:suppressLineNumbers w:val="0"/>
              <w:adjustRightInd w:val="0"/>
              <w:snapToGrid w:val="0"/>
              <w:spacing w:before="0" w:beforeAutospacing="0" w:after="0" w:afterAutospacing="0" w:line="360" w:lineRule="auto"/>
              <w:ind w:left="0" w:right="0" w:firstLine="480" w:firstLineChars="20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因</w:t>
            </w:r>
            <w:r>
              <w:rPr>
                <w:rFonts w:hint="default"/>
                <w:bCs/>
                <w:color w:val="000000" w:themeColor="text1"/>
                <w:sz w:val="24"/>
                <w:szCs w:val="24"/>
                <w:highlight w:val="none"/>
                <w14:textFill>
                  <w14:solidFill>
                    <w14:schemeClr w14:val="tx1"/>
                  </w14:solidFill>
                </w14:textFill>
              </w:rPr>
              <w:t>《排放源统计调查产排污核算方法和系数手册》（环境部公告2021年第24号）</w:t>
            </w:r>
            <w:r>
              <w:rPr>
                <w:rFonts w:hint="eastAsia"/>
                <w:bCs/>
                <w:color w:val="000000" w:themeColor="text1"/>
                <w:sz w:val="24"/>
                <w:szCs w:val="24"/>
                <w:highlight w:val="none"/>
                <w14:textFill>
                  <w14:solidFill>
                    <w14:schemeClr w14:val="tx1"/>
                  </w14:solidFill>
                </w14:textFill>
              </w:rPr>
              <w:t>中的</w:t>
            </w:r>
            <w:r>
              <w:rPr>
                <w:rFonts w:hint="eastAsia"/>
                <w:color w:val="000000" w:themeColor="text1"/>
                <w:sz w:val="24"/>
                <w:szCs w:val="24"/>
                <w:highlight w:val="none"/>
                <w14:textFill>
                  <w14:solidFill>
                    <w14:schemeClr w14:val="tx1"/>
                  </w14:solidFill>
                </w14:textFill>
              </w:rPr>
              <w:t>“</w:t>
            </w:r>
            <w:r>
              <w:rPr>
                <w:rFonts w:hint="eastAsia"/>
                <w:bCs/>
                <w:color w:val="000000" w:themeColor="text1"/>
                <w:sz w:val="24"/>
                <w:szCs w:val="24"/>
                <w:highlight w:val="none"/>
                <w:lang w:val="en-US" w:eastAsia="zh-CN"/>
                <w14:textFill>
                  <w14:solidFill>
                    <w14:schemeClr w14:val="tx1"/>
                  </w14:solidFill>
                </w14:textFill>
              </w:rPr>
              <w:t>2730中药饮片加工</w:t>
            </w:r>
            <w:r>
              <w:rPr>
                <w:rFonts w:hint="eastAsia"/>
                <w:bCs/>
                <w:color w:val="000000" w:themeColor="text1"/>
                <w:sz w:val="24"/>
                <w:szCs w:val="24"/>
                <w:highlight w:val="none"/>
                <w14:textFill>
                  <w14:solidFill>
                    <w14:schemeClr w14:val="tx1"/>
                  </w14:solidFill>
                </w14:textFill>
              </w:rPr>
              <w:t>行业系数手册</w:t>
            </w:r>
            <w:r>
              <w:rPr>
                <w:rFonts w:hint="eastAsia"/>
                <w:color w:val="000000" w:themeColor="text1"/>
                <w:sz w:val="24"/>
                <w:szCs w:val="24"/>
                <w:highlight w:val="none"/>
                <w14:textFill>
                  <w14:solidFill>
                    <w14:schemeClr w14:val="tx1"/>
                  </w14:solidFill>
                </w14:textFill>
              </w:rPr>
              <w:t>”中</w:t>
            </w:r>
            <w:r>
              <w:rPr>
                <w:rFonts w:hint="eastAsia"/>
                <w:color w:val="000000" w:themeColor="text1"/>
                <w:sz w:val="24"/>
                <w:szCs w:val="24"/>
                <w:highlight w:val="none"/>
                <w:lang w:val="en-US" w:eastAsia="zh-CN"/>
                <w14:textFill>
                  <w14:solidFill>
                    <w14:schemeClr w14:val="tx1"/>
                  </w14:solidFill>
                </w14:textFill>
              </w:rPr>
              <w:t>无矿物药材破碎筛分直接系数，石膏和石灰石同属于钙类非金属矿物，所以本项目参照“3099其他非金属矿物制品制造行业系数手册”中破碎、筛分和粉磨3个工序产污系数合并取值，则颗粒物产污系数为3.45k</w:t>
            </w:r>
            <w:r>
              <w:rPr>
                <w:rFonts w:hint="eastAsia"/>
                <w:color w:val="000000" w:themeColor="text1"/>
                <w:sz w:val="24"/>
                <w:szCs w:val="24"/>
                <w:highlight w:val="none"/>
                <w14:textFill>
                  <w14:solidFill>
                    <w14:schemeClr w14:val="tx1"/>
                  </w14:solidFill>
                </w14:textFill>
              </w:rPr>
              <w:t>g/t-</w:t>
            </w:r>
            <w:r>
              <w:rPr>
                <w:rFonts w:hint="eastAsia"/>
                <w:color w:val="000000" w:themeColor="text1"/>
                <w:sz w:val="24"/>
                <w:szCs w:val="24"/>
                <w:highlight w:val="none"/>
                <w:lang w:val="en-US" w:eastAsia="zh-CN"/>
                <w14:textFill>
                  <w14:solidFill>
                    <w14:schemeClr w14:val="tx1"/>
                  </w14:solidFill>
                </w14:textFill>
              </w:rPr>
              <w:t>产品。</w:t>
            </w:r>
          </w:p>
          <w:p w14:paraId="509F7896">
            <w:pPr>
              <w:keepNext w:val="0"/>
              <w:keepLines w:val="0"/>
              <w:suppressLineNumbers w:val="0"/>
              <w:adjustRightInd w:val="0"/>
              <w:snapToGrid w:val="0"/>
              <w:spacing w:before="0" w:beforeAutospacing="0" w:after="0" w:afterAutospacing="0" w:line="360" w:lineRule="auto"/>
              <w:ind w:left="0" w:right="0" w:firstLine="480" w:firstLineChars="20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本项目按照经典名方2药材中石膏用量为10.0t/a计算，</w:t>
            </w:r>
            <w:r>
              <w:rPr>
                <w:rFonts w:hint="eastAsia" w:eastAsia="宋体"/>
                <w:color w:val="000000" w:themeColor="text1"/>
                <w:sz w:val="24"/>
                <w:szCs w:val="24"/>
                <w:highlight w:val="none"/>
                <w:lang w:eastAsia="zh-CN"/>
                <w14:textFill>
                  <w14:solidFill>
                    <w14:schemeClr w14:val="tx1"/>
                  </w14:solidFill>
                </w14:textFill>
              </w:rPr>
              <w:t>石膏打碎、除杂和粉碎</w:t>
            </w:r>
            <w:r>
              <w:rPr>
                <w:rFonts w:hint="eastAsia" w:eastAsia="宋体"/>
                <w:color w:val="000000" w:themeColor="text1"/>
                <w:sz w:val="24"/>
                <w:szCs w:val="24"/>
                <w:highlight w:val="none"/>
                <w:lang w:val="en-US" w:eastAsia="zh-CN"/>
                <w14:textFill>
                  <w14:solidFill>
                    <w14:schemeClr w14:val="tx1"/>
                  </w14:solidFill>
                </w14:textFill>
              </w:rPr>
              <w:t>生产时间按照每天</w:t>
            </w:r>
            <w:r>
              <w:rPr>
                <w:rFonts w:hint="eastAsia"/>
                <w:color w:val="000000" w:themeColor="text1"/>
                <w:sz w:val="24"/>
                <w:szCs w:val="24"/>
                <w:highlight w:val="none"/>
                <w:lang w:val="en-US" w:eastAsia="zh-CN"/>
                <w14:textFill>
                  <w14:solidFill>
                    <w14:schemeClr w14:val="tx1"/>
                  </w14:solidFill>
                </w14:textFill>
              </w:rPr>
              <w:t>4</w:t>
            </w:r>
            <w:r>
              <w:rPr>
                <w:rFonts w:hint="eastAsia" w:eastAsia="宋体"/>
                <w:color w:val="000000" w:themeColor="text1"/>
                <w:sz w:val="24"/>
                <w:szCs w:val="24"/>
                <w:highlight w:val="none"/>
                <w:lang w:val="en-US" w:eastAsia="zh-CN"/>
                <w14:textFill>
                  <w14:solidFill>
                    <w14:schemeClr w14:val="tx1"/>
                  </w14:solidFill>
                </w14:textFill>
              </w:rPr>
              <w:t>h计算，则年</w:t>
            </w:r>
            <w:r>
              <w:rPr>
                <w:rFonts w:hint="eastAsia"/>
                <w:color w:val="000000" w:themeColor="text1"/>
                <w:sz w:val="24"/>
                <w:szCs w:val="24"/>
                <w:highlight w:val="none"/>
                <w:lang w:val="en-US" w:eastAsia="zh-CN"/>
                <w14:textFill>
                  <w14:solidFill>
                    <w14:schemeClr w14:val="tx1"/>
                  </w14:solidFill>
                </w14:textFill>
              </w:rPr>
              <w:t>生产</w:t>
            </w:r>
            <w:r>
              <w:rPr>
                <w:rFonts w:hint="eastAsia" w:eastAsia="宋体"/>
                <w:color w:val="000000" w:themeColor="text1"/>
                <w:sz w:val="24"/>
                <w:szCs w:val="24"/>
                <w:highlight w:val="none"/>
                <w:lang w:val="en-US" w:eastAsia="zh-CN"/>
                <w14:textFill>
                  <w14:solidFill>
                    <w14:schemeClr w14:val="tx1"/>
                  </w14:solidFill>
                </w14:textFill>
              </w:rPr>
              <w:t>时间为</w:t>
            </w:r>
            <w:r>
              <w:rPr>
                <w:rFonts w:hint="eastAsia"/>
                <w:color w:val="000000" w:themeColor="text1"/>
                <w:sz w:val="24"/>
                <w:szCs w:val="24"/>
                <w:highlight w:val="none"/>
                <w:lang w:val="en-US" w:eastAsia="zh-CN"/>
                <w14:textFill>
                  <w14:solidFill>
                    <w14:schemeClr w14:val="tx1"/>
                  </w14:solidFill>
                </w14:textFill>
              </w:rPr>
              <w:t>100</w:t>
            </w:r>
            <w:r>
              <w:rPr>
                <w:rFonts w:hint="eastAsia" w:eastAsia="宋体"/>
                <w:color w:val="000000" w:themeColor="text1"/>
                <w:sz w:val="24"/>
                <w:szCs w:val="24"/>
                <w:highlight w:val="none"/>
                <w:lang w:val="en-US" w:eastAsia="zh-CN"/>
                <w14:textFill>
                  <w14:solidFill>
                    <w14:schemeClr w14:val="tx1"/>
                  </w14:solidFill>
                </w14:textFill>
              </w:rPr>
              <w:t>0h</w:t>
            </w:r>
            <w:r>
              <w:rPr>
                <w:rFonts w:hint="eastAsia"/>
                <w:color w:val="000000" w:themeColor="text1"/>
                <w:sz w:val="24"/>
                <w:szCs w:val="24"/>
                <w:highlight w:val="none"/>
                <w:lang w:val="en-US" w:eastAsia="zh-CN"/>
                <w14:textFill>
                  <w14:solidFill>
                    <w14:schemeClr w14:val="tx1"/>
                  </w14:solidFill>
                </w14:textFill>
              </w:rPr>
              <w:t>，项目设计风机风量为</w:t>
            </w:r>
            <w:r>
              <w:rPr>
                <w:rFonts w:hint="eastAsia"/>
                <w:color w:val="000000" w:themeColor="text1"/>
                <w:sz w:val="24"/>
                <w:szCs w:val="24"/>
                <w:highlight w:val="none"/>
                <w:vertAlign w:val="baseline"/>
                <w:lang w:val="en-US" w:eastAsia="zh-CN"/>
                <w14:textFill>
                  <w14:solidFill>
                    <w14:schemeClr w14:val="tx1"/>
                  </w14:solidFill>
                </w14:textFill>
              </w:rPr>
              <w:t>3500m</w:t>
            </w:r>
            <w:r>
              <w:rPr>
                <w:rFonts w:hint="eastAsia"/>
                <w:color w:val="000000" w:themeColor="text1"/>
                <w:sz w:val="24"/>
                <w:szCs w:val="24"/>
                <w:highlight w:val="none"/>
                <w:vertAlign w:val="superscript"/>
                <w:lang w:val="en-US" w:eastAsia="zh-CN"/>
                <w14:textFill>
                  <w14:solidFill>
                    <w14:schemeClr w14:val="tx1"/>
                  </w14:solidFill>
                </w14:textFill>
              </w:rPr>
              <w:t>3</w:t>
            </w:r>
            <w:r>
              <w:rPr>
                <w:rFonts w:hint="eastAsia"/>
                <w:color w:val="000000" w:themeColor="text1"/>
                <w:sz w:val="24"/>
                <w:szCs w:val="24"/>
                <w:highlight w:val="none"/>
                <w:vertAlign w:val="baseline"/>
                <w:lang w:val="en-US" w:eastAsia="zh-CN"/>
                <w14:textFill>
                  <w14:solidFill>
                    <w14:schemeClr w14:val="tx1"/>
                  </w14:solidFill>
                </w14:textFill>
              </w:rPr>
              <w:t>/h，</w:t>
            </w:r>
            <w:r>
              <w:rPr>
                <w:rFonts w:hint="eastAsia"/>
                <w:color w:val="000000" w:themeColor="text1"/>
                <w:sz w:val="24"/>
                <w:szCs w:val="24"/>
                <w:highlight w:val="none"/>
                <w:lang w:val="en-US" w:eastAsia="zh-CN"/>
                <w14:textFill>
                  <w14:solidFill>
                    <w14:schemeClr w14:val="tx1"/>
                  </w14:solidFill>
                </w14:textFill>
              </w:rPr>
              <w:t>污染物颗粒物</w:t>
            </w:r>
            <w:r>
              <w:rPr>
                <w:rFonts w:hint="eastAsia" w:eastAsia="宋体"/>
                <w:color w:val="000000" w:themeColor="text1"/>
                <w:sz w:val="24"/>
                <w:szCs w:val="24"/>
                <w:highlight w:val="none"/>
                <w:lang w:val="en-US" w:eastAsia="zh-CN"/>
                <w14:textFill>
                  <w14:solidFill>
                    <w14:schemeClr w14:val="tx1"/>
                  </w14:solidFill>
                </w14:textFill>
              </w:rPr>
              <w:t>产生量为</w:t>
            </w:r>
            <w:r>
              <w:rPr>
                <w:rFonts w:hint="eastAsia"/>
                <w:color w:val="000000" w:themeColor="text1"/>
                <w:sz w:val="24"/>
                <w:szCs w:val="24"/>
                <w:highlight w:val="none"/>
                <w:lang w:val="en-US" w:eastAsia="zh-CN"/>
                <w14:textFill>
                  <w14:solidFill>
                    <w14:schemeClr w14:val="tx1"/>
                  </w14:solidFill>
                </w14:textFill>
              </w:rPr>
              <w:t>0.0345</w:t>
            </w:r>
            <w:r>
              <w:rPr>
                <w:rFonts w:hint="eastAsia" w:eastAsia="宋体"/>
                <w:color w:val="000000" w:themeColor="text1"/>
                <w:sz w:val="24"/>
                <w:szCs w:val="24"/>
                <w:highlight w:val="none"/>
                <w:lang w:val="en-US" w:eastAsia="zh-CN"/>
                <w14:textFill>
                  <w14:solidFill>
                    <w14:schemeClr w14:val="tx1"/>
                  </w14:solidFill>
                </w14:textFill>
              </w:rPr>
              <w:t>t</w:t>
            </w:r>
            <w:r>
              <w:rPr>
                <w:rFonts w:hint="eastAsia" w:eastAsia="宋体"/>
                <w:color w:val="000000" w:themeColor="text1"/>
                <w:sz w:val="24"/>
                <w:szCs w:val="24"/>
                <w:highlight w:val="none"/>
                <w:lang w:eastAsia="zh-CN"/>
                <w14:textFill>
                  <w14:solidFill>
                    <w14:schemeClr w14:val="tx1"/>
                  </w14:solidFill>
                </w14:textFill>
              </w:rPr>
              <w:t>/a</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产生速率为0.0345</w:t>
            </w:r>
            <w:r>
              <w:rPr>
                <w:rFonts w:hint="eastAsia" w:eastAsia="新宋体"/>
                <w:color w:val="000000" w:themeColor="text1"/>
                <w:sz w:val="24"/>
                <w:szCs w:val="24"/>
                <w:highlight w:val="none"/>
                <w:lang w:val="en-US" w:eastAsia="zh-CN"/>
                <w14:textFill>
                  <w14:solidFill>
                    <w14:schemeClr w14:val="tx1"/>
                  </w14:solidFill>
                </w14:textFill>
              </w:rPr>
              <w:t>kg/h，产生浓度为9.86</w:t>
            </w:r>
            <w:r>
              <w:rPr>
                <w:rFonts w:hint="eastAsia" w:eastAsia="宋体"/>
                <w:color w:val="000000" w:themeColor="text1"/>
                <w:sz w:val="24"/>
                <w:szCs w:val="24"/>
                <w:highlight w:val="none"/>
                <w:lang w:eastAsia="zh-CN"/>
                <w14:textFill>
                  <w14:solidFill>
                    <w14:schemeClr w14:val="tx1"/>
                  </w14:solidFill>
                </w14:textFill>
              </w:rPr>
              <w:t>mg/m</w:t>
            </w:r>
            <w:r>
              <w:rPr>
                <w:rFonts w:hint="eastAsia" w:eastAsia="宋体"/>
                <w:color w:val="000000" w:themeColor="text1"/>
                <w:sz w:val="24"/>
                <w:szCs w:val="24"/>
                <w:highlight w:val="none"/>
                <w:vertAlign w:val="superscript"/>
                <w:lang w:eastAsia="zh-CN"/>
                <w14:textFill>
                  <w14:solidFill>
                    <w14:schemeClr w14:val="tx1"/>
                  </w14:solidFill>
                </w14:textFill>
              </w:rPr>
              <w:t>3</w:t>
            </w:r>
            <w:r>
              <w:rPr>
                <w:rFonts w:hint="eastAsia" w:eastAsia="新宋体"/>
                <w:color w:val="000000" w:themeColor="text1"/>
                <w:sz w:val="24"/>
                <w:szCs w:val="24"/>
                <w:highlight w:val="none"/>
                <w:lang w:val="en-US" w:eastAsia="zh-CN"/>
                <w14:textFill>
                  <w14:solidFill>
                    <w14:schemeClr w14:val="tx1"/>
                  </w14:solidFill>
                </w14:textFill>
              </w:rPr>
              <w:t>。本项目在</w:t>
            </w:r>
            <w:r>
              <w:rPr>
                <w:rFonts w:hint="eastAsia" w:cs="Times New Roman" w:asciiTheme="minorEastAsia" w:hAnsiTheme="minorEastAsia"/>
                <w:color w:val="000000" w:themeColor="text1"/>
                <w:sz w:val="24"/>
                <w:highlight w:val="none"/>
                <w14:textFill>
                  <w14:solidFill>
                    <w14:schemeClr w14:val="tx1"/>
                  </w14:solidFill>
                </w14:textFill>
              </w:rPr>
              <w:t>破碎机</w:t>
            </w:r>
            <w:r>
              <w:rPr>
                <w:rFonts w:hint="eastAsia" w:cs="Times New Roman" w:asciiTheme="minorEastAsia" w:hAnsiTheme="minorEastAsia"/>
                <w:color w:val="000000" w:themeColor="text1"/>
                <w:sz w:val="24"/>
                <w:highlight w:val="none"/>
                <w:lang w:eastAsia="zh-CN"/>
                <w14:textFill>
                  <w14:solidFill>
                    <w14:schemeClr w14:val="tx1"/>
                  </w14:solidFill>
                </w14:textFill>
              </w:rPr>
              <w:t>、</w:t>
            </w:r>
            <w:r>
              <w:rPr>
                <w:rFonts w:hint="eastAsia" w:cs="Times New Roman" w:asciiTheme="minorEastAsia" w:hAnsiTheme="minorEastAsia"/>
                <w:color w:val="000000" w:themeColor="text1"/>
                <w:sz w:val="24"/>
                <w:highlight w:val="none"/>
                <w14:textFill>
                  <w14:solidFill>
                    <w14:schemeClr w14:val="tx1"/>
                  </w14:solidFill>
                </w14:textFill>
              </w:rPr>
              <w:t>振动筛</w:t>
            </w:r>
            <w:r>
              <w:rPr>
                <w:rFonts w:hint="eastAsia" w:cs="Times New Roman" w:asciiTheme="minorEastAsia" w:hAnsiTheme="minorEastAsia"/>
                <w:color w:val="000000" w:themeColor="text1"/>
                <w:sz w:val="24"/>
                <w:highlight w:val="none"/>
                <w:lang w:eastAsia="zh-CN"/>
                <w14:textFill>
                  <w14:solidFill>
                    <w14:schemeClr w14:val="tx1"/>
                  </w14:solidFill>
                </w14:textFill>
              </w:rPr>
              <w:t>、</w:t>
            </w:r>
            <w:r>
              <w:rPr>
                <w:rFonts w:hint="eastAsia" w:cs="Times New Roman" w:asciiTheme="minorEastAsia" w:hAnsiTheme="minorEastAsia"/>
                <w:color w:val="000000" w:themeColor="text1"/>
                <w:sz w:val="24"/>
                <w:highlight w:val="none"/>
                <w14:textFill>
                  <w14:solidFill>
                    <w14:schemeClr w14:val="tx1"/>
                  </w14:solidFill>
                </w14:textFill>
              </w:rPr>
              <w:t>粉碎机</w:t>
            </w:r>
            <w:r>
              <w:rPr>
                <w:rFonts w:hint="eastAsia" w:eastAsia="新宋体"/>
                <w:color w:val="000000" w:themeColor="text1"/>
                <w:sz w:val="24"/>
                <w:szCs w:val="24"/>
                <w:highlight w:val="none"/>
                <w:lang w:val="en-US" w:eastAsia="zh-CN"/>
                <w14:textFill>
                  <w14:solidFill>
                    <w14:schemeClr w14:val="tx1"/>
                  </w14:solidFill>
                </w14:textFill>
              </w:rPr>
              <w:t>上方设置</w:t>
            </w:r>
            <w:r>
              <w:rPr>
                <w:rFonts w:hint="eastAsia"/>
                <w:color w:val="000000" w:themeColor="text1"/>
                <w:sz w:val="24"/>
                <w:szCs w:val="24"/>
                <w:highlight w:val="none"/>
                <w:lang w:val="en-US" w:eastAsia="zh-CN"/>
                <w14:textFill>
                  <w14:solidFill>
                    <w14:schemeClr w14:val="tx1"/>
                  </w14:solidFill>
                </w14:textFill>
              </w:rPr>
              <w:t>上吸式</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集气罩，收集效率不低于80%，然后经密闭管道送入</w:t>
            </w:r>
            <w:r>
              <w:rPr>
                <w:rFonts w:hint="eastAsia" w:eastAsia="宋体"/>
                <w:color w:val="000000" w:themeColor="text1"/>
                <w:sz w:val="24"/>
                <w:szCs w:val="24"/>
                <w:highlight w:val="none"/>
                <w:lang w:eastAsia="zh-CN"/>
                <w14:textFill>
                  <w14:solidFill>
                    <w14:schemeClr w14:val="tx1"/>
                  </w14:solidFill>
                </w14:textFill>
              </w:rPr>
              <w:t>布袋除尘器（TA00</w:t>
            </w:r>
            <w:r>
              <w:rPr>
                <w:rFonts w:hint="eastAsia"/>
                <w:color w:val="000000" w:themeColor="text1"/>
                <w:sz w:val="24"/>
                <w:szCs w:val="24"/>
                <w:highlight w:val="none"/>
                <w:lang w:val="en-US" w:eastAsia="zh-CN"/>
                <w14:textFill>
                  <w14:solidFill>
                    <w14:schemeClr w14:val="tx1"/>
                  </w14:solidFill>
                </w14:textFill>
              </w:rPr>
              <w:t>2</w:t>
            </w:r>
            <w:r>
              <w:rPr>
                <w:rFonts w:hint="eastAsia" w:eastAsia="宋体"/>
                <w:color w:val="000000" w:themeColor="text1"/>
                <w:sz w:val="24"/>
                <w:szCs w:val="24"/>
                <w:highlight w:val="none"/>
                <w:lang w:eastAsia="zh-CN"/>
                <w14:textFill>
                  <w14:solidFill>
                    <w14:schemeClr w14:val="tx1"/>
                  </w14:solidFill>
                </w14:textFill>
              </w:rPr>
              <w:t>）处理后由不低于15m高的排气筒（DA0</w:t>
            </w:r>
            <w:r>
              <w:rPr>
                <w:rFonts w:hint="eastAsia"/>
                <w:color w:val="000000" w:themeColor="text1"/>
                <w:sz w:val="24"/>
                <w:szCs w:val="24"/>
                <w:highlight w:val="none"/>
                <w:lang w:val="en-US" w:eastAsia="zh-CN"/>
                <w14:textFill>
                  <w14:solidFill>
                    <w14:schemeClr w14:val="tx1"/>
                  </w14:solidFill>
                </w14:textFill>
              </w:rPr>
              <w:t>02</w:t>
            </w:r>
            <w:r>
              <w:rPr>
                <w:rFonts w:hint="eastAsia" w:eastAsia="宋体"/>
                <w:color w:val="000000" w:themeColor="text1"/>
                <w:sz w:val="24"/>
                <w:szCs w:val="24"/>
                <w:highlight w:val="none"/>
                <w:lang w:eastAsia="zh-CN"/>
                <w14:textFill>
                  <w14:solidFill>
                    <w14:schemeClr w14:val="tx1"/>
                  </w14:solidFill>
                </w14:textFill>
              </w:rPr>
              <w:t>）排放</w:t>
            </w:r>
            <w:r>
              <w:rPr>
                <w:rFonts w:hint="eastAsia" w:eastAsia="宋体"/>
                <w:color w:val="000000" w:themeColor="text1"/>
                <w:sz w:val="24"/>
                <w:szCs w:val="24"/>
                <w:highlight w:val="none"/>
                <w:lang w:val="en-US" w:eastAsia="zh-CN"/>
                <w14:textFill>
                  <w14:solidFill>
                    <w14:schemeClr w14:val="tx1"/>
                  </w14:solidFill>
                </w14:textFill>
              </w:rPr>
              <w:t>。</w:t>
            </w:r>
            <w:r>
              <w:rPr>
                <w:rFonts w:hint="eastAsia" w:eastAsia="宋体"/>
                <w:color w:val="000000" w:themeColor="text1"/>
                <w:sz w:val="24"/>
                <w:szCs w:val="24"/>
                <w:highlight w:val="none"/>
                <w:lang w:eastAsia="zh-CN"/>
                <w14:textFill>
                  <w14:solidFill>
                    <w14:schemeClr w14:val="tx1"/>
                  </w14:solidFill>
                </w14:textFill>
              </w:rPr>
              <w:t>布袋除尘器</w:t>
            </w:r>
            <w:r>
              <w:rPr>
                <w:rFonts w:hint="eastAsia" w:eastAsia="宋体"/>
                <w:color w:val="000000" w:themeColor="text1"/>
                <w:sz w:val="24"/>
                <w:szCs w:val="24"/>
                <w:highlight w:val="none"/>
                <w:lang w:val="en-US" w:eastAsia="zh-CN"/>
                <w14:textFill>
                  <w14:solidFill>
                    <w14:schemeClr w14:val="tx1"/>
                  </w14:solidFill>
                </w14:textFill>
              </w:rPr>
              <w:t>处理效率为99%，</w:t>
            </w:r>
            <w:r>
              <w:rPr>
                <w:rFonts w:hint="eastAsia"/>
                <w:color w:val="000000" w:themeColor="text1"/>
                <w:sz w:val="24"/>
                <w:highlight w:val="none"/>
                <w:lang w:val="en-US" w:eastAsia="zh-CN"/>
                <w14:textFill>
                  <w14:solidFill>
                    <w14:schemeClr w14:val="tx1"/>
                  </w14:solidFill>
                </w14:textFill>
              </w:rPr>
              <w:t>根据计算，石膏打碎、除杂和粉碎废气</w:t>
            </w:r>
            <w:r>
              <w:rPr>
                <w:rFonts w:hint="eastAsia"/>
                <w:color w:val="000000" w:themeColor="text1"/>
                <w:sz w:val="24"/>
                <w:szCs w:val="24"/>
                <w:highlight w:val="none"/>
                <w:lang w:val="en-US" w:eastAsia="zh-CN"/>
                <w14:textFill>
                  <w14:solidFill>
                    <w14:schemeClr w14:val="tx1"/>
                  </w14:solidFill>
                </w14:textFill>
              </w:rPr>
              <w:t>污染物颗粒物有组织排放量为0.0003</w:t>
            </w:r>
            <w:r>
              <w:rPr>
                <w:rFonts w:hint="eastAsia" w:eastAsia="宋体"/>
                <w:color w:val="000000" w:themeColor="text1"/>
                <w:sz w:val="24"/>
                <w:szCs w:val="24"/>
                <w:highlight w:val="none"/>
                <w:lang w:eastAsia="zh-CN"/>
                <w14:textFill>
                  <w14:solidFill>
                    <w14:schemeClr w14:val="tx1"/>
                  </w14:solidFill>
                </w14:textFill>
              </w:rPr>
              <w:t>t/a，</w:t>
            </w:r>
            <w:r>
              <w:rPr>
                <w:rFonts w:hint="eastAsia" w:eastAsia="宋体"/>
                <w:color w:val="000000" w:themeColor="text1"/>
                <w:sz w:val="24"/>
                <w:szCs w:val="24"/>
                <w:highlight w:val="none"/>
                <w:lang w:val="en-US" w:eastAsia="zh-CN"/>
                <w14:textFill>
                  <w14:solidFill>
                    <w14:schemeClr w14:val="tx1"/>
                  </w14:solidFill>
                </w14:textFill>
              </w:rPr>
              <w:t>排放</w:t>
            </w:r>
            <w:r>
              <w:rPr>
                <w:rFonts w:hint="eastAsia" w:eastAsia="宋体"/>
                <w:color w:val="000000" w:themeColor="text1"/>
                <w:sz w:val="24"/>
                <w:szCs w:val="24"/>
                <w:highlight w:val="none"/>
                <w:lang w:eastAsia="zh-CN"/>
                <w14:textFill>
                  <w14:solidFill>
                    <w14:schemeClr w14:val="tx1"/>
                  </w14:solidFill>
                </w14:textFill>
              </w:rPr>
              <w:t>浓度</w:t>
            </w:r>
            <w:r>
              <w:rPr>
                <w:rFonts w:hint="eastAsia"/>
                <w:color w:val="000000" w:themeColor="text1"/>
                <w:sz w:val="24"/>
                <w:szCs w:val="24"/>
                <w:highlight w:val="none"/>
                <w:lang w:val="en-US" w:eastAsia="zh-CN"/>
                <w14:textFill>
                  <w14:solidFill>
                    <w14:schemeClr w14:val="tx1"/>
                  </w14:solidFill>
                </w14:textFill>
              </w:rPr>
              <w:t>0.08</w:t>
            </w:r>
            <w:r>
              <w:rPr>
                <w:rFonts w:hint="eastAsia" w:eastAsia="宋体"/>
                <w:color w:val="000000" w:themeColor="text1"/>
                <w:sz w:val="24"/>
                <w:szCs w:val="24"/>
                <w:highlight w:val="none"/>
                <w:lang w:eastAsia="zh-CN"/>
                <w14:textFill>
                  <w14:solidFill>
                    <w14:schemeClr w14:val="tx1"/>
                  </w14:solidFill>
                </w14:textFill>
              </w:rPr>
              <w:t>mg/m</w:t>
            </w:r>
            <w:r>
              <w:rPr>
                <w:rFonts w:hint="eastAsia" w:eastAsia="宋体"/>
                <w:color w:val="000000" w:themeColor="text1"/>
                <w:sz w:val="24"/>
                <w:szCs w:val="24"/>
                <w:highlight w:val="none"/>
                <w:vertAlign w:val="superscript"/>
                <w:lang w:eastAsia="zh-CN"/>
                <w14:textFill>
                  <w14:solidFill>
                    <w14:schemeClr w14:val="tx1"/>
                  </w14:solidFill>
                </w14:textFill>
              </w:rPr>
              <w:t>3</w:t>
            </w:r>
            <w:r>
              <w:rPr>
                <w:rFonts w:hint="eastAsia" w:eastAsia="宋体"/>
                <w:color w:val="000000" w:themeColor="text1"/>
                <w:sz w:val="24"/>
                <w:szCs w:val="24"/>
                <w:highlight w:val="none"/>
                <w:lang w:eastAsia="zh-CN"/>
                <w14:textFill>
                  <w14:solidFill>
                    <w14:schemeClr w14:val="tx1"/>
                  </w14:solidFill>
                </w14:textFill>
              </w:rPr>
              <w:t>，</w:t>
            </w:r>
            <w:r>
              <w:rPr>
                <w:rFonts w:hint="eastAsia" w:eastAsia="宋体"/>
                <w:color w:val="000000" w:themeColor="text1"/>
                <w:sz w:val="24"/>
                <w:szCs w:val="24"/>
                <w:highlight w:val="none"/>
                <w:lang w:val="en-US" w:eastAsia="zh-CN"/>
                <w14:textFill>
                  <w14:solidFill>
                    <w14:schemeClr w14:val="tx1"/>
                  </w14:solidFill>
                </w14:textFill>
              </w:rPr>
              <w:t>排放</w:t>
            </w:r>
            <w:r>
              <w:rPr>
                <w:rFonts w:hint="eastAsia" w:eastAsia="宋体"/>
                <w:color w:val="000000" w:themeColor="text1"/>
                <w:sz w:val="24"/>
                <w:szCs w:val="24"/>
                <w:highlight w:val="none"/>
                <w:lang w:eastAsia="zh-CN"/>
                <w14:textFill>
                  <w14:solidFill>
                    <w14:schemeClr w14:val="tx1"/>
                  </w14:solidFill>
                </w14:textFill>
              </w:rPr>
              <w:t>速率为</w:t>
            </w:r>
            <w:r>
              <w:rPr>
                <w:rFonts w:hint="eastAsia" w:eastAsia="宋体"/>
                <w:color w:val="000000" w:themeColor="text1"/>
                <w:sz w:val="24"/>
                <w:szCs w:val="24"/>
                <w:highlight w:val="none"/>
                <w:lang w:val="en-US" w:eastAsia="zh-CN"/>
                <w14:textFill>
                  <w14:solidFill>
                    <w14:schemeClr w14:val="tx1"/>
                  </w14:solidFill>
                </w14:textFill>
              </w:rPr>
              <w:t>0.00</w:t>
            </w:r>
            <w:r>
              <w:rPr>
                <w:rFonts w:hint="eastAsia"/>
                <w:color w:val="000000" w:themeColor="text1"/>
                <w:sz w:val="24"/>
                <w:szCs w:val="24"/>
                <w:highlight w:val="none"/>
                <w:lang w:val="en-US" w:eastAsia="zh-CN"/>
                <w14:textFill>
                  <w14:solidFill>
                    <w14:schemeClr w14:val="tx1"/>
                  </w14:solidFill>
                </w14:textFill>
              </w:rPr>
              <w:t>03</w:t>
            </w:r>
            <w:r>
              <w:rPr>
                <w:rFonts w:hint="eastAsia" w:eastAsia="宋体"/>
                <w:color w:val="000000" w:themeColor="text1"/>
                <w:sz w:val="24"/>
                <w:szCs w:val="24"/>
                <w:highlight w:val="none"/>
                <w:lang w:eastAsia="zh-CN"/>
                <w14:textFill>
                  <w14:solidFill>
                    <w14:schemeClr w14:val="tx1"/>
                  </w14:solidFill>
                </w14:textFill>
              </w:rPr>
              <w:t>kg/h；</w:t>
            </w:r>
            <w:r>
              <w:rPr>
                <w:rFonts w:hint="eastAsia" w:eastAsia="宋体"/>
                <w:color w:val="000000" w:themeColor="text1"/>
                <w:sz w:val="24"/>
                <w:szCs w:val="24"/>
                <w:highlight w:val="none"/>
                <w:lang w:val="en-US" w:eastAsia="zh-CN"/>
                <w14:textFill>
                  <w14:solidFill>
                    <w14:schemeClr w14:val="tx1"/>
                  </w14:solidFill>
                </w14:textFill>
              </w:rPr>
              <w:t>无组织排放量为0.0</w:t>
            </w:r>
            <w:r>
              <w:rPr>
                <w:rFonts w:hint="eastAsia"/>
                <w:color w:val="000000" w:themeColor="text1"/>
                <w:sz w:val="24"/>
                <w:szCs w:val="24"/>
                <w:highlight w:val="none"/>
                <w:lang w:val="en-US" w:eastAsia="zh-CN"/>
                <w14:textFill>
                  <w14:solidFill>
                    <w14:schemeClr w14:val="tx1"/>
                  </w14:solidFill>
                </w14:textFill>
              </w:rPr>
              <w:t>069</w:t>
            </w:r>
            <w:r>
              <w:rPr>
                <w:rFonts w:hint="eastAsia" w:eastAsia="宋体"/>
                <w:color w:val="000000" w:themeColor="text1"/>
                <w:sz w:val="24"/>
                <w:szCs w:val="24"/>
                <w:highlight w:val="none"/>
                <w:lang w:eastAsia="zh-CN"/>
                <w14:textFill>
                  <w14:solidFill>
                    <w14:schemeClr w14:val="tx1"/>
                  </w14:solidFill>
                </w14:textFill>
              </w:rPr>
              <w:t>t/a，</w:t>
            </w:r>
            <w:r>
              <w:rPr>
                <w:rFonts w:hint="eastAsia" w:eastAsia="宋体"/>
                <w:color w:val="000000" w:themeColor="text1"/>
                <w:sz w:val="24"/>
                <w:szCs w:val="24"/>
                <w:highlight w:val="none"/>
                <w:lang w:val="en-US" w:eastAsia="zh-CN"/>
                <w14:textFill>
                  <w14:solidFill>
                    <w14:schemeClr w14:val="tx1"/>
                  </w14:solidFill>
                </w14:textFill>
              </w:rPr>
              <w:t>排放速率为0.0</w:t>
            </w:r>
            <w:r>
              <w:rPr>
                <w:rFonts w:hint="eastAsia"/>
                <w:color w:val="000000" w:themeColor="text1"/>
                <w:sz w:val="24"/>
                <w:szCs w:val="24"/>
                <w:highlight w:val="none"/>
                <w:lang w:val="en-US" w:eastAsia="zh-CN"/>
                <w14:textFill>
                  <w14:solidFill>
                    <w14:schemeClr w14:val="tx1"/>
                  </w14:solidFill>
                </w14:textFill>
              </w:rPr>
              <w:t>069</w:t>
            </w:r>
            <w:r>
              <w:rPr>
                <w:rFonts w:hint="eastAsia" w:eastAsia="宋体"/>
                <w:color w:val="000000" w:themeColor="text1"/>
                <w:sz w:val="24"/>
                <w:szCs w:val="24"/>
                <w:highlight w:val="none"/>
                <w:lang w:eastAsia="zh-CN"/>
                <w14:textFill>
                  <w14:solidFill>
                    <w14:schemeClr w14:val="tx1"/>
                  </w14:solidFill>
                </w14:textFill>
              </w:rPr>
              <w:t>kg/h</w:t>
            </w:r>
            <w:r>
              <w:rPr>
                <w:rFonts w:hint="eastAsia"/>
                <w:color w:val="000000" w:themeColor="text1"/>
                <w:sz w:val="24"/>
                <w:szCs w:val="24"/>
                <w:highlight w:val="none"/>
                <w:lang w:val="en-US" w:eastAsia="zh-CN"/>
                <w14:textFill>
                  <w14:solidFill>
                    <w14:schemeClr w14:val="tx1"/>
                  </w14:solidFill>
                </w14:textFill>
              </w:rPr>
              <w:t>。</w:t>
            </w:r>
          </w:p>
          <w:p w14:paraId="4DA95B8F">
            <w:pPr>
              <w:keepNext w:val="0"/>
              <w:keepLines w:val="0"/>
              <w:suppressLineNumbers w:val="0"/>
              <w:adjustRightInd w:val="0"/>
              <w:snapToGrid w:val="0"/>
              <w:spacing w:before="0" w:beforeAutospacing="0" w:after="0" w:afterAutospacing="0" w:line="360" w:lineRule="auto"/>
              <w:ind w:left="0" w:right="0" w:firstLine="480" w:firstLineChars="200"/>
              <w:rPr>
                <w:rFonts w:hint="eastAsia"/>
                <w:color w:val="000000" w:themeColor="text1"/>
                <w:sz w:val="24"/>
                <w:szCs w:val="24"/>
                <w:highlight w:val="none"/>
                <w:lang w:val="en-US" w:eastAsia="zh-CN"/>
                <w14:textFill>
                  <w14:solidFill>
                    <w14:schemeClr w14:val="tx1"/>
                  </w14:solidFill>
                </w14:textFill>
              </w:rPr>
            </w:pPr>
          </w:p>
          <w:p w14:paraId="0907D0CC">
            <w:pPr>
              <w:keepNext w:val="0"/>
              <w:keepLines w:val="0"/>
              <w:suppressLineNumbers w:val="0"/>
              <w:bidi w:val="0"/>
              <w:spacing w:before="0" w:beforeAutospacing="0" w:after="0" w:afterAutospacing="0"/>
              <w:ind w:left="0" w:right="0"/>
              <w:rPr>
                <w:rFonts w:hint="eastAsia"/>
                <w:lang w:val="en-US" w:eastAsia="zh-CN"/>
              </w:rPr>
            </w:pPr>
          </w:p>
          <w:p w14:paraId="2336F0B9">
            <w:pPr>
              <w:keepNext w:val="0"/>
              <w:keepLines w:val="0"/>
              <w:pageBreakBefore w:val="0"/>
              <w:widowControl w:val="0"/>
              <w:numPr>
                <w:ilvl w:val="0"/>
                <w:numId w:val="26"/>
              </w:numPr>
              <w:suppressLineNumbers w:val="0"/>
              <w:kinsoku/>
              <w:wordWrap/>
              <w:overflowPunct/>
              <w:topLinePunct w:val="0"/>
              <w:autoSpaceDE/>
              <w:autoSpaceDN/>
              <w:bidi w:val="0"/>
              <w:adjustRightInd/>
              <w:snapToGrid w:val="0"/>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石膏打碎、除杂和粉碎废气</w:t>
            </w:r>
            <w:r>
              <w:rPr>
                <w:rFonts w:hint="eastAsia" w:cs="Times New Roman"/>
                <w:b/>
                <w:bCs/>
                <w:color w:val="000000" w:themeColor="text1"/>
                <w:sz w:val="21"/>
                <w:szCs w:val="21"/>
                <w:highlight w:val="none"/>
                <w:lang w:val="en-US" w:eastAsia="zh-CN"/>
                <w14:textFill>
                  <w14:solidFill>
                    <w14:schemeClr w14:val="tx1"/>
                  </w14:solidFill>
                </w14:textFill>
              </w:rPr>
              <w:t>污染物颗粒物</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产排情况</w:t>
            </w:r>
          </w:p>
          <w:tbl>
            <w:tblPr>
              <w:tblStyle w:val="35"/>
              <w:tblW w:w="4997"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65"/>
              <w:gridCol w:w="755"/>
              <w:gridCol w:w="594"/>
              <w:gridCol w:w="867"/>
              <w:gridCol w:w="867"/>
              <w:gridCol w:w="832"/>
              <w:gridCol w:w="1374"/>
              <w:gridCol w:w="872"/>
              <w:gridCol w:w="868"/>
              <w:gridCol w:w="868"/>
            </w:tblGrid>
            <w:tr w14:paraId="242FD77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PrEx>
              <w:trPr>
                <w:jc w:val="center"/>
              </w:trPr>
              <w:tc>
                <w:tcPr>
                  <w:tcW w:w="278" w:type="pct"/>
                  <w:tcBorders>
                    <w:tl2br w:val="nil"/>
                    <w:tr2bl w:val="nil"/>
                  </w:tcBorders>
                  <w:noWrap w:val="0"/>
                  <w:vAlign w:val="center"/>
                </w:tcPr>
                <w:p w14:paraId="3E98ED51">
                  <w:pPr>
                    <w:pStyle w:val="31"/>
                    <w:keepNext w:val="0"/>
                    <w:keepLines w:val="0"/>
                    <w:suppressLineNumbers w:val="0"/>
                    <w:spacing w:before="0" w:beforeAutospacing="0" w:after="0" w:afterAutospacing="0"/>
                    <w:ind w:left="0" w:right="0"/>
                    <w:jc w:val="center"/>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排放形式</w:t>
                  </w:r>
                </w:p>
              </w:tc>
              <w:tc>
                <w:tcPr>
                  <w:tcW w:w="451" w:type="pct"/>
                  <w:tcBorders>
                    <w:tl2br w:val="nil"/>
                    <w:tr2bl w:val="nil"/>
                  </w:tcBorders>
                  <w:noWrap w:val="0"/>
                  <w:vAlign w:val="center"/>
                </w:tcPr>
                <w:p w14:paraId="1B1B9647">
                  <w:pPr>
                    <w:pStyle w:val="31"/>
                    <w:keepNext w:val="0"/>
                    <w:keepLines w:val="0"/>
                    <w:suppressLineNumbers w:val="0"/>
                    <w:spacing w:before="0" w:beforeAutospacing="0" w:after="0" w:afterAutospacing="0"/>
                    <w:ind w:left="0" w:right="0"/>
                    <w:jc w:val="center"/>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产污</w:t>
                  </w:r>
                </w:p>
                <w:p w14:paraId="6AD23414">
                  <w:pPr>
                    <w:pStyle w:val="31"/>
                    <w:keepNext w:val="0"/>
                    <w:keepLines w:val="0"/>
                    <w:suppressLineNumbers w:val="0"/>
                    <w:spacing w:before="0" w:beforeAutospacing="0" w:after="0" w:afterAutospacing="0"/>
                    <w:ind w:left="0" w:right="0"/>
                    <w:jc w:val="center"/>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环节</w:t>
                  </w:r>
                </w:p>
              </w:tc>
              <w:tc>
                <w:tcPr>
                  <w:tcW w:w="355" w:type="pct"/>
                  <w:tcBorders>
                    <w:tl2br w:val="nil"/>
                    <w:tr2bl w:val="nil"/>
                  </w:tcBorders>
                  <w:noWrap w:val="0"/>
                  <w:vAlign w:val="center"/>
                </w:tcPr>
                <w:p w14:paraId="4189D323">
                  <w:pPr>
                    <w:pStyle w:val="31"/>
                    <w:keepNext w:val="0"/>
                    <w:keepLines w:val="0"/>
                    <w:suppressLineNumbers w:val="0"/>
                    <w:spacing w:before="0" w:beforeAutospacing="0" w:after="0" w:afterAutospacing="0"/>
                    <w:ind w:left="0" w:right="0"/>
                    <w:jc w:val="center"/>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污染物名称</w:t>
                  </w:r>
                </w:p>
              </w:tc>
              <w:tc>
                <w:tcPr>
                  <w:tcW w:w="518" w:type="pct"/>
                  <w:tcBorders>
                    <w:tl2br w:val="nil"/>
                    <w:tr2bl w:val="nil"/>
                  </w:tcBorders>
                  <w:shd w:val="clear" w:color="auto" w:fill="auto"/>
                  <w:noWrap w:val="0"/>
                  <w:vAlign w:val="center"/>
                </w:tcPr>
                <w:p w14:paraId="6FAC2F34">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eastAsia="宋体" w:cs="Times New Roman"/>
                      <w:b/>
                      <w:bCs/>
                      <w:color w:val="000000" w:themeColor="text1"/>
                      <w:kern w:val="2"/>
                      <w:sz w:val="21"/>
                      <w:szCs w:val="21"/>
                      <w:highlight w:val="none"/>
                      <w:lang w:val="en-US" w:eastAsia="zh-CN" w:bidi="ar-SA"/>
                      <w14:textFill>
                        <w14:solidFill>
                          <w14:schemeClr w14:val="tx1"/>
                        </w14:solidFill>
                      </w14:textFill>
                    </w:rPr>
                    <w:t>产生速率</w:t>
                  </w: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kg/h</w:t>
                  </w:r>
                </w:p>
              </w:tc>
              <w:tc>
                <w:tcPr>
                  <w:tcW w:w="518" w:type="pct"/>
                  <w:tcBorders>
                    <w:tl2br w:val="nil"/>
                    <w:tr2bl w:val="nil"/>
                  </w:tcBorders>
                  <w:noWrap w:val="0"/>
                  <w:vAlign w:val="center"/>
                </w:tcPr>
                <w:p w14:paraId="2A0A873A">
                  <w:pPr>
                    <w:pStyle w:val="31"/>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产生</w:t>
                  </w:r>
                  <w:r>
                    <w:rPr>
                      <w:rFonts w:hint="eastAsia"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量</w:t>
                  </w:r>
                </w:p>
                <w:p w14:paraId="23943162">
                  <w:pPr>
                    <w:pStyle w:val="31"/>
                    <w:keepNext w:val="0"/>
                    <w:keepLines w:val="0"/>
                    <w:suppressLineNumbers w:val="0"/>
                    <w:spacing w:before="0" w:beforeAutospacing="0" w:after="0" w:afterAutospacing="0"/>
                    <w:ind w:left="0" w:right="0"/>
                    <w:jc w:val="center"/>
                    <w:rPr>
                      <w:rFonts w:hint="default"/>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t/a</w:t>
                  </w:r>
                </w:p>
              </w:tc>
              <w:tc>
                <w:tcPr>
                  <w:tcW w:w="497" w:type="pct"/>
                  <w:tcBorders>
                    <w:tl2br w:val="nil"/>
                    <w:tr2bl w:val="nil"/>
                  </w:tcBorders>
                  <w:noWrap w:val="0"/>
                  <w:vAlign w:val="center"/>
                </w:tcPr>
                <w:p w14:paraId="45AB53CB">
                  <w:pPr>
                    <w:pStyle w:val="3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cs="Times New Roman"/>
                      <w:b/>
                      <w:bCs/>
                      <w:color w:val="000000" w:themeColor="text1"/>
                      <w:kern w:val="2"/>
                      <w:sz w:val="21"/>
                      <w:szCs w:val="21"/>
                      <w:highlight w:val="none"/>
                      <w:lang w:val="en-US" w:eastAsia="zh-CN" w:bidi="ar-SA"/>
                      <w14:textFill>
                        <w14:solidFill>
                          <w14:schemeClr w14:val="tx1"/>
                        </w14:solidFill>
                      </w14:textFill>
                    </w:rPr>
                    <w:t>工业废气量</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Nm</w:t>
                  </w:r>
                  <w:r>
                    <w:rPr>
                      <w:rFonts w:hint="default" w:ascii="Times New Roman" w:hAnsi="Times New Roman" w:eastAsia="宋体" w:cs="Times New Roman"/>
                      <w:color w:val="000000" w:themeColor="text1"/>
                      <w:kern w:val="0"/>
                      <w:sz w:val="21"/>
                      <w:szCs w:val="21"/>
                      <w:highlight w:val="none"/>
                      <w:vertAlign w:val="superscript"/>
                      <w14:textFill>
                        <w14:solidFill>
                          <w14:schemeClr w14:val="tx1"/>
                        </w14:solidFill>
                      </w14:textFill>
                    </w:rPr>
                    <w:t>3</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/h</w:t>
                  </w:r>
                </w:p>
              </w:tc>
              <w:tc>
                <w:tcPr>
                  <w:tcW w:w="821" w:type="pct"/>
                  <w:tcBorders>
                    <w:tl2br w:val="nil"/>
                    <w:tr2bl w:val="nil"/>
                  </w:tcBorders>
                  <w:noWrap w:val="0"/>
                  <w:vAlign w:val="center"/>
                </w:tcPr>
                <w:p w14:paraId="5C3E2D2E">
                  <w:pPr>
                    <w:pStyle w:val="31"/>
                    <w:keepNext w:val="0"/>
                    <w:keepLines w:val="0"/>
                    <w:suppressLineNumbers w:val="0"/>
                    <w:spacing w:before="0" w:beforeAutospacing="0" w:after="0" w:afterAutospacing="0"/>
                    <w:ind w:left="0" w:right="0"/>
                    <w:jc w:val="center"/>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治理措施</w:t>
                  </w:r>
                </w:p>
              </w:tc>
              <w:tc>
                <w:tcPr>
                  <w:tcW w:w="521" w:type="pct"/>
                  <w:tcBorders>
                    <w:tl2br w:val="nil"/>
                    <w:tr2bl w:val="nil"/>
                  </w:tcBorders>
                  <w:noWrap w:val="0"/>
                  <w:vAlign w:val="center"/>
                </w:tcPr>
                <w:p w14:paraId="016597BB">
                  <w:pPr>
                    <w:pStyle w:val="31"/>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排放浓度mg/</w:t>
                  </w: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m</w:t>
                  </w:r>
                  <w:r>
                    <w:rPr>
                      <w:rFonts w:hint="default" w:ascii="Times New Roman" w:hAnsi="Times New Roman" w:eastAsia="宋体" w:cs="Times New Roman"/>
                      <w:b/>
                      <w:bCs/>
                      <w:color w:val="000000" w:themeColor="text1"/>
                      <w:kern w:val="0"/>
                      <w:sz w:val="21"/>
                      <w:szCs w:val="21"/>
                      <w:highlight w:val="none"/>
                      <w:vertAlign w:val="superscript"/>
                      <w:lang w:val="en-US" w:eastAsia="zh-CN" w:bidi="ar-SA"/>
                      <w14:textFill>
                        <w14:solidFill>
                          <w14:schemeClr w14:val="tx1"/>
                        </w14:solidFill>
                      </w14:textFill>
                    </w:rPr>
                    <w:t>3</w:t>
                  </w:r>
                </w:p>
              </w:tc>
              <w:tc>
                <w:tcPr>
                  <w:tcW w:w="518" w:type="pct"/>
                  <w:tcBorders>
                    <w:tl2br w:val="nil"/>
                    <w:tr2bl w:val="nil"/>
                  </w:tcBorders>
                  <w:shd w:val="clear" w:color="auto" w:fill="auto"/>
                  <w:noWrap w:val="0"/>
                  <w:vAlign w:val="center"/>
                </w:tcPr>
                <w:p w14:paraId="36966414">
                  <w:pPr>
                    <w:pStyle w:val="31"/>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排放速率</w:t>
                  </w: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kg/h</w:t>
                  </w:r>
                </w:p>
              </w:tc>
              <w:tc>
                <w:tcPr>
                  <w:tcW w:w="518" w:type="pct"/>
                  <w:tcBorders>
                    <w:tl2br w:val="nil"/>
                    <w:tr2bl w:val="nil"/>
                  </w:tcBorders>
                  <w:shd w:val="clear" w:color="auto" w:fill="auto"/>
                  <w:noWrap w:val="0"/>
                  <w:vAlign w:val="center"/>
                </w:tcPr>
                <w:p w14:paraId="522F0025">
                  <w:pPr>
                    <w:pStyle w:val="31"/>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排放</w:t>
                  </w:r>
                  <w:r>
                    <w:rPr>
                      <w:rFonts w:hint="eastAsia"/>
                      <w:b/>
                      <w:bCs/>
                      <w:color w:val="000000" w:themeColor="text1"/>
                      <w:sz w:val="21"/>
                      <w:szCs w:val="21"/>
                      <w:highlight w:val="none"/>
                      <w:lang w:eastAsia="zh-CN"/>
                      <w14:textFill>
                        <w14:solidFill>
                          <w14:schemeClr w14:val="tx1"/>
                        </w14:solidFill>
                      </w14:textFill>
                    </w:rPr>
                    <w:t>量</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t/a</w:t>
                  </w:r>
                </w:p>
              </w:tc>
            </w:tr>
            <w:tr w14:paraId="1E7C4A5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15" w:hRule="atLeast"/>
                <w:jc w:val="center"/>
              </w:trPr>
              <w:tc>
                <w:tcPr>
                  <w:tcW w:w="278" w:type="pct"/>
                  <w:tcBorders>
                    <w:tl2br w:val="nil"/>
                    <w:tr2bl w:val="nil"/>
                  </w:tcBorders>
                  <w:noWrap w:val="0"/>
                  <w:vAlign w:val="center"/>
                </w:tcPr>
                <w:p w14:paraId="7DB0B138">
                  <w:pPr>
                    <w:pStyle w:val="31"/>
                    <w:keepNext w:val="0"/>
                    <w:keepLines w:val="0"/>
                    <w:suppressLineNumbers w:val="0"/>
                    <w:spacing w:before="0" w:beforeAutospacing="0" w:after="0" w:afterAutospacing="0"/>
                    <w:ind w:left="0" w:leftChars="0" w:right="0" w:rightChars="0"/>
                    <w:jc w:val="center"/>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有组织</w:t>
                  </w:r>
                </w:p>
              </w:tc>
              <w:tc>
                <w:tcPr>
                  <w:tcW w:w="451" w:type="pct"/>
                  <w:tcBorders>
                    <w:tl2br w:val="nil"/>
                    <w:tr2bl w:val="nil"/>
                  </w:tcBorders>
                  <w:noWrap w:val="0"/>
                  <w:vAlign w:val="center"/>
                </w:tcPr>
                <w:p w14:paraId="7A9F9D86">
                  <w:pPr>
                    <w:pStyle w:val="31"/>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石膏打碎、除杂和粉碎</w:t>
                  </w:r>
                </w:p>
              </w:tc>
              <w:tc>
                <w:tcPr>
                  <w:tcW w:w="355" w:type="pct"/>
                  <w:tcBorders>
                    <w:tl2br w:val="nil"/>
                    <w:tr2bl w:val="nil"/>
                  </w:tcBorders>
                  <w:noWrap w:val="0"/>
                  <w:vAlign w:val="center"/>
                </w:tcPr>
                <w:p w14:paraId="13A68BB9">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color w:val="000000" w:themeColor="text1"/>
                      <w:sz w:val="21"/>
                      <w:szCs w:val="21"/>
                      <w:highlight w:val="none"/>
                      <w14:textFill>
                        <w14:solidFill>
                          <w14:schemeClr w14:val="tx1"/>
                        </w14:solidFill>
                      </w14:textFill>
                    </w:rPr>
                    <w:t>颗粒物</w:t>
                  </w:r>
                </w:p>
              </w:tc>
              <w:tc>
                <w:tcPr>
                  <w:tcW w:w="518" w:type="pct"/>
                  <w:tcBorders>
                    <w:tl2br w:val="nil"/>
                    <w:tr2bl w:val="nil"/>
                  </w:tcBorders>
                  <w:shd w:val="clear" w:color="auto" w:fill="auto"/>
                  <w:noWrap w:val="0"/>
                  <w:vAlign w:val="center"/>
                </w:tcPr>
                <w:p w14:paraId="63D438AD">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bidi="ar"/>
                      <w14:textFill>
                        <w14:solidFill>
                          <w14:schemeClr w14:val="tx1"/>
                        </w14:solidFill>
                      </w14:textFill>
                    </w:rPr>
                    <w:t>0.0</w:t>
                  </w:r>
                  <w:r>
                    <w:rPr>
                      <w:rFonts w:hint="eastAsia" w:cs="Times New Roman"/>
                      <w:color w:val="000000" w:themeColor="text1"/>
                      <w:kern w:val="2"/>
                      <w:sz w:val="21"/>
                      <w:szCs w:val="21"/>
                      <w:highlight w:val="none"/>
                      <w:lang w:val="en-US" w:eastAsia="zh-CN" w:bidi="ar"/>
                      <w14:textFill>
                        <w14:solidFill>
                          <w14:schemeClr w14:val="tx1"/>
                        </w14:solidFill>
                      </w14:textFill>
                    </w:rPr>
                    <w:t>276</w:t>
                  </w:r>
                </w:p>
              </w:tc>
              <w:tc>
                <w:tcPr>
                  <w:tcW w:w="518" w:type="pct"/>
                  <w:tcBorders>
                    <w:tl2br w:val="nil"/>
                    <w:tr2bl w:val="nil"/>
                  </w:tcBorders>
                  <w:noWrap w:val="0"/>
                  <w:vAlign w:val="center"/>
                </w:tcPr>
                <w:p w14:paraId="749D62C4">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bidi="ar"/>
                      <w14:textFill>
                        <w14:solidFill>
                          <w14:schemeClr w14:val="tx1"/>
                        </w14:solidFill>
                      </w14:textFill>
                    </w:rPr>
                    <w:t>0.02</w:t>
                  </w:r>
                  <w:r>
                    <w:rPr>
                      <w:rFonts w:hint="eastAsia" w:cs="Times New Roman"/>
                      <w:color w:val="000000" w:themeColor="text1"/>
                      <w:kern w:val="2"/>
                      <w:sz w:val="21"/>
                      <w:szCs w:val="21"/>
                      <w:highlight w:val="none"/>
                      <w:lang w:val="en-US" w:eastAsia="zh-CN" w:bidi="ar"/>
                      <w14:textFill>
                        <w14:solidFill>
                          <w14:schemeClr w14:val="tx1"/>
                        </w14:solidFill>
                      </w14:textFill>
                    </w:rPr>
                    <w:t>76</w:t>
                  </w:r>
                </w:p>
              </w:tc>
              <w:tc>
                <w:tcPr>
                  <w:tcW w:w="497" w:type="pct"/>
                  <w:tcBorders>
                    <w:tl2br w:val="nil"/>
                    <w:tr2bl w:val="nil"/>
                  </w:tcBorders>
                  <w:noWrap w:val="0"/>
                  <w:vAlign w:val="center"/>
                </w:tcPr>
                <w:p w14:paraId="6EC403D8">
                  <w:pPr>
                    <w:pStyle w:val="31"/>
                    <w:keepNext w:val="0"/>
                    <w:keepLines w:val="0"/>
                    <w:suppressLineNumbers w:val="0"/>
                    <w:spacing w:before="0" w:beforeAutospacing="0" w:after="0" w:afterAutospacing="0"/>
                    <w:ind w:left="0" w:leftChars="0" w:right="0" w:rightChars="0"/>
                    <w:jc w:val="center"/>
                    <w:rPr>
                      <w:rFonts w:hint="default" w:cs="Times New Roman"/>
                      <w:color w:val="000000" w:themeColor="text1"/>
                      <w:kern w:val="2"/>
                      <w:sz w:val="21"/>
                      <w:szCs w:val="21"/>
                      <w:highlight w:val="none"/>
                      <w:lang w:val="en-US" w:eastAsia="zh-CN" w:bidi="ar"/>
                      <w14:textFill>
                        <w14:solidFill>
                          <w14:schemeClr w14:val="tx1"/>
                        </w14:solidFill>
                      </w14:textFill>
                    </w:rPr>
                  </w:pPr>
                  <w:r>
                    <w:rPr>
                      <w:rFonts w:hint="eastAsia" w:cs="Times New Roman"/>
                      <w:color w:val="000000" w:themeColor="text1"/>
                      <w:kern w:val="2"/>
                      <w:sz w:val="21"/>
                      <w:szCs w:val="21"/>
                      <w:highlight w:val="none"/>
                      <w:lang w:val="en-US" w:eastAsia="zh-CN" w:bidi="ar"/>
                      <w14:textFill>
                        <w14:solidFill>
                          <w14:schemeClr w14:val="tx1"/>
                        </w14:solidFill>
                      </w14:textFill>
                    </w:rPr>
                    <w:t>3500</w:t>
                  </w:r>
                </w:p>
              </w:tc>
              <w:tc>
                <w:tcPr>
                  <w:tcW w:w="821" w:type="pct"/>
                  <w:tcBorders>
                    <w:tl2br w:val="nil"/>
                    <w:tr2bl w:val="nil"/>
                  </w:tcBorders>
                  <w:noWrap w:val="0"/>
                  <w:vAlign w:val="center"/>
                </w:tcPr>
                <w:p w14:paraId="0579568C">
                  <w:pPr>
                    <w:pStyle w:val="31"/>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上吸式集气罩</w:t>
                  </w:r>
                  <w:r>
                    <w:rPr>
                      <w:rFonts w:hint="default"/>
                      <w:color w:val="000000" w:themeColor="text1"/>
                      <w:sz w:val="21"/>
                      <w:szCs w:val="21"/>
                      <w:highlight w:val="none"/>
                      <w14:textFill>
                        <w14:solidFill>
                          <w14:schemeClr w14:val="tx1"/>
                        </w14:solidFill>
                      </w14:textFill>
                    </w:rPr>
                    <w:t>+布袋除尘器（TA00</w:t>
                  </w:r>
                  <w:r>
                    <w:rPr>
                      <w:rFonts w:hint="eastAsia"/>
                      <w:color w:val="000000" w:themeColor="text1"/>
                      <w:sz w:val="21"/>
                      <w:szCs w:val="21"/>
                      <w:highlight w:val="none"/>
                      <w:lang w:val="en-US" w:eastAsia="zh-CN"/>
                      <w14:textFill>
                        <w14:solidFill>
                          <w14:schemeClr w14:val="tx1"/>
                        </w14:solidFill>
                      </w14:textFill>
                    </w:rPr>
                    <w:t>2</w:t>
                  </w:r>
                  <w:r>
                    <w:rPr>
                      <w:rFonts w:hint="default"/>
                      <w:color w:val="000000" w:themeColor="text1"/>
                      <w:sz w:val="21"/>
                      <w:szCs w:val="21"/>
                      <w:highlight w:val="none"/>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不低于</w:t>
                  </w:r>
                  <w:r>
                    <w:rPr>
                      <w:rFonts w:hint="eastAsia"/>
                      <w:color w:val="000000" w:themeColor="text1"/>
                      <w:sz w:val="21"/>
                      <w:szCs w:val="21"/>
                      <w:highlight w:val="none"/>
                      <w:lang w:eastAsia="zh-CN"/>
                      <w14:textFill>
                        <w14:solidFill>
                          <w14:schemeClr w14:val="tx1"/>
                        </w14:solidFill>
                      </w14:textFill>
                    </w:rPr>
                    <w:t>15m</w:t>
                  </w:r>
                  <w:r>
                    <w:rPr>
                      <w:rFonts w:hint="default"/>
                      <w:color w:val="000000" w:themeColor="text1"/>
                      <w:sz w:val="21"/>
                      <w:szCs w:val="21"/>
                      <w:highlight w:val="none"/>
                      <w14:textFill>
                        <w14:solidFill>
                          <w14:schemeClr w14:val="tx1"/>
                        </w14:solidFill>
                      </w14:textFill>
                    </w:rPr>
                    <w:t>高排气筒（DA0</w:t>
                  </w:r>
                  <w:r>
                    <w:rPr>
                      <w:rFonts w:hint="eastAsia"/>
                      <w:color w:val="000000" w:themeColor="text1"/>
                      <w:sz w:val="21"/>
                      <w:szCs w:val="21"/>
                      <w:highlight w:val="none"/>
                      <w:lang w:val="en-US" w:eastAsia="zh-CN"/>
                      <w14:textFill>
                        <w14:solidFill>
                          <w14:schemeClr w14:val="tx1"/>
                        </w14:solidFill>
                      </w14:textFill>
                    </w:rPr>
                    <w:t>02</w:t>
                  </w:r>
                  <w:r>
                    <w:rPr>
                      <w:rFonts w:hint="default"/>
                      <w:color w:val="000000" w:themeColor="text1"/>
                      <w:sz w:val="21"/>
                      <w:szCs w:val="21"/>
                      <w:highlight w:val="none"/>
                      <w14:textFill>
                        <w14:solidFill>
                          <w14:schemeClr w14:val="tx1"/>
                        </w14:solidFill>
                      </w14:textFill>
                    </w:rPr>
                    <w:t>）</w:t>
                  </w:r>
                </w:p>
              </w:tc>
              <w:tc>
                <w:tcPr>
                  <w:tcW w:w="521" w:type="pct"/>
                  <w:tcBorders>
                    <w:tl2br w:val="nil"/>
                    <w:tr2bl w:val="nil"/>
                  </w:tcBorders>
                  <w:noWrap w:val="0"/>
                  <w:vAlign w:val="center"/>
                </w:tcPr>
                <w:p w14:paraId="17726681">
                  <w:pPr>
                    <w:pStyle w:val="31"/>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bidi="ar"/>
                      <w14:textFill>
                        <w14:solidFill>
                          <w14:schemeClr w14:val="tx1"/>
                        </w14:solidFill>
                      </w14:textFill>
                    </w:rPr>
                    <w:t>0.0</w:t>
                  </w:r>
                  <w:r>
                    <w:rPr>
                      <w:rFonts w:hint="eastAsia" w:cs="Times New Roman"/>
                      <w:color w:val="000000" w:themeColor="text1"/>
                      <w:kern w:val="2"/>
                      <w:sz w:val="21"/>
                      <w:szCs w:val="21"/>
                      <w:highlight w:val="none"/>
                      <w:lang w:val="en-US" w:eastAsia="zh-CN" w:bidi="ar"/>
                      <w14:textFill>
                        <w14:solidFill>
                          <w14:schemeClr w14:val="tx1"/>
                        </w14:solidFill>
                      </w14:textFill>
                    </w:rPr>
                    <w:t>8</w:t>
                  </w:r>
                </w:p>
              </w:tc>
              <w:tc>
                <w:tcPr>
                  <w:tcW w:w="518" w:type="pct"/>
                  <w:tcBorders>
                    <w:tl2br w:val="nil"/>
                    <w:tr2bl w:val="nil"/>
                  </w:tcBorders>
                  <w:shd w:val="clear" w:color="auto" w:fill="auto"/>
                  <w:noWrap w:val="0"/>
                  <w:vAlign w:val="center"/>
                </w:tcPr>
                <w:p w14:paraId="48A94023">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bidi="ar"/>
                      <w14:textFill>
                        <w14:solidFill>
                          <w14:schemeClr w14:val="tx1"/>
                        </w14:solidFill>
                      </w14:textFill>
                    </w:rPr>
                    <w:t>0.0003</w:t>
                  </w:r>
                </w:p>
              </w:tc>
              <w:tc>
                <w:tcPr>
                  <w:tcW w:w="518" w:type="pct"/>
                  <w:tcBorders>
                    <w:tl2br w:val="nil"/>
                    <w:tr2bl w:val="nil"/>
                  </w:tcBorders>
                  <w:shd w:val="clear" w:color="auto" w:fill="auto"/>
                  <w:noWrap w:val="0"/>
                  <w:vAlign w:val="center"/>
                </w:tcPr>
                <w:p w14:paraId="3D9A8DAA">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bidi="ar"/>
                      <w14:textFill>
                        <w14:solidFill>
                          <w14:schemeClr w14:val="tx1"/>
                        </w14:solidFill>
                      </w14:textFill>
                    </w:rPr>
                    <w:t>0.000</w:t>
                  </w:r>
                  <w:r>
                    <w:rPr>
                      <w:rFonts w:hint="eastAsia" w:cs="Times New Roman"/>
                      <w:color w:val="000000" w:themeColor="text1"/>
                      <w:kern w:val="2"/>
                      <w:sz w:val="21"/>
                      <w:szCs w:val="21"/>
                      <w:highlight w:val="none"/>
                      <w:lang w:val="en-US" w:eastAsia="zh-CN" w:bidi="ar"/>
                      <w14:textFill>
                        <w14:solidFill>
                          <w14:schemeClr w14:val="tx1"/>
                        </w14:solidFill>
                      </w14:textFill>
                    </w:rPr>
                    <w:t>3</w:t>
                  </w:r>
                </w:p>
              </w:tc>
            </w:tr>
            <w:tr w14:paraId="195EB41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278" w:type="pct"/>
                  <w:tcBorders>
                    <w:tl2br w:val="nil"/>
                    <w:tr2bl w:val="nil"/>
                  </w:tcBorders>
                  <w:noWrap w:val="0"/>
                  <w:vAlign w:val="center"/>
                </w:tcPr>
                <w:p w14:paraId="4AD4753E">
                  <w:pPr>
                    <w:pStyle w:val="31"/>
                    <w:keepNext w:val="0"/>
                    <w:keepLines w:val="0"/>
                    <w:suppressLineNumbers w:val="0"/>
                    <w:spacing w:before="0" w:beforeAutospacing="0" w:after="0" w:afterAutospacing="0"/>
                    <w:ind w:left="0" w:leftChars="0" w:right="0" w:rightChars="0"/>
                    <w:jc w:val="center"/>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无组织</w:t>
                  </w:r>
                </w:p>
              </w:tc>
              <w:tc>
                <w:tcPr>
                  <w:tcW w:w="451" w:type="pct"/>
                  <w:tcBorders>
                    <w:tl2br w:val="nil"/>
                    <w:tr2bl w:val="nil"/>
                  </w:tcBorders>
                  <w:shd w:val="clear" w:color="auto" w:fill="auto"/>
                  <w:noWrap w:val="0"/>
                  <w:vAlign w:val="center"/>
                </w:tcPr>
                <w:p w14:paraId="78880D31">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color w:val="000000" w:themeColor="text1"/>
                      <w:sz w:val="21"/>
                      <w:szCs w:val="21"/>
                      <w:highlight w:val="none"/>
                      <w14:textFill>
                        <w14:solidFill>
                          <w14:schemeClr w14:val="tx1"/>
                        </w14:solidFill>
                      </w14:textFill>
                    </w:rPr>
                    <w:t>除尘系统未捕集粉尘</w:t>
                  </w:r>
                </w:p>
              </w:tc>
              <w:tc>
                <w:tcPr>
                  <w:tcW w:w="355" w:type="pct"/>
                  <w:tcBorders>
                    <w:tl2br w:val="nil"/>
                    <w:tr2bl w:val="nil"/>
                  </w:tcBorders>
                  <w:shd w:val="clear" w:color="auto" w:fill="auto"/>
                  <w:noWrap w:val="0"/>
                  <w:vAlign w:val="center"/>
                </w:tcPr>
                <w:p w14:paraId="728EA12E">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color w:val="000000" w:themeColor="text1"/>
                      <w:sz w:val="21"/>
                      <w:szCs w:val="21"/>
                      <w:highlight w:val="none"/>
                      <w14:textFill>
                        <w14:solidFill>
                          <w14:schemeClr w14:val="tx1"/>
                        </w14:solidFill>
                      </w14:textFill>
                    </w:rPr>
                    <w:t>颗粒物</w:t>
                  </w:r>
                </w:p>
              </w:tc>
              <w:tc>
                <w:tcPr>
                  <w:tcW w:w="518" w:type="pct"/>
                  <w:tcBorders>
                    <w:tl2br w:val="nil"/>
                    <w:tr2bl w:val="nil"/>
                  </w:tcBorders>
                  <w:shd w:val="clear" w:color="auto" w:fill="auto"/>
                  <w:noWrap w:val="0"/>
                  <w:vAlign w:val="center"/>
                </w:tcPr>
                <w:p w14:paraId="0EA498ED">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bidi="ar-SA"/>
                      <w14:textFill>
                        <w14:solidFill>
                          <w14:schemeClr w14:val="tx1"/>
                        </w14:solidFill>
                      </w14:textFill>
                    </w:rPr>
                    <w:t>0.00</w:t>
                  </w:r>
                  <w:r>
                    <w:rPr>
                      <w:rFonts w:hint="eastAsia" w:cs="Times New Roman"/>
                      <w:color w:val="000000" w:themeColor="text1"/>
                      <w:kern w:val="2"/>
                      <w:sz w:val="21"/>
                      <w:szCs w:val="21"/>
                      <w:highlight w:val="none"/>
                      <w:lang w:val="en-US" w:eastAsia="zh-CN" w:bidi="ar-SA"/>
                      <w14:textFill>
                        <w14:solidFill>
                          <w14:schemeClr w14:val="tx1"/>
                        </w14:solidFill>
                      </w14:textFill>
                    </w:rPr>
                    <w:t>69</w:t>
                  </w:r>
                </w:p>
              </w:tc>
              <w:tc>
                <w:tcPr>
                  <w:tcW w:w="518" w:type="pct"/>
                  <w:tcBorders>
                    <w:tl2br w:val="nil"/>
                    <w:tr2bl w:val="nil"/>
                  </w:tcBorders>
                  <w:shd w:val="clear" w:color="auto" w:fill="auto"/>
                  <w:noWrap w:val="0"/>
                  <w:vAlign w:val="center"/>
                </w:tcPr>
                <w:p w14:paraId="7C4DA779">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bidi="ar-SA"/>
                      <w14:textFill>
                        <w14:solidFill>
                          <w14:schemeClr w14:val="tx1"/>
                        </w14:solidFill>
                      </w14:textFill>
                    </w:rPr>
                    <w:t>0.006</w:t>
                  </w:r>
                  <w:r>
                    <w:rPr>
                      <w:rFonts w:hint="eastAsia" w:cs="Times New Roman"/>
                      <w:color w:val="000000" w:themeColor="text1"/>
                      <w:kern w:val="2"/>
                      <w:sz w:val="21"/>
                      <w:szCs w:val="21"/>
                      <w:highlight w:val="none"/>
                      <w:lang w:val="en-US" w:eastAsia="zh-CN" w:bidi="ar-SA"/>
                      <w14:textFill>
                        <w14:solidFill>
                          <w14:schemeClr w14:val="tx1"/>
                        </w14:solidFill>
                      </w14:textFill>
                    </w:rPr>
                    <w:t>9</w:t>
                  </w:r>
                </w:p>
              </w:tc>
              <w:tc>
                <w:tcPr>
                  <w:tcW w:w="497" w:type="pct"/>
                  <w:tcBorders>
                    <w:tl2br w:val="nil"/>
                    <w:tr2bl w:val="nil"/>
                  </w:tcBorders>
                  <w:shd w:val="clear" w:color="auto" w:fill="auto"/>
                  <w:noWrap w:val="0"/>
                  <w:vAlign w:val="center"/>
                </w:tcPr>
                <w:p w14:paraId="18AC208E">
                  <w:pPr>
                    <w:pStyle w:val="31"/>
                    <w:keepNext w:val="0"/>
                    <w:keepLines w:val="0"/>
                    <w:suppressLineNumbers w:val="0"/>
                    <w:spacing w:before="0" w:beforeAutospacing="0" w:after="0" w:afterAutospacing="0"/>
                    <w:ind w:left="0" w:leftChars="0" w:right="0" w:rightChars="0"/>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w:t>
                  </w:r>
                </w:p>
              </w:tc>
              <w:tc>
                <w:tcPr>
                  <w:tcW w:w="821" w:type="pct"/>
                  <w:tcBorders>
                    <w:tl2br w:val="nil"/>
                    <w:tr2bl w:val="nil"/>
                  </w:tcBorders>
                  <w:shd w:val="clear" w:color="auto" w:fill="auto"/>
                  <w:noWrap w:val="0"/>
                  <w:vAlign w:val="center"/>
                </w:tcPr>
                <w:p w14:paraId="6AEA6026">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eastAsia="宋体" w:cs="Times New Roman"/>
                      <w:color w:val="000000" w:themeColor="text1"/>
                      <w:kern w:val="0"/>
                      <w:sz w:val="21"/>
                      <w:szCs w:val="21"/>
                      <w:highlight w:val="none"/>
                      <w:lang w:val="en-US" w:eastAsia="zh-CN" w:bidi="ar-SA"/>
                      <w14:textFill>
                        <w14:solidFill>
                          <w14:schemeClr w14:val="tx1"/>
                        </w14:solidFill>
                      </w14:textFill>
                    </w:rPr>
                    <w:t>/</w:t>
                  </w:r>
                </w:p>
              </w:tc>
              <w:tc>
                <w:tcPr>
                  <w:tcW w:w="521" w:type="pct"/>
                  <w:tcBorders>
                    <w:tl2br w:val="nil"/>
                    <w:tr2bl w:val="nil"/>
                  </w:tcBorders>
                  <w:shd w:val="clear" w:color="auto" w:fill="auto"/>
                  <w:noWrap w:val="0"/>
                  <w:vAlign w:val="center"/>
                </w:tcPr>
                <w:p w14:paraId="7AEF0578">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w:t>
                  </w:r>
                </w:p>
              </w:tc>
              <w:tc>
                <w:tcPr>
                  <w:tcW w:w="878" w:type="dxa"/>
                  <w:tcBorders>
                    <w:tl2br w:val="nil"/>
                    <w:tr2bl w:val="nil"/>
                  </w:tcBorders>
                  <w:shd w:val="clear" w:color="auto" w:fill="auto"/>
                  <w:noWrap w:val="0"/>
                  <w:vAlign w:val="center"/>
                </w:tcPr>
                <w:p w14:paraId="1A738C9B">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bidi="ar-SA"/>
                      <w14:textFill>
                        <w14:solidFill>
                          <w14:schemeClr w14:val="tx1"/>
                        </w14:solidFill>
                      </w14:textFill>
                    </w:rPr>
                    <w:t>0.00</w:t>
                  </w:r>
                  <w:r>
                    <w:rPr>
                      <w:rFonts w:hint="eastAsia" w:cs="Times New Roman"/>
                      <w:color w:val="000000" w:themeColor="text1"/>
                      <w:kern w:val="2"/>
                      <w:sz w:val="21"/>
                      <w:szCs w:val="21"/>
                      <w:highlight w:val="none"/>
                      <w:lang w:val="en-US" w:eastAsia="zh-CN" w:bidi="ar-SA"/>
                      <w14:textFill>
                        <w14:solidFill>
                          <w14:schemeClr w14:val="tx1"/>
                        </w14:solidFill>
                      </w14:textFill>
                    </w:rPr>
                    <w:t>69</w:t>
                  </w:r>
                </w:p>
              </w:tc>
              <w:tc>
                <w:tcPr>
                  <w:tcW w:w="878" w:type="dxa"/>
                  <w:tcBorders>
                    <w:tl2br w:val="nil"/>
                    <w:tr2bl w:val="nil"/>
                  </w:tcBorders>
                  <w:shd w:val="clear" w:color="auto" w:fill="auto"/>
                  <w:noWrap w:val="0"/>
                  <w:vAlign w:val="center"/>
                </w:tcPr>
                <w:p w14:paraId="2E86D16C">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bidi="ar-SA"/>
                      <w14:textFill>
                        <w14:solidFill>
                          <w14:schemeClr w14:val="tx1"/>
                        </w14:solidFill>
                      </w14:textFill>
                    </w:rPr>
                    <w:t>0.006</w:t>
                  </w:r>
                  <w:r>
                    <w:rPr>
                      <w:rFonts w:hint="eastAsia" w:cs="Times New Roman"/>
                      <w:color w:val="000000" w:themeColor="text1"/>
                      <w:kern w:val="2"/>
                      <w:sz w:val="21"/>
                      <w:szCs w:val="21"/>
                      <w:highlight w:val="none"/>
                      <w:lang w:val="en-US" w:eastAsia="zh-CN" w:bidi="ar-SA"/>
                      <w14:textFill>
                        <w14:solidFill>
                          <w14:schemeClr w14:val="tx1"/>
                        </w14:solidFill>
                      </w14:textFill>
                    </w:rPr>
                    <w:t>9</w:t>
                  </w:r>
                </w:p>
              </w:tc>
            </w:tr>
            <w:tr w14:paraId="5E2E3A3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729" w:type="pct"/>
                  <w:gridSpan w:val="2"/>
                  <w:tcBorders>
                    <w:tl2br w:val="nil"/>
                    <w:tr2bl w:val="nil"/>
                  </w:tcBorders>
                  <w:noWrap w:val="0"/>
                  <w:vAlign w:val="center"/>
                </w:tcPr>
                <w:p w14:paraId="14FB9478">
                  <w:pPr>
                    <w:pStyle w:val="31"/>
                    <w:keepNext w:val="0"/>
                    <w:keepLines w:val="0"/>
                    <w:suppressLineNumbers w:val="0"/>
                    <w:spacing w:before="0" w:beforeAutospacing="0" w:after="0" w:afterAutospacing="0"/>
                    <w:ind w:left="0" w:leftChars="0" w:right="0" w:rightChars="0"/>
                    <w:jc w:val="center"/>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总计</w:t>
                  </w:r>
                </w:p>
              </w:tc>
              <w:tc>
                <w:tcPr>
                  <w:tcW w:w="355" w:type="pct"/>
                  <w:tcBorders>
                    <w:tl2br w:val="nil"/>
                    <w:tr2bl w:val="nil"/>
                  </w:tcBorders>
                  <w:shd w:val="clear" w:color="auto" w:fill="auto"/>
                  <w:noWrap w:val="0"/>
                  <w:vAlign w:val="center"/>
                </w:tcPr>
                <w:p w14:paraId="1C0A2DB3">
                  <w:pPr>
                    <w:pStyle w:val="31"/>
                    <w:keepNext w:val="0"/>
                    <w:keepLines w:val="0"/>
                    <w:suppressLineNumbers w:val="0"/>
                    <w:spacing w:before="0" w:beforeAutospacing="0" w:after="0" w:afterAutospacing="0"/>
                    <w:ind w:left="0" w:leftChars="0" w:right="0" w:rightChars="0"/>
                    <w:jc w:val="center"/>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颗粒物</w:t>
                  </w:r>
                </w:p>
              </w:tc>
              <w:tc>
                <w:tcPr>
                  <w:tcW w:w="518" w:type="pct"/>
                  <w:tcBorders>
                    <w:tl2br w:val="nil"/>
                    <w:tr2bl w:val="nil"/>
                  </w:tcBorders>
                  <w:shd w:val="clear" w:color="auto" w:fill="auto"/>
                  <w:noWrap w:val="0"/>
                  <w:vAlign w:val="center"/>
                </w:tcPr>
                <w:p w14:paraId="6FF54E8F">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bidi="ar-SA"/>
                      <w14:textFill>
                        <w14:solidFill>
                          <w14:schemeClr w14:val="tx1"/>
                        </w14:solidFill>
                      </w14:textFill>
                    </w:rPr>
                    <w:t>0.0</w:t>
                  </w:r>
                  <w:r>
                    <w:rPr>
                      <w:rFonts w:hint="eastAsia" w:cs="Times New Roman"/>
                      <w:color w:val="000000" w:themeColor="text1"/>
                      <w:kern w:val="2"/>
                      <w:sz w:val="21"/>
                      <w:szCs w:val="21"/>
                      <w:highlight w:val="none"/>
                      <w:lang w:val="en-US" w:eastAsia="zh-CN" w:bidi="ar-SA"/>
                      <w14:textFill>
                        <w14:solidFill>
                          <w14:schemeClr w14:val="tx1"/>
                        </w14:solidFill>
                      </w14:textFill>
                    </w:rPr>
                    <w:t>345</w:t>
                  </w:r>
                </w:p>
              </w:tc>
              <w:tc>
                <w:tcPr>
                  <w:tcW w:w="518" w:type="pct"/>
                  <w:tcBorders>
                    <w:tl2br w:val="nil"/>
                    <w:tr2bl w:val="nil"/>
                  </w:tcBorders>
                  <w:shd w:val="clear" w:color="auto" w:fill="auto"/>
                  <w:noWrap w:val="0"/>
                  <w:vAlign w:val="center"/>
                </w:tcPr>
                <w:p w14:paraId="6AE9DB35">
                  <w:pPr>
                    <w:pStyle w:val="31"/>
                    <w:keepNext w:val="0"/>
                    <w:keepLines w:val="0"/>
                    <w:suppressLineNumbers w:val="0"/>
                    <w:spacing w:before="0" w:beforeAutospacing="0" w:after="0" w:afterAutospacing="0"/>
                    <w:ind w:left="0" w:leftChars="0" w:right="0" w:rightChars="0"/>
                    <w:jc w:val="center"/>
                    <w:rPr>
                      <w:rFonts w:hint="default"/>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bidi="ar-SA"/>
                      <w14:textFill>
                        <w14:solidFill>
                          <w14:schemeClr w14:val="tx1"/>
                        </w14:solidFill>
                      </w14:textFill>
                    </w:rPr>
                    <w:t>0.0</w:t>
                  </w:r>
                  <w:r>
                    <w:rPr>
                      <w:rFonts w:hint="eastAsia" w:cs="Times New Roman"/>
                      <w:color w:val="000000" w:themeColor="text1"/>
                      <w:kern w:val="2"/>
                      <w:sz w:val="21"/>
                      <w:szCs w:val="21"/>
                      <w:highlight w:val="none"/>
                      <w:lang w:val="en-US" w:eastAsia="zh-CN" w:bidi="ar-SA"/>
                      <w14:textFill>
                        <w14:solidFill>
                          <w14:schemeClr w14:val="tx1"/>
                        </w14:solidFill>
                      </w14:textFill>
                    </w:rPr>
                    <w:t>345</w:t>
                  </w:r>
                </w:p>
              </w:tc>
              <w:tc>
                <w:tcPr>
                  <w:tcW w:w="497" w:type="pct"/>
                  <w:tcBorders>
                    <w:tl2br w:val="nil"/>
                    <w:tr2bl w:val="nil"/>
                  </w:tcBorders>
                  <w:shd w:val="clear" w:color="auto" w:fill="auto"/>
                  <w:noWrap w:val="0"/>
                  <w:vAlign w:val="center"/>
                </w:tcPr>
                <w:p w14:paraId="29758762">
                  <w:pPr>
                    <w:pStyle w:val="31"/>
                    <w:keepNext w:val="0"/>
                    <w:keepLines w:val="0"/>
                    <w:suppressLineNumbers w:val="0"/>
                    <w:spacing w:before="0" w:beforeAutospacing="0" w:after="0" w:afterAutospacing="0"/>
                    <w:ind w:left="0" w:leftChars="0" w:right="0" w:rightChars="0"/>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w:t>
                  </w:r>
                </w:p>
              </w:tc>
              <w:tc>
                <w:tcPr>
                  <w:tcW w:w="821" w:type="pct"/>
                  <w:tcBorders>
                    <w:tl2br w:val="nil"/>
                    <w:tr2bl w:val="nil"/>
                  </w:tcBorders>
                  <w:shd w:val="clear" w:color="auto" w:fill="auto"/>
                  <w:noWrap w:val="0"/>
                  <w:vAlign w:val="center"/>
                </w:tcPr>
                <w:p w14:paraId="797ABFF7">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521" w:type="pct"/>
                  <w:tcBorders>
                    <w:tl2br w:val="nil"/>
                    <w:tr2bl w:val="nil"/>
                  </w:tcBorders>
                  <w:shd w:val="clear" w:color="auto" w:fill="auto"/>
                  <w:noWrap w:val="0"/>
                  <w:vAlign w:val="center"/>
                </w:tcPr>
                <w:p w14:paraId="7EA1F171">
                  <w:pPr>
                    <w:pStyle w:val="31"/>
                    <w:keepNext w:val="0"/>
                    <w:keepLines w:val="0"/>
                    <w:suppressLineNumbers w:val="0"/>
                    <w:spacing w:before="0" w:beforeAutospacing="0" w:after="0" w:afterAutospacing="0"/>
                    <w:ind w:left="0" w:leftChars="0" w:right="0" w:rightChars="0"/>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w:t>
                  </w:r>
                </w:p>
              </w:tc>
              <w:tc>
                <w:tcPr>
                  <w:tcW w:w="518" w:type="pct"/>
                  <w:tcBorders>
                    <w:tl2br w:val="nil"/>
                    <w:tr2bl w:val="nil"/>
                  </w:tcBorders>
                  <w:shd w:val="clear" w:color="auto" w:fill="auto"/>
                  <w:noWrap w:val="0"/>
                  <w:vAlign w:val="center"/>
                </w:tcPr>
                <w:p w14:paraId="57F69D9F">
                  <w:pPr>
                    <w:pStyle w:val="31"/>
                    <w:keepNext w:val="0"/>
                    <w:keepLines w:val="0"/>
                    <w:suppressLineNumbers w:val="0"/>
                    <w:spacing w:before="0" w:beforeAutospacing="0" w:after="0" w:afterAutospacing="0"/>
                    <w:ind w:left="0" w:leftChars="0" w:right="0" w:rightChars="0"/>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w:t>
                  </w:r>
                </w:p>
              </w:tc>
              <w:tc>
                <w:tcPr>
                  <w:tcW w:w="518" w:type="pct"/>
                  <w:tcBorders>
                    <w:tl2br w:val="nil"/>
                    <w:tr2bl w:val="nil"/>
                  </w:tcBorders>
                  <w:shd w:val="clear" w:color="auto" w:fill="auto"/>
                  <w:noWrap w:val="0"/>
                  <w:vAlign w:val="center"/>
                </w:tcPr>
                <w:p w14:paraId="6DF6C726">
                  <w:pPr>
                    <w:pStyle w:val="31"/>
                    <w:keepNext w:val="0"/>
                    <w:keepLines w:val="0"/>
                    <w:suppressLineNumbers w:val="0"/>
                    <w:spacing w:before="0" w:beforeAutospacing="0" w:after="0" w:afterAutospacing="0"/>
                    <w:ind w:left="0" w:leftChars="0" w:right="0" w:rightChars="0"/>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0.0072</w:t>
                  </w:r>
                </w:p>
              </w:tc>
            </w:tr>
          </w:tbl>
          <w:p w14:paraId="79F5D2B0">
            <w:pPr>
              <w:keepNext w:val="0"/>
              <w:keepLines w:val="0"/>
              <w:pageBreakBefore w:val="0"/>
              <w:widowControl w:val="0"/>
              <w:suppressLineNumbers w:val="0"/>
              <w:kinsoku/>
              <w:wordWrap/>
              <w:overflowPunct/>
              <w:topLinePunct w:val="0"/>
              <w:autoSpaceDE w:val="0"/>
              <w:autoSpaceDN w:val="0"/>
              <w:bidi w:val="0"/>
              <w:adjustRightInd/>
              <w:snapToGrid/>
              <w:spacing w:before="157" w:beforeLines="50" w:beforeAutospacing="0" w:after="0" w:afterAutospacing="0" w:line="360" w:lineRule="auto"/>
              <w:ind w:left="0" w:right="0"/>
              <w:textAlignment w:val="auto"/>
              <w:rPr>
                <w:rFonts w:hint="default"/>
                <w:b/>
                <w:bCs/>
                <w:color w:val="000000" w:themeColor="text1"/>
                <w:sz w:val="24"/>
                <w:szCs w:val="24"/>
                <w:highlight w:val="none"/>
                <w:lang w:val="en-US"/>
                <w14:textFill>
                  <w14:solidFill>
                    <w14:schemeClr w14:val="tx1"/>
                  </w14:solidFill>
                </w14:textFill>
              </w:rPr>
            </w:pPr>
            <w:r>
              <w:rPr>
                <w:rFonts w:hint="eastAsia"/>
                <w:b/>
                <w:bCs/>
                <w:color w:val="000000" w:themeColor="text1"/>
                <w:sz w:val="24"/>
                <w:szCs w:val="24"/>
                <w:highlight w:val="none"/>
                <w:lang w:val="en-US" w:eastAsia="zh-CN"/>
                <w14:textFill>
                  <w14:solidFill>
                    <w14:schemeClr w14:val="tx1"/>
                  </w14:solidFill>
                </w14:textFill>
              </w:rPr>
              <w:t>1.3、创新制剂车间废气</w:t>
            </w:r>
          </w:p>
          <w:p w14:paraId="61F9523D">
            <w:pPr>
              <w:keepNext w:val="0"/>
              <w:keepLines w:val="0"/>
              <w:suppressLineNumbers w:val="0"/>
              <w:adjustRightInd w:val="0"/>
              <w:snapToGrid w:val="0"/>
              <w:spacing w:before="0" w:beforeAutospacing="0" w:after="0" w:afterAutospacing="0" w:line="360" w:lineRule="auto"/>
              <w:ind w:left="0" w:right="0" w:firstLine="480" w:firstLineChars="200"/>
              <w:rPr>
                <w:rFonts w:hint="default"/>
                <w:color w:val="000000" w:themeColor="text1"/>
                <w:sz w:val="24"/>
                <w:highlight w:val="none"/>
                <w14:textFill>
                  <w14:solidFill>
                    <w14:schemeClr w14:val="tx1"/>
                  </w14:solidFill>
                </w14:textFill>
              </w:rPr>
            </w:pPr>
            <w:r>
              <w:rPr>
                <w:rFonts w:hint="eastAsia" w:eastAsia="宋体"/>
                <w:color w:val="000000" w:themeColor="text1"/>
                <w:sz w:val="24"/>
                <w:szCs w:val="24"/>
                <w:highlight w:val="none"/>
                <w:lang w:eastAsia="zh-CN"/>
                <w14:textFill>
                  <w14:solidFill>
                    <w14:schemeClr w14:val="tx1"/>
                  </w14:solidFill>
                </w14:textFill>
              </w:rPr>
              <w:t>根据</w:t>
            </w:r>
            <w:r>
              <w:rPr>
                <w:rFonts w:hint="default"/>
                <w:bCs/>
                <w:color w:val="000000" w:themeColor="text1"/>
                <w:sz w:val="24"/>
                <w:highlight w:val="none"/>
                <w14:textFill>
                  <w14:solidFill>
                    <w14:schemeClr w14:val="tx1"/>
                  </w14:solidFill>
                </w14:textFill>
              </w:rPr>
              <w:t>《排放源统计调查产排污核算方法和系数手册》（环境部公告2021年第24号）</w:t>
            </w:r>
            <w:r>
              <w:rPr>
                <w:rFonts w:hint="eastAsia"/>
                <w:bCs/>
                <w:color w:val="000000" w:themeColor="text1"/>
                <w:sz w:val="24"/>
                <w:highlight w:val="none"/>
                <w14:textFill>
                  <w14:solidFill>
                    <w14:schemeClr w14:val="tx1"/>
                  </w14:solidFill>
                </w14:textFill>
              </w:rPr>
              <w:t>中的</w:t>
            </w:r>
            <w:r>
              <w:rPr>
                <w:rFonts w:hint="eastAsia"/>
                <w:color w:val="000000" w:themeColor="text1"/>
                <w:sz w:val="24"/>
                <w:highlight w:val="none"/>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2740中成药生产</w:t>
            </w:r>
            <w:r>
              <w:rPr>
                <w:rFonts w:hint="eastAsia"/>
                <w:bCs/>
                <w:color w:val="000000" w:themeColor="text1"/>
                <w:sz w:val="24"/>
                <w:highlight w:val="none"/>
                <w14:textFill>
                  <w14:solidFill>
                    <w14:schemeClr w14:val="tx1"/>
                  </w14:solidFill>
                </w14:textFill>
              </w:rPr>
              <w:t>行业系数手册</w:t>
            </w:r>
            <w:r>
              <w:rPr>
                <w:rFonts w:hint="eastAsia"/>
                <w:color w:val="000000" w:themeColor="text1"/>
                <w:sz w:val="24"/>
                <w:highlight w:val="none"/>
                <w14:textFill>
                  <w14:solidFill>
                    <w14:schemeClr w14:val="tx1"/>
                  </w14:solidFill>
                </w14:textFill>
              </w:rPr>
              <w:t>”中</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制剂-中成药-固体制剂-规模等级</w:t>
            </w:r>
            <w:r>
              <w:rPr>
                <w:rFonts w:hint="default" w:ascii="Times New Roman" w:hAnsi="Times New Roman" w:cs="Times New Roman"/>
                <w:b w:val="0"/>
                <w:bCs w:val="0"/>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cs="Times New Roman"/>
                <w:b w:val="0"/>
                <w:bCs w:val="0"/>
                <w:color w:val="000000" w:themeColor="text1"/>
                <w:kern w:val="0"/>
                <w:sz w:val="24"/>
                <w:szCs w:val="24"/>
                <w:highlight w:val="none"/>
                <w:lang w:val="en-US" w:eastAsia="zh-CN" w:bidi="ar"/>
                <w14:textFill>
                  <w14:solidFill>
                    <w14:schemeClr w14:val="tx1"/>
                  </w14:solidFill>
                </w14:textFill>
              </w:rPr>
              <w:t>200</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t/a</w:t>
            </w:r>
            <w:r>
              <w:rPr>
                <w:rFonts w:hint="eastAsia" w:ascii="Times New Roman" w:hAnsi="Times New Roman" w:cs="Times New Roman"/>
                <w:b w:val="0"/>
                <w:bCs w:val="0"/>
                <w:color w:val="000000" w:themeColor="text1"/>
                <w:kern w:val="0"/>
                <w:sz w:val="24"/>
                <w:szCs w:val="24"/>
                <w:highlight w:val="none"/>
                <w:lang w:val="en-US" w:eastAsia="zh-CN" w:bidi="ar"/>
                <w14:textFill>
                  <w14:solidFill>
                    <w14:schemeClr w14:val="tx1"/>
                  </w14:solidFill>
                </w14:textFill>
              </w:rPr>
              <w:t>中成药</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可知</w:t>
            </w:r>
            <w:r>
              <w:rPr>
                <w:rFonts w:hint="default"/>
                <w:color w:val="000000" w:themeColor="text1"/>
                <w:sz w:val="24"/>
                <w:highlight w:val="none"/>
                <w14:textFill>
                  <w14:solidFill>
                    <w14:schemeClr w14:val="tx1"/>
                  </w14:solidFill>
                </w14:textFill>
              </w:rPr>
              <w:t>产排污系数详见下表：</w:t>
            </w:r>
          </w:p>
          <w:p w14:paraId="09AD15FD">
            <w:pPr>
              <w:keepNext w:val="0"/>
              <w:keepLines w:val="0"/>
              <w:numPr>
                <w:ilvl w:val="0"/>
                <w:numId w:val="26"/>
              </w:numPr>
              <w:suppressLineNumbers w:val="0"/>
              <w:snapToGrid w:val="0"/>
              <w:spacing w:before="0" w:beforeAutospacing="0" w:after="0" w:afterAutospacing="0" w:line="240" w:lineRule="auto"/>
              <w:ind w:left="0" w:right="0"/>
              <w:jc w:val="center"/>
              <w:rPr>
                <w:rFonts w:hint="eastAsia"/>
                <w:b/>
                <w:bCs/>
                <w:color w:val="000000" w:themeColor="text1"/>
                <w:szCs w:val="21"/>
                <w:highlight w:val="none"/>
                <w14:textFill>
                  <w14:solidFill>
                    <w14:schemeClr w14:val="tx1"/>
                  </w14:solidFill>
                </w14:textFill>
              </w:rPr>
            </w:pPr>
            <w:r>
              <w:rPr>
                <w:rFonts w:hint="eastAsia"/>
                <w:b/>
                <w:bCs/>
                <w:color w:val="000000" w:themeColor="text1"/>
                <w:szCs w:val="21"/>
                <w:highlight w:val="none"/>
                <w14:textFill>
                  <w14:solidFill>
                    <w14:schemeClr w14:val="tx1"/>
                  </w14:solidFill>
                </w14:textFill>
              </w:rPr>
              <w:t xml:space="preserve">  污染物产排污系数</w:t>
            </w:r>
          </w:p>
          <w:tbl>
            <w:tblPr>
              <w:tblStyle w:val="35"/>
              <w:tblW w:w="4998" w:type="pct"/>
              <w:tblInd w:w="0" w:type="dxa"/>
              <w:tblBorders>
                <w:top w:val="double" w:color="auto" w:sz="4" w:space="0"/>
                <w:left w:val="none" w:color="auto" w:sz="0" w:space="0"/>
                <w:bottom w:val="double" w:color="auto" w:sz="4"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776"/>
              <w:gridCol w:w="1543"/>
              <w:gridCol w:w="2532"/>
              <w:gridCol w:w="3513"/>
            </w:tblGrid>
            <w:tr w14:paraId="3F75B3A8">
              <w:tblPrEx>
                <w:tblBorders>
                  <w:top w:val="double" w:color="auto" w:sz="4" w:space="0"/>
                  <w:left w:val="none" w:color="auto" w:sz="0" w:space="0"/>
                  <w:bottom w:val="double" w:color="auto" w:sz="4" w:space="0"/>
                  <w:right w:val="none" w:color="auto" w:sz="0" w:space="0"/>
                  <w:insideH w:val="single" w:color="auto" w:sz="2" w:space="0"/>
                  <w:insideV w:val="single" w:color="auto" w:sz="2" w:space="0"/>
                </w:tblBorders>
              </w:tblPrEx>
              <w:trPr>
                <w:cantSplit/>
                <w:trHeight w:val="397" w:hRule="atLeast"/>
              </w:trPr>
              <w:tc>
                <w:tcPr>
                  <w:tcW w:w="464" w:type="pct"/>
                  <w:noWrap w:val="0"/>
                  <w:vAlign w:val="center"/>
                </w:tcPr>
                <w:p w14:paraId="4CED80C9">
                  <w:pPr>
                    <w:keepNext w:val="0"/>
                    <w:keepLines w:val="0"/>
                    <w:suppressLineNumbers w:val="0"/>
                    <w:adjustRightInd w:val="0"/>
                    <w:snapToGrid w:val="0"/>
                    <w:spacing w:before="0" w:beforeAutospacing="0" w:after="0" w:afterAutospacing="0"/>
                    <w:ind w:left="0" w:right="0"/>
                    <w:jc w:val="center"/>
                    <w:rPr>
                      <w:rFonts w:hint="default"/>
                      <w:b/>
                      <w:bCs/>
                      <w:color w:val="000000" w:themeColor="text1"/>
                      <w:szCs w:val="21"/>
                      <w:highlight w:val="none"/>
                      <w14:textFill>
                        <w14:solidFill>
                          <w14:schemeClr w14:val="tx1"/>
                        </w14:solidFill>
                      </w14:textFill>
                    </w:rPr>
                  </w:pPr>
                  <w:r>
                    <w:rPr>
                      <w:rFonts w:hint="default"/>
                      <w:b/>
                      <w:bCs/>
                      <w:color w:val="000000" w:themeColor="text1"/>
                      <w:szCs w:val="21"/>
                      <w:highlight w:val="none"/>
                      <w14:textFill>
                        <w14:solidFill>
                          <w14:schemeClr w14:val="tx1"/>
                        </w14:solidFill>
                      </w14:textFill>
                    </w:rPr>
                    <w:t>序号</w:t>
                  </w:r>
                </w:p>
              </w:tc>
              <w:tc>
                <w:tcPr>
                  <w:tcW w:w="922" w:type="pct"/>
                  <w:noWrap w:val="0"/>
                  <w:vAlign w:val="center"/>
                </w:tcPr>
                <w:p w14:paraId="13A96908">
                  <w:pPr>
                    <w:keepNext w:val="0"/>
                    <w:keepLines w:val="0"/>
                    <w:suppressLineNumbers w:val="0"/>
                    <w:adjustRightInd w:val="0"/>
                    <w:snapToGrid w:val="0"/>
                    <w:spacing w:before="0" w:beforeAutospacing="0" w:after="0" w:afterAutospacing="0"/>
                    <w:ind w:left="0" w:right="0"/>
                    <w:jc w:val="center"/>
                    <w:rPr>
                      <w:rFonts w:hint="default"/>
                      <w:b/>
                      <w:bCs/>
                      <w:color w:val="000000" w:themeColor="text1"/>
                      <w:szCs w:val="21"/>
                      <w:highlight w:val="none"/>
                      <w14:textFill>
                        <w14:solidFill>
                          <w14:schemeClr w14:val="tx1"/>
                        </w14:solidFill>
                      </w14:textFill>
                    </w:rPr>
                  </w:pPr>
                  <w:r>
                    <w:rPr>
                      <w:rFonts w:hint="default"/>
                      <w:b/>
                      <w:bCs/>
                      <w:color w:val="000000" w:themeColor="text1"/>
                      <w:szCs w:val="21"/>
                      <w:highlight w:val="none"/>
                      <w14:textFill>
                        <w14:solidFill>
                          <w14:schemeClr w14:val="tx1"/>
                        </w14:solidFill>
                      </w14:textFill>
                    </w:rPr>
                    <w:t>污染物</w:t>
                  </w:r>
                </w:p>
              </w:tc>
              <w:tc>
                <w:tcPr>
                  <w:tcW w:w="1513" w:type="pct"/>
                  <w:noWrap w:val="0"/>
                  <w:vAlign w:val="center"/>
                </w:tcPr>
                <w:p w14:paraId="35036C4A">
                  <w:pPr>
                    <w:keepNext w:val="0"/>
                    <w:keepLines w:val="0"/>
                    <w:suppressLineNumbers w:val="0"/>
                    <w:adjustRightInd w:val="0"/>
                    <w:snapToGrid w:val="0"/>
                    <w:spacing w:before="0" w:beforeAutospacing="0" w:after="0" w:afterAutospacing="0"/>
                    <w:ind w:left="0" w:right="0"/>
                    <w:jc w:val="center"/>
                    <w:rPr>
                      <w:rFonts w:hint="default"/>
                      <w:b/>
                      <w:bCs/>
                      <w:color w:val="000000" w:themeColor="text1"/>
                      <w:szCs w:val="21"/>
                      <w:highlight w:val="none"/>
                      <w14:textFill>
                        <w14:solidFill>
                          <w14:schemeClr w14:val="tx1"/>
                        </w14:solidFill>
                      </w14:textFill>
                    </w:rPr>
                  </w:pPr>
                  <w:r>
                    <w:rPr>
                      <w:rFonts w:hint="default"/>
                      <w:b/>
                      <w:bCs/>
                      <w:color w:val="000000" w:themeColor="text1"/>
                      <w:szCs w:val="21"/>
                      <w:highlight w:val="none"/>
                      <w14:textFill>
                        <w14:solidFill>
                          <w14:schemeClr w14:val="tx1"/>
                        </w14:solidFill>
                      </w14:textFill>
                    </w:rPr>
                    <w:t>产污系数</w:t>
                  </w:r>
                </w:p>
              </w:tc>
              <w:tc>
                <w:tcPr>
                  <w:tcW w:w="2099" w:type="pct"/>
                  <w:noWrap w:val="0"/>
                  <w:vAlign w:val="center"/>
                </w:tcPr>
                <w:p w14:paraId="3E68332C">
                  <w:pPr>
                    <w:keepNext w:val="0"/>
                    <w:keepLines w:val="0"/>
                    <w:suppressLineNumbers w:val="0"/>
                    <w:adjustRightInd w:val="0"/>
                    <w:snapToGrid w:val="0"/>
                    <w:spacing w:before="0" w:beforeAutospacing="0" w:after="0" w:afterAutospacing="0"/>
                    <w:ind w:left="0" w:right="0"/>
                    <w:jc w:val="center"/>
                    <w:rPr>
                      <w:rFonts w:hint="default"/>
                      <w:b/>
                      <w:bCs/>
                      <w:color w:val="000000" w:themeColor="text1"/>
                      <w:szCs w:val="21"/>
                      <w:highlight w:val="none"/>
                      <w14:textFill>
                        <w14:solidFill>
                          <w14:schemeClr w14:val="tx1"/>
                        </w14:solidFill>
                      </w14:textFill>
                    </w:rPr>
                  </w:pPr>
                  <w:r>
                    <w:rPr>
                      <w:rFonts w:hint="default"/>
                      <w:b/>
                      <w:bCs/>
                      <w:color w:val="000000" w:themeColor="text1"/>
                      <w:szCs w:val="21"/>
                      <w:highlight w:val="none"/>
                      <w14:textFill>
                        <w14:solidFill>
                          <w14:schemeClr w14:val="tx1"/>
                        </w14:solidFill>
                      </w14:textFill>
                    </w:rPr>
                    <w:t>数据来源</w:t>
                  </w:r>
                </w:p>
              </w:tc>
            </w:tr>
            <w:tr w14:paraId="45694C89">
              <w:tblPrEx>
                <w:tblBorders>
                  <w:top w:val="double" w:color="auto" w:sz="4" w:space="0"/>
                  <w:left w:val="none" w:color="auto" w:sz="0" w:space="0"/>
                  <w:bottom w:val="double" w:color="auto" w:sz="4" w:space="0"/>
                  <w:right w:val="none" w:color="auto" w:sz="0" w:space="0"/>
                  <w:insideH w:val="single" w:color="auto" w:sz="2" w:space="0"/>
                  <w:insideV w:val="single" w:color="auto" w:sz="2" w:space="0"/>
                </w:tblBorders>
                <w:tblCellMar>
                  <w:top w:w="0" w:type="dxa"/>
                  <w:left w:w="108" w:type="dxa"/>
                  <w:bottom w:w="0" w:type="dxa"/>
                  <w:right w:w="108" w:type="dxa"/>
                </w:tblCellMar>
              </w:tblPrEx>
              <w:trPr>
                <w:cantSplit/>
                <w:trHeight w:val="537" w:hRule="atLeast"/>
              </w:trPr>
              <w:tc>
                <w:tcPr>
                  <w:tcW w:w="464" w:type="pct"/>
                  <w:noWrap w:val="0"/>
                  <w:vAlign w:val="center"/>
                </w:tcPr>
                <w:p w14:paraId="59040CEF">
                  <w:pPr>
                    <w:keepNext w:val="0"/>
                    <w:keepLines w:val="0"/>
                    <w:suppressLineNumbers w:val="0"/>
                    <w:adjustRightInd w:val="0"/>
                    <w:snapToGrid w:val="0"/>
                    <w:spacing w:before="0" w:beforeAutospacing="0" w:after="0" w:afterAutospacing="0"/>
                    <w:ind w:left="0" w:right="0"/>
                    <w:jc w:val="center"/>
                    <w:rPr>
                      <w:rFonts w:hint="default"/>
                      <w:color w:val="000000" w:themeColor="text1"/>
                      <w:szCs w:val="21"/>
                      <w:highlight w:val="none"/>
                      <w14:textFill>
                        <w14:solidFill>
                          <w14:schemeClr w14:val="tx1"/>
                        </w14:solidFill>
                      </w14:textFill>
                    </w:rPr>
                  </w:pPr>
                  <w:r>
                    <w:rPr>
                      <w:rFonts w:hint="default"/>
                      <w:color w:val="000000" w:themeColor="text1"/>
                      <w:szCs w:val="21"/>
                      <w:highlight w:val="none"/>
                      <w14:textFill>
                        <w14:solidFill>
                          <w14:schemeClr w14:val="tx1"/>
                        </w14:solidFill>
                      </w14:textFill>
                    </w:rPr>
                    <w:t>1</w:t>
                  </w:r>
                </w:p>
              </w:tc>
              <w:tc>
                <w:tcPr>
                  <w:tcW w:w="922" w:type="pct"/>
                  <w:noWrap w:val="0"/>
                  <w:vAlign w:val="center"/>
                </w:tcPr>
                <w:p w14:paraId="0C7CD494">
                  <w:pPr>
                    <w:keepNext w:val="0"/>
                    <w:keepLines w:val="0"/>
                    <w:suppressLineNumbers w:val="0"/>
                    <w:adjustRightInd w:val="0"/>
                    <w:snapToGrid w:val="0"/>
                    <w:spacing w:before="0" w:beforeAutospacing="0" w:after="0" w:afterAutospacing="0"/>
                    <w:ind w:left="0" w:right="0"/>
                    <w:jc w:val="center"/>
                    <w:rPr>
                      <w:rFonts w:hint="default"/>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工业</w:t>
                  </w:r>
                  <w:r>
                    <w:rPr>
                      <w:rFonts w:hint="default"/>
                      <w:color w:val="000000" w:themeColor="text1"/>
                      <w:szCs w:val="21"/>
                      <w:highlight w:val="none"/>
                      <w14:textFill>
                        <w14:solidFill>
                          <w14:schemeClr w14:val="tx1"/>
                        </w14:solidFill>
                      </w14:textFill>
                    </w:rPr>
                    <w:t>废气量</w:t>
                  </w:r>
                </w:p>
              </w:tc>
              <w:tc>
                <w:tcPr>
                  <w:tcW w:w="1513" w:type="pct"/>
                  <w:noWrap w:val="0"/>
                  <w:vAlign w:val="center"/>
                </w:tcPr>
                <w:p w14:paraId="50774B0A">
                  <w:pPr>
                    <w:keepNext w:val="0"/>
                    <w:keepLines w:val="0"/>
                    <w:suppressLineNumbers w:val="0"/>
                    <w:adjustRightInd w:val="0"/>
                    <w:snapToGrid w:val="0"/>
                    <w:spacing w:before="0" w:beforeAutospacing="0" w:after="0" w:afterAutospacing="0"/>
                    <w:ind w:left="0" w:right="0"/>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36000</w:t>
                  </w:r>
                  <w:r>
                    <w:rPr>
                      <w:rFonts w:hint="default"/>
                      <w:color w:val="000000" w:themeColor="text1"/>
                      <w:szCs w:val="21"/>
                      <w:highlight w:val="none"/>
                      <w14:textFill>
                        <w14:solidFill>
                          <w14:schemeClr w14:val="tx1"/>
                        </w14:solidFill>
                      </w14:textFill>
                    </w:rPr>
                    <w:t>m³/</w:t>
                  </w:r>
                  <w:r>
                    <w:rPr>
                      <w:rFonts w:hint="eastAsia"/>
                      <w:color w:val="000000" w:themeColor="text1"/>
                      <w:szCs w:val="21"/>
                      <w:highlight w:val="none"/>
                      <w:lang w:val="en-US" w:eastAsia="zh-CN"/>
                      <w14:textFill>
                        <w14:solidFill>
                          <w14:schemeClr w14:val="tx1"/>
                        </w14:solidFill>
                      </w14:textFill>
                    </w:rPr>
                    <w:t>t</w:t>
                  </w:r>
                  <w:r>
                    <w:rPr>
                      <w:rFonts w:hint="eastAsia"/>
                      <w:color w:val="000000" w:themeColor="text1"/>
                      <w:szCs w:val="21"/>
                      <w:highlight w:val="none"/>
                      <w14:textFill>
                        <w14:solidFill>
                          <w14:schemeClr w14:val="tx1"/>
                        </w14:solidFill>
                      </w14:textFill>
                    </w:rPr>
                    <w:t>-中成药</w:t>
                  </w:r>
                </w:p>
              </w:tc>
              <w:tc>
                <w:tcPr>
                  <w:tcW w:w="2099" w:type="pct"/>
                  <w:vMerge w:val="restart"/>
                  <w:noWrap w:val="0"/>
                  <w:vAlign w:val="center"/>
                </w:tcPr>
                <w:p w14:paraId="4BE2C853">
                  <w:pPr>
                    <w:keepNext w:val="0"/>
                    <w:keepLines w:val="0"/>
                    <w:suppressLineNumbers w:val="0"/>
                    <w:adjustRightInd w:val="0"/>
                    <w:snapToGrid w:val="0"/>
                    <w:spacing w:before="0" w:beforeAutospacing="0" w:after="0" w:afterAutospacing="0"/>
                    <w:ind w:left="0" w:right="0"/>
                    <w:jc w:val="center"/>
                    <w:rPr>
                      <w:rFonts w:hint="default"/>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《排放源统计调查产排污核算方法和系数手册》（环境部公告2021年第24号）中的“2740中成药生产行业系数手册”</w:t>
                  </w:r>
                </w:p>
              </w:tc>
            </w:tr>
            <w:tr w14:paraId="1B61376C">
              <w:tblPrEx>
                <w:tblBorders>
                  <w:top w:val="double" w:color="auto" w:sz="4" w:space="0"/>
                  <w:left w:val="none" w:color="auto" w:sz="0" w:space="0"/>
                  <w:bottom w:val="double" w:color="auto" w:sz="4" w:space="0"/>
                  <w:right w:val="none" w:color="auto" w:sz="0" w:space="0"/>
                  <w:insideH w:val="single" w:color="auto" w:sz="2" w:space="0"/>
                  <w:insideV w:val="single" w:color="auto" w:sz="2" w:space="0"/>
                </w:tblBorders>
                <w:tblCellMar>
                  <w:top w:w="0" w:type="dxa"/>
                  <w:left w:w="108" w:type="dxa"/>
                  <w:bottom w:w="0" w:type="dxa"/>
                  <w:right w:w="108" w:type="dxa"/>
                </w:tblCellMar>
              </w:tblPrEx>
              <w:trPr>
                <w:cantSplit/>
                <w:trHeight w:val="397" w:hRule="atLeast"/>
              </w:trPr>
              <w:tc>
                <w:tcPr>
                  <w:tcW w:w="464" w:type="pct"/>
                  <w:noWrap w:val="0"/>
                  <w:vAlign w:val="center"/>
                </w:tcPr>
                <w:p w14:paraId="4AB3B126">
                  <w:pPr>
                    <w:keepNext w:val="0"/>
                    <w:keepLines w:val="0"/>
                    <w:suppressLineNumbers w:val="0"/>
                    <w:adjustRightInd w:val="0"/>
                    <w:snapToGrid w:val="0"/>
                    <w:spacing w:before="0" w:beforeAutospacing="0" w:after="0" w:afterAutospacing="0"/>
                    <w:ind w:left="0" w:right="0"/>
                    <w:jc w:val="center"/>
                    <w:rPr>
                      <w:rFonts w:hint="default"/>
                      <w:color w:val="000000" w:themeColor="text1"/>
                      <w:szCs w:val="21"/>
                      <w:highlight w:val="none"/>
                      <w14:textFill>
                        <w14:solidFill>
                          <w14:schemeClr w14:val="tx1"/>
                        </w14:solidFill>
                      </w14:textFill>
                    </w:rPr>
                  </w:pPr>
                  <w:r>
                    <w:rPr>
                      <w:rFonts w:hint="default"/>
                      <w:color w:val="000000" w:themeColor="text1"/>
                      <w:szCs w:val="21"/>
                      <w:highlight w:val="none"/>
                      <w14:textFill>
                        <w14:solidFill>
                          <w14:schemeClr w14:val="tx1"/>
                        </w14:solidFill>
                      </w14:textFill>
                    </w:rPr>
                    <w:t>2</w:t>
                  </w:r>
                </w:p>
              </w:tc>
              <w:tc>
                <w:tcPr>
                  <w:tcW w:w="922" w:type="pct"/>
                  <w:noWrap w:val="0"/>
                  <w:vAlign w:val="center"/>
                </w:tcPr>
                <w:p w14:paraId="2537BF5B">
                  <w:pPr>
                    <w:keepNext w:val="0"/>
                    <w:keepLines w:val="0"/>
                    <w:suppressLineNumbers w:val="0"/>
                    <w:adjustRightInd w:val="0"/>
                    <w:snapToGrid w:val="0"/>
                    <w:spacing w:before="0" w:beforeAutospacing="0" w:after="0" w:afterAutospacing="0"/>
                    <w:ind w:left="0" w:right="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颗粒物</w:t>
                  </w:r>
                </w:p>
              </w:tc>
              <w:tc>
                <w:tcPr>
                  <w:tcW w:w="1513" w:type="pct"/>
                  <w:noWrap w:val="0"/>
                  <w:vAlign w:val="center"/>
                </w:tcPr>
                <w:p w14:paraId="1D197EBD">
                  <w:pPr>
                    <w:keepNext w:val="0"/>
                    <w:keepLines w:val="0"/>
                    <w:suppressLineNumbers w:val="0"/>
                    <w:adjustRightInd w:val="0"/>
                    <w:snapToGrid w:val="0"/>
                    <w:spacing w:before="0" w:beforeAutospacing="0" w:after="0" w:afterAutospacing="0"/>
                    <w:ind w:left="0" w:right="0"/>
                    <w:jc w:val="center"/>
                    <w:rPr>
                      <w:rFonts w:hint="default"/>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4k</w:t>
                  </w:r>
                  <w:r>
                    <w:rPr>
                      <w:rFonts w:hint="eastAsia"/>
                      <w:color w:val="000000" w:themeColor="text1"/>
                      <w:szCs w:val="21"/>
                      <w:highlight w:val="none"/>
                      <w14:textFill>
                        <w14:solidFill>
                          <w14:schemeClr w14:val="tx1"/>
                        </w14:solidFill>
                      </w14:textFill>
                    </w:rPr>
                    <w:t>g/t-中成药</w:t>
                  </w:r>
                </w:p>
              </w:tc>
              <w:tc>
                <w:tcPr>
                  <w:tcW w:w="2099" w:type="pct"/>
                  <w:vMerge w:val="continue"/>
                  <w:noWrap w:val="0"/>
                  <w:vAlign w:val="center"/>
                </w:tcPr>
                <w:p w14:paraId="76D46DDB">
                  <w:pPr>
                    <w:keepNext w:val="0"/>
                    <w:keepLines w:val="0"/>
                    <w:suppressLineNumbers w:val="0"/>
                    <w:adjustRightInd w:val="0"/>
                    <w:snapToGrid w:val="0"/>
                    <w:spacing w:before="0" w:beforeAutospacing="0" w:after="0" w:afterAutospacing="0"/>
                    <w:ind w:left="0" w:right="0"/>
                    <w:jc w:val="center"/>
                    <w:rPr>
                      <w:rFonts w:hint="default"/>
                      <w:bCs/>
                      <w:color w:val="000000" w:themeColor="text1"/>
                      <w:szCs w:val="21"/>
                      <w:highlight w:val="none"/>
                      <w14:textFill>
                        <w14:solidFill>
                          <w14:schemeClr w14:val="tx1"/>
                        </w14:solidFill>
                      </w14:textFill>
                    </w:rPr>
                  </w:pPr>
                </w:p>
              </w:tc>
            </w:tr>
          </w:tbl>
          <w:p w14:paraId="36DAF2A9">
            <w:pPr>
              <w:keepNext w:val="0"/>
              <w:keepLines w:val="0"/>
              <w:suppressLineNumbers w:val="0"/>
              <w:adjustRightInd w:val="0"/>
              <w:snapToGrid w:val="0"/>
              <w:spacing w:before="0" w:beforeAutospacing="0" w:after="0" w:afterAutospacing="0" w:line="360" w:lineRule="auto"/>
              <w:ind w:left="0" w:right="0" w:firstLine="480" w:firstLineChars="200"/>
              <w:rPr>
                <w:rFonts w:hint="eastAsia" w:eastAsia="宋体"/>
                <w:color w:val="000000" w:themeColor="text1"/>
                <w:sz w:val="24"/>
                <w:szCs w:val="24"/>
                <w:highlight w:val="none"/>
                <w:lang w:eastAsia="zh-CN"/>
                <w14:textFill>
                  <w14:solidFill>
                    <w14:schemeClr w14:val="tx1"/>
                  </w14:solidFill>
                </w14:textFill>
              </w:rPr>
            </w:pPr>
            <w:r>
              <w:rPr>
                <w:rFonts w:hint="eastAsia" w:eastAsia="宋体"/>
                <w:color w:val="000000" w:themeColor="text1"/>
                <w:sz w:val="24"/>
                <w:szCs w:val="24"/>
                <w:highlight w:val="none"/>
                <w:lang w:eastAsia="zh-CN"/>
                <w14:textFill>
                  <w14:solidFill>
                    <w14:schemeClr w14:val="tx1"/>
                  </w14:solidFill>
                </w14:textFill>
              </w:rPr>
              <w:t>本项目创新制剂车间</w:t>
            </w:r>
            <w:r>
              <w:rPr>
                <w:rFonts w:hint="eastAsia" w:eastAsia="宋体"/>
                <w:color w:val="000000" w:themeColor="text1"/>
                <w:sz w:val="24"/>
                <w:szCs w:val="24"/>
                <w:highlight w:val="none"/>
                <w:lang w:val="en-US" w:eastAsia="zh-CN"/>
                <w14:textFill>
                  <w14:solidFill>
                    <w14:schemeClr w14:val="tx1"/>
                  </w14:solidFill>
                </w14:textFill>
              </w:rPr>
              <w:t>生产中成药总产量为10.5</w:t>
            </w:r>
            <w:r>
              <w:rPr>
                <w:rFonts w:hint="eastAsia"/>
                <w:color w:val="000000" w:themeColor="text1"/>
                <w:sz w:val="24"/>
                <w:szCs w:val="24"/>
                <w:highlight w:val="none"/>
                <w:lang w:val="en-US" w:eastAsia="zh-CN"/>
                <w14:textFill>
                  <w14:solidFill>
                    <w14:schemeClr w14:val="tx1"/>
                  </w14:solidFill>
                </w14:textFill>
              </w:rPr>
              <w:t>t/a，</w:t>
            </w:r>
            <w:r>
              <w:rPr>
                <w:rFonts w:hint="eastAsia" w:eastAsia="宋体"/>
                <w:color w:val="000000" w:themeColor="text1"/>
                <w:sz w:val="24"/>
                <w:szCs w:val="24"/>
                <w:highlight w:val="none"/>
                <w:lang w:val="en-US" w:eastAsia="zh-CN"/>
                <w14:textFill>
                  <w14:solidFill>
                    <w14:schemeClr w14:val="tx1"/>
                  </w14:solidFill>
                </w14:textFill>
              </w:rPr>
              <w:t>年</w:t>
            </w:r>
            <w:r>
              <w:rPr>
                <w:rFonts w:hint="eastAsia"/>
                <w:color w:val="000000" w:themeColor="text1"/>
                <w:sz w:val="24"/>
                <w:szCs w:val="24"/>
                <w:highlight w:val="none"/>
                <w:lang w:val="en-US" w:eastAsia="zh-CN"/>
                <w14:textFill>
                  <w14:solidFill>
                    <w14:schemeClr w14:val="tx1"/>
                  </w14:solidFill>
                </w14:textFill>
              </w:rPr>
              <w:t>生产</w:t>
            </w:r>
            <w:r>
              <w:rPr>
                <w:rFonts w:hint="eastAsia" w:eastAsia="宋体"/>
                <w:color w:val="000000" w:themeColor="text1"/>
                <w:sz w:val="24"/>
                <w:szCs w:val="24"/>
                <w:highlight w:val="none"/>
                <w:lang w:val="en-US" w:eastAsia="zh-CN"/>
                <w14:textFill>
                  <w14:solidFill>
                    <w14:schemeClr w14:val="tx1"/>
                  </w14:solidFill>
                </w14:textFill>
              </w:rPr>
              <w:t>时间为3000h</w:t>
            </w:r>
            <w:r>
              <w:rPr>
                <w:rFonts w:hint="eastAsia"/>
                <w:color w:val="000000" w:themeColor="text1"/>
                <w:sz w:val="24"/>
                <w:szCs w:val="24"/>
                <w:highlight w:val="none"/>
                <w:lang w:val="en-US" w:eastAsia="zh-CN"/>
                <w14:textFill>
                  <w14:solidFill>
                    <w14:schemeClr w14:val="tx1"/>
                  </w14:solidFill>
                </w14:textFill>
              </w:rPr>
              <w:t>，根据上表4-4产污系数计算，</w:t>
            </w:r>
            <w:r>
              <w:rPr>
                <w:rFonts w:hint="eastAsia" w:eastAsia="宋体"/>
                <w:color w:val="000000" w:themeColor="text1"/>
                <w:sz w:val="24"/>
                <w:szCs w:val="24"/>
                <w:highlight w:val="none"/>
                <w:lang w:eastAsia="zh-CN"/>
                <w14:textFill>
                  <w14:solidFill>
                    <w14:schemeClr w14:val="tx1"/>
                  </w14:solidFill>
                </w14:textFill>
              </w:rPr>
              <w:t>则创新制剂车间</w:t>
            </w:r>
            <w:r>
              <w:rPr>
                <w:rFonts w:hint="eastAsia" w:eastAsia="宋体"/>
                <w:color w:val="000000" w:themeColor="text1"/>
                <w:sz w:val="24"/>
                <w:szCs w:val="24"/>
                <w:highlight w:val="none"/>
                <w:lang w:val="en-US" w:eastAsia="zh-CN"/>
                <w14:textFill>
                  <w14:solidFill>
                    <w14:schemeClr w14:val="tx1"/>
                  </w14:solidFill>
                </w14:textFill>
              </w:rPr>
              <w:t>固体制剂</w:t>
            </w:r>
            <w:r>
              <w:rPr>
                <w:rFonts w:hint="eastAsia"/>
                <w:color w:val="000000" w:themeColor="text1"/>
                <w:sz w:val="24"/>
                <w:szCs w:val="24"/>
                <w:highlight w:val="none"/>
                <w:lang w:val="en-US" w:eastAsia="zh-CN"/>
                <w14:textFill>
                  <w14:solidFill>
                    <w14:schemeClr w14:val="tx1"/>
                  </w14:solidFill>
                </w14:textFill>
              </w:rPr>
              <w:t>单元</w:t>
            </w:r>
            <w:r>
              <w:rPr>
                <w:rFonts w:hint="eastAsia" w:eastAsia="宋体"/>
                <w:color w:val="000000" w:themeColor="text1"/>
                <w:sz w:val="24"/>
                <w:szCs w:val="24"/>
                <w:highlight w:val="none"/>
                <w:lang w:val="en-US" w:eastAsia="zh-CN"/>
                <w14:textFill>
                  <w14:solidFill>
                    <w14:schemeClr w14:val="tx1"/>
                  </w14:solidFill>
                </w14:textFill>
              </w:rPr>
              <w:t>工业废气量为</w:t>
            </w:r>
            <w:r>
              <w:rPr>
                <w:rFonts w:hint="eastAsia"/>
                <w:color w:val="000000" w:themeColor="text1"/>
                <w:sz w:val="24"/>
                <w:szCs w:val="24"/>
                <w:highlight w:val="none"/>
                <w:lang w:val="en-US" w:eastAsia="zh-CN"/>
                <w14:textFill>
                  <w14:solidFill>
                    <w14:schemeClr w14:val="tx1"/>
                  </w14:solidFill>
                </w14:textFill>
              </w:rPr>
              <w:t>126</w:t>
            </w:r>
            <w:r>
              <w:rPr>
                <w:rFonts w:hint="eastAsia" w:eastAsia="宋体"/>
                <w:color w:val="000000" w:themeColor="text1"/>
                <w:sz w:val="24"/>
                <w:szCs w:val="24"/>
                <w:highlight w:val="none"/>
                <w:lang w:val="en-US" w:eastAsia="zh-CN"/>
                <w14:textFill>
                  <w14:solidFill>
                    <w14:schemeClr w14:val="tx1"/>
                  </w14:solidFill>
                </w14:textFill>
              </w:rPr>
              <w:t>m</w:t>
            </w:r>
            <w:r>
              <w:rPr>
                <w:rFonts w:hint="eastAsia" w:eastAsia="宋体"/>
                <w:color w:val="000000" w:themeColor="text1"/>
                <w:sz w:val="24"/>
                <w:szCs w:val="24"/>
                <w:highlight w:val="none"/>
                <w:vertAlign w:val="superscript"/>
                <w:lang w:val="en-US" w:eastAsia="zh-CN"/>
                <w14:textFill>
                  <w14:solidFill>
                    <w14:schemeClr w14:val="tx1"/>
                  </w14:solidFill>
                </w14:textFill>
              </w:rPr>
              <w:t>3</w:t>
            </w:r>
            <w:r>
              <w:rPr>
                <w:rFonts w:hint="eastAsia" w:eastAsia="宋体"/>
                <w:color w:val="000000" w:themeColor="text1"/>
                <w:sz w:val="24"/>
                <w:szCs w:val="24"/>
                <w:highlight w:val="none"/>
                <w:lang w:val="en-US" w:eastAsia="zh-CN"/>
                <w14:textFill>
                  <w14:solidFill>
                    <w14:schemeClr w14:val="tx1"/>
                  </w14:solidFill>
                </w14:textFill>
              </w:rPr>
              <w:t>/h</w:t>
            </w:r>
            <w:r>
              <w:rPr>
                <w:rFonts w:hint="eastAsia" w:eastAsia="宋体"/>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污染物颗粒物</w:t>
            </w:r>
            <w:r>
              <w:rPr>
                <w:rFonts w:hint="eastAsia" w:eastAsia="宋体"/>
                <w:color w:val="000000" w:themeColor="text1"/>
                <w:sz w:val="24"/>
                <w:szCs w:val="24"/>
                <w:highlight w:val="none"/>
                <w:lang w:val="en-US" w:eastAsia="zh-CN"/>
                <w14:textFill>
                  <w14:solidFill>
                    <w14:schemeClr w14:val="tx1"/>
                  </w14:solidFill>
                </w14:textFill>
              </w:rPr>
              <w:t>产生量为</w:t>
            </w:r>
            <w:r>
              <w:rPr>
                <w:rFonts w:hint="eastAsia"/>
                <w:color w:val="000000" w:themeColor="text1"/>
                <w:sz w:val="24"/>
                <w:szCs w:val="24"/>
                <w:highlight w:val="none"/>
                <w:lang w:val="en-US" w:eastAsia="zh-CN"/>
                <w14:textFill>
                  <w14:solidFill>
                    <w14:schemeClr w14:val="tx1"/>
                  </w14:solidFill>
                </w14:textFill>
              </w:rPr>
              <w:t>0.0420</w:t>
            </w:r>
            <w:r>
              <w:rPr>
                <w:rFonts w:hint="eastAsia" w:eastAsia="宋体"/>
                <w:color w:val="000000" w:themeColor="text1"/>
                <w:sz w:val="24"/>
                <w:szCs w:val="24"/>
                <w:highlight w:val="none"/>
                <w:lang w:val="en-US" w:eastAsia="zh-CN"/>
                <w14:textFill>
                  <w14:solidFill>
                    <w14:schemeClr w14:val="tx1"/>
                  </w14:solidFill>
                </w14:textFill>
              </w:rPr>
              <w:t>t</w:t>
            </w:r>
            <w:r>
              <w:rPr>
                <w:rFonts w:hint="eastAsia" w:eastAsia="宋体"/>
                <w:color w:val="000000" w:themeColor="text1"/>
                <w:sz w:val="24"/>
                <w:szCs w:val="24"/>
                <w:highlight w:val="none"/>
                <w:lang w:eastAsia="zh-CN"/>
                <w14:textFill>
                  <w14:solidFill>
                    <w14:schemeClr w14:val="tx1"/>
                  </w14:solidFill>
                </w14:textFill>
              </w:rPr>
              <w:t>/a</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产生速率为0.0140</w:t>
            </w:r>
            <w:r>
              <w:rPr>
                <w:rFonts w:hint="eastAsia" w:eastAsia="新宋体"/>
                <w:color w:val="000000" w:themeColor="text1"/>
                <w:sz w:val="24"/>
                <w:szCs w:val="24"/>
                <w:highlight w:val="none"/>
                <w:lang w:val="en-US" w:eastAsia="zh-CN"/>
                <w14:textFill>
                  <w14:solidFill>
                    <w14:schemeClr w14:val="tx1"/>
                  </w14:solidFill>
                </w14:textFill>
              </w:rPr>
              <w:t>kg/h，产生浓度为111.11</w:t>
            </w:r>
            <w:r>
              <w:rPr>
                <w:rFonts w:hint="eastAsia" w:eastAsia="宋体"/>
                <w:color w:val="000000" w:themeColor="text1"/>
                <w:sz w:val="24"/>
                <w:szCs w:val="24"/>
                <w:highlight w:val="none"/>
                <w:lang w:eastAsia="zh-CN"/>
                <w14:textFill>
                  <w14:solidFill>
                    <w14:schemeClr w14:val="tx1"/>
                  </w14:solidFill>
                </w14:textFill>
              </w:rPr>
              <w:t>mg/m</w:t>
            </w:r>
            <w:r>
              <w:rPr>
                <w:rFonts w:hint="eastAsia" w:eastAsia="宋体"/>
                <w:color w:val="000000" w:themeColor="text1"/>
                <w:sz w:val="24"/>
                <w:szCs w:val="24"/>
                <w:highlight w:val="none"/>
                <w:vertAlign w:val="superscript"/>
                <w:lang w:eastAsia="zh-CN"/>
                <w14:textFill>
                  <w14:solidFill>
                    <w14:schemeClr w14:val="tx1"/>
                  </w14:solidFill>
                </w14:textFill>
              </w:rPr>
              <w:t>3</w:t>
            </w:r>
            <w:r>
              <w:rPr>
                <w:rFonts w:hint="eastAsia" w:eastAsia="新宋体"/>
                <w:color w:val="000000" w:themeColor="text1"/>
                <w:sz w:val="24"/>
                <w:szCs w:val="24"/>
                <w:highlight w:val="none"/>
                <w:lang w:val="en-US" w:eastAsia="zh-CN"/>
                <w14:textFill>
                  <w14:solidFill>
                    <w14:schemeClr w14:val="tx1"/>
                  </w14:solidFill>
                </w14:textFill>
              </w:rPr>
              <w:t>。本项目</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制粒机</w:t>
            </w:r>
            <w:r>
              <w:rPr>
                <w:rFonts w:hint="eastAsia" w:cs="Times New Roman"/>
                <w:b w:val="0"/>
                <w:bCs/>
                <w:color w:val="000000" w:themeColor="text1"/>
                <w:sz w:val="24"/>
                <w:szCs w:val="24"/>
                <w:highlight w:val="none"/>
                <w:lang w:val="en-US" w:eastAsia="zh-CN"/>
                <w14:textFill>
                  <w14:solidFill>
                    <w14:schemeClr w14:val="tx1"/>
                  </w14:solidFill>
                </w14:textFill>
              </w:rPr>
              <w:t>和</w:t>
            </w:r>
            <w:r>
              <w:rPr>
                <w:rFonts w:hint="eastAsia" w:cs="Times New Roman" w:asciiTheme="minorEastAsia" w:hAnsiTheme="minorEastAsia"/>
                <w:color w:val="000000" w:themeColor="text1"/>
                <w:sz w:val="24"/>
                <w:highlight w:val="none"/>
                <w:lang w:val="en-US" w:eastAsia="zh-CN"/>
                <w14:textFill>
                  <w14:solidFill>
                    <w14:schemeClr w14:val="tx1"/>
                  </w14:solidFill>
                </w14:textFill>
              </w:rPr>
              <w:t>包衣机</w:t>
            </w:r>
            <w:r>
              <w:rPr>
                <w:rFonts w:hint="eastAsia" w:cs="Times New Roman"/>
                <w:b w:val="0"/>
                <w:bCs/>
                <w:color w:val="000000" w:themeColor="text1"/>
                <w:sz w:val="24"/>
                <w:szCs w:val="24"/>
                <w:highlight w:val="none"/>
                <w:lang w:val="en-US" w:eastAsia="zh-CN"/>
                <w14:textFill>
                  <w14:solidFill>
                    <w14:schemeClr w14:val="tx1"/>
                  </w14:solidFill>
                </w14:textFill>
              </w:rPr>
              <w:t>为密闭结构，负压进料和出口密闭管道连，产生的粉尘经呼吸口处捕集袋除尘后，与集气系统连接，</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经</w:t>
            </w:r>
            <w:r>
              <w:rPr>
                <w:rFonts w:hint="eastAsia" w:cs="Times New Roman"/>
                <w:b w:val="0"/>
                <w:bCs/>
                <w:color w:val="000000" w:themeColor="text1"/>
                <w:sz w:val="24"/>
                <w:szCs w:val="24"/>
                <w:highlight w:val="none"/>
                <w:lang w:val="en-US" w:eastAsia="zh-CN"/>
                <w14:textFill>
                  <w14:solidFill>
                    <w14:schemeClr w14:val="tx1"/>
                  </w14:solidFill>
                </w14:textFill>
              </w:rPr>
              <w:t>旋风除尘器</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（TA02</w:t>
            </w:r>
            <w:r>
              <w:rPr>
                <w:rFonts w:hint="eastAsia" w:cs="Times New Roman"/>
                <w:b w:val="0"/>
                <w:bCs/>
                <w:color w:val="000000" w:themeColor="text1"/>
                <w:sz w:val="24"/>
                <w:szCs w:val="24"/>
                <w:highlight w:val="none"/>
                <w:lang w:val="en-US" w:eastAsia="zh-CN"/>
                <w14:textFill>
                  <w14:solidFill>
                    <w14:schemeClr w14:val="tx1"/>
                  </w14:solidFill>
                </w14:textFill>
              </w:rPr>
              <w:t>7</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）处理后由不低于15m高的排气筒（DA005）排放</w:t>
            </w:r>
            <w:r>
              <w:rPr>
                <w:rFonts w:hint="eastAsia" w:eastAsia="宋体"/>
                <w:color w:val="000000" w:themeColor="text1"/>
                <w:sz w:val="24"/>
                <w:szCs w:val="24"/>
                <w:highlight w:val="none"/>
                <w:lang w:val="en-US" w:eastAsia="zh-CN"/>
                <w14:textFill>
                  <w14:solidFill>
                    <w14:schemeClr w14:val="tx1"/>
                  </w14:solidFill>
                </w14:textFill>
              </w:rPr>
              <w:t>。</w:t>
            </w:r>
          </w:p>
          <w:p w14:paraId="27DFA2B0">
            <w:pPr>
              <w:keepNext w:val="0"/>
              <w:keepLines w:val="0"/>
              <w:suppressLineNumbers w:val="0"/>
              <w:adjustRightInd w:val="0"/>
              <w:snapToGrid w:val="0"/>
              <w:spacing w:before="0" w:beforeAutospacing="0" w:after="0" w:afterAutospacing="0" w:line="360" w:lineRule="auto"/>
              <w:ind w:left="0" w:right="0" w:firstLine="480" w:firstLineChars="20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本项目呼吸口处捕集袋除尘+旋风除尘器</w:t>
            </w:r>
            <w:r>
              <w:rPr>
                <w:rFonts w:hint="eastAsia" w:eastAsia="宋体"/>
                <w:color w:val="000000" w:themeColor="text1"/>
                <w:sz w:val="24"/>
                <w:szCs w:val="24"/>
                <w:highlight w:val="none"/>
                <w:lang w:val="en-US" w:eastAsia="zh-CN"/>
                <w14:textFill>
                  <w14:solidFill>
                    <w14:schemeClr w14:val="tx1"/>
                  </w14:solidFill>
                </w14:textFill>
              </w:rPr>
              <w:t>处理效率为99%</w:t>
            </w:r>
            <w:r>
              <w:rPr>
                <w:rFonts w:hint="eastAsia"/>
                <w:color w:val="000000" w:themeColor="text1"/>
                <w:sz w:val="24"/>
                <w:szCs w:val="24"/>
                <w:highlight w:val="none"/>
                <w:lang w:val="en-US"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根据计算，</w:t>
            </w:r>
            <w:r>
              <w:rPr>
                <w:rFonts w:hint="eastAsia" w:eastAsia="宋体"/>
                <w:color w:val="000000" w:themeColor="text1"/>
                <w:sz w:val="24"/>
                <w:szCs w:val="24"/>
                <w:highlight w:val="none"/>
                <w:lang w:val="en-US" w:eastAsia="zh-CN"/>
                <w14:textFill>
                  <w14:solidFill>
                    <w14:schemeClr w14:val="tx1"/>
                  </w14:solidFill>
                </w14:textFill>
              </w:rPr>
              <w:t>固体制剂</w:t>
            </w:r>
            <w:r>
              <w:rPr>
                <w:rFonts w:hint="eastAsia"/>
                <w:color w:val="000000" w:themeColor="text1"/>
                <w:sz w:val="24"/>
                <w:szCs w:val="24"/>
                <w:highlight w:val="none"/>
                <w:lang w:val="en-US" w:eastAsia="zh-CN"/>
                <w14:textFill>
                  <w14:solidFill>
                    <w14:schemeClr w14:val="tx1"/>
                  </w14:solidFill>
                </w14:textFill>
              </w:rPr>
              <w:t>单元污染物颗粒物有组织排放量为0.0003</w:t>
            </w:r>
            <w:r>
              <w:rPr>
                <w:rFonts w:hint="eastAsia" w:eastAsia="宋体"/>
                <w:color w:val="000000" w:themeColor="text1"/>
                <w:sz w:val="24"/>
                <w:szCs w:val="24"/>
                <w:highlight w:val="none"/>
                <w:lang w:eastAsia="zh-CN"/>
                <w14:textFill>
                  <w14:solidFill>
                    <w14:schemeClr w14:val="tx1"/>
                  </w14:solidFill>
                </w14:textFill>
              </w:rPr>
              <w:t>t/a，</w:t>
            </w:r>
            <w:r>
              <w:rPr>
                <w:rFonts w:hint="eastAsia" w:eastAsia="宋体"/>
                <w:color w:val="000000" w:themeColor="text1"/>
                <w:sz w:val="24"/>
                <w:szCs w:val="24"/>
                <w:highlight w:val="none"/>
                <w:lang w:val="en-US" w:eastAsia="zh-CN"/>
                <w14:textFill>
                  <w14:solidFill>
                    <w14:schemeClr w14:val="tx1"/>
                  </w14:solidFill>
                </w14:textFill>
              </w:rPr>
              <w:t>排放</w:t>
            </w:r>
            <w:r>
              <w:rPr>
                <w:rFonts w:hint="eastAsia" w:eastAsia="宋体"/>
                <w:color w:val="000000" w:themeColor="text1"/>
                <w:sz w:val="24"/>
                <w:szCs w:val="24"/>
                <w:highlight w:val="none"/>
                <w:lang w:eastAsia="zh-CN"/>
                <w14:textFill>
                  <w14:solidFill>
                    <w14:schemeClr w14:val="tx1"/>
                  </w14:solidFill>
                </w14:textFill>
              </w:rPr>
              <w:t>浓度</w:t>
            </w:r>
            <w:r>
              <w:rPr>
                <w:rFonts w:hint="eastAsia"/>
                <w:color w:val="000000" w:themeColor="text1"/>
                <w:sz w:val="24"/>
                <w:szCs w:val="24"/>
                <w:highlight w:val="none"/>
                <w:lang w:val="en-US" w:eastAsia="zh-CN"/>
                <w14:textFill>
                  <w14:solidFill>
                    <w14:schemeClr w14:val="tx1"/>
                  </w14:solidFill>
                </w14:textFill>
              </w:rPr>
              <w:t>0.89</w:t>
            </w:r>
            <w:r>
              <w:rPr>
                <w:rFonts w:hint="eastAsia" w:eastAsia="宋体"/>
                <w:color w:val="000000" w:themeColor="text1"/>
                <w:sz w:val="24"/>
                <w:szCs w:val="24"/>
                <w:highlight w:val="none"/>
                <w:lang w:eastAsia="zh-CN"/>
                <w14:textFill>
                  <w14:solidFill>
                    <w14:schemeClr w14:val="tx1"/>
                  </w14:solidFill>
                </w14:textFill>
              </w:rPr>
              <w:t>mg/m</w:t>
            </w:r>
            <w:r>
              <w:rPr>
                <w:rFonts w:hint="eastAsia" w:eastAsia="宋体"/>
                <w:color w:val="000000" w:themeColor="text1"/>
                <w:sz w:val="24"/>
                <w:szCs w:val="24"/>
                <w:highlight w:val="none"/>
                <w:vertAlign w:val="superscript"/>
                <w:lang w:eastAsia="zh-CN"/>
                <w14:textFill>
                  <w14:solidFill>
                    <w14:schemeClr w14:val="tx1"/>
                  </w14:solidFill>
                </w14:textFill>
              </w:rPr>
              <w:t>3</w:t>
            </w:r>
            <w:r>
              <w:rPr>
                <w:rFonts w:hint="eastAsia" w:eastAsia="宋体"/>
                <w:color w:val="000000" w:themeColor="text1"/>
                <w:sz w:val="24"/>
                <w:szCs w:val="24"/>
                <w:highlight w:val="none"/>
                <w:lang w:eastAsia="zh-CN"/>
                <w14:textFill>
                  <w14:solidFill>
                    <w14:schemeClr w14:val="tx1"/>
                  </w14:solidFill>
                </w14:textFill>
              </w:rPr>
              <w:t>，</w:t>
            </w:r>
            <w:r>
              <w:rPr>
                <w:rFonts w:hint="eastAsia" w:eastAsia="宋体"/>
                <w:color w:val="000000" w:themeColor="text1"/>
                <w:sz w:val="24"/>
                <w:szCs w:val="24"/>
                <w:highlight w:val="none"/>
                <w:lang w:val="en-US" w:eastAsia="zh-CN"/>
                <w14:textFill>
                  <w14:solidFill>
                    <w14:schemeClr w14:val="tx1"/>
                  </w14:solidFill>
                </w14:textFill>
              </w:rPr>
              <w:t>排放</w:t>
            </w:r>
            <w:r>
              <w:rPr>
                <w:rFonts w:hint="eastAsia" w:eastAsia="宋体"/>
                <w:color w:val="000000" w:themeColor="text1"/>
                <w:sz w:val="24"/>
                <w:szCs w:val="24"/>
                <w:highlight w:val="none"/>
                <w:lang w:eastAsia="zh-CN"/>
                <w14:textFill>
                  <w14:solidFill>
                    <w14:schemeClr w14:val="tx1"/>
                  </w14:solidFill>
                </w14:textFill>
              </w:rPr>
              <w:t>速率为</w:t>
            </w:r>
            <w:r>
              <w:rPr>
                <w:rFonts w:hint="eastAsia" w:eastAsia="宋体"/>
                <w:color w:val="000000" w:themeColor="text1"/>
                <w:sz w:val="24"/>
                <w:szCs w:val="24"/>
                <w:highlight w:val="none"/>
                <w:lang w:val="en-US" w:eastAsia="zh-CN"/>
                <w14:textFill>
                  <w14:solidFill>
                    <w14:schemeClr w14:val="tx1"/>
                  </w14:solidFill>
                </w14:textFill>
              </w:rPr>
              <w:t>0.0001</w:t>
            </w:r>
            <w:r>
              <w:rPr>
                <w:rFonts w:hint="eastAsia" w:eastAsia="宋体"/>
                <w:color w:val="000000" w:themeColor="text1"/>
                <w:sz w:val="24"/>
                <w:szCs w:val="24"/>
                <w:highlight w:val="none"/>
                <w:lang w:eastAsia="zh-CN"/>
                <w14:textFill>
                  <w14:solidFill>
                    <w14:schemeClr w14:val="tx1"/>
                  </w14:solidFill>
                </w14:textFill>
              </w:rPr>
              <w:t>kg/h；</w:t>
            </w:r>
            <w:r>
              <w:rPr>
                <w:rFonts w:hint="eastAsia" w:eastAsia="宋体"/>
                <w:color w:val="000000" w:themeColor="text1"/>
                <w:sz w:val="24"/>
                <w:szCs w:val="24"/>
                <w:highlight w:val="none"/>
                <w:lang w:val="en-US" w:eastAsia="zh-CN"/>
                <w14:textFill>
                  <w14:solidFill>
                    <w14:schemeClr w14:val="tx1"/>
                  </w14:solidFill>
                </w14:textFill>
              </w:rPr>
              <w:t>无组织排放量为0.0084</w:t>
            </w:r>
            <w:r>
              <w:rPr>
                <w:rFonts w:hint="eastAsia" w:eastAsia="宋体"/>
                <w:color w:val="000000" w:themeColor="text1"/>
                <w:sz w:val="24"/>
                <w:szCs w:val="24"/>
                <w:highlight w:val="none"/>
                <w:lang w:eastAsia="zh-CN"/>
                <w14:textFill>
                  <w14:solidFill>
                    <w14:schemeClr w14:val="tx1"/>
                  </w14:solidFill>
                </w14:textFill>
              </w:rPr>
              <w:t>t/a，</w:t>
            </w:r>
            <w:r>
              <w:rPr>
                <w:rFonts w:hint="eastAsia" w:eastAsia="宋体"/>
                <w:color w:val="000000" w:themeColor="text1"/>
                <w:sz w:val="24"/>
                <w:szCs w:val="24"/>
                <w:highlight w:val="none"/>
                <w:lang w:val="en-US" w:eastAsia="zh-CN"/>
                <w14:textFill>
                  <w14:solidFill>
                    <w14:schemeClr w14:val="tx1"/>
                  </w14:solidFill>
                </w14:textFill>
              </w:rPr>
              <w:t>排放速率为0.0028</w:t>
            </w:r>
            <w:r>
              <w:rPr>
                <w:rFonts w:hint="eastAsia" w:eastAsia="宋体"/>
                <w:color w:val="000000" w:themeColor="text1"/>
                <w:sz w:val="24"/>
                <w:szCs w:val="24"/>
                <w:highlight w:val="none"/>
                <w:lang w:eastAsia="zh-CN"/>
                <w14:textFill>
                  <w14:solidFill>
                    <w14:schemeClr w14:val="tx1"/>
                  </w14:solidFill>
                </w14:textFill>
              </w:rPr>
              <w:t>kg/h</w:t>
            </w:r>
            <w:r>
              <w:rPr>
                <w:rFonts w:hint="eastAsia"/>
                <w:color w:val="000000" w:themeColor="text1"/>
                <w:sz w:val="24"/>
                <w:szCs w:val="24"/>
                <w:highlight w:val="none"/>
                <w:lang w:val="en-US" w:eastAsia="zh-CN"/>
                <w14:textFill>
                  <w14:solidFill>
                    <w14:schemeClr w14:val="tx1"/>
                  </w14:solidFill>
                </w14:textFill>
              </w:rPr>
              <w:t>。</w:t>
            </w:r>
          </w:p>
          <w:p w14:paraId="5B5275A4">
            <w:pPr>
              <w:keepNext w:val="0"/>
              <w:keepLines w:val="0"/>
              <w:pageBreakBefore w:val="0"/>
              <w:widowControl w:val="0"/>
              <w:numPr>
                <w:ilvl w:val="0"/>
                <w:numId w:val="26"/>
              </w:numPr>
              <w:suppressLineNumbers w:val="0"/>
              <w:kinsoku/>
              <w:wordWrap/>
              <w:overflowPunct/>
              <w:topLinePunct w:val="0"/>
              <w:autoSpaceDE/>
              <w:autoSpaceDN/>
              <w:bidi w:val="0"/>
              <w:adjustRightInd/>
              <w:snapToGrid w:val="0"/>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创新制剂车间</w:t>
            </w:r>
            <w:r>
              <w:rPr>
                <w:rFonts w:hint="eastAsia" w:cs="Times New Roman"/>
                <w:b/>
                <w:bCs/>
                <w:color w:val="000000" w:themeColor="text1"/>
                <w:sz w:val="21"/>
                <w:szCs w:val="21"/>
                <w:highlight w:val="none"/>
                <w:lang w:val="en-US" w:eastAsia="zh-CN"/>
                <w14:textFill>
                  <w14:solidFill>
                    <w14:schemeClr w14:val="tx1"/>
                  </w14:solidFill>
                </w14:textFill>
              </w:rPr>
              <w:t>污染物颗粒物</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产排情况</w:t>
            </w:r>
          </w:p>
          <w:tbl>
            <w:tblPr>
              <w:tblStyle w:val="35"/>
              <w:tblW w:w="4997"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64"/>
              <w:gridCol w:w="840"/>
              <w:gridCol w:w="678"/>
              <w:gridCol w:w="867"/>
              <w:gridCol w:w="867"/>
              <w:gridCol w:w="832"/>
              <w:gridCol w:w="1434"/>
              <w:gridCol w:w="872"/>
              <w:gridCol w:w="753"/>
              <w:gridCol w:w="755"/>
            </w:tblGrid>
            <w:tr w14:paraId="2083BDD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7" w:type="pct"/>
                  <w:tcBorders>
                    <w:tl2br w:val="nil"/>
                    <w:tr2bl w:val="nil"/>
                  </w:tcBorders>
                  <w:noWrap w:val="0"/>
                  <w:vAlign w:val="center"/>
                </w:tcPr>
                <w:p w14:paraId="06A6F65A">
                  <w:pPr>
                    <w:pStyle w:val="31"/>
                    <w:keepNext w:val="0"/>
                    <w:keepLines w:val="0"/>
                    <w:suppressLineNumbers w:val="0"/>
                    <w:spacing w:before="0" w:beforeAutospacing="0" w:after="0" w:afterAutospacing="0"/>
                    <w:ind w:left="0" w:right="0"/>
                    <w:jc w:val="center"/>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排放形式</w:t>
                  </w:r>
                </w:p>
              </w:tc>
              <w:tc>
                <w:tcPr>
                  <w:tcW w:w="501" w:type="pct"/>
                  <w:tcBorders>
                    <w:tl2br w:val="nil"/>
                    <w:tr2bl w:val="nil"/>
                  </w:tcBorders>
                  <w:noWrap w:val="0"/>
                  <w:vAlign w:val="center"/>
                </w:tcPr>
                <w:p w14:paraId="68E18627">
                  <w:pPr>
                    <w:pStyle w:val="31"/>
                    <w:keepNext w:val="0"/>
                    <w:keepLines w:val="0"/>
                    <w:suppressLineNumbers w:val="0"/>
                    <w:spacing w:before="0" w:beforeAutospacing="0" w:after="0" w:afterAutospacing="0"/>
                    <w:ind w:left="0" w:right="0"/>
                    <w:jc w:val="center"/>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产污</w:t>
                  </w:r>
                </w:p>
                <w:p w14:paraId="418AF244">
                  <w:pPr>
                    <w:pStyle w:val="31"/>
                    <w:keepNext w:val="0"/>
                    <w:keepLines w:val="0"/>
                    <w:suppressLineNumbers w:val="0"/>
                    <w:spacing w:before="0" w:beforeAutospacing="0" w:after="0" w:afterAutospacing="0"/>
                    <w:ind w:left="0" w:right="0"/>
                    <w:jc w:val="center"/>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环节</w:t>
                  </w:r>
                </w:p>
              </w:tc>
              <w:tc>
                <w:tcPr>
                  <w:tcW w:w="405" w:type="pct"/>
                  <w:tcBorders>
                    <w:tl2br w:val="nil"/>
                    <w:tr2bl w:val="nil"/>
                  </w:tcBorders>
                  <w:noWrap w:val="0"/>
                  <w:vAlign w:val="center"/>
                </w:tcPr>
                <w:p w14:paraId="27EF72CD">
                  <w:pPr>
                    <w:pStyle w:val="31"/>
                    <w:keepNext w:val="0"/>
                    <w:keepLines w:val="0"/>
                    <w:suppressLineNumbers w:val="0"/>
                    <w:spacing w:before="0" w:beforeAutospacing="0" w:after="0" w:afterAutospacing="0"/>
                    <w:ind w:left="0" w:right="0"/>
                    <w:jc w:val="center"/>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污染物名称</w:t>
                  </w:r>
                </w:p>
              </w:tc>
              <w:tc>
                <w:tcPr>
                  <w:tcW w:w="518" w:type="pct"/>
                  <w:tcBorders>
                    <w:tl2br w:val="nil"/>
                    <w:tr2bl w:val="nil"/>
                  </w:tcBorders>
                  <w:shd w:val="clear" w:color="auto" w:fill="auto"/>
                  <w:noWrap w:val="0"/>
                  <w:vAlign w:val="center"/>
                </w:tcPr>
                <w:p w14:paraId="32352025">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eastAsia="宋体" w:cs="Times New Roman"/>
                      <w:b/>
                      <w:bCs/>
                      <w:color w:val="000000" w:themeColor="text1"/>
                      <w:kern w:val="2"/>
                      <w:sz w:val="21"/>
                      <w:szCs w:val="21"/>
                      <w:highlight w:val="none"/>
                      <w:lang w:val="en-US" w:eastAsia="zh-CN" w:bidi="ar-SA"/>
                      <w14:textFill>
                        <w14:solidFill>
                          <w14:schemeClr w14:val="tx1"/>
                        </w14:solidFill>
                      </w14:textFill>
                    </w:rPr>
                    <w:t>产生速率</w:t>
                  </w: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kg/h</w:t>
                  </w:r>
                </w:p>
              </w:tc>
              <w:tc>
                <w:tcPr>
                  <w:tcW w:w="518" w:type="pct"/>
                  <w:tcBorders>
                    <w:tl2br w:val="nil"/>
                    <w:tr2bl w:val="nil"/>
                  </w:tcBorders>
                  <w:noWrap w:val="0"/>
                  <w:vAlign w:val="center"/>
                </w:tcPr>
                <w:p w14:paraId="4C601373">
                  <w:pPr>
                    <w:pStyle w:val="31"/>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产生</w:t>
                  </w:r>
                  <w:r>
                    <w:rPr>
                      <w:rFonts w:hint="eastAsia"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量</w:t>
                  </w:r>
                </w:p>
                <w:p w14:paraId="390530EB">
                  <w:pPr>
                    <w:pStyle w:val="31"/>
                    <w:keepNext w:val="0"/>
                    <w:keepLines w:val="0"/>
                    <w:suppressLineNumbers w:val="0"/>
                    <w:spacing w:before="0" w:beforeAutospacing="0" w:after="0" w:afterAutospacing="0"/>
                    <w:ind w:left="0" w:right="0"/>
                    <w:jc w:val="center"/>
                    <w:rPr>
                      <w:rFonts w:hint="default"/>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t/a</w:t>
                  </w:r>
                </w:p>
              </w:tc>
              <w:tc>
                <w:tcPr>
                  <w:tcW w:w="497" w:type="pct"/>
                  <w:tcBorders>
                    <w:tl2br w:val="nil"/>
                    <w:tr2bl w:val="nil"/>
                  </w:tcBorders>
                  <w:noWrap w:val="0"/>
                  <w:vAlign w:val="center"/>
                </w:tcPr>
                <w:p w14:paraId="4D6FB15E">
                  <w:pPr>
                    <w:pStyle w:val="3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cs="Times New Roman"/>
                      <w:b/>
                      <w:bCs/>
                      <w:color w:val="000000" w:themeColor="text1"/>
                      <w:kern w:val="2"/>
                      <w:sz w:val="21"/>
                      <w:szCs w:val="21"/>
                      <w:highlight w:val="none"/>
                      <w:lang w:val="en-US" w:eastAsia="zh-CN" w:bidi="ar-SA"/>
                      <w14:textFill>
                        <w14:solidFill>
                          <w14:schemeClr w14:val="tx1"/>
                        </w14:solidFill>
                      </w14:textFill>
                    </w:rPr>
                    <w:t>工业废气量</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Nm</w:t>
                  </w:r>
                  <w:r>
                    <w:rPr>
                      <w:rFonts w:hint="default" w:ascii="Times New Roman" w:hAnsi="Times New Roman" w:eastAsia="宋体" w:cs="Times New Roman"/>
                      <w:color w:val="000000" w:themeColor="text1"/>
                      <w:kern w:val="0"/>
                      <w:sz w:val="21"/>
                      <w:szCs w:val="21"/>
                      <w:highlight w:val="none"/>
                      <w:vertAlign w:val="superscript"/>
                      <w14:textFill>
                        <w14:solidFill>
                          <w14:schemeClr w14:val="tx1"/>
                        </w14:solidFill>
                      </w14:textFill>
                    </w:rPr>
                    <w:t>3</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/h</w:t>
                  </w:r>
                </w:p>
              </w:tc>
              <w:tc>
                <w:tcPr>
                  <w:tcW w:w="857" w:type="pct"/>
                  <w:tcBorders>
                    <w:tl2br w:val="nil"/>
                    <w:tr2bl w:val="nil"/>
                  </w:tcBorders>
                  <w:noWrap w:val="0"/>
                  <w:vAlign w:val="center"/>
                </w:tcPr>
                <w:p w14:paraId="3A1081E4">
                  <w:pPr>
                    <w:pStyle w:val="31"/>
                    <w:keepNext w:val="0"/>
                    <w:keepLines w:val="0"/>
                    <w:suppressLineNumbers w:val="0"/>
                    <w:spacing w:before="0" w:beforeAutospacing="0" w:after="0" w:afterAutospacing="0"/>
                    <w:ind w:left="0" w:right="0"/>
                    <w:jc w:val="center"/>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治理措施</w:t>
                  </w:r>
                </w:p>
              </w:tc>
              <w:tc>
                <w:tcPr>
                  <w:tcW w:w="521" w:type="pct"/>
                  <w:tcBorders>
                    <w:tl2br w:val="nil"/>
                    <w:tr2bl w:val="nil"/>
                  </w:tcBorders>
                  <w:noWrap w:val="0"/>
                  <w:vAlign w:val="center"/>
                </w:tcPr>
                <w:p w14:paraId="20A15DF9">
                  <w:pPr>
                    <w:pStyle w:val="31"/>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排放浓度mg/</w:t>
                  </w: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m</w:t>
                  </w:r>
                  <w:r>
                    <w:rPr>
                      <w:rFonts w:hint="default" w:ascii="Times New Roman" w:hAnsi="Times New Roman" w:eastAsia="宋体" w:cs="Times New Roman"/>
                      <w:b/>
                      <w:bCs/>
                      <w:color w:val="000000" w:themeColor="text1"/>
                      <w:kern w:val="0"/>
                      <w:sz w:val="21"/>
                      <w:szCs w:val="21"/>
                      <w:highlight w:val="none"/>
                      <w:vertAlign w:val="superscript"/>
                      <w:lang w:val="en-US" w:eastAsia="zh-CN" w:bidi="ar-SA"/>
                      <w14:textFill>
                        <w14:solidFill>
                          <w14:schemeClr w14:val="tx1"/>
                        </w14:solidFill>
                      </w14:textFill>
                    </w:rPr>
                    <w:t>3</w:t>
                  </w:r>
                </w:p>
              </w:tc>
              <w:tc>
                <w:tcPr>
                  <w:tcW w:w="450" w:type="pct"/>
                  <w:tcBorders>
                    <w:tl2br w:val="nil"/>
                    <w:tr2bl w:val="nil"/>
                  </w:tcBorders>
                  <w:shd w:val="clear" w:color="auto" w:fill="auto"/>
                  <w:noWrap w:val="0"/>
                  <w:vAlign w:val="center"/>
                </w:tcPr>
                <w:p w14:paraId="691E6382">
                  <w:pPr>
                    <w:pStyle w:val="31"/>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排放速率</w:t>
                  </w: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kg/h</w:t>
                  </w:r>
                </w:p>
              </w:tc>
              <w:tc>
                <w:tcPr>
                  <w:tcW w:w="451" w:type="pct"/>
                  <w:tcBorders>
                    <w:tl2br w:val="nil"/>
                    <w:tr2bl w:val="nil"/>
                  </w:tcBorders>
                  <w:shd w:val="clear" w:color="auto" w:fill="auto"/>
                  <w:noWrap w:val="0"/>
                  <w:vAlign w:val="center"/>
                </w:tcPr>
                <w:p w14:paraId="77A81F24">
                  <w:pPr>
                    <w:pStyle w:val="31"/>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排放</w:t>
                  </w:r>
                  <w:r>
                    <w:rPr>
                      <w:rFonts w:hint="eastAsia"/>
                      <w:b/>
                      <w:bCs/>
                      <w:color w:val="000000" w:themeColor="text1"/>
                      <w:sz w:val="21"/>
                      <w:szCs w:val="21"/>
                      <w:highlight w:val="none"/>
                      <w:lang w:eastAsia="zh-CN"/>
                      <w14:textFill>
                        <w14:solidFill>
                          <w14:schemeClr w14:val="tx1"/>
                        </w14:solidFill>
                      </w14:textFill>
                    </w:rPr>
                    <w:t>量</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t/a</w:t>
                  </w:r>
                </w:p>
              </w:tc>
            </w:tr>
            <w:tr w14:paraId="056436D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15" w:hRule="atLeast"/>
                <w:jc w:val="center"/>
              </w:trPr>
              <w:tc>
                <w:tcPr>
                  <w:tcW w:w="277" w:type="pct"/>
                  <w:tcBorders>
                    <w:tl2br w:val="nil"/>
                    <w:tr2bl w:val="nil"/>
                  </w:tcBorders>
                  <w:noWrap w:val="0"/>
                  <w:vAlign w:val="center"/>
                </w:tcPr>
                <w:p w14:paraId="121E7B00">
                  <w:pPr>
                    <w:pStyle w:val="31"/>
                    <w:keepNext w:val="0"/>
                    <w:keepLines w:val="0"/>
                    <w:suppressLineNumbers w:val="0"/>
                    <w:spacing w:before="0" w:beforeAutospacing="0" w:after="0" w:afterAutospacing="0"/>
                    <w:ind w:left="0" w:leftChars="0" w:right="0" w:rightChars="0"/>
                    <w:jc w:val="center"/>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有组织</w:t>
                  </w:r>
                </w:p>
              </w:tc>
              <w:tc>
                <w:tcPr>
                  <w:tcW w:w="501" w:type="pct"/>
                  <w:tcBorders>
                    <w:tl2br w:val="nil"/>
                    <w:tr2bl w:val="nil"/>
                  </w:tcBorders>
                  <w:noWrap w:val="0"/>
                  <w:vAlign w:val="center"/>
                </w:tcPr>
                <w:p w14:paraId="321EEA76">
                  <w:pPr>
                    <w:pStyle w:val="31"/>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固体制剂</w:t>
                  </w:r>
                </w:p>
              </w:tc>
              <w:tc>
                <w:tcPr>
                  <w:tcW w:w="405" w:type="pct"/>
                  <w:tcBorders>
                    <w:tl2br w:val="nil"/>
                    <w:tr2bl w:val="nil"/>
                  </w:tcBorders>
                  <w:noWrap w:val="0"/>
                  <w:vAlign w:val="center"/>
                </w:tcPr>
                <w:p w14:paraId="1C55B424">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color w:val="000000" w:themeColor="text1"/>
                      <w:sz w:val="21"/>
                      <w:szCs w:val="21"/>
                      <w:highlight w:val="none"/>
                      <w14:textFill>
                        <w14:solidFill>
                          <w14:schemeClr w14:val="tx1"/>
                        </w14:solidFill>
                      </w14:textFill>
                    </w:rPr>
                    <w:t>颗粒物</w:t>
                  </w:r>
                </w:p>
              </w:tc>
              <w:tc>
                <w:tcPr>
                  <w:tcW w:w="518" w:type="pct"/>
                  <w:tcBorders>
                    <w:tl2br w:val="nil"/>
                    <w:tr2bl w:val="nil"/>
                  </w:tcBorders>
                  <w:shd w:val="clear" w:color="auto" w:fill="auto"/>
                  <w:noWrap w:val="0"/>
                  <w:vAlign w:val="center"/>
                </w:tcPr>
                <w:p w14:paraId="3ED2B96F">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0.0112</w:t>
                  </w:r>
                </w:p>
              </w:tc>
              <w:tc>
                <w:tcPr>
                  <w:tcW w:w="518" w:type="pct"/>
                  <w:tcBorders>
                    <w:tl2br w:val="nil"/>
                    <w:tr2bl w:val="nil"/>
                  </w:tcBorders>
                  <w:noWrap w:val="0"/>
                  <w:vAlign w:val="center"/>
                </w:tcPr>
                <w:p w14:paraId="7E08027D">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0.0336</w:t>
                  </w:r>
                </w:p>
              </w:tc>
              <w:tc>
                <w:tcPr>
                  <w:tcW w:w="497" w:type="pct"/>
                  <w:tcBorders>
                    <w:tl2br w:val="nil"/>
                    <w:tr2bl w:val="nil"/>
                  </w:tcBorders>
                  <w:noWrap w:val="0"/>
                  <w:vAlign w:val="center"/>
                </w:tcPr>
                <w:p w14:paraId="30E99C18">
                  <w:pPr>
                    <w:pStyle w:val="31"/>
                    <w:keepNext w:val="0"/>
                    <w:keepLines w:val="0"/>
                    <w:suppressLineNumbers w:val="0"/>
                    <w:spacing w:before="0" w:beforeAutospacing="0" w:after="0" w:afterAutospacing="0"/>
                    <w:ind w:left="0" w:leftChars="0" w:right="0" w:rightChars="0"/>
                    <w:jc w:val="center"/>
                    <w:rPr>
                      <w:rFonts w:hint="default" w:cs="Times New Roman"/>
                      <w:color w:val="000000" w:themeColor="text1"/>
                      <w:kern w:val="2"/>
                      <w:sz w:val="21"/>
                      <w:szCs w:val="21"/>
                      <w:highlight w:val="none"/>
                      <w:lang w:val="en-US" w:eastAsia="zh-CN" w:bidi="ar"/>
                      <w14:textFill>
                        <w14:solidFill>
                          <w14:schemeClr w14:val="tx1"/>
                        </w14:solidFill>
                      </w14:textFill>
                    </w:rPr>
                  </w:pPr>
                  <w:r>
                    <w:rPr>
                      <w:rFonts w:hint="eastAsia" w:cs="Times New Roman"/>
                      <w:color w:val="000000" w:themeColor="text1"/>
                      <w:kern w:val="2"/>
                      <w:sz w:val="21"/>
                      <w:szCs w:val="21"/>
                      <w:highlight w:val="none"/>
                      <w:lang w:val="en-US" w:eastAsia="zh-CN" w:bidi="ar"/>
                      <w14:textFill>
                        <w14:solidFill>
                          <w14:schemeClr w14:val="tx1"/>
                        </w14:solidFill>
                      </w14:textFill>
                    </w:rPr>
                    <w:t>126</w:t>
                  </w:r>
                </w:p>
              </w:tc>
              <w:tc>
                <w:tcPr>
                  <w:tcW w:w="857" w:type="pct"/>
                  <w:tcBorders>
                    <w:tl2br w:val="nil"/>
                    <w:tr2bl w:val="nil"/>
                  </w:tcBorders>
                  <w:noWrap w:val="0"/>
                  <w:vAlign w:val="center"/>
                </w:tcPr>
                <w:p w14:paraId="14742720">
                  <w:pPr>
                    <w:pStyle w:val="31"/>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eastAsia="宋体"/>
                      <w:color w:val="000000" w:themeColor="text1"/>
                      <w:sz w:val="21"/>
                      <w:szCs w:val="21"/>
                      <w:highlight w:val="none"/>
                      <w:lang w:val="en-US" w:eastAsia="zh-CN"/>
                      <w14:textFill>
                        <w14:solidFill>
                          <w14:schemeClr w14:val="tx1"/>
                        </w14:solidFill>
                      </w14:textFill>
                    </w:rPr>
                    <w:t>密闭结构+负压进料+出口密闭管道连接+</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呼吸口处捕集袋除尘+</w:t>
                  </w:r>
                  <w:r>
                    <w:rPr>
                      <w:rFonts w:hint="eastAsia" w:eastAsia="宋体"/>
                      <w:color w:val="000000" w:themeColor="text1"/>
                      <w:sz w:val="21"/>
                      <w:szCs w:val="21"/>
                      <w:highlight w:val="none"/>
                      <w:lang w:val="en-US" w:eastAsia="zh-CN"/>
                      <w14:textFill>
                        <w14:solidFill>
                          <w14:schemeClr w14:val="tx1"/>
                        </w14:solidFill>
                      </w14:textFill>
                    </w:rPr>
                    <w:t>旋风</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除尘器（TA0</w:t>
                  </w:r>
                  <w:r>
                    <w:rPr>
                      <w:rFonts w:hint="eastAsia"/>
                      <w:color w:val="000000" w:themeColor="text1"/>
                      <w:sz w:val="21"/>
                      <w:szCs w:val="21"/>
                      <w:highlight w:val="none"/>
                      <w:lang w:val="en-US" w:eastAsia="zh-CN"/>
                      <w14:textFill>
                        <w14:solidFill>
                          <w14:schemeClr w14:val="tx1"/>
                        </w14:solidFill>
                      </w14:textFill>
                    </w:rPr>
                    <w:t>27</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w:t>
                  </w:r>
                  <w:r>
                    <w:rPr>
                      <w:rFonts w:hint="default"/>
                      <w:color w:val="000000" w:themeColor="text1"/>
                      <w:sz w:val="21"/>
                      <w:szCs w:val="21"/>
                      <w:highlight w:val="none"/>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不低于</w:t>
                  </w:r>
                  <w:r>
                    <w:rPr>
                      <w:rFonts w:hint="eastAsia"/>
                      <w:color w:val="000000" w:themeColor="text1"/>
                      <w:sz w:val="21"/>
                      <w:szCs w:val="21"/>
                      <w:highlight w:val="none"/>
                      <w:lang w:eastAsia="zh-CN"/>
                      <w14:textFill>
                        <w14:solidFill>
                          <w14:schemeClr w14:val="tx1"/>
                        </w14:solidFill>
                      </w14:textFill>
                    </w:rPr>
                    <w:t>15m</w:t>
                  </w:r>
                  <w:r>
                    <w:rPr>
                      <w:rFonts w:hint="default"/>
                      <w:color w:val="000000" w:themeColor="text1"/>
                      <w:sz w:val="21"/>
                      <w:szCs w:val="21"/>
                      <w:highlight w:val="none"/>
                      <w14:textFill>
                        <w14:solidFill>
                          <w14:schemeClr w14:val="tx1"/>
                        </w14:solidFill>
                      </w14:textFill>
                    </w:rPr>
                    <w:t>高排气筒（DA00</w:t>
                  </w:r>
                  <w:r>
                    <w:rPr>
                      <w:rFonts w:hint="eastAsia"/>
                      <w:color w:val="000000" w:themeColor="text1"/>
                      <w:sz w:val="21"/>
                      <w:szCs w:val="21"/>
                      <w:highlight w:val="none"/>
                      <w:lang w:val="en-US" w:eastAsia="zh-CN"/>
                      <w14:textFill>
                        <w14:solidFill>
                          <w14:schemeClr w14:val="tx1"/>
                        </w14:solidFill>
                      </w14:textFill>
                    </w:rPr>
                    <w:t>5</w:t>
                  </w:r>
                  <w:r>
                    <w:rPr>
                      <w:rFonts w:hint="default"/>
                      <w:color w:val="000000" w:themeColor="text1"/>
                      <w:sz w:val="21"/>
                      <w:szCs w:val="21"/>
                      <w:highlight w:val="none"/>
                      <w14:textFill>
                        <w14:solidFill>
                          <w14:schemeClr w14:val="tx1"/>
                        </w14:solidFill>
                      </w14:textFill>
                    </w:rPr>
                    <w:t>）</w:t>
                  </w:r>
                </w:p>
              </w:tc>
              <w:tc>
                <w:tcPr>
                  <w:tcW w:w="521" w:type="pct"/>
                  <w:tcBorders>
                    <w:tl2br w:val="nil"/>
                    <w:tr2bl w:val="nil"/>
                  </w:tcBorders>
                  <w:noWrap w:val="0"/>
                  <w:vAlign w:val="center"/>
                </w:tcPr>
                <w:p w14:paraId="5E53A283">
                  <w:pPr>
                    <w:pStyle w:val="31"/>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bidi="ar"/>
                      <w14:textFill>
                        <w14:solidFill>
                          <w14:schemeClr w14:val="tx1"/>
                        </w14:solidFill>
                      </w14:textFill>
                    </w:rPr>
                    <w:t>0.89</w:t>
                  </w:r>
                </w:p>
              </w:tc>
              <w:tc>
                <w:tcPr>
                  <w:tcW w:w="450" w:type="pct"/>
                  <w:tcBorders>
                    <w:tl2br w:val="nil"/>
                    <w:tr2bl w:val="nil"/>
                  </w:tcBorders>
                  <w:shd w:val="clear" w:color="auto" w:fill="auto"/>
                  <w:noWrap w:val="0"/>
                  <w:vAlign w:val="center"/>
                </w:tcPr>
                <w:p w14:paraId="03CEC727">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0.0001</w:t>
                  </w:r>
                </w:p>
              </w:tc>
              <w:tc>
                <w:tcPr>
                  <w:tcW w:w="451" w:type="pct"/>
                  <w:tcBorders>
                    <w:tl2br w:val="nil"/>
                    <w:tr2bl w:val="nil"/>
                  </w:tcBorders>
                  <w:shd w:val="clear" w:color="auto" w:fill="auto"/>
                  <w:noWrap w:val="0"/>
                  <w:vAlign w:val="center"/>
                </w:tcPr>
                <w:p w14:paraId="076B37D2">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0.0003</w:t>
                  </w:r>
                </w:p>
              </w:tc>
            </w:tr>
            <w:tr w14:paraId="4896477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277" w:type="pct"/>
                  <w:tcBorders>
                    <w:tl2br w:val="nil"/>
                    <w:tr2bl w:val="nil"/>
                  </w:tcBorders>
                  <w:noWrap w:val="0"/>
                  <w:vAlign w:val="center"/>
                </w:tcPr>
                <w:p w14:paraId="44E8DDD3">
                  <w:pPr>
                    <w:pStyle w:val="31"/>
                    <w:keepNext w:val="0"/>
                    <w:keepLines w:val="0"/>
                    <w:suppressLineNumbers w:val="0"/>
                    <w:spacing w:before="0" w:beforeAutospacing="0" w:after="0" w:afterAutospacing="0"/>
                    <w:ind w:left="0" w:leftChars="0" w:right="0" w:rightChars="0"/>
                    <w:jc w:val="center"/>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无组织</w:t>
                  </w:r>
                </w:p>
              </w:tc>
              <w:tc>
                <w:tcPr>
                  <w:tcW w:w="501" w:type="pct"/>
                  <w:tcBorders>
                    <w:tl2br w:val="nil"/>
                    <w:tr2bl w:val="nil"/>
                  </w:tcBorders>
                  <w:shd w:val="clear" w:color="auto" w:fill="auto"/>
                  <w:noWrap w:val="0"/>
                  <w:vAlign w:val="center"/>
                </w:tcPr>
                <w:p w14:paraId="2FDDB714">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color w:val="000000" w:themeColor="text1"/>
                      <w:sz w:val="21"/>
                      <w:szCs w:val="21"/>
                      <w:highlight w:val="none"/>
                      <w14:textFill>
                        <w14:solidFill>
                          <w14:schemeClr w14:val="tx1"/>
                        </w14:solidFill>
                      </w14:textFill>
                    </w:rPr>
                    <w:t>除尘系统未捕集粉尘</w:t>
                  </w:r>
                </w:p>
              </w:tc>
              <w:tc>
                <w:tcPr>
                  <w:tcW w:w="405" w:type="pct"/>
                  <w:tcBorders>
                    <w:tl2br w:val="nil"/>
                    <w:tr2bl w:val="nil"/>
                  </w:tcBorders>
                  <w:shd w:val="clear" w:color="auto" w:fill="auto"/>
                  <w:noWrap w:val="0"/>
                  <w:vAlign w:val="center"/>
                </w:tcPr>
                <w:p w14:paraId="59B33F40">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color w:val="000000" w:themeColor="text1"/>
                      <w:sz w:val="21"/>
                      <w:szCs w:val="21"/>
                      <w:highlight w:val="none"/>
                      <w14:textFill>
                        <w14:solidFill>
                          <w14:schemeClr w14:val="tx1"/>
                        </w14:solidFill>
                      </w14:textFill>
                    </w:rPr>
                    <w:t>颗粒物</w:t>
                  </w:r>
                </w:p>
              </w:tc>
              <w:tc>
                <w:tcPr>
                  <w:tcW w:w="518" w:type="pct"/>
                  <w:tcBorders>
                    <w:tl2br w:val="nil"/>
                    <w:tr2bl w:val="nil"/>
                  </w:tcBorders>
                  <w:shd w:val="clear" w:color="auto" w:fill="auto"/>
                  <w:noWrap w:val="0"/>
                  <w:vAlign w:val="center"/>
                </w:tcPr>
                <w:p w14:paraId="7CE2C2B8">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0.0028</w:t>
                  </w:r>
                </w:p>
              </w:tc>
              <w:tc>
                <w:tcPr>
                  <w:tcW w:w="518" w:type="pct"/>
                  <w:tcBorders>
                    <w:tl2br w:val="nil"/>
                    <w:tr2bl w:val="nil"/>
                  </w:tcBorders>
                  <w:shd w:val="clear" w:color="auto" w:fill="auto"/>
                  <w:noWrap w:val="0"/>
                  <w:vAlign w:val="center"/>
                </w:tcPr>
                <w:p w14:paraId="6A5F6C7E">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0.0084</w:t>
                  </w:r>
                </w:p>
              </w:tc>
              <w:tc>
                <w:tcPr>
                  <w:tcW w:w="497" w:type="pct"/>
                  <w:tcBorders>
                    <w:tl2br w:val="nil"/>
                    <w:tr2bl w:val="nil"/>
                  </w:tcBorders>
                  <w:shd w:val="clear" w:color="auto" w:fill="auto"/>
                  <w:noWrap w:val="0"/>
                  <w:vAlign w:val="center"/>
                </w:tcPr>
                <w:p w14:paraId="528AB74C">
                  <w:pPr>
                    <w:pStyle w:val="31"/>
                    <w:keepNext w:val="0"/>
                    <w:keepLines w:val="0"/>
                    <w:suppressLineNumbers w:val="0"/>
                    <w:spacing w:before="0" w:beforeAutospacing="0" w:after="0" w:afterAutospacing="0"/>
                    <w:ind w:left="0" w:leftChars="0" w:right="0" w:rightChars="0"/>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w:t>
                  </w:r>
                </w:p>
              </w:tc>
              <w:tc>
                <w:tcPr>
                  <w:tcW w:w="857" w:type="pct"/>
                  <w:tcBorders>
                    <w:tl2br w:val="nil"/>
                    <w:tr2bl w:val="nil"/>
                  </w:tcBorders>
                  <w:shd w:val="clear" w:color="auto" w:fill="auto"/>
                  <w:noWrap w:val="0"/>
                  <w:vAlign w:val="center"/>
                </w:tcPr>
                <w:p w14:paraId="01EE6FC3">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eastAsia="宋体" w:cs="Times New Roman"/>
                      <w:color w:val="000000" w:themeColor="text1"/>
                      <w:kern w:val="0"/>
                      <w:sz w:val="21"/>
                      <w:szCs w:val="21"/>
                      <w:highlight w:val="none"/>
                      <w:lang w:val="en-US" w:eastAsia="zh-CN" w:bidi="ar-SA"/>
                      <w14:textFill>
                        <w14:solidFill>
                          <w14:schemeClr w14:val="tx1"/>
                        </w14:solidFill>
                      </w14:textFill>
                    </w:rPr>
                    <w:t>/</w:t>
                  </w:r>
                </w:p>
              </w:tc>
              <w:tc>
                <w:tcPr>
                  <w:tcW w:w="521" w:type="pct"/>
                  <w:tcBorders>
                    <w:tl2br w:val="nil"/>
                    <w:tr2bl w:val="nil"/>
                  </w:tcBorders>
                  <w:shd w:val="clear" w:color="auto" w:fill="auto"/>
                  <w:noWrap w:val="0"/>
                  <w:vAlign w:val="center"/>
                </w:tcPr>
                <w:p w14:paraId="72E21D98">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w:t>
                  </w:r>
                </w:p>
              </w:tc>
              <w:tc>
                <w:tcPr>
                  <w:tcW w:w="795" w:type="dxa"/>
                  <w:tcBorders>
                    <w:tl2br w:val="nil"/>
                    <w:tr2bl w:val="nil"/>
                  </w:tcBorders>
                  <w:shd w:val="clear" w:color="auto" w:fill="auto"/>
                  <w:noWrap w:val="0"/>
                  <w:vAlign w:val="center"/>
                </w:tcPr>
                <w:p w14:paraId="19C15A55">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0.0028</w:t>
                  </w:r>
                </w:p>
              </w:tc>
              <w:tc>
                <w:tcPr>
                  <w:tcW w:w="795" w:type="dxa"/>
                  <w:tcBorders>
                    <w:tl2br w:val="nil"/>
                    <w:tr2bl w:val="nil"/>
                  </w:tcBorders>
                  <w:shd w:val="clear" w:color="auto" w:fill="auto"/>
                  <w:noWrap w:val="0"/>
                  <w:vAlign w:val="center"/>
                </w:tcPr>
                <w:p w14:paraId="5231A2C6">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0.0084</w:t>
                  </w:r>
                </w:p>
              </w:tc>
            </w:tr>
            <w:tr w14:paraId="7F7B8F4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779" w:type="pct"/>
                  <w:gridSpan w:val="2"/>
                  <w:tcBorders>
                    <w:tl2br w:val="nil"/>
                    <w:tr2bl w:val="nil"/>
                  </w:tcBorders>
                  <w:noWrap w:val="0"/>
                  <w:vAlign w:val="center"/>
                </w:tcPr>
                <w:p w14:paraId="284009F1">
                  <w:pPr>
                    <w:pStyle w:val="31"/>
                    <w:keepNext w:val="0"/>
                    <w:keepLines w:val="0"/>
                    <w:suppressLineNumbers w:val="0"/>
                    <w:spacing w:before="0" w:beforeAutospacing="0" w:after="0" w:afterAutospacing="0"/>
                    <w:ind w:left="0" w:leftChars="0" w:right="0" w:rightChars="0"/>
                    <w:jc w:val="center"/>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总计</w:t>
                  </w:r>
                </w:p>
              </w:tc>
              <w:tc>
                <w:tcPr>
                  <w:tcW w:w="405" w:type="pct"/>
                  <w:tcBorders>
                    <w:tl2br w:val="nil"/>
                    <w:tr2bl w:val="nil"/>
                  </w:tcBorders>
                  <w:shd w:val="clear" w:color="auto" w:fill="auto"/>
                  <w:noWrap w:val="0"/>
                  <w:vAlign w:val="center"/>
                </w:tcPr>
                <w:p w14:paraId="5E6D4E2A">
                  <w:pPr>
                    <w:pStyle w:val="31"/>
                    <w:keepNext w:val="0"/>
                    <w:keepLines w:val="0"/>
                    <w:suppressLineNumbers w:val="0"/>
                    <w:spacing w:before="0" w:beforeAutospacing="0" w:after="0" w:afterAutospacing="0"/>
                    <w:ind w:left="0" w:leftChars="0" w:right="0" w:rightChars="0"/>
                    <w:jc w:val="center"/>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颗粒物</w:t>
                  </w:r>
                </w:p>
              </w:tc>
              <w:tc>
                <w:tcPr>
                  <w:tcW w:w="518" w:type="pct"/>
                  <w:tcBorders>
                    <w:tl2br w:val="nil"/>
                    <w:tr2bl w:val="nil"/>
                  </w:tcBorders>
                  <w:shd w:val="clear" w:color="auto" w:fill="auto"/>
                  <w:noWrap w:val="0"/>
                  <w:vAlign w:val="center"/>
                </w:tcPr>
                <w:p w14:paraId="7FA4F961">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0.0140</w:t>
                  </w:r>
                </w:p>
              </w:tc>
              <w:tc>
                <w:tcPr>
                  <w:tcW w:w="518" w:type="pct"/>
                  <w:tcBorders>
                    <w:tl2br w:val="nil"/>
                    <w:tr2bl w:val="nil"/>
                  </w:tcBorders>
                  <w:shd w:val="clear" w:color="auto" w:fill="auto"/>
                  <w:noWrap w:val="0"/>
                  <w:vAlign w:val="center"/>
                </w:tcPr>
                <w:p w14:paraId="74D3DE90">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0.0420</w:t>
                  </w:r>
                </w:p>
              </w:tc>
              <w:tc>
                <w:tcPr>
                  <w:tcW w:w="497" w:type="pct"/>
                  <w:tcBorders>
                    <w:tl2br w:val="nil"/>
                    <w:tr2bl w:val="nil"/>
                  </w:tcBorders>
                  <w:shd w:val="clear" w:color="auto" w:fill="auto"/>
                  <w:noWrap w:val="0"/>
                  <w:vAlign w:val="center"/>
                </w:tcPr>
                <w:p w14:paraId="2E5889E7">
                  <w:pPr>
                    <w:pStyle w:val="31"/>
                    <w:keepNext w:val="0"/>
                    <w:keepLines w:val="0"/>
                    <w:suppressLineNumbers w:val="0"/>
                    <w:spacing w:before="0" w:beforeAutospacing="0" w:after="0" w:afterAutospacing="0"/>
                    <w:ind w:left="0" w:leftChars="0" w:right="0" w:rightChars="0"/>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w:t>
                  </w:r>
                </w:p>
              </w:tc>
              <w:tc>
                <w:tcPr>
                  <w:tcW w:w="857" w:type="pct"/>
                  <w:tcBorders>
                    <w:tl2br w:val="nil"/>
                    <w:tr2bl w:val="nil"/>
                  </w:tcBorders>
                  <w:shd w:val="clear" w:color="auto" w:fill="auto"/>
                  <w:noWrap w:val="0"/>
                  <w:vAlign w:val="center"/>
                </w:tcPr>
                <w:p w14:paraId="1733C2B4">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521" w:type="pct"/>
                  <w:tcBorders>
                    <w:tl2br w:val="nil"/>
                    <w:tr2bl w:val="nil"/>
                  </w:tcBorders>
                  <w:shd w:val="clear" w:color="auto" w:fill="auto"/>
                  <w:noWrap w:val="0"/>
                  <w:vAlign w:val="center"/>
                </w:tcPr>
                <w:p w14:paraId="143783A8">
                  <w:pPr>
                    <w:pStyle w:val="31"/>
                    <w:keepNext w:val="0"/>
                    <w:keepLines w:val="0"/>
                    <w:suppressLineNumbers w:val="0"/>
                    <w:spacing w:before="0" w:beforeAutospacing="0" w:after="0" w:afterAutospacing="0"/>
                    <w:ind w:left="0" w:leftChars="0" w:right="0" w:rightChars="0"/>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w:t>
                  </w:r>
                </w:p>
              </w:tc>
              <w:tc>
                <w:tcPr>
                  <w:tcW w:w="450" w:type="pct"/>
                  <w:tcBorders>
                    <w:tl2br w:val="nil"/>
                    <w:tr2bl w:val="nil"/>
                  </w:tcBorders>
                  <w:shd w:val="clear" w:color="auto" w:fill="auto"/>
                  <w:noWrap w:val="0"/>
                  <w:vAlign w:val="center"/>
                </w:tcPr>
                <w:p w14:paraId="484DEF87">
                  <w:pPr>
                    <w:pStyle w:val="31"/>
                    <w:keepNext w:val="0"/>
                    <w:keepLines w:val="0"/>
                    <w:suppressLineNumbers w:val="0"/>
                    <w:spacing w:before="0" w:beforeAutospacing="0" w:after="0" w:afterAutospacing="0"/>
                    <w:ind w:left="0" w:leftChars="0" w:right="0" w:rightChars="0"/>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w:t>
                  </w:r>
                </w:p>
              </w:tc>
              <w:tc>
                <w:tcPr>
                  <w:tcW w:w="451" w:type="pct"/>
                  <w:tcBorders>
                    <w:tl2br w:val="nil"/>
                    <w:tr2bl w:val="nil"/>
                  </w:tcBorders>
                  <w:shd w:val="clear" w:color="auto" w:fill="auto"/>
                  <w:noWrap w:val="0"/>
                  <w:vAlign w:val="center"/>
                </w:tcPr>
                <w:p w14:paraId="5B88C8C7">
                  <w:pPr>
                    <w:pStyle w:val="31"/>
                    <w:keepNext w:val="0"/>
                    <w:keepLines w:val="0"/>
                    <w:suppressLineNumbers w:val="0"/>
                    <w:spacing w:before="0" w:beforeAutospacing="0" w:after="0" w:afterAutospacing="0"/>
                    <w:ind w:left="0" w:leftChars="0" w:right="0" w:rightChars="0"/>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0.0087</w:t>
                  </w:r>
                </w:p>
              </w:tc>
            </w:tr>
          </w:tbl>
          <w:p w14:paraId="0B9DD91B">
            <w:pPr>
              <w:keepNext w:val="0"/>
              <w:keepLines w:val="0"/>
              <w:pageBreakBefore w:val="0"/>
              <w:widowControl w:val="0"/>
              <w:suppressLineNumbers w:val="0"/>
              <w:kinsoku/>
              <w:wordWrap/>
              <w:overflowPunct/>
              <w:topLinePunct w:val="0"/>
              <w:autoSpaceDE w:val="0"/>
              <w:autoSpaceDN w:val="0"/>
              <w:bidi w:val="0"/>
              <w:adjustRightInd/>
              <w:snapToGrid/>
              <w:spacing w:before="157" w:beforeLines="50" w:beforeAutospacing="0" w:after="0" w:afterAutospacing="0" w:line="360" w:lineRule="auto"/>
              <w:ind w:left="0" w:right="0"/>
              <w:textAlignment w:val="auto"/>
              <w:rPr>
                <w:rFonts w:hint="eastAsia"/>
                <w:b/>
                <w:bCs/>
                <w:color w:val="000000" w:themeColor="text1"/>
                <w:sz w:val="24"/>
                <w:szCs w:val="24"/>
                <w:highlight w:val="none"/>
                <w:lang w:val="en-US" w:eastAsia="zh-CN"/>
                <w14:textFill>
                  <w14:solidFill>
                    <w14:schemeClr w14:val="tx1"/>
                  </w14:solidFill>
                </w14:textFill>
              </w:rPr>
            </w:pPr>
            <w:r>
              <w:rPr>
                <w:rFonts w:hint="eastAsia"/>
                <w:b/>
                <w:bCs/>
                <w:color w:val="000000" w:themeColor="text1"/>
                <w:sz w:val="24"/>
                <w:szCs w:val="24"/>
                <w:highlight w:val="none"/>
                <w:lang w:val="en-US" w:eastAsia="zh-CN"/>
                <w14:textFill>
                  <w14:solidFill>
                    <w14:schemeClr w14:val="tx1"/>
                  </w14:solidFill>
                </w14:textFill>
              </w:rPr>
              <w:t>1.4、综合制剂车间废气</w:t>
            </w:r>
          </w:p>
          <w:p w14:paraId="3058C544">
            <w:pPr>
              <w:keepNext w:val="0"/>
              <w:keepLines w:val="0"/>
              <w:suppressLineNumbers w:val="0"/>
              <w:adjustRightInd w:val="0"/>
              <w:snapToGrid w:val="0"/>
              <w:spacing w:before="0" w:beforeAutospacing="0" w:after="0" w:afterAutospacing="0" w:line="360" w:lineRule="auto"/>
              <w:ind w:left="0" w:right="0" w:firstLine="480" w:firstLineChars="200"/>
              <w:rPr>
                <w:rFonts w:hint="default"/>
                <w:color w:val="000000" w:themeColor="text1"/>
                <w:sz w:val="24"/>
                <w:highlight w:val="none"/>
                <w14:textFill>
                  <w14:solidFill>
                    <w14:schemeClr w14:val="tx1"/>
                  </w14:solidFill>
                </w14:textFill>
              </w:rPr>
            </w:pPr>
            <w:r>
              <w:rPr>
                <w:rFonts w:hint="eastAsia" w:eastAsia="宋体"/>
                <w:color w:val="000000" w:themeColor="text1"/>
                <w:sz w:val="24"/>
                <w:szCs w:val="24"/>
                <w:highlight w:val="none"/>
                <w:lang w:eastAsia="zh-CN"/>
                <w14:textFill>
                  <w14:solidFill>
                    <w14:schemeClr w14:val="tx1"/>
                  </w14:solidFill>
                </w14:textFill>
              </w:rPr>
              <w:t>根据</w:t>
            </w:r>
            <w:r>
              <w:rPr>
                <w:rFonts w:hint="default"/>
                <w:bCs/>
                <w:color w:val="000000" w:themeColor="text1"/>
                <w:sz w:val="24"/>
                <w:highlight w:val="none"/>
                <w14:textFill>
                  <w14:solidFill>
                    <w14:schemeClr w14:val="tx1"/>
                  </w14:solidFill>
                </w14:textFill>
              </w:rPr>
              <w:t>《排放源统计调查产排污核算方法和系数手册》（环境部公告2021年第24号）</w:t>
            </w:r>
            <w:r>
              <w:rPr>
                <w:rFonts w:hint="eastAsia"/>
                <w:bCs/>
                <w:color w:val="000000" w:themeColor="text1"/>
                <w:sz w:val="24"/>
                <w:highlight w:val="none"/>
                <w14:textFill>
                  <w14:solidFill>
                    <w14:schemeClr w14:val="tx1"/>
                  </w14:solidFill>
                </w14:textFill>
              </w:rPr>
              <w:t>中的</w:t>
            </w:r>
            <w:r>
              <w:rPr>
                <w:rFonts w:hint="eastAsia"/>
                <w:color w:val="000000" w:themeColor="text1"/>
                <w:sz w:val="24"/>
                <w:highlight w:val="none"/>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2740中成药生产</w:t>
            </w:r>
            <w:r>
              <w:rPr>
                <w:rFonts w:hint="eastAsia"/>
                <w:bCs/>
                <w:color w:val="000000" w:themeColor="text1"/>
                <w:sz w:val="24"/>
                <w:highlight w:val="none"/>
                <w14:textFill>
                  <w14:solidFill>
                    <w14:schemeClr w14:val="tx1"/>
                  </w14:solidFill>
                </w14:textFill>
              </w:rPr>
              <w:t>行业系数手册</w:t>
            </w:r>
            <w:r>
              <w:rPr>
                <w:rFonts w:hint="eastAsia"/>
                <w:color w:val="000000" w:themeColor="text1"/>
                <w:sz w:val="24"/>
                <w:highlight w:val="none"/>
                <w14:textFill>
                  <w14:solidFill>
                    <w14:schemeClr w14:val="tx1"/>
                  </w14:solidFill>
                </w14:textFill>
              </w:rPr>
              <w:t>”中</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制剂-中成药-固体制剂-规模等级</w:t>
            </w:r>
            <w:r>
              <w:rPr>
                <w:rFonts w:hint="default" w:ascii="Times New Roman" w:hAnsi="Times New Roman" w:cs="Times New Roman"/>
                <w:b w:val="0"/>
                <w:bCs w:val="0"/>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cs="Times New Roman"/>
                <w:b w:val="0"/>
                <w:bCs w:val="0"/>
                <w:color w:val="000000" w:themeColor="text1"/>
                <w:kern w:val="0"/>
                <w:sz w:val="24"/>
                <w:szCs w:val="24"/>
                <w:highlight w:val="none"/>
                <w:lang w:val="en-US" w:eastAsia="zh-CN" w:bidi="ar"/>
                <w14:textFill>
                  <w14:solidFill>
                    <w14:schemeClr w14:val="tx1"/>
                  </w14:solidFill>
                </w14:textFill>
              </w:rPr>
              <w:t>200</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t/a</w:t>
            </w:r>
            <w:r>
              <w:rPr>
                <w:rFonts w:hint="eastAsia" w:ascii="Times New Roman" w:hAnsi="Times New Roman" w:cs="Times New Roman"/>
                <w:b w:val="0"/>
                <w:bCs w:val="0"/>
                <w:color w:val="000000" w:themeColor="text1"/>
                <w:kern w:val="0"/>
                <w:sz w:val="24"/>
                <w:szCs w:val="24"/>
                <w:highlight w:val="none"/>
                <w:lang w:val="en-US" w:eastAsia="zh-CN" w:bidi="ar"/>
                <w14:textFill>
                  <w14:solidFill>
                    <w14:schemeClr w14:val="tx1"/>
                  </w14:solidFill>
                </w14:textFill>
              </w:rPr>
              <w:t>中成药</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可知</w:t>
            </w:r>
            <w:r>
              <w:rPr>
                <w:rFonts w:hint="default"/>
                <w:color w:val="000000" w:themeColor="text1"/>
                <w:sz w:val="24"/>
                <w:highlight w:val="none"/>
                <w14:textFill>
                  <w14:solidFill>
                    <w14:schemeClr w14:val="tx1"/>
                  </w14:solidFill>
                </w14:textFill>
              </w:rPr>
              <w:t>产排污系数详见下表：</w:t>
            </w:r>
          </w:p>
          <w:p w14:paraId="67E2FB7A">
            <w:pPr>
              <w:keepNext w:val="0"/>
              <w:keepLines w:val="0"/>
              <w:numPr>
                <w:ilvl w:val="0"/>
                <w:numId w:val="26"/>
              </w:numPr>
              <w:suppressLineNumbers w:val="0"/>
              <w:snapToGrid w:val="0"/>
              <w:spacing w:before="0" w:beforeAutospacing="0" w:after="0" w:afterAutospacing="0" w:line="240" w:lineRule="auto"/>
              <w:ind w:left="0" w:right="0"/>
              <w:jc w:val="center"/>
              <w:rPr>
                <w:rFonts w:hint="eastAsia"/>
                <w:b/>
                <w:bCs/>
                <w:color w:val="000000" w:themeColor="text1"/>
                <w:szCs w:val="21"/>
                <w:highlight w:val="none"/>
                <w14:textFill>
                  <w14:solidFill>
                    <w14:schemeClr w14:val="tx1"/>
                  </w14:solidFill>
                </w14:textFill>
              </w:rPr>
            </w:pPr>
            <w:r>
              <w:rPr>
                <w:rFonts w:hint="eastAsia"/>
                <w:b/>
                <w:bCs/>
                <w:color w:val="000000" w:themeColor="text1"/>
                <w:szCs w:val="21"/>
                <w:highlight w:val="none"/>
                <w14:textFill>
                  <w14:solidFill>
                    <w14:schemeClr w14:val="tx1"/>
                  </w14:solidFill>
                </w14:textFill>
              </w:rPr>
              <w:t xml:space="preserve">  污染物产排污系数</w:t>
            </w:r>
          </w:p>
          <w:tbl>
            <w:tblPr>
              <w:tblStyle w:val="35"/>
              <w:tblW w:w="4998" w:type="pct"/>
              <w:tblInd w:w="0" w:type="dxa"/>
              <w:tblBorders>
                <w:top w:val="double" w:color="auto" w:sz="4" w:space="0"/>
                <w:left w:val="none" w:color="auto" w:sz="0" w:space="0"/>
                <w:bottom w:val="double" w:color="auto" w:sz="4"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776"/>
              <w:gridCol w:w="1543"/>
              <w:gridCol w:w="2532"/>
              <w:gridCol w:w="3513"/>
            </w:tblGrid>
            <w:tr w14:paraId="01A7269F">
              <w:tblPrEx>
                <w:tblBorders>
                  <w:top w:val="double" w:color="auto" w:sz="4" w:space="0"/>
                  <w:left w:val="none" w:color="auto" w:sz="0" w:space="0"/>
                  <w:bottom w:val="double" w:color="auto" w:sz="4" w:space="0"/>
                  <w:right w:val="none" w:color="auto" w:sz="0" w:space="0"/>
                  <w:insideH w:val="single" w:color="auto" w:sz="2" w:space="0"/>
                  <w:insideV w:val="single" w:color="auto" w:sz="2" w:space="0"/>
                </w:tblBorders>
              </w:tblPrEx>
              <w:trPr>
                <w:cantSplit/>
                <w:trHeight w:val="397" w:hRule="atLeast"/>
              </w:trPr>
              <w:tc>
                <w:tcPr>
                  <w:tcW w:w="464" w:type="pct"/>
                  <w:noWrap w:val="0"/>
                  <w:vAlign w:val="center"/>
                </w:tcPr>
                <w:p w14:paraId="71BE85C9">
                  <w:pPr>
                    <w:keepNext w:val="0"/>
                    <w:keepLines w:val="0"/>
                    <w:suppressLineNumbers w:val="0"/>
                    <w:adjustRightInd w:val="0"/>
                    <w:snapToGrid w:val="0"/>
                    <w:spacing w:before="0" w:beforeAutospacing="0" w:after="0" w:afterAutospacing="0"/>
                    <w:ind w:left="0" w:right="0"/>
                    <w:jc w:val="center"/>
                    <w:rPr>
                      <w:rFonts w:hint="default"/>
                      <w:b/>
                      <w:bCs/>
                      <w:color w:val="000000" w:themeColor="text1"/>
                      <w:szCs w:val="21"/>
                      <w:highlight w:val="none"/>
                      <w14:textFill>
                        <w14:solidFill>
                          <w14:schemeClr w14:val="tx1"/>
                        </w14:solidFill>
                      </w14:textFill>
                    </w:rPr>
                  </w:pPr>
                  <w:r>
                    <w:rPr>
                      <w:rFonts w:hint="default"/>
                      <w:b/>
                      <w:bCs/>
                      <w:color w:val="000000" w:themeColor="text1"/>
                      <w:szCs w:val="21"/>
                      <w:highlight w:val="none"/>
                      <w14:textFill>
                        <w14:solidFill>
                          <w14:schemeClr w14:val="tx1"/>
                        </w14:solidFill>
                      </w14:textFill>
                    </w:rPr>
                    <w:t>序号</w:t>
                  </w:r>
                </w:p>
              </w:tc>
              <w:tc>
                <w:tcPr>
                  <w:tcW w:w="922" w:type="pct"/>
                  <w:noWrap w:val="0"/>
                  <w:vAlign w:val="center"/>
                </w:tcPr>
                <w:p w14:paraId="22212361">
                  <w:pPr>
                    <w:keepNext w:val="0"/>
                    <w:keepLines w:val="0"/>
                    <w:suppressLineNumbers w:val="0"/>
                    <w:adjustRightInd w:val="0"/>
                    <w:snapToGrid w:val="0"/>
                    <w:spacing w:before="0" w:beforeAutospacing="0" w:after="0" w:afterAutospacing="0"/>
                    <w:ind w:left="0" w:right="0"/>
                    <w:jc w:val="center"/>
                    <w:rPr>
                      <w:rFonts w:hint="default"/>
                      <w:b/>
                      <w:bCs/>
                      <w:color w:val="000000" w:themeColor="text1"/>
                      <w:szCs w:val="21"/>
                      <w:highlight w:val="none"/>
                      <w14:textFill>
                        <w14:solidFill>
                          <w14:schemeClr w14:val="tx1"/>
                        </w14:solidFill>
                      </w14:textFill>
                    </w:rPr>
                  </w:pPr>
                  <w:r>
                    <w:rPr>
                      <w:rFonts w:hint="default"/>
                      <w:b/>
                      <w:bCs/>
                      <w:color w:val="000000" w:themeColor="text1"/>
                      <w:szCs w:val="21"/>
                      <w:highlight w:val="none"/>
                      <w14:textFill>
                        <w14:solidFill>
                          <w14:schemeClr w14:val="tx1"/>
                        </w14:solidFill>
                      </w14:textFill>
                    </w:rPr>
                    <w:t>污染物</w:t>
                  </w:r>
                </w:p>
              </w:tc>
              <w:tc>
                <w:tcPr>
                  <w:tcW w:w="1513" w:type="pct"/>
                  <w:noWrap w:val="0"/>
                  <w:vAlign w:val="center"/>
                </w:tcPr>
                <w:p w14:paraId="537A1A49">
                  <w:pPr>
                    <w:keepNext w:val="0"/>
                    <w:keepLines w:val="0"/>
                    <w:suppressLineNumbers w:val="0"/>
                    <w:adjustRightInd w:val="0"/>
                    <w:snapToGrid w:val="0"/>
                    <w:spacing w:before="0" w:beforeAutospacing="0" w:after="0" w:afterAutospacing="0"/>
                    <w:ind w:left="0" w:right="0"/>
                    <w:jc w:val="center"/>
                    <w:rPr>
                      <w:rFonts w:hint="default"/>
                      <w:b/>
                      <w:bCs/>
                      <w:color w:val="000000" w:themeColor="text1"/>
                      <w:szCs w:val="21"/>
                      <w:highlight w:val="none"/>
                      <w14:textFill>
                        <w14:solidFill>
                          <w14:schemeClr w14:val="tx1"/>
                        </w14:solidFill>
                      </w14:textFill>
                    </w:rPr>
                  </w:pPr>
                  <w:r>
                    <w:rPr>
                      <w:rFonts w:hint="default"/>
                      <w:b/>
                      <w:bCs/>
                      <w:color w:val="000000" w:themeColor="text1"/>
                      <w:szCs w:val="21"/>
                      <w:highlight w:val="none"/>
                      <w14:textFill>
                        <w14:solidFill>
                          <w14:schemeClr w14:val="tx1"/>
                        </w14:solidFill>
                      </w14:textFill>
                    </w:rPr>
                    <w:t>产污系数</w:t>
                  </w:r>
                </w:p>
              </w:tc>
              <w:tc>
                <w:tcPr>
                  <w:tcW w:w="2099" w:type="pct"/>
                  <w:noWrap w:val="0"/>
                  <w:vAlign w:val="center"/>
                </w:tcPr>
                <w:p w14:paraId="4F4D477E">
                  <w:pPr>
                    <w:keepNext w:val="0"/>
                    <w:keepLines w:val="0"/>
                    <w:suppressLineNumbers w:val="0"/>
                    <w:adjustRightInd w:val="0"/>
                    <w:snapToGrid w:val="0"/>
                    <w:spacing w:before="0" w:beforeAutospacing="0" w:after="0" w:afterAutospacing="0"/>
                    <w:ind w:left="0" w:right="0"/>
                    <w:jc w:val="center"/>
                    <w:rPr>
                      <w:rFonts w:hint="default"/>
                      <w:b/>
                      <w:bCs/>
                      <w:color w:val="000000" w:themeColor="text1"/>
                      <w:szCs w:val="21"/>
                      <w:highlight w:val="none"/>
                      <w14:textFill>
                        <w14:solidFill>
                          <w14:schemeClr w14:val="tx1"/>
                        </w14:solidFill>
                      </w14:textFill>
                    </w:rPr>
                  </w:pPr>
                  <w:r>
                    <w:rPr>
                      <w:rFonts w:hint="default"/>
                      <w:b/>
                      <w:bCs/>
                      <w:color w:val="000000" w:themeColor="text1"/>
                      <w:szCs w:val="21"/>
                      <w:highlight w:val="none"/>
                      <w14:textFill>
                        <w14:solidFill>
                          <w14:schemeClr w14:val="tx1"/>
                        </w14:solidFill>
                      </w14:textFill>
                    </w:rPr>
                    <w:t>数据来源</w:t>
                  </w:r>
                </w:p>
              </w:tc>
            </w:tr>
            <w:tr w14:paraId="30298422">
              <w:tblPrEx>
                <w:tblBorders>
                  <w:top w:val="double" w:color="auto" w:sz="4" w:space="0"/>
                  <w:left w:val="none" w:color="auto" w:sz="0" w:space="0"/>
                  <w:bottom w:val="double" w:color="auto" w:sz="4" w:space="0"/>
                  <w:right w:val="none" w:color="auto" w:sz="0" w:space="0"/>
                  <w:insideH w:val="single" w:color="auto" w:sz="2" w:space="0"/>
                  <w:insideV w:val="single" w:color="auto" w:sz="2" w:space="0"/>
                </w:tblBorders>
                <w:tblCellMar>
                  <w:top w:w="0" w:type="dxa"/>
                  <w:left w:w="108" w:type="dxa"/>
                  <w:bottom w:w="0" w:type="dxa"/>
                  <w:right w:w="108" w:type="dxa"/>
                </w:tblCellMar>
              </w:tblPrEx>
              <w:trPr>
                <w:cantSplit/>
                <w:trHeight w:val="537" w:hRule="atLeast"/>
              </w:trPr>
              <w:tc>
                <w:tcPr>
                  <w:tcW w:w="464" w:type="pct"/>
                  <w:noWrap w:val="0"/>
                  <w:vAlign w:val="center"/>
                </w:tcPr>
                <w:p w14:paraId="6634DA16">
                  <w:pPr>
                    <w:keepNext w:val="0"/>
                    <w:keepLines w:val="0"/>
                    <w:suppressLineNumbers w:val="0"/>
                    <w:adjustRightInd w:val="0"/>
                    <w:snapToGrid w:val="0"/>
                    <w:spacing w:before="0" w:beforeAutospacing="0" w:after="0" w:afterAutospacing="0"/>
                    <w:ind w:left="0" w:right="0"/>
                    <w:jc w:val="center"/>
                    <w:rPr>
                      <w:rFonts w:hint="default"/>
                      <w:color w:val="000000" w:themeColor="text1"/>
                      <w:szCs w:val="21"/>
                      <w:highlight w:val="none"/>
                      <w14:textFill>
                        <w14:solidFill>
                          <w14:schemeClr w14:val="tx1"/>
                        </w14:solidFill>
                      </w14:textFill>
                    </w:rPr>
                  </w:pPr>
                  <w:r>
                    <w:rPr>
                      <w:rFonts w:hint="default"/>
                      <w:color w:val="000000" w:themeColor="text1"/>
                      <w:szCs w:val="21"/>
                      <w:highlight w:val="none"/>
                      <w14:textFill>
                        <w14:solidFill>
                          <w14:schemeClr w14:val="tx1"/>
                        </w14:solidFill>
                      </w14:textFill>
                    </w:rPr>
                    <w:t>1</w:t>
                  </w:r>
                </w:p>
              </w:tc>
              <w:tc>
                <w:tcPr>
                  <w:tcW w:w="922" w:type="pct"/>
                  <w:noWrap w:val="0"/>
                  <w:vAlign w:val="center"/>
                </w:tcPr>
                <w:p w14:paraId="11A02A84">
                  <w:pPr>
                    <w:keepNext w:val="0"/>
                    <w:keepLines w:val="0"/>
                    <w:suppressLineNumbers w:val="0"/>
                    <w:adjustRightInd w:val="0"/>
                    <w:snapToGrid w:val="0"/>
                    <w:spacing w:before="0" w:beforeAutospacing="0" w:after="0" w:afterAutospacing="0"/>
                    <w:ind w:left="0" w:right="0"/>
                    <w:jc w:val="center"/>
                    <w:rPr>
                      <w:rFonts w:hint="default"/>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工业</w:t>
                  </w:r>
                  <w:r>
                    <w:rPr>
                      <w:rFonts w:hint="default"/>
                      <w:color w:val="000000" w:themeColor="text1"/>
                      <w:szCs w:val="21"/>
                      <w:highlight w:val="none"/>
                      <w14:textFill>
                        <w14:solidFill>
                          <w14:schemeClr w14:val="tx1"/>
                        </w14:solidFill>
                      </w14:textFill>
                    </w:rPr>
                    <w:t>废气量</w:t>
                  </w:r>
                </w:p>
              </w:tc>
              <w:tc>
                <w:tcPr>
                  <w:tcW w:w="1513" w:type="pct"/>
                  <w:noWrap w:val="0"/>
                  <w:vAlign w:val="center"/>
                </w:tcPr>
                <w:p w14:paraId="0C1B6084">
                  <w:pPr>
                    <w:keepNext w:val="0"/>
                    <w:keepLines w:val="0"/>
                    <w:suppressLineNumbers w:val="0"/>
                    <w:adjustRightInd w:val="0"/>
                    <w:snapToGrid w:val="0"/>
                    <w:spacing w:before="0" w:beforeAutospacing="0" w:after="0" w:afterAutospacing="0"/>
                    <w:ind w:left="0" w:right="0"/>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36000</w:t>
                  </w:r>
                  <w:r>
                    <w:rPr>
                      <w:rFonts w:hint="default"/>
                      <w:color w:val="000000" w:themeColor="text1"/>
                      <w:szCs w:val="21"/>
                      <w:highlight w:val="none"/>
                      <w14:textFill>
                        <w14:solidFill>
                          <w14:schemeClr w14:val="tx1"/>
                        </w14:solidFill>
                      </w14:textFill>
                    </w:rPr>
                    <w:t>m³/</w:t>
                  </w:r>
                  <w:r>
                    <w:rPr>
                      <w:rFonts w:hint="eastAsia"/>
                      <w:color w:val="000000" w:themeColor="text1"/>
                      <w:szCs w:val="21"/>
                      <w:highlight w:val="none"/>
                      <w:lang w:val="en-US" w:eastAsia="zh-CN"/>
                      <w14:textFill>
                        <w14:solidFill>
                          <w14:schemeClr w14:val="tx1"/>
                        </w14:solidFill>
                      </w14:textFill>
                    </w:rPr>
                    <w:t>t</w:t>
                  </w:r>
                  <w:r>
                    <w:rPr>
                      <w:rFonts w:hint="eastAsia"/>
                      <w:color w:val="000000" w:themeColor="text1"/>
                      <w:szCs w:val="21"/>
                      <w:highlight w:val="none"/>
                      <w14:textFill>
                        <w14:solidFill>
                          <w14:schemeClr w14:val="tx1"/>
                        </w14:solidFill>
                      </w14:textFill>
                    </w:rPr>
                    <w:t>-中成药</w:t>
                  </w:r>
                </w:p>
              </w:tc>
              <w:tc>
                <w:tcPr>
                  <w:tcW w:w="2099" w:type="pct"/>
                  <w:vMerge w:val="restart"/>
                  <w:noWrap w:val="0"/>
                  <w:vAlign w:val="center"/>
                </w:tcPr>
                <w:p w14:paraId="03721430">
                  <w:pPr>
                    <w:keepNext w:val="0"/>
                    <w:keepLines w:val="0"/>
                    <w:suppressLineNumbers w:val="0"/>
                    <w:adjustRightInd w:val="0"/>
                    <w:snapToGrid w:val="0"/>
                    <w:spacing w:before="0" w:beforeAutospacing="0" w:after="0" w:afterAutospacing="0"/>
                    <w:ind w:left="0" w:right="0"/>
                    <w:jc w:val="center"/>
                    <w:rPr>
                      <w:rFonts w:hint="default"/>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《排放源统计调查产排污核算方法和系数手册》（环境部公告2021年第24号）中的“2740中成药生产行业系数手册”</w:t>
                  </w:r>
                </w:p>
              </w:tc>
            </w:tr>
            <w:tr w14:paraId="45171B49">
              <w:tblPrEx>
                <w:tblBorders>
                  <w:top w:val="double" w:color="auto" w:sz="4" w:space="0"/>
                  <w:left w:val="none" w:color="auto" w:sz="0" w:space="0"/>
                  <w:bottom w:val="double" w:color="auto" w:sz="4" w:space="0"/>
                  <w:right w:val="none" w:color="auto" w:sz="0" w:space="0"/>
                  <w:insideH w:val="single" w:color="auto" w:sz="2" w:space="0"/>
                  <w:insideV w:val="single" w:color="auto" w:sz="2" w:space="0"/>
                </w:tblBorders>
                <w:tblCellMar>
                  <w:top w:w="0" w:type="dxa"/>
                  <w:left w:w="108" w:type="dxa"/>
                  <w:bottom w:w="0" w:type="dxa"/>
                  <w:right w:w="108" w:type="dxa"/>
                </w:tblCellMar>
              </w:tblPrEx>
              <w:trPr>
                <w:cantSplit/>
                <w:trHeight w:val="397" w:hRule="atLeast"/>
              </w:trPr>
              <w:tc>
                <w:tcPr>
                  <w:tcW w:w="464" w:type="pct"/>
                  <w:noWrap w:val="0"/>
                  <w:vAlign w:val="center"/>
                </w:tcPr>
                <w:p w14:paraId="2893B9FC">
                  <w:pPr>
                    <w:keepNext w:val="0"/>
                    <w:keepLines w:val="0"/>
                    <w:suppressLineNumbers w:val="0"/>
                    <w:adjustRightInd w:val="0"/>
                    <w:snapToGrid w:val="0"/>
                    <w:spacing w:before="0" w:beforeAutospacing="0" w:after="0" w:afterAutospacing="0"/>
                    <w:ind w:left="0" w:right="0"/>
                    <w:jc w:val="center"/>
                    <w:rPr>
                      <w:rFonts w:hint="default"/>
                      <w:color w:val="000000" w:themeColor="text1"/>
                      <w:szCs w:val="21"/>
                      <w:highlight w:val="none"/>
                      <w14:textFill>
                        <w14:solidFill>
                          <w14:schemeClr w14:val="tx1"/>
                        </w14:solidFill>
                      </w14:textFill>
                    </w:rPr>
                  </w:pPr>
                  <w:r>
                    <w:rPr>
                      <w:rFonts w:hint="default"/>
                      <w:color w:val="000000" w:themeColor="text1"/>
                      <w:szCs w:val="21"/>
                      <w:highlight w:val="none"/>
                      <w14:textFill>
                        <w14:solidFill>
                          <w14:schemeClr w14:val="tx1"/>
                        </w14:solidFill>
                      </w14:textFill>
                    </w:rPr>
                    <w:t>2</w:t>
                  </w:r>
                </w:p>
              </w:tc>
              <w:tc>
                <w:tcPr>
                  <w:tcW w:w="922" w:type="pct"/>
                  <w:noWrap w:val="0"/>
                  <w:vAlign w:val="center"/>
                </w:tcPr>
                <w:p w14:paraId="67FFDB7F">
                  <w:pPr>
                    <w:keepNext w:val="0"/>
                    <w:keepLines w:val="0"/>
                    <w:suppressLineNumbers w:val="0"/>
                    <w:adjustRightInd w:val="0"/>
                    <w:snapToGrid w:val="0"/>
                    <w:spacing w:before="0" w:beforeAutospacing="0" w:after="0" w:afterAutospacing="0"/>
                    <w:ind w:left="0" w:right="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颗粒物</w:t>
                  </w:r>
                </w:p>
              </w:tc>
              <w:tc>
                <w:tcPr>
                  <w:tcW w:w="1513" w:type="pct"/>
                  <w:noWrap w:val="0"/>
                  <w:vAlign w:val="center"/>
                </w:tcPr>
                <w:p w14:paraId="13FD65A9">
                  <w:pPr>
                    <w:keepNext w:val="0"/>
                    <w:keepLines w:val="0"/>
                    <w:suppressLineNumbers w:val="0"/>
                    <w:adjustRightInd w:val="0"/>
                    <w:snapToGrid w:val="0"/>
                    <w:spacing w:before="0" w:beforeAutospacing="0" w:after="0" w:afterAutospacing="0"/>
                    <w:ind w:left="0" w:right="0"/>
                    <w:jc w:val="center"/>
                    <w:rPr>
                      <w:rFonts w:hint="default"/>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4k</w:t>
                  </w:r>
                  <w:r>
                    <w:rPr>
                      <w:rFonts w:hint="eastAsia"/>
                      <w:color w:val="000000" w:themeColor="text1"/>
                      <w:szCs w:val="21"/>
                      <w:highlight w:val="none"/>
                      <w14:textFill>
                        <w14:solidFill>
                          <w14:schemeClr w14:val="tx1"/>
                        </w14:solidFill>
                      </w14:textFill>
                    </w:rPr>
                    <w:t>g/t-中成药</w:t>
                  </w:r>
                </w:p>
              </w:tc>
              <w:tc>
                <w:tcPr>
                  <w:tcW w:w="2099" w:type="pct"/>
                  <w:vMerge w:val="continue"/>
                  <w:noWrap w:val="0"/>
                  <w:vAlign w:val="center"/>
                </w:tcPr>
                <w:p w14:paraId="7AAB45C0">
                  <w:pPr>
                    <w:keepNext w:val="0"/>
                    <w:keepLines w:val="0"/>
                    <w:suppressLineNumbers w:val="0"/>
                    <w:adjustRightInd w:val="0"/>
                    <w:snapToGrid w:val="0"/>
                    <w:spacing w:before="0" w:beforeAutospacing="0" w:after="0" w:afterAutospacing="0"/>
                    <w:ind w:left="0" w:right="0"/>
                    <w:jc w:val="center"/>
                    <w:rPr>
                      <w:rFonts w:hint="default"/>
                      <w:bCs/>
                      <w:color w:val="000000" w:themeColor="text1"/>
                      <w:szCs w:val="21"/>
                      <w:highlight w:val="none"/>
                      <w14:textFill>
                        <w14:solidFill>
                          <w14:schemeClr w14:val="tx1"/>
                        </w14:solidFill>
                      </w14:textFill>
                    </w:rPr>
                  </w:pPr>
                </w:p>
              </w:tc>
            </w:tr>
          </w:tbl>
          <w:p w14:paraId="4E408718">
            <w:pPr>
              <w:keepNext w:val="0"/>
              <w:keepLines w:val="0"/>
              <w:suppressLineNumbers w:val="0"/>
              <w:adjustRightInd w:val="0"/>
              <w:snapToGrid w:val="0"/>
              <w:spacing w:before="0" w:beforeAutospacing="0" w:after="0" w:afterAutospacing="0" w:line="360" w:lineRule="auto"/>
              <w:ind w:left="0" w:right="0" w:firstLine="480" w:firstLineChars="200"/>
              <w:rPr>
                <w:rFonts w:hint="eastAsia" w:eastAsia="宋体"/>
                <w:color w:val="000000" w:themeColor="text1"/>
                <w:sz w:val="24"/>
                <w:szCs w:val="24"/>
                <w:highlight w:val="none"/>
                <w:lang w:eastAsia="zh-CN"/>
                <w14:textFill>
                  <w14:solidFill>
                    <w14:schemeClr w14:val="tx1"/>
                  </w14:solidFill>
                </w14:textFill>
              </w:rPr>
            </w:pPr>
            <w:r>
              <w:rPr>
                <w:rFonts w:hint="eastAsia" w:eastAsia="宋体"/>
                <w:color w:val="000000" w:themeColor="text1"/>
                <w:sz w:val="24"/>
                <w:szCs w:val="24"/>
                <w:highlight w:val="none"/>
                <w:lang w:eastAsia="zh-CN"/>
                <w14:textFill>
                  <w14:solidFill>
                    <w14:schemeClr w14:val="tx1"/>
                  </w14:solidFill>
                </w14:textFill>
              </w:rPr>
              <w:t>本项目综合制剂车间</w:t>
            </w:r>
            <w:r>
              <w:rPr>
                <w:rFonts w:hint="eastAsia" w:eastAsia="宋体"/>
                <w:color w:val="000000" w:themeColor="text1"/>
                <w:sz w:val="24"/>
                <w:szCs w:val="24"/>
                <w:highlight w:val="none"/>
                <w:lang w:val="en-US" w:eastAsia="zh-CN"/>
                <w14:textFill>
                  <w14:solidFill>
                    <w14:schemeClr w14:val="tx1"/>
                  </w14:solidFill>
                </w14:textFill>
              </w:rPr>
              <w:t>新增加产品产能为255</w:t>
            </w:r>
            <w:r>
              <w:rPr>
                <w:rFonts w:hint="eastAsia"/>
                <w:color w:val="000000" w:themeColor="text1"/>
                <w:sz w:val="24"/>
                <w:szCs w:val="24"/>
                <w:highlight w:val="none"/>
                <w:lang w:val="en-US" w:eastAsia="zh-CN"/>
                <w14:textFill>
                  <w14:solidFill>
                    <w14:schemeClr w14:val="tx1"/>
                  </w14:solidFill>
                </w14:textFill>
              </w:rPr>
              <w:t>t/a，</w:t>
            </w:r>
            <w:r>
              <w:rPr>
                <w:rFonts w:hint="eastAsia" w:eastAsia="宋体"/>
                <w:color w:val="000000" w:themeColor="text1"/>
                <w:sz w:val="24"/>
                <w:szCs w:val="24"/>
                <w:highlight w:val="none"/>
                <w:lang w:val="en-US" w:eastAsia="zh-CN"/>
                <w14:textFill>
                  <w14:solidFill>
                    <w14:schemeClr w14:val="tx1"/>
                  </w14:solidFill>
                </w14:textFill>
              </w:rPr>
              <w:t>年</w:t>
            </w:r>
            <w:r>
              <w:rPr>
                <w:rFonts w:hint="eastAsia"/>
                <w:color w:val="000000" w:themeColor="text1"/>
                <w:sz w:val="24"/>
                <w:szCs w:val="24"/>
                <w:highlight w:val="none"/>
                <w:lang w:val="en-US" w:eastAsia="zh-CN"/>
                <w14:textFill>
                  <w14:solidFill>
                    <w14:schemeClr w14:val="tx1"/>
                  </w14:solidFill>
                </w14:textFill>
              </w:rPr>
              <w:t>生产</w:t>
            </w:r>
            <w:r>
              <w:rPr>
                <w:rFonts w:hint="eastAsia" w:eastAsia="宋体"/>
                <w:color w:val="000000" w:themeColor="text1"/>
                <w:sz w:val="24"/>
                <w:szCs w:val="24"/>
                <w:highlight w:val="none"/>
                <w:lang w:val="en-US" w:eastAsia="zh-CN"/>
                <w14:textFill>
                  <w14:solidFill>
                    <w14:schemeClr w14:val="tx1"/>
                  </w14:solidFill>
                </w14:textFill>
              </w:rPr>
              <w:t>时间为4000h</w:t>
            </w:r>
            <w:r>
              <w:rPr>
                <w:rFonts w:hint="eastAsia"/>
                <w:color w:val="000000" w:themeColor="text1"/>
                <w:sz w:val="24"/>
                <w:szCs w:val="24"/>
                <w:highlight w:val="none"/>
                <w:lang w:val="en-US" w:eastAsia="zh-CN"/>
                <w14:textFill>
                  <w14:solidFill>
                    <w14:schemeClr w14:val="tx1"/>
                  </w14:solidFill>
                </w14:textFill>
              </w:rPr>
              <w:t>，根据上表4-7产污系数计算，</w:t>
            </w:r>
            <w:r>
              <w:rPr>
                <w:rFonts w:hint="eastAsia" w:eastAsia="宋体"/>
                <w:color w:val="000000" w:themeColor="text1"/>
                <w:sz w:val="24"/>
                <w:szCs w:val="24"/>
                <w:highlight w:val="none"/>
                <w:lang w:eastAsia="zh-CN"/>
                <w14:textFill>
                  <w14:solidFill>
                    <w14:schemeClr w14:val="tx1"/>
                  </w14:solidFill>
                </w14:textFill>
              </w:rPr>
              <w:t>则综合制剂车间</w:t>
            </w:r>
            <w:r>
              <w:rPr>
                <w:rFonts w:hint="eastAsia" w:eastAsia="宋体"/>
                <w:color w:val="000000" w:themeColor="text1"/>
                <w:sz w:val="24"/>
                <w:szCs w:val="24"/>
                <w:highlight w:val="none"/>
                <w:lang w:val="en-US" w:eastAsia="zh-CN"/>
                <w14:textFill>
                  <w14:solidFill>
                    <w14:schemeClr w14:val="tx1"/>
                  </w14:solidFill>
                </w14:textFill>
              </w:rPr>
              <w:t>制剂</w:t>
            </w:r>
            <w:r>
              <w:rPr>
                <w:rFonts w:hint="eastAsia"/>
                <w:color w:val="000000" w:themeColor="text1"/>
                <w:sz w:val="24"/>
                <w:szCs w:val="24"/>
                <w:highlight w:val="none"/>
                <w:lang w:val="en-US" w:eastAsia="zh-CN"/>
                <w14:textFill>
                  <w14:solidFill>
                    <w14:schemeClr w14:val="tx1"/>
                  </w14:solidFill>
                </w14:textFill>
              </w:rPr>
              <w:t>单元</w:t>
            </w:r>
            <w:r>
              <w:rPr>
                <w:rFonts w:hint="eastAsia" w:eastAsia="宋体"/>
                <w:color w:val="000000" w:themeColor="text1"/>
                <w:sz w:val="24"/>
                <w:szCs w:val="24"/>
                <w:highlight w:val="none"/>
                <w:lang w:val="en-US" w:eastAsia="zh-CN"/>
                <w14:textFill>
                  <w14:solidFill>
                    <w14:schemeClr w14:val="tx1"/>
                  </w14:solidFill>
                </w14:textFill>
              </w:rPr>
              <w:t>工业废气量为</w:t>
            </w:r>
            <w:r>
              <w:rPr>
                <w:rFonts w:hint="eastAsia"/>
                <w:color w:val="000000" w:themeColor="text1"/>
                <w:sz w:val="24"/>
                <w:szCs w:val="24"/>
                <w:highlight w:val="none"/>
                <w:lang w:val="en-US" w:eastAsia="zh-CN"/>
                <w14:textFill>
                  <w14:solidFill>
                    <w14:schemeClr w14:val="tx1"/>
                  </w14:solidFill>
                </w14:textFill>
              </w:rPr>
              <w:t>2295</w:t>
            </w:r>
            <w:r>
              <w:rPr>
                <w:rFonts w:hint="eastAsia" w:eastAsia="宋体"/>
                <w:color w:val="000000" w:themeColor="text1"/>
                <w:sz w:val="24"/>
                <w:szCs w:val="24"/>
                <w:highlight w:val="none"/>
                <w:lang w:val="en-US" w:eastAsia="zh-CN"/>
                <w14:textFill>
                  <w14:solidFill>
                    <w14:schemeClr w14:val="tx1"/>
                  </w14:solidFill>
                </w14:textFill>
              </w:rPr>
              <w:t>m</w:t>
            </w:r>
            <w:r>
              <w:rPr>
                <w:rFonts w:hint="eastAsia" w:eastAsia="宋体"/>
                <w:color w:val="000000" w:themeColor="text1"/>
                <w:sz w:val="24"/>
                <w:szCs w:val="24"/>
                <w:highlight w:val="none"/>
                <w:vertAlign w:val="superscript"/>
                <w:lang w:val="en-US" w:eastAsia="zh-CN"/>
                <w14:textFill>
                  <w14:solidFill>
                    <w14:schemeClr w14:val="tx1"/>
                  </w14:solidFill>
                </w14:textFill>
              </w:rPr>
              <w:t>3</w:t>
            </w:r>
            <w:r>
              <w:rPr>
                <w:rFonts w:hint="eastAsia" w:eastAsia="宋体"/>
                <w:color w:val="000000" w:themeColor="text1"/>
                <w:sz w:val="24"/>
                <w:szCs w:val="24"/>
                <w:highlight w:val="none"/>
                <w:lang w:val="en-US" w:eastAsia="zh-CN"/>
                <w14:textFill>
                  <w14:solidFill>
                    <w14:schemeClr w14:val="tx1"/>
                  </w14:solidFill>
                </w14:textFill>
              </w:rPr>
              <w:t>/h</w:t>
            </w:r>
            <w:r>
              <w:rPr>
                <w:rFonts w:hint="eastAsia" w:eastAsia="宋体"/>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污染物颗粒物</w:t>
            </w:r>
            <w:r>
              <w:rPr>
                <w:rFonts w:hint="eastAsia" w:eastAsia="宋体"/>
                <w:color w:val="000000" w:themeColor="text1"/>
                <w:sz w:val="24"/>
                <w:szCs w:val="24"/>
                <w:highlight w:val="none"/>
                <w:lang w:val="en-US" w:eastAsia="zh-CN"/>
                <w14:textFill>
                  <w14:solidFill>
                    <w14:schemeClr w14:val="tx1"/>
                  </w14:solidFill>
                </w14:textFill>
              </w:rPr>
              <w:t>产生量为</w:t>
            </w:r>
            <w:r>
              <w:rPr>
                <w:rFonts w:hint="eastAsia"/>
                <w:color w:val="000000" w:themeColor="text1"/>
                <w:sz w:val="24"/>
                <w:szCs w:val="24"/>
                <w:highlight w:val="none"/>
                <w:lang w:val="en-US" w:eastAsia="zh-CN"/>
                <w14:textFill>
                  <w14:solidFill>
                    <w14:schemeClr w14:val="tx1"/>
                  </w14:solidFill>
                </w14:textFill>
              </w:rPr>
              <w:t>1.020</w:t>
            </w:r>
            <w:r>
              <w:rPr>
                <w:rFonts w:hint="eastAsia" w:eastAsia="宋体"/>
                <w:color w:val="000000" w:themeColor="text1"/>
                <w:sz w:val="24"/>
                <w:szCs w:val="24"/>
                <w:highlight w:val="none"/>
                <w:lang w:val="en-US" w:eastAsia="zh-CN"/>
                <w14:textFill>
                  <w14:solidFill>
                    <w14:schemeClr w14:val="tx1"/>
                  </w14:solidFill>
                </w14:textFill>
              </w:rPr>
              <w:t>t</w:t>
            </w:r>
            <w:r>
              <w:rPr>
                <w:rFonts w:hint="eastAsia" w:eastAsia="宋体"/>
                <w:color w:val="000000" w:themeColor="text1"/>
                <w:sz w:val="24"/>
                <w:szCs w:val="24"/>
                <w:highlight w:val="none"/>
                <w:lang w:eastAsia="zh-CN"/>
                <w14:textFill>
                  <w14:solidFill>
                    <w14:schemeClr w14:val="tx1"/>
                  </w14:solidFill>
                </w14:textFill>
              </w:rPr>
              <w:t>/a</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产生速率为0.255</w:t>
            </w:r>
            <w:r>
              <w:rPr>
                <w:rFonts w:hint="eastAsia" w:eastAsia="新宋体"/>
                <w:color w:val="000000" w:themeColor="text1"/>
                <w:sz w:val="24"/>
                <w:szCs w:val="24"/>
                <w:highlight w:val="none"/>
                <w:lang w:val="en-US" w:eastAsia="zh-CN"/>
                <w14:textFill>
                  <w14:solidFill>
                    <w14:schemeClr w14:val="tx1"/>
                  </w14:solidFill>
                </w14:textFill>
              </w:rPr>
              <w:t>kg/h，产生浓度为111.11</w:t>
            </w:r>
            <w:r>
              <w:rPr>
                <w:rFonts w:hint="eastAsia" w:eastAsia="宋体"/>
                <w:color w:val="000000" w:themeColor="text1"/>
                <w:sz w:val="24"/>
                <w:szCs w:val="24"/>
                <w:highlight w:val="none"/>
                <w:lang w:eastAsia="zh-CN"/>
                <w14:textFill>
                  <w14:solidFill>
                    <w14:schemeClr w14:val="tx1"/>
                  </w14:solidFill>
                </w14:textFill>
              </w:rPr>
              <w:t>mg/m</w:t>
            </w:r>
            <w:r>
              <w:rPr>
                <w:rFonts w:hint="eastAsia" w:eastAsia="宋体"/>
                <w:color w:val="000000" w:themeColor="text1"/>
                <w:sz w:val="24"/>
                <w:szCs w:val="24"/>
                <w:highlight w:val="none"/>
                <w:vertAlign w:val="superscript"/>
                <w:lang w:eastAsia="zh-CN"/>
                <w14:textFill>
                  <w14:solidFill>
                    <w14:schemeClr w14:val="tx1"/>
                  </w14:solidFill>
                </w14:textFill>
              </w:rPr>
              <w:t>3</w:t>
            </w:r>
            <w:r>
              <w:rPr>
                <w:rFonts w:hint="eastAsia" w:eastAsia="新宋体"/>
                <w:color w:val="000000" w:themeColor="text1"/>
                <w:sz w:val="24"/>
                <w:szCs w:val="24"/>
                <w:highlight w:val="none"/>
                <w:lang w:val="en-US" w:eastAsia="zh-CN"/>
                <w14:textFill>
                  <w14:solidFill>
                    <w14:schemeClr w14:val="tx1"/>
                  </w14:solidFill>
                </w14:textFill>
              </w:rPr>
              <w:t>。本项目依托现有生产线产尘点负压密闭式集气罩</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，收集效率不低于</w:t>
            </w:r>
            <w:r>
              <w:rPr>
                <w:rFonts w:hint="eastAsia" w:eastAsia="宋体"/>
                <w:color w:val="000000" w:themeColor="text1"/>
                <w:sz w:val="24"/>
                <w:szCs w:val="24"/>
                <w:highlight w:val="none"/>
                <w:lang w:val="en-US" w:eastAsia="zh-CN"/>
                <w14:textFill>
                  <w14:solidFill>
                    <w14:schemeClr w14:val="tx1"/>
                  </w14:solidFill>
                </w14:textFill>
              </w:rPr>
              <w:t>9</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0%，然后经密闭管道送入</w:t>
            </w:r>
            <w:r>
              <w:rPr>
                <w:rFonts w:hint="eastAsia" w:eastAsia="宋体"/>
                <w:color w:val="000000" w:themeColor="text1"/>
                <w:sz w:val="24"/>
                <w:szCs w:val="24"/>
                <w:highlight w:val="none"/>
                <w:lang w:val="en-US" w:eastAsia="zh-CN"/>
                <w14:textFill>
                  <w14:solidFill>
                    <w14:schemeClr w14:val="tx1"/>
                  </w14:solidFill>
                </w14:textFill>
              </w:rPr>
              <w:t>现有旋风除尘器+</w:t>
            </w:r>
            <w:r>
              <w:rPr>
                <w:rFonts w:hint="eastAsia" w:eastAsia="宋体"/>
                <w:color w:val="000000" w:themeColor="text1"/>
                <w:sz w:val="24"/>
                <w:szCs w:val="24"/>
                <w:highlight w:val="none"/>
                <w:lang w:eastAsia="zh-CN"/>
                <w14:textFill>
                  <w14:solidFill>
                    <w14:schemeClr w14:val="tx1"/>
                  </w14:solidFill>
                </w14:textFill>
              </w:rPr>
              <w:t>布袋除尘器处理后由15m高的排气筒排放</w:t>
            </w:r>
            <w:r>
              <w:rPr>
                <w:rFonts w:hint="eastAsia" w:eastAsia="宋体"/>
                <w:color w:val="000000" w:themeColor="text1"/>
                <w:sz w:val="24"/>
                <w:szCs w:val="24"/>
                <w:highlight w:val="none"/>
                <w:lang w:val="en-US" w:eastAsia="zh-CN"/>
                <w14:textFill>
                  <w14:solidFill>
                    <w14:schemeClr w14:val="tx1"/>
                  </w14:solidFill>
                </w14:textFill>
              </w:rPr>
              <w:t>。</w:t>
            </w:r>
          </w:p>
          <w:p w14:paraId="3DEE5B96">
            <w:pPr>
              <w:keepNext w:val="0"/>
              <w:keepLines w:val="0"/>
              <w:suppressLineNumbers w:val="0"/>
              <w:adjustRightInd w:val="0"/>
              <w:snapToGrid w:val="0"/>
              <w:spacing w:before="0" w:beforeAutospacing="0" w:after="0" w:afterAutospacing="0" w:line="360" w:lineRule="auto"/>
              <w:ind w:left="0" w:right="0" w:firstLine="480" w:firstLineChars="200"/>
              <w:rPr>
                <w:rFonts w:hint="eastAsia"/>
                <w:color w:val="000000" w:themeColor="text1"/>
                <w:sz w:val="24"/>
                <w:szCs w:val="24"/>
                <w:highlight w:val="none"/>
                <w:lang w:val="en-US" w:eastAsia="zh-CN"/>
                <w14:textFill>
                  <w14:solidFill>
                    <w14:schemeClr w14:val="tx1"/>
                  </w14:solidFill>
                </w14:textFill>
              </w:rPr>
            </w:pPr>
            <w:r>
              <w:rPr>
                <w:rFonts w:hint="eastAsia" w:eastAsia="宋体"/>
                <w:color w:val="000000" w:themeColor="text1"/>
                <w:sz w:val="24"/>
                <w:szCs w:val="24"/>
                <w:highlight w:val="none"/>
                <w:lang w:val="en-US" w:eastAsia="zh-CN"/>
                <w14:textFill>
                  <w14:solidFill>
                    <w14:schemeClr w14:val="tx1"/>
                  </w14:solidFill>
                </w14:textFill>
              </w:rPr>
              <w:t>旋风除尘器+</w:t>
            </w:r>
            <w:r>
              <w:rPr>
                <w:rFonts w:hint="eastAsia" w:eastAsia="宋体"/>
                <w:color w:val="000000" w:themeColor="text1"/>
                <w:sz w:val="24"/>
                <w:szCs w:val="24"/>
                <w:highlight w:val="none"/>
                <w:lang w:eastAsia="zh-CN"/>
                <w14:textFill>
                  <w14:solidFill>
                    <w14:schemeClr w14:val="tx1"/>
                  </w14:solidFill>
                </w14:textFill>
              </w:rPr>
              <w:t>布袋除尘器</w:t>
            </w:r>
            <w:r>
              <w:rPr>
                <w:rFonts w:hint="eastAsia" w:eastAsia="宋体"/>
                <w:color w:val="000000" w:themeColor="text1"/>
                <w:sz w:val="24"/>
                <w:szCs w:val="24"/>
                <w:highlight w:val="none"/>
                <w:lang w:val="en-US" w:eastAsia="zh-CN"/>
                <w14:textFill>
                  <w14:solidFill>
                    <w14:schemeClr w14:val="tx1"/>
                  </w14:solidFill>
                </w14:textFill>
              </w:rPr>
              <w:t>处理效率为99.5%</w:t>
            </w:r>
            <w:r>
              <w:rPr>
                <w:rFonts w:hint="eastAsia"/>
                <w:color w:val="000000" w:themeColor="text1"/>
                <w:sz w:val="24"/>
                <w:szCs w:val="24"/>
                <w:highlight w:val="none"/>
                <w:lang w:val="en-US"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根据计算，</w:t>
            </w:r>
            <w:r>
              <w:rPr>
                <w:rFonts w:hint="eastAsia" w:eastAsia="宋体"/>
                <w:color w:val="000000" w:themeColor="text1"/>
                <w:sz w:val="24"/>
                <w:szCs w:val="24"/>
                <w:highlight w:val="none"/>
                <w:lang w:eastAsia="zh-CN"/>
                <w14:textFill>
                  <w14:solidFill>
                    <w14:schemeClr w14:val="tx1"/>
                  </w14:solidFill>
                </w14:textFill>
              </w:rPr>
              <w:t>综合制剂车间</w:t>
            </w:r>
            <w:r>
              <w:rPr>
                <w:rFonts w:hint="eastAsia"/>
                <w:color w:val="000000" w:themeColor="text1"/>
                <w:sz w:val="24"/>
                <w:szCs w:val="24"/>
                <w:highlight w:val="none"/>
                <w:lang w:val="en-US" w:eastAsia="zh-CN"/>
                <w14:textFill>
                  <w14:solidFill>
                    <w14:schemeClr w14:val="tx1"/>
                  </w14:solidFill>
                </w14:textFill>
              </w:rPr>
              <w:t>污染物颗粒物有组织排放量为0.005</w:t>
            </w:r>
            <w:r>
              <w:rPr>
                <w:rFonts w:hint="eastAsia" w:eastAsia="宋体"/>
                <w:color w:val="000000" w:themeColor="text1"/>
                <w:sz w:val="24"/>
                <w:szCs w:val="24"/>
                <w:highlight w:val="none"/>
                <w:lang w:eastAsia="zh-CN"/>
                <w14:textFill>
                  <w14:solidFill>
                    <w14:schemeClr w14:val="tx1"/>
                  </w14:solidFill>
                </w14:textFill>
              </w:rPr>
              <w:t>t/a，</w:t>
            </w:r>
            <w:r>
              <w:rPr>
                <w:rFonts w:hint="eastAsia" w:eastAsia="宋体"/>
                <w:color w:val="000000" w:themeColor="text1"/>
                <w:sz w:val="24"/>
                <w:szCs w:val="24"/>
                <w:highlight w:val="none"/>
                <w:lang w:val="en-US" w:eastAsia="zh-CN"/>
                <w14:textFill>
                  <w14:solidFill>
                    <w14:schemeClr w14:val="tx1"/>
                  </w14:solidFill>
                </w14:textFill>
              </w:rPr>
              <w:t>排放</w:t>
            </w:r>
            <w:r>
              <w:rPr>
                <w:rFonts w:hint="eastAsia" w:eastAsia="宋体"/>
                <w:color w:val="000000" w:themeColor="text1"/>
                <w:sz w:val="24"/>
                <w:szCs w:val="24"/>
                <w:highlight w:val="none"/>
                <w:lang w:eastAsia="zh-CN"/>
                <w14:textFill>
                  <w14:solidFill>
                    <w14:schemeClr w14:val="tx1"/>
                  </w14:solidFill>
                </w14:textFill>
              </w:rPr>
              <w:t>浓度</w:t>
            </w:r>
            <w:r>
              <w:rPr>
                <w:rFonts w:hint="eastAsia"/>
                <w:color w:val="000000" w:themeColor="text1"/>
                <w:sz w:val="24"/>
                <w:szCs w:val="24"/>
                <w:highlight w:val="none"/>
                <w:lang w:val="en-US" w:eastAsia="zh-CN"/>
                <w14:textFill>
                  <w14:solidFill>
                    <w14:schemeClr w14:val="tx1"/>
                  </w14:solidFill>
                </w14:textFill>
              </w:rPr>
              <w:t>0.50</w:t>
            </w:r>
            <w:r>
              <w:rPr>
                <w:rFonts w:hint="eastAsia" w:eastAsia="宋体"/>
                <w:color w:val="000000" w:themeColor="text1"/>
                <w:sz w:val="24"/>
                <w:szCs w:val="24"/>
                <w:highlight w:val="none"/>
                <w:lang w:eastAsia="zh-CN"/>
                <w14:textFill>
                  <w14:solidFill>
                    <w14:schemeClr w14:val="tx1"/>
                  </w14:solidFill>
                </w14:textFill>
              </w:rPr>
              <w:t>mg/m</w:t>
            </w:r>
            <w:r>
              <w:rPr>
                <w:rFonts w:hint="eastAsia" w:eastAsia="宋体"/>
                <w:color w:val="000000" w:themeColor="text1"/>
                <w:sz w:val="24"/>
                <w:szCs w:val="24"/>
                <w:highlight w:val="none"/>
                <w:vertAlign w:val="superscript"/>
                <w:lang w:eastAsia="zh-CN"/>
                <w14:textFill>
                  <w14:solidFill>
                    <w14:schemeClr w14:val="tx1"/>
                  </w14:solidFill>
                </w14:textFill>
              </w:rPr>
              <w:t>3</w:t>
            </w:r>
            <w:r>
              <w:rPr>
                <w:rFonts w:hint="eastAsia" w:eastAsia="宋体"/>
                <w:color w:val="000000" w:themeColor="text1"/>
                <w:sz w:val="24"/>
                <w:szCs w:val="24"/>
                <w:highlight w:val="none"/>
                <w:lang w:eastAsia="zh-CN"/>
                <w14:textFill>
                  <w14:solidFill>
                    <w14:schemeClr w14:val="tx1"/>
                  </w14:solidFill>
                </w14:textFill>
              </w:rPr>
              <w:t>，</w:t>
            </w:r>
            <w:r>
              <w:rPr>
                <w:rFonts w:hint="eastAsia" w:eastAsia="宋体"/>
                <w:color w:val="000000" w:themeColor="text1"/>
                <w:sz w:val="24"/>
                <w:szCs w:val="24"/>
                <w:highlight w:val="none"/>
                <w:lang w:val="en-US" w:eastAsia="zh-CN"/>
                <w14:textFill>
                  <w14:solidFill>
                    <w14:schemeClr w14:val="tx1"/>
                  </w14:solidFill>
                </w14:textFill>
              </w:rPr>
              <w:t>排放</w:t>
            </w:r>
            <w:r>
              <w:rPr>
                <w:rFonts w:hint="eastAsia" w:eastAsia="宋体"/>
                <w:color w:val="000000" w:themeColor="text1"/>
                <w:sz w:val="24"/>
                <w:szCs w:val="24"/>
                <w:highlight w:val="none"/>
                <w:lang w:eastAsia="zh-CN"/>
                <w14:textFill>
                  <w14:solidFill>
                    <w14:schemeClr w14:val="tx1"/>
                  </w14:solidFill>
                </w14:textFill>
              </w:rPr>
              <w:t>速率为</w:t>
            </w:r>
            <w:r>
              <w:rPr>
                <w:rFonts w:hint="eastAsia" w:eastAsia="宋体"/>
                <w:color w:val="000000" w:themeColor="text1"/>
                <w:sz w:val="24"/>
                <w:szCs w:val="24"/>
                <w:highlight w:val="none"/>
                <w:lang w:val="en-US" w:eastAsia="zh-CN"/>
                <w14:textFill>
                  <w14:solidFill>
                    <w14:schemeClr w14:val="tx1"/>
                  </w14:solidFill>
                </w14:textFill>
              </w:rPr>
              <w:t>0.0011</w:t>
            </w:r>
            <w:r>
              <w:rPr>
                <w:rFonts w:hint="eastAsia" w:eastAsia="宋体"/>
                <w:color w:val="000000" w:themeColor="text1"/>
                <w:sz w:val="24"/>
                <w:szCs w:val="24"/>
                <w:highlight w:val="none"/>
                <w:lang w:eastAsia="zh-CN"/>
                <w14:textFill>
                  <w14:solidFill>
                    <w14:schemeClr w14:val="tx1"/>
                  </w14:solidFill>
                </w14:textFill>
              </w:rPr>
              <w:t>kg/h；</w:t>
            </w:r>
            <w:r>
              <w:rPr>
                <w:rFonts w:hint="eastAsia" w:eastAsia="宋体"/>
                <w:color w:val="000000" w:themeColor="text1"/>
                <w:sz w:val="24"/>
                <w:szCs w:val="24"/>
                <w:highlight w:val="none"/>
                <w:lang w:val="en-US" w:eastAsia="zh-CN"/>
                <w14:textFill>
                  <w14:solidFill>
                    <w14:schemeClr w14:val="tx1"/>
                  </w14:solidFill>
                </w14:textFill>
              </w:rPr>
              <w:t>无组织排放量为0.102</w:t>
            </w:r>
            <w:r>
              <w:rPr>
                <w:rFonts w:hint="eastAsia" w:eastAsia="宋体"/>
                <w:color w:val="000000" w:themeColor="text1"/>
                <w:sz w:val="24"/>
                <w:szCs w:val="24"/>
                <w:highlight w:val="none"/>
                <w:lang w:eastAsia="zh-CN"/>
                <w14:textFill>
                  <w14:solidFill>
                    <w14:schemeClr w14:val="tx1"/>
                  </w14:solidFill>
                </w14:textFill>
              </w:rPr>
              <w:t>t/a，</w:t>
            </w:r>
            <w:r>
              <w:rPr>
                <w:rFonts w:hint="eastAsia" w:eastAsia="宋体"/>
                <w:color w:val="000000" w:themeColor="text1"/>
                <w:sz w:val="24"/>
                <w:szCs w:val="24"/>
                <w:highlight w:val="none"/>
                <w:lang w:val="en-US" w:eastAsia="zh-CN"/>
                <w14:textFill>
                  <w14:solidFill>
                    <w14:schemeClr w14:val="tx1"/>
                  </w14:solidFill>
                </w14:textFill>
              </w:rPr>
              <w:t>排放速率为0.026</w:t>
            </w:r>
            <w:r>
              <w:rPr>
                <w:rFonts w:hint="eastAsia" w:eastAsia="宋体"/>
                <w:color w:val="000000" w:themeColor="text1"/>
                <w:sz w:val="24"/>
                <w:szCs w:val="24"/>
                <w:highlight w:val="none"/>
                <w:lang w:eastAsia="zh-CN"/>
                <w14:textFill>
                  <w14:solidFill>
                    <w14:schemeClr w14:val="tx1"/>
                  </w14:solidFill>
                </w14:textFill>
              </w:rPr>
              <w:t>kg/h</w:t>
            </w:r>
            <w:r>
              <w:rPr>
                <w:rFonts w:hint="eastAsia"/>
                <w:color w:val="000000" w:themeColor="text1"/>
                <w:sz w:val="24"/>
                <w:szCs w:val="24"/>
                <w:highlight w:val="none"/>
                <w:lang w:val="en-US" w:eastAsia="zh-CN"/>
                <w14:textFill>
                  <w14:solidFill>
                    <w14:schemeClr w14:val="tx1"/>
                  </w14:solidFill>
                </w14:textFill>
              </w:rPr>
              <w:t>。</w:t>
            </w:r>
          </w:p>
          <w:p w14:paraId="6CFC0458">
            <w:pPr>
              <w:keepNext w:val="0"/>
              <w:keepLines w:val="0"/>
              <w:pageBreakBefore w:val="0"/>
              <w:widowControl w:val="0"/>
              <w:numPr>
                <w:ilvl w:val="0"/>
                <w:numId w:val="26"/>
              </w:numPr>
              <w:suppressLineNumbers w:val="0"/>
              <w:kinsoku/>
              <w:wordWrap/>
              <w:overflowPunct/>
              <w:topLinePunct w:val="0"/>
              <w:autoSpaceDE/>
              <w:autoSpaceDN/>
              <w:bidi w:val="0"/>
              <w:adjustRightInd/>
              <w:snapToGrid w:val="0"/>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综合制剂车间</w:t>
            </w:r>
            <w:r>
              <w:rPr>
                <w:rFonts w:hint="eastAsia" w:cs="Times New Roman"/>
                <w:b/>
                <w:bCs/>
                <w:color w:val="000000" w:themeColor="text1"/>
                <w:sz w:val="21"/>
                <w:szCs w:val="21"/>
                <w:highlight w:val="none"/>
                <w:lang w:val="en-US" w:eastAsia="zh-CN"/>
                <w14:textFill>
                  <w14:solidFill>
                    <w14:schemeClr w14:val="tx1"/>
                  </w14:solidFill>
                </w14:textFill>
              </w:rPr>
              <w:t>污染物颗粒物</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产排情况</w:t>
            </w:r>
          </w:p>
          <w:tbl>
            <w:tblPr>
              <w:tblStyle w:val="35"/>
              <w:tblW w:w="4997"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64"/>
              <w:gridCol w:w="840"/>
              <w:gridCol w:w="678"/>
              <w:gridCol w:w="867"/>
              <w:gridCol w:w="867"/>
              <w:gridCol w:w="832"/>
              <w:gridCol w:w="1434"/>
              <w:gridCol w:w="872"/>
              <w:gridCol w:w="753"/>
              <w:gridCol w:w="755"/>
            </w:tblGrid>
            <w:tr w14:paraId="7C2F7BD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7" w:type="pct"/>
                  <w:tcBorders>
                    <w:tl2br w:val="nil"/>
                    <w:tr2bl w:val="nil"/>
                  </w:tcBorders>
                  <w:noWrap w:val="0"/>
                  <w:vAlign w:val="center"/>
                </w:tcPr>
                <w:p w14:paraId="0A63A760">
                  <w:pPr>
                    <w:pStyle w:val="31"/>
                    <w:keepNext w:val="0"/>
                    <w:keepLines w:val="0"/>
                    <w:suppressLineNumbers w:val="0"/>
                    <w:spacing w:before="0" w:beforeAutospacing="0" w:after="0" w:afterAutospacing="0"/>
                    <w:ind w:left="0" w:right="0"/>
                    <w:jc w:val="center"/>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排放形式</w:t>
                  </w:r>
                </w:p>
              </w:tc>
              <w:tc>
                <w:tcPr>
                  <w:tcW w:w="501" w:type="pct"/>
                  <w:tcBorders>
                    <w:tl2br w:val="nil"/>
                    <w:tr2bl w:val="nil"/>
                  </w:tcBorders>
                  <w:noWrap w:val="0"/>
                  <w:vAlign w:val="center"/>
                </w:tcPr>
                <w:p w14:paraId="543D5DAD">
                  <w:pPr>
                    <w:pStyle w:val="31"/>
                    <w:keepNext w:val="0"/>
                    <w:keepLines w:val="0"/>
                    <w:suppressLineNumbers w:val="0"/>
                    <w:spacing w:before="0" w:beforeAutospacing="0" w:after="0" w:afterAutospacing="0"/>
                    <w:ind w:left="0" w:right="0"/>
                    <w:jc w:val="center"/>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产污</w:t>
                  </w:r>
                </w:p>
                <w:p w14:paraId="02F72417">
                  <w:pPr>
                    <w:pStyle w:val="31"/>
                    <w:keepNext w:val="0"/>
                    <w:keepLines w:val="0"/>
                    <w:suppressLineNumbers w:val="0"/>
                    <w:spacing w:before="0" w:beforeAutospacing="0" w:after="0" w:afterAutospacing="0"/>
                    <w:ind w:left="0" w:right="0"/>
                    <w:jc w:val="center"/>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环节</w:t>
                  </w:r>
                </w:p>
              </w:tc>
              <w:tc>
                <w:tcPr>
                  <w:tcW w:w="405" w:type="pct"/>
                  <w:tcBorders>
                    <w:tl2br w:val="nil"/>
                    <w:tr2bl w:val="nil"/>
                  </w:tcBorders>
                  <w:noWrap w:val="0"/>
                  <w:vAlign w:val="center"/>
                </w:tcPr>
                <w:p w14:paraId="49727131">
                  <w:pPr>
                    <w:pStyle w:val="31"/>
                    <w:keepNext w:val="0"/>
                    <w:keepLines w:val="0"/>
                    <w:suppressLineNumbers w:val="0"/>
                    <w:spacing w:before="0" w:beforeAutospacing="0" w:after="0" w:afterAutospacing="0"/>
                    <w:ind w:left="0" w:right="0"/>
                    <w:jc w:val="center"/>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污染物名称</w:t>
                  </w:r>
                </w:p>
              </w:tc>
              <w:tc>
                <w:tcPr>
                  <w:tcW w:w="518" w:type="pct"/>
                  <w:tcBorders>
                    <w:tl2br w:val="nil"/>
                    <w:tr2bl w:val="nil"/>
                  </w:tcBorders>
                  <w:shd w:val="clear" w:color="auto" w:fill="auto"/>
                  <w:noWrap w:val="0"/>
                  <w:vAlign w:val="center"/>
                </w:tcPr>
                <w:p w14:paraId="005B8A57">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eastAsia="宋体" w:cs="Times New Roman"/>
                      <w:b/>
                      <w:bCs/>
                      <w:color w:val="000000" w:themeColor="text1"/>
                      <w:kern w:val="2"/>
                      <w:sz w:val="21"/>
                      <w:szCs w:val="21"/>
                      <w:highlight w:val="none"/>
                      <w:lang w:val="en-US" w:eastAsia="zh-CN" w:bidi="ar-SA"/>
                      <w14:textFill>
                        <w14:solidFill>
                          <w14:schemeClr w14:val="tx1"/>
                        </w14:solidFill>
                      </w14:textFill>
                    </w:rPr>
                    <w:t>产生速率</w:t>
                  </w: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kg/h</w:t>
                  </w:r>
                </w:p>
              </w:tc>
              <w:tc>
                <w:tcPr>
                  <w:tcW w:w="518" w:type="pct"/>
                  <w:tcBorders>
                    <w:tl2br w:val="nil"/>
                    <w:tr2bl w:val="nil"/>
                  </w:tcBorders>
                  <w:noWrap w:val="0"/>
                  <w:vAlign w:val="center"/>
                </w:tcPr>
                <w:p w14:paraId="5601DE26">
                  <w:pPr>
                    <w:pStyle w:val="31"/>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产生</w:t>
                  </w:r>
                  <w:r>
                    <w:rPr>
                      <w:rFonts w:hint="eastAsia"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量</w:t>
                  </w:r>
                </w:p>
                <w:p w14:paraId="1A92B6E2">
                  <w:pPr>
                    <w:pStyle w:val="31"/>
                    <w:keepNext w:val="0"/>
                    <w:keepLines w:val="0"/>
                    <w:suppressLineNumbers w:val="0"/>
                    <w:spacing w:before="0" w:beforeAutospacing="0" w:after="0" w:afterAutospacing="0"/>
                    <w:ind w:left="0" w:right="0"/>
                    <w:jc w:val="center"/>
                    <w:rPr>
                      <w:rFonts w:hint="default"/>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t/a</w:t>
                  </w:r>
                </w:p>
              </w:tc>
              <w:tc>
                <w:tcPr>
                  <w:tcW w:w="497" w:type="pct"/>
                  <w:tcBorders>
                    <w:tl2br w:val="nil"/>
                    <w:tr2bl w:val="nil"/>
                  </w:tcBorders>
                  <w:noWrap w:val="0"/>
                  <w:vAlign w:val="center"/>
                </w:tcPr>
                <w:p w14:paraId="6BA7CAAB">
                  <w:pPr>
                    <w:pStyle w:val="3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cs="Times New Roman"/>
                      <w:b/>
                      <w:bCs/>
                      <w:color w:val="000000" w:themeColor="text1"/>
                      <w:kern w:val="2"/>
                      <w:sz w:val="21"/>
                      <w:szCs w:val="21"/>
                      <w:highlight w:val="none"/>
                      <w:lang w:val="en-US" w:eastAsia="zh-CN" w:bidi="ar-SA"/>
                      <w14:textFill>
                        <w14:solidFill>
                          <w14:schemeClr w14:val="tx1"/>
                        </w14:solidFill>
                      </w14:textFill>
                    </w:rPr>
                    <w:t>工业废气量</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Nm</w:t>
                  </w:r>
                  <w:r>
                    <w:rPr>
                      <w:rFonts w:hint="default" w:ascii="Times New Roman" w:hAnsi="Times New Roman" w:eastAsia="宋体" w:cs="Times New Roman"/>
                      <w:color w:val="000000" w:themeColor="text1"/>
                      <w:kern w:val="0"/>
                      <w:sz w:val="21"/>
                      <w:szCs w:val="21"/>
                      <w:highlight w:val="none"/>
                      <w:vertAlign w:val="superscript"/>
                      <w14:textFill>
                        <w14:solidFill>
                          <w14:schemeClr w14:val="tx1"/>
                        </w14:solidFill>
                      </w14:textFill>
                    </w:rPr>
                    <w:t>3</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/h</w:t>
                  </w:r>
                </w:p>
              </w:tc>
              <w:tc>
                <w:tcPr>
                  <w:tcW w:w="857" w:type="pct"/>
                  <w:tcBorders>
                    <w:tl2br w:val="nil"/>
                    <w:tr2bl w:val="nil"/>
                  </w:tcBorders>
                  <w:noWrap w:val="0"/>
                  <w:vAlign w:val="center"/>
                </w:tcPr>
                <w:p w14:paraId="2528CE30">
                  <w:pPr>
                    <w:pStyle w:val="31"/>
                    <w:keepNext w:val="0"/>
                    <w:keepLines w:val="0"/>
                    <w:suppressLineNumbers w:val="0"/>
                    <w:spacing w:before="0" w:beforeAutospacing="0" w:after="0" w:afterAutospacing="0"/>
                    <w:ind w:left="0" w:right="0"/>
                    <w:jc w:val="center"/>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治理措施</w:t>
                  </w:r>
                </w:p>
              </w:tc>
              <w:tc>
                <w:tcPr>
                  <w:tcW w:w="521" w:type="pct"/>
                  <w:tcBorders>
                    <w:tl2br w:val="nil"/>
                    <w:tr2bl w:val="nil"/>
                  </w:tcBorders>
                  <w:noWrap w:val="0"/>
                  <w:vAlign w:val="center"/>
                </w:tcPr>
                <w:p w14:paraId="2C2A9BA7">
                  <w:pPr>
                    <w:pStyle w:val="31"/>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排放浓度mg/</w:t>
                  </w: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m</w:t>
                  </w:r>
                  <w:r>
                    <w:rPr>
                      <w:rFonts w:hint="default" w:ascii="Times New Roman" w:hAnsi="Times New Roman" w:eastAsia="宋体" w:cs="Times New Roman"/>
                      <w:b/>
                      <w:bCs/>
                      <w:color w:val="000000" w:themeColor="text1"/>
                      <w:kern w:val="0"/>
                      <w:sz w:val="21"/>
                      <w:szCs w:val="21"/>
                      <w:highlight w:val="none"/>
                      <w:vertAlign w:val="superscript"/>
                      <w:lang w:val="en-US" w:eastAsia="zh-CN" w:bidi="ar-SA"/>
                      <w14:textFill>
                        <w14:solidFill>
                          <w14:schemeClr w14:val="tx1"/>
                        </w14:solidFill>
                      </w14:textFill>
                    </w:rPr>
                    <w:t>3</w:t>
                  </w:r>
                </w:p>
              </w:tc>
              <w:tc>
                <w:tcPr>
                  <w:tcW w:w="450" w:type="pct"/>
                  <w:tcBorders>
                    <w:tl2br w:val="nil"/>
                    <w:tr2bl w:val="nil"/>
                  </w:tcBorders>
                  <w:shd w:val="clear" w:color="auto" w:fill="auto"/>
                  <w:noWrap w:val="0"/>
                  <w:vAlign w:val="center"/>
                </w:tcPr>
                <w:p w14:paraId="60C39326">
                  <w:pPr>
                    <w:pStyle w:val="31"/>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排放速率</w:t>
                  </w:r>
                  <w:r>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t>kg/h</w:t>
                  </w:r>
                </w:p>
              </w:tc>
              <w:tc>
                <w:tcPr>
                  <w:tcW w:w="451" w:type="pct"/>
                  <w:tcBorders>
                    <w:tl2br w:val="nil"/>
                    <w:tr2bl w:val="nil"/>
                  </w:tcBorders>
                  <w:shd w:val="clear" w:color="auto" w:fill="auto"/>
                  <w:noWrap w:val="0"/>
                  <w:vAlign w:val="center"/>
                </w:tcPr>
                <w:p w14:paraId="7AFC55BF">
                  <w:pPr>
                    <w:pStyle w:val="31"/>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排放</w:t>
                  </w:r>
                  <w:r>
                    <w:rPr>
                      <w:rFonts w:hint="eastAsia"/>
                      <w:b/>
                      <w:bCs/>
                      <w:color w:val="000000" w:themeColor="text1"/>
                      <w:sz w:val="21"/>
                      <w:szCs w:val="21"/>
                      <w:highlight w:val="none"/>
                      <w:lang w:eastAsia="zh-CN"/>
                      <w14:textFill>
                        <w14:solidFill>
                          <w14:schemeClr w14:val="tx1"/>
                        </w14:solidFill>
                      </w14:textFill>
                    </w:rPr>
                    <w:t>量</w:t>
                  </w: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t/a</w:t>
                  </w:r>
                </w:p>
              </w:tc>
            </w:tr>
            <w:tr w14:paraId="20E49FE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15" w:hRule="atLeast"/>
                <w:jc w:val="center"/>
              </w:trPr>
              <w:tc>
                <w:tcPr>
                  <w:tcW w:w="277" w:type="pct"/>
                  <w:tcBorders>
                    <w:tl2br w:val="nil"/>
                    <w:tr2bl w:val="nil"/>
                  </w:tcBorders>
                  <w:noWrap w:val="0"/>
                  <w:vAlign w:val="center"/>
                </w:tcPr>
                <w:p w14:paraId="2AB97125">
                  <w:pPr>
                    <w:pStyle w:val="31"/>
                    <w:keepNext w:val="0"/>
                    <w:keepLines w:val="0"/>
                    <w:suppressLineNumbers w:val="0"/>
                    <w:spacing w:before="0" w:beforeAutospacing="0" w:after="0" w:afterAutospacing="0"/>
                    <w:ind w:left="0" w:leftChars="0" w:right="0" w:rightChars="0"/>
                    <w:jc w:val="center"/>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有组织</w:t>
                  </w:r>
                </w:p>
              </w:tc>
              <w:tc>
                <w:tcPr>
                  <w:tcW w:w="501" w:type="pct"/>
                  <w:tcBorders>
                    <w:tl2br w:val="nil"/>
                    <w:tr2bl w:val="nil"/>
                  </w:tcBorders>
                  <w:noWrap w:val="0"/>
                  <w:vAlign w:val="center"/>
                </w:tcPr>
                <w:p w14:paraId="0705159B">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综合制剂</w:t>
                  </w:r>
                  <w:r>
                    <w:rPr>
                      <w:rFonts w:hint="eastAsia" w:eastAsia="宋体" w:cs="Times New Roman"/>
                      <w:color w:val="000000" w:themeColor="text1"/>
                      <w:kern w:val="2"/>
                      <w:sz w:val="21"/>
                      <w:szCs w:val="21"/>
                      <w:highlight w:val="none"/>
                      <w:lang w:val="en-US" w:eastAsia="zh-CN" w:bidi="ar"/>
                      <w14:textFill>
                        <w14:solidFill>
                          <w14:schemeClr w14:val="tx1"/>
                        </w14:solidFill>
                      </w14:textFill>
                    </w:rPr>
                    <w:t>车间生产线</w:t>
                  </w:r>
                </w:p>
              </w:tc>
              <w:tc>
                <w:tcPr>
                  <w:tcW w:w="405" w:type="pct"/>
                  <w:tcBorders>
                    <w:tl2br w:val="nil"/>
                    <w:tr2bl w:val="nil"/>
                  </w:tcBorders>
                  <w:noWrap w:val="0"/>
                  <w:vAlign w:val="center"/>
                </w:tcPr>
                <w:p w14:paraId="61CA23BC">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color w:val="000000" w:themeColor="text1"/>
                      <w:sz w:val="21"/>
                      <w:szCs w:val="21"/>
                      <w:highlight w:val="none"/>
                      <w14:textFill>
                        <w14:solidFill>
                          <w14:schemeClr w14:val="tx1"/>
                        </w14:solidFill>
                      </w14:textFill>
                    </w:rPr>
                    <w:t>颗粒物</w:t>
                  </w:r>
                </w:p>
              </w:tc>
              <w:tc>
                <w:tcPr>
                  <w:tcW w:w="518" w:type="pct"/>
                  <w:tcBorders>
                    <w:tl2br w:val="nil"/>
                    <w:tr2bl w:val="nil"/>
                  </w:tcBorders>
                  <w:shd w:val="clear" w:color="auto" w:fill="auto"/>
                  <w:noWrap w:val="0"/>
                  <w:vAlign w:val="center"/>
                </w:tcPr>
                <w:p w14:paraId="3FE6D1C1">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w:t>
                  </w:r>
                  <w:r>
                    <w:rPr>
                      <w:rFonts w:hint="eastAsia" w:eastAsia="宋体" w:cs="Times New Roman"/>
                      <w:color w:val="000000" w:themeColor="text1"/>
                      <w:kern w:val="2"/>
                      <w:sz w:val="21"/>
                      <w:szCs w:val="21"/>
                      <w:highlight w:val="none"/>
                      <w:lang w:val="en-US" w:eastAsia="zh-CN" w:bidi="ar-SA"/>
                      <w14:textFill>
                        <w14:solidFill>
                          <w14:schemeClr w14:val="tx1"/>
                        </w14:solidFill>
                      </w14:textFill>
                    </w:rPr>
                    <w:t>2295</w:t>
                  </w:r>
                </w:p>
              </w:tc>
              <w:tc>
                <w:tcPr>
                  <w:tcW w:w="518" w:type="pct"/>
                  <w:tcBorders>
                    <w:tl2br w:val="nil"/>
                    <w:tr2bl w:val="nil"/>
                  </w:tcBorders>
                  <w:noWrap w:val="0"/>
                  <w:vAlign w:val="center"/>
                </w:tcPr>
                <w:p w14:paraId="2D0BDFF3">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eastAsia="宋体" w:cs="Times New Roman"/>
                      <w:color w:val="000000" w:themeColor="text1"/>
                      <w:kern w:val="2"/>
                      <w:sz w:val="21"/>
                      <w:szCs w:val="21"/>
                      <w:highlight w:val="none"/>
                      <w:lang w:val="en-US" w:eastAsia="zh-CN" w:bidi="ar"/>
                      <w14:textFill>
                        <w14:solidFill>
                          <w14:schemeClr w14:val="tx1"/>
                        </w14:solidFill>
                      </w14:textFill>
                    </w:rPr>
                    <w:t>0.918</w:t>
                  </w:r>
                </w:p>
              </w:tc>
              <w:tc>
                <w:tcPr>
                  <w:tcW w:w="497" w:type="pct"/>
                  <w:tcBorders>
                    <w:tl2br w:val="nil"/>
                    <w:tr2bl w:val="nil"/>
                  </w:tcBorders>
                  <w:noWrap w:val="0"/>
                  <w:vAlign w:val="center"/>
                </w:tcPr>
                <w:p w14:paraId="1DDE5293">
                  <w:pPr>
                    <w:pStyle w:val="31"/>
                    <w:keepNext w:val="0"/>
                    <w:keepLines w:val="0"/>
                    <w:suppressLineNumbers w:val="0"/>
                    <w:spacing w:before="0" w:beforeAutospacing="0" w:after="0" w:afterAutospacing="0"/>
                    <w:ind w:left="0" w:leftChars="0" w:right="0" w:rightChars="0"/>
                    <w:jc w:val="center"/>
                    <w:rPr>
                      <w:rFonts w:hint="default" w:cs="Times New Roman"/>
                      <w:color w:val="000000" w:themeColor="text1"/>
                      <w:kern w:val="2"/>
                      <w:sz w:val="21"/>
                      <w:szCs w:val="21"/>
                      <w:highlight w:val="none"/>
                      <w:lang w:val="en-US" w:eastAsia="zh-CN" w:bidi="ar"/>
                      <w14:textFill>
                        <w14:solidFill>
                          <w14:schemeClr w14:val="tx1"/>
                        </w14:solidFill>
                      </w14:textFill>
                    </w:rPr>
                  </w:pPr>
                  <w:r>
                    <w:rPr>
                      <w:rFonts w:hint="eastAsia" w:cs="Times New Roman"/>
                      <w:color w:val="000000" w:themeColor="text1"/>
                      <w:kern w:val="2"/>
                      <w:sz w:val="21"/>
                      <w:szCs w:val="21"/>
                      <w:highlight w:val="none"/>
                      <w:lang w:val="en-US" w:eastAsia="zh-CN" w:bidi="ar"/>
                      <w14:textFill>
                        <w14:solidFill>
                          <w14:schemeClr w14:val="tx1"/>
                        </w14:solidFill>
                      </w14:textFill>
                    </w:rPr>
                    <w:t>2295</w:t>
                  </w:r>
                </w:p>
              </w:tc>
              <w:tc>
                <w:tcPr>
                  <w:tcW w:w="857" w:type="pct"/>
                  <w:tcBorders>
                    <w:tl2br w:val="nil"/>
                    <w:tr2bl w:val="nil"/>
                  </w:tcBorders>
                  <w:noWrap w:val="0"/>
                  <w:vAlign w:val="center"/>
                </w:tcPr>
                <w:p w14:paraId="1B08E1B0">
                  <w:pPr>
                    <w:pStyle w:val="31"/>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eastAsia="新宋体"/>
                      <w:color w:val="000000" w:themeColor="text1"/>
                      <w:sz w:val="21"/>
                      <w:szCs w:val="21"/>
                      <w:highlight w:val="none"/>
                      <w:lang w:val="en-US" w:eastAsia="zh-CN"/>
                      <w14:textFill>
                        <w14:solidFill>
                          <w14:schemeClr w14:val="tx1"/>
                        </w14:solidFill>
                      </w14:textFill>
                    </w:rPr>
                    <w:t>负压密闭式集气罩</w:t>
                  </w:r>
                  <w:r>
                    <w:rPr>
                      <w:rFonts w:hint="default"/>
                      <w:color w:val="000000" w:themeColor="text1"/>
                      <w:sz w:val="21"/>
                      <w:szCs w:val="21"/>
                      <w:highlight w:val="none"/>
                      <w14:textFill>
                        <w14:solidFill>
                          <w14:schemeClr w14:val="tx1"/>
                        </w14:solidFill>
                      </w14:textFill>
                    </w:rPr>
                    <w:t>+</w:t>
                  </w:r>
                  <w:r>
                    <w:rPr>
                      <w:rFonts w:hint="eastAsia" w:eastAsia="宋体"/>
                      <w:color w:val="000000" w:themeColor="text1"/>
                      <w:sz w:val="21"/>
                      <w:szCs w:val="21"/>
                      <w:highlight w:val="none"/>
                      <w:lang w:val="en-US" w:eastAsia="zh-CN"/>
                      <w14:textFill>
                        <w14:solidFill>
                          <w14:schemeClr w14:val="tx1"/>
                        </w14:solidFill>
                      </w14:textFill>
                    </w:rPr>
                    <w:t>现有旋风除尘器+</w:t>
                  </w:r>
                  <w:r>
                    <w:rPr>
                      <w:rFonts w:hint="default"/>
                      <w:color w:val="000000" w:themeColor="text1"/>
                      <w:sz w:val="21"/>
                      <w:szCs w:val="21"/>
                      <w:highlight w:val="none"/>
                      <w14:textFill>
                        <w14:solidFill>
                          <w14:schemeClr w14:val="tx1"/>
                        </w14:solidFill>
                      </w14:textFill>
                    </w:rPr>
                    <w:t>布袋除尘器+</w:t>
                  </w:r>
                  <w:r>
                    <w:rPr>
                      <w:rFonts w:hint="eastAsia"/>
                      <w:color w:val="000000" w:themeColor="text1"/>
                      <w:sz w:val="21"/>
                      <w:szCs w:val="21"/>
                      <w:highlight w:val="none"/>
                      <w:lang w:eastAsia="zh-CN"/>
                      <w14:textFill>
                        <w14:solidFill>
                          <w14:schemeClr w14:val="tx1"/>
                        </w14:solidFill>
                      </w14:textFill>
                    </w:rPr>
                    <w:t>15m</w:t>
                  </w:r>
                  <w:r>
                    <w:rPr>
                      <w:rFonts w:hint="default"/>
                      <w:color w:val="000000" w:themeColor="text1"/>
                      <w:sz w:val="21"/>
                      <w:szCs w:val="21"/>
                      <w:highlight w:val="none"/>
                      <w14:textFill>
                        <w14:solidFill>
                          <w14:schemeClr w14:val="tx1"/>
                        </w14:solidFill>
                      </w14:textFill>
                    </w:rPr>
                    <w:t>高排气筒</w:t>
                  </w:r>
                </w:p>
              </w:tc>
              <w:tc>
                <w:tcPr>
                  <w:tcW w:w="521" w:type="pct"/>
                  <w:tcBorders>
                    <w:tl2br w:val="nil"/>
                    <w:tr2bl w:val="nil"/>
                  </w:tcBorders>
                  <w:noWrap w:val="0"/>
                  <w:vAlign w:val="center"/>
                </w:tcPr>
                <w:p w14:paraId="1A9A1208">
                  <w:pPr>
                    <w:pStyle w:val="31"/>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000000" w:themeColor="text1"/>
                      <w:kern w:val="2"/>
                      <w:sz w:val="21"/>
                      <w:szCs w:val="21"/>
                      <w:highlight w:val="none"/>
                      <w:lang w:val="en-US" w:eastAsia="zh-CN" w:bidi="ar"/>
                      <w14:textFill>
                        <w14:solidFill>
                          <w14:schemeClr w14:val="tx1"/>
                        </w14:solidFill>
                      </w14:textFill>
                    </w:rPr>
                  </w:pPr>
                  <w:r>
                    <w:rPr>
                      <w:rFonts w:hint="eastAsia" w:cs="Times New Roman"/>
                      <w:color w:val="000000" w:themeColor="text1"/>
                      <w:kern w:val="2"/>
                      <w:sz w:val="21"/>
                      <w:szCs w:val="21"/>
                      <w:highlight w:val="none"/>
                      <w:lang w:val="en-US" w:eastAsia="zh-CN" w:bidi="ar"/>
                      <w14:textFill>
                        <w14:solidFill>
                          <w14:schemeClr w14:val="tx1"/>
                        </w14:solidFill>
                      </w14:textFill>
                    </w:rPr>
                    <w:t>0.50</w:t>
                  </w:r>
                </w:p>
              </w:tc>
              <w:tc>
                <w:tcPr>
                  <w:tcW w:w="450" w:type="pct"/>
                  <w:tcBorders>
                    <w:tl2br w:val="nil"/>
                    <w:tr2bl w:val="nil"/>
                  </w:tcBorders>
                  <w:shd w:val="clear" w:color="auto" w:fill="auto"/>
                  <w:noWrap w:val="0"/>
                  <w:vAlign w:val="center"/>
                </w:tcPr>
                <w:p w14:paraId="3386F3ED">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eastAsia="宋体"/>
                      <w:color w:val="000000" w:themeColor="text1"/>
                      <w:sz w:val="21"/>
                      <w:szCs w:val="21"/>
                      <w:highlight w:val="none"/>
                      <w:lang w:val="en-US" w:eastAsia="zh-CN"/>
                      <w14:textFill>
                        <w14:solidFill>
                          <w14:schemeClr w14:val="tx1"/>
                        </w14:solidFill>
                      </w14:textFill>
                    </w:rPr>
                    <w:t>0.0011</w:t>
                  </w:r>
                </w:p>
              </w:tc>
              <w:tc>
                <w:tcPr>
                  <w:tcW w:w="451" w:type="pct"/>
                  <w:tcBorders>
                    <w:tl2br w:val="nil"/>
                    <w:tr2bl w:val="nil"/>
                  </w:tcBorders>
                  <w:shd w:val="clear" w:color="auto" w:fill="auto"/>
                  <w:noWrap w:val="0"/>
                  <w:vAlign w:val="center"/>
                </w:tcPr>
                <w:p w14:paraId="71DA36BE">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0.005</w:t>
                  </w:r>
                </w:p>
              </w:tc>
            </w:tr>
            <w:tr w14:paraId="7664DA8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277" w:type="pct"/>
                  <w:tcBorders>
                    <w:tl2br w:val="nil"/>
                    <w:tr2bl w:val="nil"/>
                  </w:tcBorders>
                  <w:noWrap w:val="0"/>
                  <w:vAlign w:val="center"/>
                </w:tcPr>
                <w:p w14:paraId="6930C777">
                  <w:pPr>
                    <w:pStyle w:val="31"/>
                    <w:keepNext w:val="0"/>
                    <w:keepLines w:val="0"/>
                    <w:suppressLineNumbers w:val="0"/>
                    <w:spacing w:before="0" w:beforeAutospacing="0" w:after="0" w:afterAutospacing="0"/>
                    <w:ind w:left="0" w:leftChars="0" w:right="0" w:rightChars="0"/>
                    <w:jc w:val="center"/>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无组织</w:t>
                  </w:r>
                </w:p>
              </w:tc>
              <w:tc>
                <w:tcPr>
                  <w:tcW w:w="501" w:type="pct"/>
                  <w:tcBorders>
                    <w:tl2br w:val="nil"/>
                    <w:tr2bl w:val="nil"/>
                  </w:tcBorders>
                  <w:shd w:val="clear" w:color="auto" w:fill="auto"/>
                  <w:noWrap w:val="0"/>
                  <w:vAlign w:val="center"/>
                </w:tcPr>
                <w:p w14:paraId="5857E114">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color w:val="000000" w:themeColor="text1"/>
                      <w:sz w:val="21"/>
                      <w:szCs w:val="21"/>
                      <w:highlight w:val="none"/>
                      <w14:textFill>
                        <w14:solidFill>
                          <w14:schemeClr w14:val="tx1"/>
                        </w14:solidFill>
                      </w14:textFill>
                    </w:rPr>
                    <w:t>除尘系统未捕集粉尘</w:t>
                  </w:r>
                </w:p>
              </w:tc>
              <w:tc>
                <w:tcPr>
                  <w:tcW w:w="405" w:type="pct"/>
                  <w:tcBorders>
                    <w:tl2br w:val="nil"/>
                    <w:tr2bl w:val="nil"/>
                  </w:tcBorders>
                  <w:shd w:val="clear" w:color="auto" w:fill="auto"/>
                  <w:noWrap w:val="0"/>
                  <w:vAlign w:val="center"/>
                </w:tcPr>
                <w:p w14:paraId="1AA20FBC">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color w:val="000000" w:themeColor="text1"/>
                      <w:sz w:val="21"/>
                      <w:szCs w:val="21"/>
                      <w:highlight w:val="none"/>
                      <w14:textFill>
                        <w14:solidFill>
                          <w14:schemeClr w14:val="tx1"/>
                        </w14:solidFill>
                      </w14:textFill>
                    </w:rPr>
                    <w:t>颗粒物</w:t>
                  </w:r>
                </w:p>
              </w:tc>
              <w:tc>
                <w:tcPr>
                  <w:tcW w:w="518" w:type="pct"/>
                  <w:tcBorders>
                    <w:tl2br w:val="nil"/>
                    <w:tr2bl w:val="nil"/>
                  </w:tcBorders>
                  <w:shd w:val="clear" w:color="auto" w:fill="auto"/>
                  <w:noWrap w:val="0"/>
                  <w:vAlign w:val="center"/>
                </w:tcPr>
                <w:p w14:paraId="1E9CDEDE">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0.0</w:t>
                  </w:r>
                  <w:r>
                    <w:rPr>
                      <w:rFonts w:hint="eastAsia" w:eastAsia="宋体" w:cs="Times New Roman"/>
                      <w:color w:val="000000" w:themeColor="text1"/>
                      <w:kern w:val="2"/>
                      <w:sz w:val="21"/>
                      <w:szCs w:val="21"/>
                      <w:highlight w:val="none"/>
                      <w:lang w:val="en-US" w:eastAsia="zh-CN" w:bidi="ar-SA"/>
                      <w14:textFill>
                        <w14:solidFill>
                          <w14:schemeClr w14:val="tx1"/>
                        </w14:solidFill>
                      </w14:textFill>
                    </w:rPr>
                    <w:t>255</w:t>
                  </w:r>
                </w:p>
              </w:tc>
              <w:tc>
                <w:tcPr>
                  <w:tcW w:w="518" w:type="pct"/>
                  <w:tcBorders>
                    <w:tl2br w:val="nil"/>
                    <w:tr2bl w:val="nil"/>
                  </w:tcBorders>
                  <w:shd w:val="clear" w:color="auto" w:fill="auto"/>
                  <w:noWrap w:val="0"/>
                  <w:vAlign w:val="center"/>
                </w:tcPr>
                <w:p w14:paraId="79B4CEBB">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eastAsia="宋体" w:cs="Times New Roman"/>
                      <w:color w:val="000000" w:themeColor="text1"/>
                      <w:kern w:val="2"/>
                      <w:sz w:val="21"/>
                      <w:szCs w:val="21"/>
                      <w:highlight w:val="none"/>
                      <w:lang w:val="en-US" w:eastAsia="zh-CN" w:bidi="ar-SA"/>
                      <w14:textFill>
                        <w14:solidFill>
                          <w14:schemeClr w14:val="tx1"/>
                        </w14:solidFill>
                      </w14:textFill>
                    </w:rPr>
                    <w:t>0.102</w:t>
                  </w:r>
                </w:p>
              </w:tc>
              <w:tc>
                <w:tcPr>
                  <w:tcW w:w="497" w:type="pct"/>
                  <w:tcBorders>
                    <w:tl2br w:val="nil"/>
                    <w:tr2bl w:val="nil"/>
                  </w:tcBorders>
                  <w:shd w:val="clear" w:color="auto" w:fill="auto"/>
                  <w:noWrap w:val="0"/>
                  <w:vAlign w:val="center"/>
                </w:tcPr>
                <w:p w14:paraId="441ABD8E">
                  <w:pPr>
                    <w:pStyle w:val="31"/>
                    <w:keepNext w:val="0"/>
                    <w:keepLines w:val="0"/>
                    <w:suppressLineNumbers w:val="0"/>
                    <w:spacing w:before="0" w:beforeAutospacing="0" w:after="0" w:afterAutospacing="0"/>
                    <w:ind w:left="0" w:leftChars="0" w:right="0" w:rightChars="0"/>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w:t>
                  </w:r>
                </w:p>
              </w:tc>
              <w:tc>
                <w:tcPr>
                  <w:tcW w:w="857" w:type="pct"/>
                  <w:tcBorders>
                    <w:tl2br w:val="nil"/>
                    <w:tr2bl w:val="nil"/>
                  </w:tcBorders>
                  <w:shd w:val="clear" w:color="auto" w:fill="auto"/>
                  <w:noWrap w:val="0"/>
                  <w:vAlign w:val="center"/>
                </w:tcPr>
                <w:p w14:paraId="0E18410D">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eastAsia="宋体" w:cs="Times New Roman"/>
                      <w:color w:val="000000" w:themeColor="text1"/>
                      <w:kern w:val="0"/>
                      <w:sz w:val="21"/>
                      <w:szCs w:val="21"/>
                      <w:highlight w:val="none"/>
                      <w:lang w:val="en-US" w:eastAsia="zh-CN" w:bidi="ar-SA"/>
                      <w14:textFill>
                        <w14:solidFill>
                          <w14:schemeClr w14:val="tx1"/>
                        </w14:solidFill>
                      </w14:textFill>
                    </w:rPr>
                    <w:t>/</w:t>
                  </w:r>
                </w:p>
              </w:tc>
              <w:tc>
                <w:tcPr>
                  <w:tcW w:w="521" w:type="pct"/>
                  <w:tcBorders>
                    <w:tl2br w:val="nil"/>
                    <w:tr2bl w:val="nil"/>
                  </w:tcBorders>
                  <w:shd w:val="clear" w:color="auto" w:fill="auto"/>
                  <w:noWrap w:val="0"/>
                  <w:vAlign w:val="center"/>
                </w:tcPr>
                <w:p w14:paraId="147DB7D5">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w:t>
                  </w:r>
                </w:p>
              </w:tc>
              <w:tc>
                <w:tcPr>
                  <w:tcW w:w="795" w:type="dxa"/>
                  <w:tcBorders>
                    <w:tl2br w:val="nil"/>
                    <w:tr2bl w:val="nil"/>
                  </w:tcBorders>
                  <w:shd w:val="clear" w:color="auto" w:fill="auto"/>
                  <w:noWrap w:val="0"/>
                  <w:vAlign w:val="center"/>
                </w:tcPr>
                <w:p w14:paraId="1736482E">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0.0</w:t>
                  </w:r>
                  <w:r>
                    <w:rPr>
                      <w:rFonts w:hint="eastAsia" w:eastAsia="宋体" w:cs="Times New Roman"/>
                      <w:color w:val="000000" w:themeColor="text1"/>
                      <w:kern w:val="2"/>
                      <w:sz w:val="21"/>
                      <w:szCs w:val="21"/>
                      <w:highlight w:val="none"/>
                      <w:lang w:val="en-US" w:eastAsia="zh-CN" w:bidi="ar-SA"/>
                      <w14:textFill>
                        <w14:solidFill>
                          <w14:schemeClr w14:val="tx1"/>
                        </w14:solidFill>
                      </w14:textFill>
                    </w:rPr>
                    <w:t>255</w:t>
                  </w:r>
                </w:p>
              </w:tc>
              <w:tc>
                <w:tcPr>
                  <w:tcW w:w="795" w:type="dxa"/>
                  <w:tcBorders>
                    <w:tl2br w:val="nil"/>
                    <w:tr2bl w:val="nil"/>
                  </w:tcBorders>
                  <w:shd w:val="clear" w:color="auto" w:fill="auto"/>
                  <w:noWrap w:val="0"/>
                  <w:vAlign w:val="center"/>
                </w:tcPr>
                <w:p w14:paraId="1A20D034">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eastAsia="宋体" w:cs="Times New Roman"/>
                      <w:color w:val="000000" w:themeColor="text1"/>
                      <w:kern w:val="2"/>
                      <w:sz w:val="21"/>
                      <w:szCs w:val="21"/>
                      <w:highlight w:val="none"/>
                      <w:lang w:val="en-US" w:eastAsia="zh-CN" w:bidi="ar-SA"/>
                      <w14:textFill>
                        <w14:solidFill>
                          <w14:schemeClr w14:val="tx1"/>
                        </w14:solidFill>
                      </w14:textFill>
                    </w:rPr>
                    <w:t>0.102</w:t>
                  </w:r>
                </w:p>
              </w:tc>
            </w:tr>
            <w:tr w14:paraId="3887243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779" w:type="pct"/>
                  <w:gridSpan w:val="2"/>
                  <w:tcBorders>
                    <w:tl2br w:val="nil"/>
                    <w:tr2bl w:val="nil"/>
                  </w:tcBorders>
                  <w:noWrap w:val="0"/>
                  <w:vAlign w:val="center"/>
                </w:tcPr>
                <w:p w14:paraId="26C31A83">
                  <w:pPr>
                    <w:pStyle w:val="31"/>
                    <w:keepNext w:val="0"/>
                    <w:keepLines w:val="0"/>
                    <w:suppressLineNumbers w:val="0"/>
                    <w:spacing w:before="0" w:beforeAutospacing="0" w:after="0" w:afterAutospacing="0"/>
                    <w:ind w:left="0" w:leftChars="0" w:right="0" w:rightChars="0"/>
                    <w:jc w:val="center"/>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总计</w:t>
                  </w:r>
                </w:p>
              </w:tc>
              <w:tc>
                <w:tcPr>
                  <w:tcW w:w="405" w:type="pct"/>
                  <w:tcBorders>
                    <w:tl2br w:val="nil"/>
                    <w:tr2bl w:val="nil"/>
                  </w:tcBorders>
                  <w:shd w:val="clear" w:color="auto" w:fill="auto"/>
                  <w:noWrap w:val="0"/>
                  <w:vAlign w:val="center"/>
                </w:tcPr>
                <w:p w14:paraId="471AA505">
                  <w:pPr>
                    <w:pStyle w:val="31"/>
                    <w:keepNext w:val="0"/>
                    <w:keepLines w:val="0"/>
                    <w:suppressLineNumbers w:val="0"/>
                    <w:spacing w:before="0" w:beforeAutospacing="0" w:after="0" w:afterAutospacing="0"/>
                    <w:ind w:left="0" w:leftChars="0" w:right="0" w:rightChars="0"/>
                    <w:jc w:val="center"/>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颗粒物</w:t>
                  </w:r>
                </w:p>
              </w:tc>
              <w:tc>
                <w:tcPr>
                  <w:tcW w:w="518" w:type="pct"/>
                  <w:tcBorders>
                    <w:tl2br w:val="nil"/>
                    <w:tr2bl w:val="nil"/>
                  </w:tcBorders>
                  <w:shd w:val="clear" w:color="auto" w:fill="auto"/>
                  <w:noWrap w:val="0"/>
                  <w:vAlign w:val="center"/>
                </w:tcPr>
                <w:p w14:paraId="74818DFC">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0.255</w:t>
                  </w:r>
                </w:p>
              </w:tc>
              <w:tc>
                <w:tcPr>
                  <w:tcW w:w="518" w:type="pct"/>
                  <w:tcBorders>
                    <w:tl2br w:val="nil"/>
                    <w:tr2bl w:val="nil"/>
                  </w:tcBorders>
                  <w:shd w:val="clear" w:color="auto" w:fill="auto"/>
                  <w:noWrap w:val="0"/>
                  <w:vAlign w:val="center"/>
                </w:tcPr>
                <w:p w14:paraId="5D89181B">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1.020</w:t>
                  </w:r>
                </w:p>
              </w:tc>
              <w:tc>
                <w:tcPr>
                  <w:tcW w:w="497" w:type="pct"/>
                  <w:tcBorders>
                    <w:tl2br w:val="nil"/>
                    <w:tr2bl w:val="nil"/>
                  </w:tcBorders>
                  <w:shd w:val="clear" w:color="auto" w:fill="auto"/>
                  <w:noWrap w:val="0"/>
                  <w:vAlign w:val="center"/>
                </w:tcPr>
                <w:p w14:paraId="6201E9D2">
                  <w:pPr>
                    <w:pStyle w:val="31"/>
                    <w:keepNext w:val="0"/>
                    <w:keepLines w:val="0"/>
                    <w:suppressLineNumbers w:val="0"/>
                    <w:spacing w:before="0" w:beforeAutospacing="0" w:after="0" w:afterAutospacing="0"/>
                    <w:ind w:left="0" w:leftChars="0" w:right="0" w:rightChars="0"/>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w:t>
                  </w:r>
                </w:p>
              </w:tc>
              <w:tc>
                <w:tcPr>
                  <w:tcW w:w="857" w:type="pct"/>
                  <w:tcBorders>
                    <w:tl2br w:val="nil"/>
                    <w:tr2bl w:val="nil"/>
                  </w:tcBorders>
                  <w:shd w:val="clear" w:color="auto" w:fill="auto"/>
                  <w:noWrap w:val="0"/>
                  <w:vAlign w:val="center"/>
                </w:tcPr>
                <w:p w14:paraId="096EBA10">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521" w:type="pct"/>
                  <w:tcBorders>
                    <w:tl2br w:val="nil"/>
                    <w:tr2bl w:val="nil"/>
                  </w:tcBorders>
                  <w:shd w:val="clear" w:color="auto" w:fill="auto"/>
                  <w:noWrap w:val="0"/>
                  <w:vAlign w:val="center"/>
                </w:tcPr>
                <w:p w14:paraId="56B405B3">
                  <w:pPr>
                    <w:pStyle w:val="31"/>
                    <w:keepNext w:val="0"/>
                    <w:keepLines w:val="0"/>
                    <w:suppressLineNumbers w:val="0"/>
                    <w:spacing w:before="0" w:beforeAutospacing="0" w:after="0" w:afterAutospacing="0"/>
                    <w:ind w:left="0" w:leftChars="0" w:right="0" w:rightChars="0"/>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w:t>
                  </w:r>
                </w:p>
              </w:tc>
              <w:tc>
                <w:tcPr>
                  <w:tcW w:w="450" w:type="pct"/>
                  <w:tcBorders>
                    <w:tl2br w:val="nil"/>
                    <w:tr2bl w:val="nil"/>
                  </w:tcBorders>
                  <w:shd w:val="clear" w:color="auto" w:fill="auto"/>
                  <w:noWrap w:val="0"/>
                  <w:vAlign w:val="center"/>
                </w:tcPr>
                <w:p w14:paraId="2F68E8AF">
                  <w:pPr>
                    <w:pStyle w:val="31"/>
                    <w:keepNext w:val="0"/>
                    <w:keepLines w:val="0"/>
                    <w:suppressLineNumbers w:val="0"/>
                    <w:spacing w:before="0" w:beforeAutospacing="0" w:after="0" w:afterAutospacing="0"/>
                    <w:ind w:left="0" w:leftChars="0" w:right="0" w:rightChars="0"/>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w:t>
                  </w:r>
                </w:p>
              </w:tc>
              <w:tc>
                <w:tcPr>
                  <w:tcW w:w="451" w:type="pct"/>
                  <w:tcBorders>
                    <w:tl2br w:val="nil"/>
                    <w:tr2bl w:val="nil"/>
                  </w:tcBorders>
                  <w:shd w:val="clear" w:color="auto" w:fill="auto"/>
                  <w:noWrap w:val="0"/>
                  <w:vAlign w:val="center"/>
                </w:tcPr>
                <w:p w14:paraId="6EB5994A">
                  <w:pPr>
                    <w:pStyle w:val="31"/>
                    <w:keepNext w:val="0"/>
                    <w:keepLines w:val="0"/>
                    <w:suppressLineNumbers w:val="0"/>
                    <w:spacing w:before="0" w:beforeAutospacing="0" w:after="0" w:afterAutospacing="0"/>
                    <w:ind w:left="0" w:leftChars="0" w:right="0" w:rightChars="0"/>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0.107</w:t>
                  </w:r>
                </w:p>
              </w:tc>
            </w:tr>
          </w:tbl>
          <w:p w14:paraId="631F2807">
            <w:pPr>
              <w:keepNext w:val="0"/>
              <w:keepLines w:val="0"/>
              <w:pageBreakBefore w:val="0"/>
              <w:widowControl w:val="0"/>
              <w:suppressLineNumbers w:val="0"/>
              <w:kinsoku/>
              <w:wordWrap/>
              <w:overflowPunct/>
              <w:topLinePunct w:val="0"/>
              <w:autoSpaceDE w:val="0"/>
              <w:autoSpaceDN w:val="0"/>
              <w:bidi w:val="0"/>
              <w:adjustRightInd/>
              <w:snapToGrid/>
              <w:spacing w:before="157" w:beforeLines="50" w:beforeAutospacing="0" w:after="0" w:afterAutospacing="0" w:line="360" w:lineRule="auto"/>
              <w:ind w:left="0" w:right="0"/>
              <w:textAlignment w:val="auto"/>
              <w:rPr>
                <w:rFonts w:hint="default"/>
                <w:b/>
                <w:bCs/>
                <w:color w:val="000000" w:themeColor="text1"/>
                <w:sz w:val="24"/>
                <w:szCs w:val="24"/>
                <w:highlight w:val="none"/>
                <w:lang w:val="en-US"/>
                <w14:textFill>
                  <w14:solidFill>
                    <w14:schemeClr w14:val="tx1"/>
                  </w14:solidFill>
                </w14:textFill>
              </w:rPr>
            </w:pPr>
            <w:r>
              <w:rPr>
                <w:rFonts w:hint="eastAsia"/>
                <w:b/>
                <w:bCs/>
                <w:color w:val="000000" w:themeColor="text1"/>
                <w:sz w:val="24"/>
                <w:szCs w:val="24"/>
                <w:highlight w:val="none"/>
                <w:lang w:val="en-US" w:eastAsia="zh-CN"/>
                <w14:textFill>
                  <w14:solidFill>
                    <w14:schemeClr w14:val="tx1"/>
                  </w14:solidFill>
                </w14:textFill>
              </w:rPr>
              <w:t>1.5、包装废气</w:t>
            </w:r>
          </w:p>
          <w:p w14:paraId="73CA0A4A">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本项目泡罩包装、枕式包装工序</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使用PVC硬片加热</w:t>
            </w:r>
            <w:r>
              <w:rPr>
                <w:rFonts w:hint="eastAsia" w:cs="Times New Roman"/>
                <w:color w:val="000000" w:themeColor="text1"/>
                <w:sz w:val="24"/>
                <w:highlight w:val="none"/>
                <w:lang w:val="en-US" w:eastAsia="zh-CN"/>
                <w14:textFill>
                  <w14:solidFill>
                    <w14:schemeClr w14:val="tx1"/>
                  </w14:solidFill>
                </w14:textFill>
              </w:rPr>
              <w:t>进行热封，</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温度控制在120~150℃，不发生化学分解，只产生微量非甲烷总烃，</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项目片剂和胶囊年产量为0.65t/a，</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使用PVC硬片量较少，</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废气无组织排放，本项目不做定量分析。</w:t>
            </w:r>
          </w:p>
          <w:p w14:paraId="4BC7D8B0">
            <w:pPr>
              <w:keepNext w:val="0"/>
              <w:keepLines w:val="0"/>
              <w:pageBreakBefore w:val="0"/>
              <w:widowControl w:val="0"/>
              <w:suppressLineNumbers w:val="0"/>
              <w:kinsoku/>
              <w:wordWrap/>
              <w:overflowPunct/>
              <w:topLinePunct w:val="0"/>
              <w:autoSpaceDE w:val="0"/>
              <w:autoSpaceDN w:val="0"/>
              <w:bidi w:val="0"/>
              <w:adjustRightInd/>
              <w:snapToGrid/>
              <w:spacing w:before="157" w:beforeLines="50" w:beforeAutospacing="0" w:after="0" w:afterAutospacing="0" w:line="360" w:lineRule="auto"/>
              <w:ind w:left="0" w:right="0"/>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1.6、</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柴油发电机组</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废气</w:t>
            </w:r>
          </w:p>
          <w:p w14:paraId="2433C8EE">
            <w:pPr>
              <w:keepNext w:val="0"/>
              <w:keepLines w:val="0"/>
              <w:suppressLineNumbers w:val="0"/>
              <w:adjustRightInd w:val="0"/>
              <w:snapToGrid w:val="0"/>
              <w:spacing w:before="0" w:beforeAutospacing="0" w:after="0" w:afterAutospacing="0" w:line="360" w:lineRule="auto"/>
              <w:ind w:left="0" w:right="0" w:firstLine="480" w:firstLineChars="200"/>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柴油发电机组仅作为应急备用电源，仅停电及定期维护试车时短时启用。柴油燃烧废气主要污染物为颗粒物、二氧化硫、氮氧化物、一氧化碳，同时伴随少量未完全燃烧产生的非甲烷总烃</w:t>
            </w:r>
            <w: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项目柴油发电机组年运行时间短</w:t>
            </w:r>
            <w:r>
              <w:rPr>
                <w:rFonts w:hint="eastAsia"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污染物</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整体产生量很小</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废气无组织排放，本项目不做定量分析。</w:t>
            </w:r>
          </w:p>
          <w:p w14:paraId="4E28D5F5">
            <w:pPr>
              <w:keepNext w:val="0"/>
              <w:keepLines w:val="0"/>
              <w:pageBreakBefore w:val="0"/>
              <w:widowControl w:val="0"/>
              <w:suppressLineNumbers w:val="0"/>
              <w:kinsoku/>
              <w:wordWrap/>
              <w:overflowPunct/>
              <w:topLinePunct w:val="0"/>
              <w:autoSpaceDE w:val="0"/>
              <w:autoSpaceDN w:val="0"/>
              <w:bidi w:val="0"/>
              <w:adjustRightInd/>
              <w:snapToGrid/>
              <w:spacing w:before="157" w:beforeLines="50" w:beforeAutospacing="0" w:after="0" w:afterAutospacing="0" w:line="360" w:lineRule="auto"/>
              <w:ind w:left="0" w:right="0"/>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1.</w:t>
            </w:r>
            <w:r>
              <w:rPr>
                <w:rFonts w:hint="eastAsia" w:cs="Times New Roman"/>
                <w:b/>
                <w:bCs/>
                <w:color w:val="000000" w:themeColor="text1"/>
                <w:sz w:val="24"/>
                <w:szCs w:val="24"/>
                <w:highlight w:val="none"/>
                <w:lang w:val="en-US" w:eastAsia="zh-CN"/>
                <w14:textFill>
                  <w14:solidFill>
                    <w14:schemeClr w14:val="tx1"/>
                  </w14:solidFill>
                </w14:textFill>
              </w:rPr>
              <w:t>7</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w:t>
            </w:r>
            <w:r>
              <w:rPr>
                <w:rFonts w:hint="eastAsia" w:cs="Times New Roman"/>
                <w:b/>
                <w:bCs/>
                <w:color w:val="000000" w:themeColor="text1"/>
                <w:sz w:val="24"/>
                <w:szCs w:val="24"/>
                <w:highlight w:val="none"/>
                <w:lang w:val="en-US" w:eastAsia="zh-CN"/>
                <w14:textFill>
                  <w14:solidFill>
                    <w14:schemeClr w14:val="tx1"/>
                  </w14:solidFill>
                </w14:textFill>
              </w:rPr>
              <w:t>中药渣贮存废气</w:t>
            </w:r>
          </w:p>
          <w:p w14:paraId="7BA7F9FD">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本项目</w:t>
            </w:r>
            <w:r>
              <w:rPr>
                <w:rFonts w:hint="eastAsia" w:cs="Times New Roman"/>
                <w:color w:val="000000" w:themeColor="text1"/>
                <w:sz w:val="24"/>
                <w:highlight w:val="none"/>
                <w:lang w:val="en-US" w:eastAsia="zh-CN"/>
                <w14:textFill>
                  <w14:solidFill>
                    <w14:schemeClr w14:val="tx1"/>
                  </w14:solidFill>
                </w14:textFill>
              </w:rPr>
              <w:t>中药渣贮存依托现有封闭式药渣贮存库，</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中药渣贮存产生恶臭气体（氨气、硫氨气、臭气浓度）</w:t>
            </w:r>
            <w:r>
              <w:rPr>
                <w:rFonts w:hint="eastAsia" w:cs="Times New Roman"/>
                <w:color w:val="000000" w:themeColor="text1"/>
                <w:sz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中药渣</w:t>
            </w:r>
            <w:r>
              <w:rPr>
                <w:rFonts w:hint="eastAsia" w:cs="Times New Roman"/>
                <w:color w:val="000000" w:themeColor="text1"/>
                <w:sz w:val="24"/>
                <w:highlight w:val="none"/>
                <w:lang w:val="en-US" w:eastAsia="zh-CN"/>
                <w14:textFill>
                  <w14:solidFill>
                    <w14:schemeClr w14:val="tx1"/>
                  </w14:solidFill>
                </w14:textFill>
              </w:rPr>
              <w:t>定期清运，不长时间堆存，所以产生的</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恶臭气体</w:t>
            </w:r>
            <w:r>
              <w:rPr>
                <w:rFonts w:hint="eastAsia" w:cs="Times New Roman"/>
                <w:color w:val="000000" w:themeColor="text1"/>
                <w:sz w:val="24"/>
                <w:highlight w:val="none"/>
                <w:lang w:val="en-US" w:eastAsia="zh-CN"/>
                <w14:textFill>
                  <w14:solidFill>
                    <w14:schemeClr w14:val="tx1"/>
                  </w14:solidFill>
                </w14:textFill>
              </w:rPr>
              <w:t>较少，</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废气无组织排放，本项目不做定量分析。</w:t>
            </w:r>
          </w:p>
          <w:p w14:paraId="2E2B9C75">
            <w:pPr>
              <w:keepNext w:val="0"/>
              <w:keepLines w:val="0"/>
              <w:pageBreakBefore w:val="0"/>
              <w:widowControl w:val="0"/>
              <w:suppressLineNumbers w:val="0"/>
              <w:kinsoku/>
              <w:wordWrap/>
              <w:overflowPunct/>
              <w:topLinePunct w:val="0"/>
              <w:autoSpaceDE w:val="0"/>
              <w:autoSpaceDN w:val="0"/>
              <w:bidi w:val="0"/>
              <w:adjustRightInd/>
              <w:snapToGrid/>
              <w:spacing w:before="157" w:beforeLines="50" w:beforeAutospacing="0" w:after="0" w:afterAutospacing="0" w:line="360" w:lineRule="auto"/>
              <w:ind w:left="0" w:right="0"/>
              <w:textAlignment w:val="auto"/>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1.7</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、本项目有组织废气达标排放分析</w:t>
            </w:r>
          </w:p>
          <w:p w14:paraId="1313855E">
            <w:pPr>
              <w:keepNext w:val="0"/>
              <w:keepLines w:val="0"/>
              <w:pageBreakBefore w:val="0"/>
              <w:widowControl w:val="0"/>
              <w:suppressLineNumbers w:val="0"/>
              <w:kinsoku/>
              <w:wordWrap/>
              <w:overflowPunct/>
              <w:topLinePunct w:val="0"/>
              <w:autoSpaceDE w:val="0"/>
              <w:autoSpaceDN w:val="0"/>
              <w:bidi w:val="0"/>
              <w:adjustRightInd/>
              <w:snapToGrid/>
              <w:spacing w:before="157" w:beforeLines="50" w:beforeAutospacing="0" w:after="0" w:afterAutospacing="0" w:line="360" w:lineRule="auto"/>
              <w:ind w:left="0" w:right="0"/>
              <w:textAlignment w:val="auto"/>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（1）前处理车间炮制单元</w:t>
            </w:r>
          </w:p>
          <w:p w14:paraId="750CC63B">
            <w:pPr>
              <w:keepNext w:val="0"/>
              <w:keepLines w:val="0"/>
              <w:pageBreakBefore w:val="0"/>
              <w:widowControl w:val="0"/>
              <w:numPr>
                <w:ilvl w:val="0"/>
                <w:numId w:val="26"/>
              </w:numPr>
              <w:suppressLineNumbers w:val="0"/>
              <w:kinsoku/>
              <w:wordWrap/>
              <w:overflowPunct/>
              <w:topLinePunct w:val="0"/>
              <w:autoSpaceDE/>
              <w:autoSpaceDN/>
              <w:bidi w:val="0"/>
              <w:adjustRightInd/>
              <w:snapToGrid w:val="0"/>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前处理车间炮制</w:t>
            </w:r>
            <w:r>
              <w:rPr>
                <w:rFonts w:hint="eastAsia" w:cs="Times New Roman"/>
                <w:b/>
                <w:bCs/>
                <w:color w:val="000000" w:themeColor="text1"/>
                <w:sz w:val="21"/>
                <w:szCs w:val="21"/>
                <w:highlight w:val="none"/>
                <w:lang w:val="en-US" w:eastAsia="zh-CN"/>
                <w14:textFill>
                  <w14:solidFill>
                    <w14:schemeClr w14:val="tx1"/>
                  </w14:solidFill>
                </w14:textFill>
              </w:rPr>
              <w:t>单元</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大气污染物有组织排放量分析表</w:t>
            </w:r>
          </w:p>
          <w:tbl>
            <w:tblPr>
              <w:tblStyle w:val="35"/>
              <w:tblW w:w="4998"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455"/>
              <w:gridCol w:w="1546"/>
              <w:gridCol w:w="912"/>
              <w:gridCol w:w="1309"/>
              <w:gridCol w:w="1088"/>
              <w:gridCol w:w="1054"/>
            </w:tblGrid>
            <w:tr w14:paraId="1ED093B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67" w:type="pct"/>
                  <w:tcBorders>
                    <w:tl2br w:val="nil"/>
                    <w:tr2bl w:val="nil"/>
                  </w:tcBorders>
                  <w:noWrap w:val="0"/>
                  <w:vAlign w:val="center"/>
                </w:tcPr>
                <w:p w14:paraId="344A631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排放口编号</w:t>
                  </w:r>
                </w:p>
              </w:tc>
              <w:tc>
                <w:tcPr>
                  <w:tcW w:w="924" w:type="pct"/>
                  <w:tcBorders>
                    <w:tl2br w:val="nil"/>
                    <w:tr2bl w:val="nil"/>
                  </w:tcBorders>
                  <w:noWrap w:val="0"/>
                  <w:vAlign w:val="center"/>
                </w:tcPr>
                <w:p w14:paraId="27FC189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排放口类型</w:t>
                  </w:r>
                </w:p>
              </w:tc>
              <w:tc>
                <w:tcPr>
                  <w:tcW w:w="545" w:type="pct"/>
                  <w:tcBorders>
                    <w:tl2br w:val="nil"/>
                    <w:tr2bl w:val="nil"/>
                  </w:tcBorders>
                  <w:noWrap w:val="0"/>
                  <w:vAlign w:val="center"/>
                </w:tcPr>
                <w:p w14:paraId="5055F70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污染物</w:t>
                  </w:r>
                </w:p>
              </w:tc>
              <w:tc>
                <w:tcPr>
                  <w:tcW w:w="782" w:type="pct"/>
                  <w:tcBorders>
                    <w:tl2br w:val="nil"/>
                    <w:tr2bl w:val="nil"/>
                  </w:tcBorders>
                  <w:noWrap w:val="0"/>
                  <w:vAlign w:val="center"/>
                </w:tcPr>
                <w:p w14:paraId="496EDB9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排放浓度</w:t>
                  </w:r>
                </w:p>
                <w:p w14:paraId="6341FA0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（mg/m</w:t>
                  </w:r>
                  <w:r>
                    <w:rPr>
                      <w:rFonts w:hint="default" w:ascii="Times New Roman" w:hAnsi="Times New Roman" w:eastAsia="宋体" w:cs="Times New Roman"/>
                      <w:b/>
                      <w:bCs/>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w:t>
                  </w:r>
                </w:p>
              </w:tc>
              <w:tc>
                <w:tcPr>
                  <w:tcW w:w="650" w:type="pct"/>
                  <w:tcBorders>
                    <w:tl2br w:val="nil"/>
                    <w:tr2bl w:val="nil"/>
                  </w:tcBorders>
                  <w:noWrap w:val="0"/>
                  <w:vAlign w:val="center"/>
                </w:tcPr>
                <w:p w14:paraId="0A6D2DA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排放速率（kg/h）</w:t>
                  </w:r>
                </w:p>
              </w:tc>
              <w:tc>
                <w:tcPr>
                  <w:tcW w:w="630" w:type="pct"/>
                  <w:tcBorders>
                    <w:tl2br w:val="nil"/>
                    <w:tr2bl w:val="nil"/>
                  </w:tcBorders>
                  <w:noWrap w:val="0"/>
                  <w:vAlign w:val="center"/>
                </w:tcPr>
                <w:p w14:paraId="4C7B86B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年排放量（t/a）</w:t>
                  </w:r>
                </w:p>
              </w:tc>
            </w:tr>
            <w:tr w14:paraId="3CB87DC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1467" w:type="pct"/>
                  <w:tcBorders>
                    <w:tl2br w:val="nil"/>
                    <w:tr2bl w:val="nil"/>
                  </w:tcBorders>
                  <w:noWrap w:val="0"/>
                  <w:vAlign w:val="center"/>
                </w:tcPr>
                <w:p w14:paraId="2DAB1E7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前处理炮制废气排放口2</w:t>
                  </w:r>
                  <w:r>
                    <w:rPr>
                      <w:rFonts w:hint="default" w:ascii="Times New Roman" w:hAnsi="Times New Roman" w:eastAsia="宋体" w:cs="Times New Roman"/>
                      <w:color w:val="000000" w:themeColor="text1"/>
                      <w:sz w:val="21"/>
                      <w:szCs w:val="21"/>
                      <w:highlight w:val="none"/>
                      <w14:textFill>
                        <w14:solidFill>
                          <w14:schemeClr w14:val="tx1"/>
                        </w14:solidFill>
                      </w14:textFill>
                    </w:rPr>
                    <w:t>（DA0</w:t>
                  </w:r>
                  <w:r>
                    <w:rPr>
                      <w:rFonts w:hint="eastAsia" w:cs="Times New Roman"/>
                      <w:color w:val="000000" w:themeColor="text1"/>
                      <w:sz w:val="21"/>
                      <w:szCs w:val="21"/>
                      <w:highlight w:val="none"/>
                      <w:lang w:val="en-US" w:eastAsia="zh-CN"/>
                      <w14:textFill>
                        <w14:solidFill>
                          <w14:schemeClr w14:val="tx1"/>
                        </w14:solidFill>
                      </w14:textFill>
                    </w:rPr>
                    <w:t>16</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924" w:type="pct"/>
                  <w:tcBorders>
                    <w:tl2br w:val="nil"/>
                    <w:tr2bl w:val="nil"/>
                  </w:tcBorders>
                  <w:noWrap w:val="0"/>
                  <w:vAlign w:val="center"/>
                </w:tcPr>
                <w:p w14:paraId="28D18F78">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一般</w:t>
                  </w:r>
                  <w:r>
                    <w:rPr>
                      <w:rFonts w:hint="default" w:ascii="Times New Roman" w:hAnsi="Times New Roman" w:eastAsia="宋体" w:cs="Times New Roman"/>
                      <w:color w:val="000000" w:themeColor="text1"/>
                      <w:sz w:val="21"/>
                      <w:szCs w:val="21"/>
                      <w:highlight w:val="none"/>
                      <w14:textFill>
                        <w14:solidFill>
                          <w14:schemeClr w14:val="tx1"/>
                        </w14:solidFill>
                      </w14:textFill>
                    </w:rPr>
                    <w:t>排放口</w:t>
                  </w:r>
                </w:p>
              </w:tc>
              <w:tc>
                <w:tcPr>
                  <w:tcW w:w="545" w:type="pct"/>
                  <w:vMerge w:val="restart"/>
                  <w:tcBorders>
                    <w:tl2br w:val="nil"/>
                    <w:tr2bl w:val="nil"/>
                  </w:tcBorders>
                  <w:noWrap w:val="0"/>
                  <w:vAlign w:val="center"/>
                </w:tcPr>
                <w:p w14:paraId="23D6422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颗粒物</w:t>
                  </w:r>
                </w:p>
              </w:tc>
              <w:tc>
                <w:tcPr>
                  <w:tcW w:w="1325" w:type="dxa"/>
                  <w:tcBorders>
                    <w:tl2br w:val="nil"/>
                    <w:tr2bl w:val="nil"/>
                  </w:tcBorders>
                  <w:noWrap w:val="0"/>
                  <w:vAlign w:val="center"/>
                </w:tcPr>
                <w:p w14:paraId="32337A3F">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bidi="ar"/>
                      <w14:textFill>
                        <w14:solidFill>
                          <w14:schemeClr w14:val="tx1"/>
                        </w14:solidFill>
                      </w14:textFill>
                    </w:rPr>
                    <w:t>1.81</w:t>
                  </w:r>
                </w:p>
              </w:tc>
              <w:tc>
                <w:tcPr>
                  <w:tcW w:w="1101" w:type="dxa"/>
                  <w:tcBorders>
                    <w:tl2br w:val="nil"/>
                    <w:tr2bl w:val="nil"/>
                  </w:tcBorders>
                  <w:noWrap w:val="0"/>
                  <w:vAlign w:val="center"/>
                </w:tcPr>
                <w:p w14:paraId="187619E5">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0.0010</w:t>
                  </w:r>
                </w:p>
              </w:tc>
              <w:tc>
                <w:tcPr>
                  <w:tcW w:w="1067" w:type="dxa"/>
                  <w:tcBorders>
                    <w:tl2br w:val="nil"/>
                    <w:tr2bl w:val="nil"/>
                  </w:tcBorders>
                  <w:noWrap w:val="0"/>
                  <w:vAlign w:val="center"/>
                </w:tcPr>
                <w:p w14:paraId="672EADCC">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0.0031</w:t>
                  </w:r>
                </w:p>
              </w:tc>
            </w:tr>
            <w:tr w14:paraId="2229217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391" w:type="pct"/>
                  <w:gridSpan w:val="2"/>
                  <w:tcBorders>
                    <w:tl2br w:val="nil"/>
                    <w:tr2bl w:val="nil"/>
                  </w:tcBorders>
                  <w:noWrap w:val="0"/>
                  <w:vAlign w:val="center"/>
                </w:tcPr>
                <w:p w14:paraId="3896F97B">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标准</w:t>
                  </w:r>
                </w:p>
              </w:tc>
              <w:tc>
                <w:tcPr>
                  <w:tcW w:w="545" w:type="pct"/>
                  <w:vMerge w:val="continue"/>
                  <w:tcBorders>
                    <w:tl2br w:val="nil"/>
                    <w:tr2bl w:val="nil"/>
                  </w:tcBorders>
                  <w:noWrap w:val="0"/>
                  <w:vAlign w:val="center"/>
                </w:tcPr>
                <w:p w14:paraId="79B004A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782" w:type="pct"/>
                  <w:tcBorders>
                    <w:tl2br w:val="nil"/>
                    <w:tr2bl w:val="nil"/>
                  </w:tcBorders>
                  <w:noWrap w:val="0"/>
                  <w:vAlign w:val="center"/>
                </w:tcPr>
                <w:p w14:paraId="3942FE4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kern w:val="2"/>
                      <w:sz w:val="21"/>
                      <w:szCs w:val="21"/>
                      <w:highlight w:val="none"/>
                      <w:lang w:val="en-US" w:eastAsia="zh-CN" w:bidi="ar"/>
                      <w14:textFill>
                        <w14:solidFill>
                          <w14:schemeClr w14:val="tx1"/>
                        </w14:solidFill>
                      </w14:textFill>
                    </w:rPr>
                  </w:pPr>
                  <w:r>
                    <w:rPr>
                      <w:rFonts w:hint="eastAsia" w:cs="Times New Roman"/>
                      <w:color w:val="000000" w:themeColor="text1"/>
                      <w:kern w:val="2"/>
                      <w:sz w:val="21"/>
                      <w:szCs w:val="21"/>
                      <w:highlight w:val="none"/>
                      <w:lang w:val="en-US" w:eastAsia="zh-CN" w:bidi="ar"/>
                      <w14:textFill>
                        <w14:solidFill>
                          <w14:schemeClr w14:val="tx1"/>
                        </w14:solidFill>
                      </w14:textFill>
                    </w:rPr>
                    <w:t>30</w:t>
                  </w:r>
                </w:p>
              </w:tc>
              <w:tc>
                <w:tcPr>
                  <w:tcW w:w="650" w:type="pct"/>
                  <w:tcBorders>
                    <w:tl2br w:val="nil"/>
                    <w:tr2bl w:val="nil"/>
                  </w:tcBorders>
                  <w:noWrap w:val="0"/>
                  <w:vAlign w:val="center"/>
                </w:tcPr>
                <w:p w14:paraId="47EE4E3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kern w:val="2"/>
                      <w:sz w:val="21"/>
                      <w:szCs w:val="21"/>
                      <w:highlight w:val="none"/>
                      <w:lang w:val="en-US" w:eastAsia="zh-CN" w:bidi="ar"/>
                      <w14:textFill>
                        <w14:solidFill>
                          <w14:schemeClr w14:val="tx1"/>
                        </w14:solidFill>
                      </w14:textFill>
                    </w:rPr>
                  </w:pPr>
                  <w:r>
                    <w:rPr>
                      <w:rFonts w:hint="eastAsia" w:cs="Times New Roman"/>
                      <w:color w:val="000000" w:themeColor="text1"/>
                      <w:kern w:val="2"/>
                      <w:sz w:val="21"/>
                      <w:szCs w:val="21"/>
                      <w:highlight w:val="none"/>
                      <w:lang w:val="en-US" w:eastAsia="zh-CN" w:bidi="ar"/>
                      <w14:textFill>
                        <w14:solidFill>
                          <w14:schemeClr w14:val="tx1"/>
                        </w14:solidFill>
                      </w14:textFill>
                    </w:rPr>
                    <w:t>/</w:t>
                  </w:r>
                </w:p>
              </w:tc>
              <w:tc>
                <w:tcPr>
                  <w:tcW w:w="630" w:type="pct"/>
                  <w:tcBorders>
                    <w:tl2br w:val="nil"/>
                    <w:tr2bl w:val="nil"/>
                  </w:tcBorders>
                  <w:noWrap w:val="0"/>
                  <w:vAlign w:val="center"/>
                </w:tcPr>
                <w:p w14:paraId="26C038B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bidi="ar"/>
                      <w14:textFill>
                        <w14:solidFill>
                          <w14:schemeClr w14:val="tx1"/>
                        </w14:solidFill>
                      </w14:textFill>
                    </w:rPr>
                    <w:t>/</w:t>
                  </w:r>
                </w:p>
              </w:tc>
            </w:tr>
            <w:tr w14:paraId="39698C6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2391" w:type="pct"/>
                  <w:gridSpan w:val="2"/>
                  <w:tcBorders>
                    <w:tl2br w:val="nil"/>
                    <w:tr2bl w:val="nil"/>
                  </w:tcBorders>
                  <w:noWrap w:val="0"/>
                  <w:vAlign w:val="center"/>
                </w:tcPr>
                <w:p w14:paraId="0906AB4A">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达标分析</w:t>
                  </w:r>
                </w:p>
              </w:tc>
              <w:tc>
                <w:tcPr>
                  <w:tcW w:w="545" w:type="pct"/>
                  <w:vMerge w:val="continue"/>
                  <w:tcBorders>
                    <w:tl2br w:val="nil"/>
                    <w:tr2bl w:val="nil"/>
                  </w:tcBorders>
                  <w:noWrap w:val="0"/>
                  <w:vAlign w:val="center"/>
                </w:tcPr>
                <w:p w14:paraId="49AB069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782" w:type="pct"/>
                  <w:tcBorders>
                    <w:tl2br w:val="nil"/>
                    <w:tr2bl w:val="nil"/>
                  </w:tcBorders>
                  <w:noWrap w:val="0"/>
                  <w:vAlign w:val="center"/>
                </w:tcPr>
                <w:p w14:paraId="2FEC0339">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达标</w:t>
                  </w:r>
                </w:p>
              </w:tc>
              <w:tc>
                <w:tcPr>
                  <w:tcW w:w="650" w:type="pct"/>
                  <w:tcBorders>
                    <w:tl2br w:val="nil"/>
                    <w:tr2bl w:val="nil"/>
                  </w:tcBorders>
                  <w:noWrap w:val="0"/>
                  <w:vAlign w:val="center"/>
                </w:tcPr>
                <w:p w14:paraId="33AE253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630" w:type="pct"/>
                  <w:tcBorders>
                    <w:tl2br w:val="nil"/>
                    <w:tr2bl w:val="nil"/>
                  </w:tcBorders>
                  <w:noWrap w:val="0"/>
                  <w:vAlign w:val="center"/>
                </w:tcPr>
                <w:p w14:paraId="2B58CC6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p>
              </w:tc>
            </w:tr>
          </w:tbl>
          <w:p w14:paraId="35CCB9C3">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000000" w:themeColor="text1"/>
                <w:sz w:val="24"/>
                <w:szCs w:val="24"/>
                <w:highlight w:val="none"/>
                <w:lang w:bidi="ar-SA"/>
                <w14:textFill>
                  <w14:solidFill>
                    <w14:schemeClr w14:val="tx1"/>
                  </w14:solidFill>
                </w14:textFill>
              </w:rPr>
            </w:pPr>
            <w:r>
              <w:rPr>
                <w:rFonts w:hint="eastAsia" w:ascii="Times New Roman" w:hAnsi="Times New Roman" w:cs="Times New Roman"/>
                <w:color w:val="000000" w:themeColor="text1"/>
                <w:sz w:val="24"/>
                <w:szCs w:val="24"/>
                <w:highlight w:val="none"/>
                <w:lang w:bidi="ar-SA"/>
                <w14:textFill>
                  <w14:solidFill>
                    <w14:schemeClr w14:val="tx1"/>
                  </w14:solidFill>
                </w14:textFill>
              </w:rPr>
              <w:t>根据上表可知</w:t>
            </w:r>
            <w:r>
              <w:rPr>
                <w:rFonts w:hint="eastAsia" w:cs="Times New Roman"/>
                <w:color w:val="000000" w:themeColor="text1"/>
                <w:sz w:val="24"/>
                <w:szCs w:val="24"/>
                <w:highlight w:val="none"/>
                <w:lang w:eastAsia="zh-CN" w:bidi="ar-SA"/>
                <w14:textFill>
                  <w14:solidFill>
                    <w14:schemeClr w14:val="tx1"/>
                  </w14:solidFill>
                </w14:textFill>
              </w:rPr>
              <w:t>，</w:t>
            </w:r>
            <w:r>
              <w:rPr>
                <w:rFonts w:hint="eastAsia" w:ascii="Times New Roman" w:hAnsi="Times New Roman" w:cs="Times New Roman"/>
                <w:color w:val="000000" w:themeColor="text1"/>
                <w:sz w:val="24"/>
                <w:szCs w:val="24"/>
                <w:highlight w:val="none"/>
                <w:lang w:bidi="ar-SA"/>
                <w14:textFill>
                  <w14:solidFill>
                    <w14:schemeClr w14:val="tx1"/>
                  </w14:solidFill>
                </w14:textFill>
              </w:rPr>
              <w:t>项目前处理车间炮制</w:t>
            </w:r>
            <w:r>
              <w:rPr>
                <w:rFonts w:hint="eastAsia" w:cs="Times New Roman"/>
                <w:color w:val="000000" w:themeColor="text1"/>
                <w:sz w:val="24"/>
                <w:szCs w:val="24"/>
                <w:highlight w:val="none"/>
                <w:lang w:eastAsia="zh-CN" w:bidi="ar-SA"/>
                <w14:textFill>
                  <w14:solidFill>
                    <w14:schemeClr w14:val="tx1"/>
                  </w14:solidFill>
                </w14:textFill>
              </w:rPr>
              <w:t>单元</w:t>
            </w:r>
            <w:r>
              <w:rPr>
                <w:rFonts w:hint="eastAsia" w:ascii="Times New Roman" w:hAnsi="Times New Roman" w:cs="Times New Roman"/>
                <w:color w:val="000000" w:themeColor="text1"/>
                <w:sz w:val="24"/>
                <w:szCs w:val="24"/>
                <w:highlight w:val="none"/>
                <w:lang w:bidi="ar-SA"/>
                <w14:textFill>
                  <w14:solidFill>
                    <w14:schemeClr w14:val="tx1"/>
                  </w14:solidFill>
                </w14:textFill>
              </w:rPr>
              <w:t>排放的有组织</w:t>
            </w:r>
            <w:r>
              <w:rPr>
                <w:rFonts w:hint="eastAsia" w:cs="Times New Roman"/>
                <w:color w:val="000000" w:themeColor="text1"/>
                <w:sz w:val="24"/>
                <w:szCs w:val="24"/>
                <w:highlight w:val="none"/>
                <w:lang w:val="en-US" w:eastAsia="zh-CN" w:bidi="ar-SA"/>
                <w14:textFill>
                  <w14:solidFill>
                    <w14:schemeClr w14:val="tx1"/>
                  </w14:solidFill>
                </w14:textFill>
              </w:rPr>
              <w:t>颗粒物</w:t>
            </w:r>
            <w:r>
              <w:rPr>
                <w:rFonts w:hint="eastAsia" w:ascii="Times New Roman" w:hAnsi="Times New Roman" w:cs="Times New Roman"/>
                <w:color w:val="000000" w:themeColor="text1"/>
                <w:sz w:val="24"/>
                <w:szCs w:val="24"/>
                <w:highlight w:val="none"/>
                <w:lang w:bidi="ar-SA"/>
                <w14:textFill>
                  <w14:solidFill>
                    <w14:schemeClr w14:val="tx1"/>
                  </w14:solidFill>
                </w14:textFill>
              </w:rPr>
              <w:t>满足</w:t>
            </w:r>
            <w:r>
              <w:rPr>
                <w:rFonts w:hint="eastAsia" w:cs="Times New Roman"/>
                <w:color w:val="000000" w:themeColor="text1"/>
                <w:sz w:val="24"/>
                <w:szCs w:val="24"/>
                <w:highlight w:val="none"/>
                <w:lang w:val="en-US" w:eastAsia="zh-CN"/>
                <w14:textFill>
                  <w14:solidFill>
                    <w14:schemeClr w14:val="tx1"/>
                  </w14:solidFill>
                </w14:textFill>
              </w:rPr>
              <w:t>《制药工业大气污染物排放标准》（GB37823-2019）表1大气污染物排放限值</w:t>
            </w:r>
            <w:r>
              <w:rPr>
                <w:rFonts w:hint="eastAsia" w:ascii="Times New Roman" w:hAnsi="Times New Roman" w:cs="Times New Roman"/>
                <w:color w:val="000000" w:themeColor="text1"/>
                <w:sz w:val="24"/>
                <w:szCs w:val="24"/>
                <w:highlight w:val="none"/>
                <w:lang w:bidi="ar-SA"/>
                <w14:textFill>
                  <w14:solidFill>
                    <w14:schemeClr w14:val="tx1"/>
                  </w14:solidFill>
                </w14:textFill>
              </w:rPr>
              <w:t>要求。</w:t>
            </w:r>
          </w:p>
          <w:p w14:paraId="7B7FF862">
            <w:pPr>
              <w:keepNext w:val="0"/>
              <w:keepLines w:val="0"/>
              <w:pageBreakBefore w:val="0"/>
              <w:widowControl w:val="0"/>
              <w:suppressLineNumbers w:val="0"/>
              <w:kinsoku/>
              <w:wordWrap/>
              <w:overflowPunct/>
              <w:topLinePunct w:val="0"/>
              <w:autoSpaceDE w:val="0"/>
              <w:autoSpaceDN w:val="0"/>
              <w:bidi w:val="0"/>
              <w:adjustRightInd/>
              <w:snapToGrid/>
              <w:spacing w:before="157" w:beforeLines="50" w:beforeAutospacing="0" w:after="0" w:afterAutospacing="0" w:line="360" w:lineRule="auto"/>
              <w:ind w:left="0" w:right="0"/>
              <w:textAlignment w:val="auto"/>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（2）石膏打碎、除杂和粉碎工序</w:t>
            </w:r>
          </w:p>
          <w:p w14:paraId="56422961">
            <w:pPr>
              <w:keepNext w:val="0"/>
              <w:keepLines w:val="0"/>
              <w:pageBreakBefore w:val="0"/>
              <w:widowControl w:val="0"/>
              <w:numPr>
                <w:ilvl w:val="0"/>
                <w:numId w:val="26"/>
              </w:numPr>
              <w:suppressLineNumbers w:val="0"/>
              <w:kinsoku/>
              <w:wordWrap/>
              <w:overflowPunct/>
              <w:topLinePunct w:val="0"/>
              <w:autoSpaceDE/>
              <w:autoSpaceDN/>
              <w:bidi w:val="0"/>
              <w:adjustRightInd/>
              <w:snapToGrid w:val="0"/>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石膏打碎、除杂和粉碎工序大气污染物有组织排放量分析表</w:t>
            </w:r>
          </w:p>
          <w:tbl>
            <w:tblPr>
              <w:tblStyle w:val="35"/>
              <w:tblW w:w="4998"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139"/>
              <w:gridCol w:w="1516"/>
              <w:gridCol w:w="1247"/>
              <w:gridCol w:w="1154"/>
              <w:gridCol w:w="1154"/>
              <w:gridCol w:w="1154"/>
            </w:tblGrid>
            <w:tr w14:paraId="2198D5C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78" w:type="pct"/>
                  <w:tcBorders>
                    <w:tl2br w:val="nil"/>
                    <w:tr2bl w:val="nil"/>
                  </w:tcBorders>
                  <w:noWrap w:val="0"/>
                  <w:vAlign w:val="center"/>
                </w:tcPr>
                <w:p w14:paraId="53A0EE1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排放口编号</w:t>
                  </w:r>
                </w:p>
              </w:tc>
              <w:tc>
                <w:tcPr>
                  <w:tcW w:w="906" w:type="pct"/>
                  <w:tcBorders>
                    <w:tl2br w:val="nil"/>
                    <w:tr2bl w:val="nil"/>
                  </w:tcBorders>
                  <w:noWrap w:val="0"/>
                  <w:vAlign w:val="center"/>
                </w:tcPr>
                <w:p w14:paraId="7196896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排放口类型</w:t>
                  </w:r>
                </w:p>
              </w:tc>
              <w:tc>
                <w:tcPr>
                  <w:tcW w:w="745" w:type="pct"/>
                  <w:tcBorders>
                    <w:tl2br w:val="nil"/>
                    <w:tr2bl w:val="nil"/>
                  </w:tcBorders>
                  <w:noWrap w:val="0"/>
                  <w:vAlign w:val="center"/>
                </w:tcPr>
                <w:p w14:paraId="0075EF5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污染物</w:t>
                  </w:r>
                </w:p>
              </w:tc>
              <w:tc>
                <w:tcPr>
                  <w:tcW w:w="689" w:type="pct"/>
                  <w:tcBorders>
                    <w:tl2br w:val="nil"/>
                    <w:tr2bl w:val="nil"/>
                  </w:tcBorders>
                  <w:noWrap w:val="0"/>
                  <w:vAlign w:val="center"/>
                </w:tcPr>
                <w:p w14:paraId="5B0F700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排放浓度</w:t>
                  </w:r>
                </w:p>
                <w:p w14:paraId="738827D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（mg/m</w:t>
                  </w:r>
                  <w:r>
                    <w:rPr>
                      <w:rFonts w:hint="default" w:ascii="Times New Roman" w:hAnsi="Times New Roman" w:eastAsia="宋体" w:cs="Times New Roman"/>
                      <w:b/>
                      <w:bCs/>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w:t>
                  </w:r>
                </w:p>
              </w:tc>
              <w:tc>
                <w:tcPr>
                  <w:tcW w:w="689" w:type="pct"/>
                  <w:tcBorders>
                    <w:tl2br w:val="nil"/>
                    <w:tr2bl w:val="nil"/>
                  </w:tcBorders>
                  <w:noWrap w:val="0"/>
                  <w:vAlign w:val="center"/>
                </w:tcPr>
                <w:p w14:paraId="097CE12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排放速率（kg/h）</w:t>
                  </w:r>
                </w:p>
              </w:tc>
              <w:tc>
                <w:tcPr>
                  <w:tcW w:w="689" w:type="pct"/>
                  <w:tcBorders>
                    <w:tl2br w:val="nil"/>
                    <w:tr2bl w:val="nil"/>
                  </w:tcBorders>
                  <w:noWrap w:val="0"/>
                  <w:vAlign w:val="center"/>
                </w:tcPr>
                <w:p w14:paraId="3375FB5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年排放量（t/a）</w:t>
                  </w:r>
                </w:p>
              </w:tc>
            </w:tr>
            <w:tr w14:paraId="54EACF5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1278" w:type="pct"/>
                  <w:tcBorders>
                    <w:tl2br w:val="nil"/>
                    <w:tr2bl w:val="nil"/>
                  </w:tcBorders>
                  <w:noWrap w:val="0"/>
                  <w:vAlign w:val="center"/>
                </w:tcPr>
                <w:p w14:paraId="37074FF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前处理炮制废气排放口1</w:t>
                  </w:r>
                  <w:r>
                    <w:rPr>
                      <w:rFonts w:hint="default" w:ascii="Times New Roman" w:hAnsi="Times New Roman" w:eastAsia="宋体" w:cs="Times New Roman"/>
                      <w:color w:val="000000" w:themeColor="text1"/>
                      <w:sz w:val="21"/>
                      <w:szCs w:val="21"/>
                      <w:highlight w:val="none"/>
                      <w14:textFill>
                        <w14:solidFill>
                          <w14:schemeClr w14:val="tx1"/>
                        </w14:solidFill>
                      </w14:textFill>
                    </w:rPr>
                    <w:t>（DA0</w:t>
                  </w:r>
                  <w:r>
                    <w:rPr>
                      <w:rFonts w:hint="eastAsia" w:cs="Times New Roman"/>
                      <w:color w:val="000000" w:themeColor="text1"/>
                      <w:sz w:val="21"/>
                      <w:szCs w:val="21"/>
                      <w:highlight w:val="none"/>
                      <w:lang w:val="en-US" w:eastAsia="zh-CN"/>
                      <w14:textFill>
                        <w14:solidFill>
                          <w14:schemeClr w14:val="tx1"/>
                        </w14:solidFill>
                      </w14:textFill>
                    </w:rPr>
                    <w:t>02</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906" w:type="pct"/>
                  <w:tcBorders>
                    <w:tl2br w:val="nil"/>
                    <w:tr2bl w:val="nil"/>
                  </w:tcBorders>
                  <w:noWrap w:val="0"/>
                  <w:vAlign w:val="center"/>
                </w:tcPr>
                <w:p w14:paraId="1330A5D1">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一般</w:t>
                  </w:r>
                  <w:r>
                    <w:rPr>
                      <w:rFonts w:hint="default" w:ascii="Times New Roman" w:hAnsi="Times New Roman" w:eastAsia="宋体" w:cs="Times New Roman"/>
                      <w:color w:val="000000" w:themeColor="text1"/>
                      <w:sz w:val="21"/>
                      <w:szCs w:val="21"/>
                      <w:highlight w:val="none"/>
                      <w14:textFill>
                        <w14:solidFill>
                          <w14:schemeClr w14:val="tx1"/>
                        </w14:solidFill>
                      </w14:textFill>
                    </w:rPr>
                    <w:t>排放口</w:t>
                  </w:r>
                </w:p>
              </w:tc>
              <w:tc>
                <w:tcPr>
                  <w:tcW w:w="745" w:type="pct"/>
                  <w:vMerge w:val="restart"/>
                  <w:tcBorders>
                    <w:tl2br w:val="nil"/>
                    <w:tr2bl w:val="nil"/>
                  </w:tcBorders>
                  <w:noWrap w:val="0"/>
                  <w:vAlign w:val="center"/>
                </w:tcPr>
                <w:p w14:paraId="07CFEBB6">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颗粒物</w:t>
                  </w:r>
                </w:p>
              </w:tc>
              <w:tc>
                <w:tcPr>
                  <w:tcW w:w="1134" w:type="dxa"/>
                  <w:tcBorders>
                    <w:tl2br w:val="nil"/>
                    <w:tr2bl w:val="nil"/>
                  </w:tcBorders>
                  <w:noWrap w:val="0"/>
                  <w:vAlign w:val="center"/>
                </w:tcPr>
                <w:p w14:paraId="5A730C05">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bidi="ar"/>
                      <w14:textFill>
                        <w14:solidFill>
                          <w14:schemeClr w14:val="tx1"/>
                        </w14:solidFill>
                      </w14:textFill>
                    </w:rPr>
                    <w:t>0.0</w:t>
                  </w:r>
                  <w:r>
                    <w:rPr>
                      <w:rFonts w:hint="eastAsia" w:cs="Times New Roman"/>
                      <w:color w:val="000000" w:themeColor="text1"/>
                      <w:kern w:val="2"/>
                      <w:sz w:val="21"/>
                      <w:szCs w:val="21"/>
                      <w:highlight w:val="none"/>
                      <w:lang w:val="en-US" w:eastAsia="zh-CN" w:bidi="ar"/>
                      <w14:textFill>
                        <w14:solidFill>
                          <w14:schemeClr w14:val="tx1"/>
                        </w14:solidFill>
                      </w14:textFill>
                    </w:rPr>
                    <w:t>8</w:t>
                  </w:r>
                </w:p>
              </w:tc>
              <w:tc>
                <w:tcPr>
                  <w:tcW w:w="1134" w:type="dxa"/>
                  <w:tcBorders>
                    <w:tl2br w:val="nil"/>
                    <w:tr2bl w:val="nil"/>
                  </w:tcBorders>
                  <w:noWrap w:val="0"/>
                  <w:vAlign w:val="center"/>
                </w:tcPr>
                <w:p w14:paraId="1F204294">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0.0003</w:t>
                  </w:r>
                </w:p>
              </w:tc>
              <w:tc>
                <w:tcPr>
                  <w:tcW w:w="1134" w:type="dxa"/>
                  <w:tcBorders>
                    <w:tl2br w:val="nil"/>
                    <w:tr2bl w:val="nil"/>
                  </w:tcBorders>
                  <w:noWrap w:val="0"/>
                  <w:vAlign w:val="center"/>
                </w:tcPr>
                <w:p w14:paraId="7E11ED72">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0.000</w:t>
                  </w:r>
                  <w:r>
                    <w:rPr>
                      <w:rFonts w:hint="eastAsia" w:cs="Times New Roman"/>
                      <w:color w:val="000000" w:themeColor="text1"/>
                      <w:kern w:val="2"/>
                      <w:sz w:val="21"/>
                      <w:szCs w:val="21"/>
                      <w:highlight w:val="none"/>
                      <w:lang w:val="en-US" w:eastAsia="zh-CN" w:bidi="ar"/>
                      <w14:textFill>
                        <w14:solidFill>
                          <w14:schemeClr w14:val="tx1"/>
                        </w14:solidFill>
                      </w14:textFill>
                    </w:rPr>
                    <w:t>3</w:t>
                  </w:r>
                </w:p>
              </w:tc>
            </w:tr>
            <w:tr w14:paraId="7FC8822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184" w:type="pct"/>
                  <w:gridSpan w:val="2"/>
                  <w:tcBorders>
                    <w:tl2br w:val="nil"/>
                    <w:tr2bl w:val="nil"/>
                  </w:tcBorders>
                  <w:noWrap w:val="0"/>
                  <w:vAlign w:val="center"/>
                </w:tcPr>
                <w:p w14:paraId="3DC82D29">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标准</w:t>
                  </w:r>
                </w:p>
              </w:tc>
              <w:tc>
                <w:tcPr>
                  <w:tcW w:w="745" w:type="pct"/>
                  <w:vMerge w:val="continue"/>
                  <w:tcBorders>
                    <w:tl2br w:val="nil"/>
                    <w:tr2bl w:val="nil"/>
                  </w:tcBorders>
                  <w:noWrap w:val="0"/>
                  <w:vAlign w:val="center"/>
                </w:tcPr>
                <w:p w14:paraId="5A3BB9D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689" w:type="pct"/>
                  <w:tcBorders>
                    <w:tl2br w:val="nil"/>
                    <w:tr2bl w:val="nil"/>
                  </w:tcBorders>
                  <w:noWrap w:val="0"/>
                  <w:vAlign w:val="center"/>
                </w:tcPr>
                <w:p w14:paraId="3486B84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kern w:val="2"/>
                      <w:sz w:val="21"/>
                      <w:szCs w:val="21"/>
                      <w:highlight w:val="none"/>
                      <w:lang w:val="en-US" w:eastAsia="zh-CN" w:bidi="ar"/>
                      <w14:textFill>
                        <w14:solidFill>
                          <w14:schemeClr w14:val="tx1"/>
                        </w14:solidFill>
                      </w14:textFill>
                    </w:rPr>
                  </w:pPr>
                  <w:r>
                    <w:rPr>
                      <w:rFonts w:hint="eastAsia" w:cs="Times New Roman"/>
                      <w:color w:val="000000" w:themeColor="text1"/>
                      <w:kern w:val="2"/>
                      <w:sz w:val="21"/>
                      <w:szCs w:val="21"/>
                      <w:highlight w:val="none"/>
                      <w:lang w:val="en-US" w:eastAsia="zh-CN" w:bidi="ar"/>
                      <w14:textFill>
                        <w14:solidFill>
                          <w14:schemeClr w14:val="tx1"/>
                        </w14:solidFill>
                      </w14:textFill>
                    </w:rPr>
                    <w:t>30</w:t>
                  </w:r>
                </w:p>
              </w:tc>
              <w:tc>
                <w:tcPr>
                  <w:tcW w:w="689" w:type="pct"/>
                  <w:tcBorders>
                    <w:tl2br w:val="nil"/>
                    <w:tr2bl w:val="nil"/>
                  </w:tcBorders>
                  <w:noWrap w:val="0"/>
                  <w:vAlign w:val="center"/>
                </w:tcPr>
                <w:p w14:paraId="2D9B5F7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kern w:val="2"/>
                      <w:sz w:val="21"/>
                      <w:szCs w:val="21"/>
                      <w:highlight w:val="none"/>
                      <w:lang w:val="en-US" w:eastAsia="zh-CN" w:bidi="ar"/>
                      <w14:textFill>
                        <w14:solidFill>
                          <w14:schemeClr w14:val="tx1"/>
                        </w14:solidFill>
                      </w14:textFill>
                    </w:rPr>
                  </w:pPr>
                  <w:r>
                    <w:rPr>
                      <w:rFonts w:hint="eastAsia" w:cs="Times New Roman"/>
                      <w:color w:val="000000" w:themeColor="text1"/>
                      <w:kern w:val="2"/>
                      <w:sz w:val="21"/>
                      <w:szCs w:val="21"/>
                      <w:highlight w:val="none"/>
                      <w:lang w:val="en-US" w:eastAsia="zh-CN" w:bidi="ar"/>
                      <w14:textFill>
                        <w14:solidFill>
                          <w14:schemeClr w14:val="tx1"/>
                        </w14:solidFill>
                      </w14:textFill>
                    </w:rPr>
                    <w:t>/</w:t>
                  </w:r>
                </w:p>
              </w:tc>
              <w:tc>
                <w:tcPr>
                  <w:tcW w:w="689" w:type="pct"/>
                  <w:tcBorders>
                    <w:tl2br w:val="nil"/>
                    <w:tr2bl w:val="nil"/>
                  </w:tcBorders>
                  <w:noWrap w:val="0"/>
                  <w:vAlign w:val="center"/>
                </w:tcPr>
                <w:p w14:paraId="7EA67A9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bidi="ar"/>
                      <w14:textFill>
                        <w14:solidFill>
                          <w14:schemeClr w14:val="tx1"/>
                        </w14:solidFill>
                      </w14:textFill>
                    </w:rPr>
                    <w:t>/</w:t>
                  </w:r>
                </w:p>
              </w:tc>
            </w:tr>
            <w:tr w14:paraId="48D5E8A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2184" w:type="pct"/>
                  <w:gridSpan w:val="2"/>
                  <w:tcBorders>
                    <w:tl2br w:val="nil"/>
                    <w:tr2bl w:val="nil"/>
                  </w:tcBorders>
                  <w:noWrap w:val="0"/>
                  <w:vAlign w:val="center"/>
                </w:tcPr>
                <w:p w14:paraId="21107856">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达标分析</w:t>
                  </w:r>
                </w:p>
              </w:tc>
              <w:tc>
                <w:tcPr>
                  <w:tcW w:w="745" w:type="pct"/>
                  <w:vMerge w:val="continue"/>
                  <w:tcBorders>
                    <w:tl2br w:val="nil"/>
                    <w:tr2bl w:val="nil"/>
                  </w:tcBorders>
                  <w:noWrap w:val="0"/>
                  <w:vAlign w:val="center"/>
                </w:tcPr>
                <w:p w14:paraId="51A9640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689" w:type="pct"/>
                  <w:tcBorders>
                    <w:tl2br w:val="nil"/>
                    <w:tr2bl w:val="nil"/>
                  </w:tcBorders>
                  <w:noWrap w:val="0"/>
                  <w:vAlign w:val="center"/>
                </w:tcPr>
                <w:p w14:paraId="5CAB5129">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达标</w:t>
                  </w:r>
                </w:p>
              </w:tc>
              <w:tc>
                <w:tcPr>
                  <w:tcW w:w="689" w:type="pct"/>
                  <w:tcBorders>
                    <w:tl2br w:val="nil"/>
                    <w:tr2bl w:val="nil"/>
                  </w:tcBorders>
                  <w:noWrap w:val="0"/>
                  <w:vAlign w:val="center"/>
                </w:tcPr>
                <w:p w14:paraId="1BD6497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689" w:type="pct"/>
                  <w:tcBorders>
                    <w:tl2br w:val="nil"/>
                    <w:tr2bl w:val="nil"/>
                  </w:tcBorders>
                  <w:noWrap w:val="0"/>
                  <w:vAlign w:val="center"/>
                </w:tcPr>
                <w:p w14:paraId="43549ED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p>
              </w:tc>
            </w:tr>
          </w:tbl>
          <w:p w14:paraId="2A5FE33B">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000000" w:themeColor="text1"/>
                <w:sz w:val="24"/>
                <w:szCs w:val="24"/>
                <w:highlight w:val="none"/>
                <w:lang w:bidi="ar-SA"/>
                <w14:textFill>
                  <w14:solidFill>
                    <w14:schemeClr w14:val="tx1"/>
                  </w14:solidFill>
                </w14:textFill>
              </w:rPr>
            </w:pPr>
            <w:r>
              <w:rPr>
                <w:rFonts w:hint="eastAsia" w:ascii="Times New Roman" w:hAnsi="Times New Roman" w:cs="Times New Roman"/>
                <w:color w:val="000000" w:themeColor="text1"/>
                <w:sz w:val="24"/>
                <w:szCs w:val="24"/>
                <w:highlight w:val="none"/>
                <w:lang w:bidi="ar-SA"/>
                <w14:textFill>
                  <w14:solidFill>
                    <w14:schemeClr w14:val="tx1"/>
                  </w14:solidFill>
                </w14:textFill>
              </w:rPr>
              <w:t>根据上表可知</w:t>
            </w:r>
            <w:r>
              <w:rPr>
                <w:rFonts w:hint="eastAsia" w:cs="Times New Roman"/>
                <w:color w:val="000000" w:themeColor="text1"/>
                <w:sz w:val="24"/>
                <w:szCs w:val="24"/>
                <w:highlight w:val="none"/>
                <w:lang w:eastAsia="zh-CN" w:bidi="ar-SA"/>
                <w14:textFill>
                  <w14:solidFill>
                    <w14:schemeClr w14:val="tx1"/>
                  </w14:solidFill>
                </w14:textFill>
              </w:rPr>
              <w:t>，</w:t>
            </w:r>
            <w:r>
              <w:rPr>
                <w:rFonts w:hint="eastAsia" w:ascii="Times New Roman" w:hAnsi="Times New Roman" w:cs="Times New Roman"/>
                <w:color w:val="000000" w:themeColor="text1"/>
                <w:sz w:val="24"/>
                <w:szCs w:val="24"/>
                <w:highlight w:val="none"/>
                <w:lang w:bidi="ar-SA"/>
                <w14:textFill>
                  <w14:solidFill>
                    <w14:schemeClr w14:val="tx1"/>
                  </w14:solidFill>
                </w14:textFill>
              </w:rPr>
              <w:t>项目石膏打碎、除杂和粉碎工序排放的有组织</w:t>
            </w:r>
            <w:r>
              <w:rPr>
                <w:rFonts w:hint="eastAsia" w:cs="Times New Roman"/>
                <w:color w:val="000000" w:themeColor="text1"/>
                <w:sz w:val="24"/>
                <w:szCs w:val="24"/>
                <w:highlight w:val="none"/>
                <w:lang w:val="en-US" w:eastAsia="zh-CN" w:bidi="ar-SA"/>
                <w14:textFill>
                  <w14:solidFill>
                    <w14:schemeClr w14:val="tx1"/>
                  </w14:solidFill>
                </w14:textFill>
              </w:rPr>
              <w:t>颗粒物</w:t>
            </w:r>
            <w:r>
              <w:rPr>
                <w:rFonts w:hint="eastAsia" w:ascii="Times New Roman" w:hAnsi="Times New Roman" w:cs="Times New Roman"/>
                <w:color w:val="000000" w:themeColor="text1"/>
                <w:sz w:val="24"/>
                <w:szCs w:val="24"/>
                <w:highlight w:val="none"/>
                <w:lang w:bidi="ar-SA"/>
                <w14:textFill>
                  <w14:solidFill>
                    <w14:schemeClr w14:val="tx1"/>
                  </w14:solidFill>
                </w14:textFill>
              </w:rPr>
              <w:t>满足</w:t>
            </w:r>
            <w:r>
              <w:rPr>
                <w:rFonts w:hint="eastAsia" w:cs="Times New Roman"/>
                <w:color w:val="000000" w:themeColor="text1"/>
                <w:sz w:val="24"/>
                <w:szCs w:val="24"/>
                <w:highlight w:val="none"/>
                <w:lang w:val="en-US" w:eastAsia="zh-CN"/>
                <w14:textFill>
                  <w14:solidFill>
                    <w14:schemeClr w14:val="tx1"/>
                  </w14:solidFill>
                </w14:textFill>
              </w:rPr>
              <w:t>《制药工业大气污染物排放标准》（GB37823-2019）表1大气污染物排放限值</w:t>
            </w:r>
            <w:r>
              <w:rPr>
                <w:rFonts w:hint="eastAsia" w:ascii="Times New Roman" w:hAnsi="Times New Roman" w:cs="Times New Roman"/>
                <w:color w:val="000000" w:themeColor="text1"/>
                <w:sz w:val="24"/>
                <w:szCs w:val="24"/>
                <w:highlight w:val="none"/>
                <w:lang w:bidi="ar-SA"/>
                <w14:textFill>
                  <w14:solidFill>
                    <w14:schemeClr w14:val="tx1"/>
                  </w14:solidFill>
                </w14:textFill>
              </w:rPr>
              <w:t>要求。</w:t>
            </w:r>
          </w:p>
          <w:p w14:paraId="61C5DC62">
            <w:pPr>
              <w:keepNext w:val="0"/>
              <w:keepLines w:val="0"/>
              <w:pageBreakBefore w:val="0"/>
              <w:widowControl w:val="0"/>
              <w:suppressLineNumbers w:val="0"/>
              <w:kinsoku/>
              <w:wordWrap/>
              <w:overflowPunct/>
              <w:topLinePunct w:val="0"/>
              <w:autoSpaceDE w:val="0"/>
              <w:autoSpaceDN w:val="0"/>
              <w:bidi w:val="0"/>
              <w:adjustRightInd/>
              <w:snapToGrid/>
              <w:spacing w:before="157" w:beforeLines="50" w:beforeAutospacing="0" w:after="0" w:afterAutospacing="0" w:line="360" w:lineRule="auto"/>
              <w:ind w:left="0" w:right="0"/>
              <w:textAlignment w:val="auto"/>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（3）创新制剂车间固体制剂单元</w:t>
            </w:r>
          </w:p>
          <w:p w14:paraId="7326ADC2">
            <w:pPr>
              <w:keepNext w:val="0"/>
              <w:keepLines w:val="0"/>
              <w:pageBreakBefore w:val="0"/>
              <w:widowControl w:val="0"/>
              <w:numPr>
                <w:ilvl w:val="0"/>
                <w:numId w:val="26"/>
              </w:numPr>
              <w:suppressLineNumbers w:val="0"/>
              <w:kinsoku/>
              <w:wordWrap/>
              <w:overflowPunct/>
              <w:topLinePunct w:val="0"/>
              <w:autoSpaceDE/>
              <w:autoSpaceDN/>
              <w:bidi w:val="0"/>
              <w:adjustRightInd/>
              <w:snapToGrid w:val="0"/>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创新制剂车间固体制剂</w:t>
            </w:r>
            <w:r>
              <w:rPr>
                <w:rFonts w:hint="eastAsia" w:cs="Times New Roman"/>
                <w:b/>
                <w:bCs/>
                <w:color w:val="000000" w:themeColor="text1"/>
                <w:sz w:val="21"/>
                <w:szCs w:val="21"/>
                <w:highlight w:val="none"/>
                <w:lang w:val="en-US" w:eastAsia="zh-CN"/>
                <w14:textFill>
                  <w14:solidFill>
                    <w14:schemeClr w14:val="tx1"/>
                  </w14:solidFill>
                </w14:textFill>
              </w:rPr>
              <w:t>单元</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大气污染物有组织排放量分析表</w:t>
            </w:r>
          </w:p>
          <w:tbl>
            <w:tblPr>
              <w:tblStyle w:val="35"/>
              <w:tblW w:w="4998"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139"/>
              <w:gridCol w:w="1516"/>
              <w:gridCol w:w="1247"/>
              <w:gridCol w:w="1154"/>
              <w:gridCol w:w="1154"/>
              <w:gridCol w:w="1154"/>
            </w:tblGrid>
            <w:tr w14:paraId="46C32E4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78" w:type="pct"/>
                  <w:tcBorders>
                    <w:tl2br w:val="nil"/>
                    <w:tr2bl w:val="nil"/>
                  </w:tcBorders>
                  <w:noWrap w:val="0"/>
                  <w:vAlign w:val="center"/>
                </w:tcPr>
                <w:p w14:paraId="3F2CD6B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排放口编号</w:t>
                  </w:r>
                </w:p>
              </w:tc>
              <w:tc>
                <w:tcPr>
                  <w:tcW w:w="906" w:type="pct"/>
                  <w:tcBorders>
                    <w:tl2br w:val="nil"/>
                    <w:tr2bl w:val="nil"/>
                  </w:tcBorders>
                  <w:noWrap w:val="0"/>
                  <w:vAlign w:val="center"/>
                </w:tcPr>
                <w:p w14:paraId="0440C94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排放口类型</w:t>
                  </w:r>
                </w:p>
              </w:tc>
              <w:tc>
                <w:tcPr>
                  <w:tcW w:w="745" w:type="pct"/>
                  <w:tcBorders>
                    <w:tl2br w:val="nil"/>
                    <w:tr2bl w:val="nil"/>
                  </w:tcBorders>
                  <w:noWrap w:val="0"/>
                  <w:vAlign w:val="center"/>
                </w:tcPr>
                <w:p w14:paraId="20BB907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污染物</w:t>
                  </w:r>
                </w:p>
              </w:tc>
              <w:tc>
                <w:tcPr>
                  <w:tcW w:w="689" w:type="pct"/>
                  <w:tcBorders>
                    <w:tl2br w:val="nil"/>
                    <w:tr2bl w:val="nil"/>
                  </w:tcBorders>
                  <w:noWrap w:val="0"/>
                  <w:vAlign w:val="center"/>
                </w:tcPr>
                <w:p w14:paraId="78DB2BD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排放浓度</w:t>
                  </w:r>
                </w:p>
                <w:p w14:paraId="076454F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（mg/m</w:t>
                  </w:r>
                  <w:r>
                    <w:rPr>
                      <w:rFonts w:hint="default" w:ascii="Times New Roman" w:hAnsi="Times New Roman" w:eastAsia="宋体" w:cs="Times New Roman"/>
                      <w:b/>
                      <w:bCs/>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w:t>
                  </w:r>
                </w:p>
              </w:tc>
              <w:tc>
                <w:tcPr>
                  <w:tcW w:w="689" w:type="pct"/>
                  <w:tcBorders>
                    <w:tl2br w:val="nil"/>
                    <w:tr2bl w:val="nil"/>
                  </w:tcBorders>
                  <w:noWrap w:val="0"/>
                  <w:vAlign w:val="center"/>
                </w:tcPr>
                <w:p w14:paraId="0FC07BF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排放速率（kg/h）</w:t>
                  </w:r>
                </w:p>
              </w:tc>
              <w:tc>
                <w:tcPr>
                  <w:tcW w:w="689" w:type="pct"/>
                  <w:tcBorders>
                    <w:tl2br w:val="nil"/>
                    <w:tr2bl w:val="nil"/>
                  </w:tcBorders>
                  <w:noWrap w:val="0"/>
                  <w:vAlign w:val="center"/>
                </w:tcPr>
                <w:p w14:paraId="400ABE9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年排放量（t/a）</w:t>
                  </w:r>
                </w:p>
              </w:tc>
            </w:tr>
            <w:tr w14:paraId="7B62C4C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1278" w:type="pct"/>
                  <w:tcBorders>
                    <w:tl2br w:val="nil"/>
                    <w:tr2bl w:val="nil"/>
                  </w:tcBorders>
                  <w:noWrap w:val="0"/>
                  <w:vAlign w:val="center"/>
                </w:tcPr>
                <w:p w14:paraId="47F022D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创新制剂</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废气排放口</w:t>
                  </w:r>
                  <w:r>
                    <w:rPr>
                      <w:rFonts w:hint="default" w:ascii="Times New Roman" w:hAnsi="Times New Roman" w:eastAsia="宋体" w:cs="Times New Roman"/>
                      <w:color w:val="000000" w:themeColor="text1"/>
                      <w:sz w:val="21"/>
                      <w:szCs w:val="21"/>
                      <w:highlight w:val="none"/>
                      <w14:textFill>
                        <w14:solidFill>
                          <w14:schemeClr w14:val="tx1"/>
                        </w14:solidFill>
                      </w14:textFill>
                    </w:rPr>
                    <w:t>（DA00</w:t>
                  </w:r>
                  <w:r>
                    <w:rPr>
                      <w:rFonts w:hint="eastAsia"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906" w:type="pct"/>
                  <w:tcBorders>
                    <w:tl2br w:val="nil"/>
                    <w:tr2bl w:val="nil"/>
                  </w:tcBorders>
                  <w:noWrap w:val="0"/>
                  <w:vAlign w:val="center"/>
                </w:tcPr>
                <w:p w14:paraId="7214300A">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一般</w:t>
                  </w:r>
                  <w:r>
                    <w:rPr>
                      <w:rFonts w:hint="default" w:ascii="Times New Roman" w:hAnsi="Times New Roman" w:eastAsia="宋体" w:cs="Times New Roman"/>
                      <w:color w:val="000000" w:themeColor="text1"/>
                      <w:sz w:val="21"/>
                      <w:szCs w:val="21"/>
                      <w:highlight w:val="none"/>
                      <w14:textFill>
                        <w14:solidFill>
                          <w14:schemeClr w14:val="tx1"/>
                        </w14:solidFill>
                      </w14:textFill>
                    </w:rPr>
                    <w:t>排放口</w:t>
                  </w:r>
                </w:p>
              </w:tc>
              <w:tc>
                <w:tcPr>
                  <w:tcW w:w="745" w:type="pct"/>
                  <w:vMerge w:val="restart"/>
                  <w:tcBorders>
                    <w:tl2br w:val="nil"/>
                    <w:tr2bl w:val="nil"/>
                  </w:tcBorders>
                  <w:noWrap w:val="0"/>
                  <w:vAlign w:val="center"/>
                </w:tcPr>
                <w:p w14:paraId="3DD41219">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颗粒物</w:t>
                  </w:r>
                </w:p>
              </w:tc>
              <w:tc>
                <w:tcPr>
                  <w:tcW w:w="1134" w:type="dxa"/>
                  <w:tcBorders>
                    <w:tl2br w:val="nil"/>
                    <w:tr2bl w:val="nil"/>
                  </w:tcBorders>
                  <w:noWrap w:val="0"/>
                  <w:vAlign w:val="center"/>
                </w:tcPr>
                <w:p w14:paraId="68F0F6CB">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bidi="ar"/>
                      <w14:textFill>
                        <w14:solidFill>
                          <w14:schemeClr w14:val="tx1"/>
                        </w14:solidFill>
                      </w14:textFill>
                    </w:rPr>
                    <w:t>0.89</w:t>
                  </w:r>
                </w:p>
              </w:tc>
              <w:tc>
                <w:tcPr>
                  <w:tcW w:w="1134" w:type="dxa"/>
                  <w:tcBorders>
                    <w:tl2br w:val="nil"/>
                    <w:tr2bl w:val="nil"/>
                  </w:tcBorders>
                  <w:noWrap w:val="0"/>
                  <w:vAlign w:val="center"/>
                </w:tcPr>
                <w:p w14:paraId="1E18CC63">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0.0001</w:t>
                  </w:r>
                </w:p>
              </w:tc>
              <w:tc>
                <w:tcPr>
                  <w:tcW w:w="1134" w:type="dxa"/>
                  <w:tcBorders>
                    <w:tl2br w:val="nil"/>
                    <w:tr2bl w:val="nil"/>
                  </w:tcBorders>
                  <w:noWrap w:val="0"/>
                  <w:vAlign w:val="center"/>
                </w:tcPr>
                <w:p w14:paraId="79390AFE">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0.0003</w:t>
                  </w:r>
                </w:p>
              </w:tc>
            </w:tr>
            <w:tr w14:paraId="3DF1615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184" w:type="pct"/>
                  <w:gridSpan w:val="2"/>
                  <w:tcBorders>
                    <w:tl2br w:val="nil"/>
                    <w:tr2bl w:val="nil"/>
                  </w:tcBorders>
                  <w:noWrap w:val="0"/>
                  <w:vAlign w:val="center"/>
                </w:tcPr>
                <w:p w14:paraId="4CDE7343">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标准</w:t>
                  </w:r>
                </w:p>
              </w:tc>
              <w:tc>
                <w:tcPr>
                  <w:tcW w:w="745" w:type="pct"/>
                  <w:vMerge w:val="continue"/>
                  <w:tcBorders>
                    <w:tl2br w:val="nil"/>
                    <w:tr2bl w:val="nil"/>
                  </w:tcBorders>
                  <w:noWrap w:val="0"/>
                  <w:vAlign w:val="center"/>
                </w:tcPr>
                <w:p w14:paraId="210D707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689" w:type="pct"/>
                  <w:tcBorders>
                    <w:tl2br w:val="nil"/>
                    <w:tr2bl w:val="nil"/>
                  </w:tcBorders>
                  <w:noWrap w:val="0"/>
                  <w:vAlign w:val="center"/>
                </w:tcPr>
                <w:p w14:paraId="28CF3C5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kern w:val="2"/>
                      <w:sz w:val="21"/>
                      <w:szCs w:val="21"/>
                      <w:highlight w:val="none"/>
                      <w:lang w:val="en-US" w:eastAsia="zh-CN" w:bidi="ar"/>
                      <w14:textFill>
                        <w14:solidFill>
                          <w14:schemeClr w14:val="tx1"/>
                        </w14:solidFill>
                      </w14:textFill>
                    </w:rPr>
                  </w:pPr>
                  <w:r>
                    <w:rPr>
                      <w:rFonts w:hint="eastAsia" w:cs="Times New Roman"/>
                      <w:color w:val="000000" w:themeColor="text1"/>
                      <w:kern w:val="2"/>
                      <w:sz w:val="21"/>
                      <w:szCs w:val="21"/>
                      <w:highlight w:val="none"/>
                      <w:lang w:val="en-US" w:eastAsia="zh-CN" w:bidi="ar"/>
                      <w14:textFill>
                        <w14:solidFill>
                          <w14:schemeClr w14:val="tx1"/>
                        </w14:solidFill>
                      </w14:textFill>
                    </w:rPr>
                    <w:t>30</w:t>
                  </w:r>
                </w:p>
              </w:tc>
              <w:tc>
                <w:tcPr>
                  <w:tcW w:w="689" w:type="pct"/>
                  <w:tcBorders>
                    <w:tl2br w:val="nil"/>
                    <w:tr2bl w:val="nil"/>
                  </w:tcBorders>
                  <w:noWrap w:val="0"/>
                  <w:vAlign w:val="center"/>
                </w:tcPr>
                <w:p w14:paraId="57BF9B8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kern w:val="2"/>
                      <w:sz w:val="21"/>
                      <w:szCs w:val="21"/>
                      <w:highlight w:val="none"/>
                      <w:lang w:val="en-US" w:eastAsia="zh-CN" w:bidi="ar"/>
                      <w14:textFill>
                        <w14:solidFill>
                          <w14:schemeClr w14:val="tx1"/>
                        </w14:solidFill>
                      </w14:textFill>
                    </w:rPr>
                  </w:pPr>
                  <w:r>
                    <w:rPr>
                      <w:rFonts w:hint="eastAsia" w:cs="Times New Roman"/>
                      <w:color w:val="000000" w:themeColor="text1"/>
                      <w:kern w:val="2"/>
                      <w:sz w:val="21"/>
                      <w:szCs w:val="21"/>
                      <w:highlight w:val="none"/>
                      <w:lang w:val="en-US" w:eastAsia="zh-CN" w:bidi="ar"/>
                      <w14:textFill>
                        <w14:solidFill>
                          <w14:schemeClr w14:val="tx1"/>
                        </w14:solidFill>
                      </w14:textFill>
                    </w:rPr>
                    <w:t>/</w:t>
                  </w:r>
                </w:p>
              </w:tc>
              <w:tc>
                <w:tcPr>
                  <w:tcW w:w="689" w:type="pct"/>
                  <w:tcBorders>
                    <w:tl2br w:val="nil"/>
                    <w:tr2bl w:val="nil"/>
                  </w:tcBorders>
                  <w:noWrap w:val="0"/>
                  <w:vAlign w:val="center"/>
                </w:tcPr>
                <w:p w14:paraId="1A1A11B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bidi="ar"/>
                      <w14:textFill>
                        <w14:solidFill>
                          <w14:schemeClr w14:val="tx1"/>
                        </w14:solidFill>
                      </w14:textFill>
                    </w:rPr>
                    <w:t>/</w:t>
                  </w:r>
                </w:p>
              </w:tc>
            </w:tr>
            <w:tr w14:paraId="174AB0C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2184" w:type="pct"/>
                  <w:gridSpan w:val="2"/>
                  <w:tcBorders>
                    <w:tl2br w:val="nil"/>
                    <w:tr2bl w:val="nil"/>
                  </w:tcBorders>
                  <w:noWrap w:val="0"/>
                  <w:vAlign w:val="center"/>
                </w:tcPr>
                <w:p w14:paraId="3D813BD7">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达标分析</w:t>
                  </w:r>
                </w:p>
              </w:tc>
              <w:tc>
                <w:tcPr>
                  <w:tcW w:w="745" w:type="pct"/>
                  <w:vMerge w:val="continue"/>
                  <w:tcBorders>
                    <w:tl2br w:val="nil"/>
                    <w:tr2bl w:val="nil"/>
                  </w:tcBorders>
                  <w:noWrap w:val="0"/>
                  <w:vAlign w:val="center"/>
                </w:tcPr>
                <w:p w14:paraId="4C40F1A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689" w:type="pct"/>
                  <w:tcBorders>
                    <w:tl2br w:val="nil"/>
                    <w:tr2bl w:val="nil"/>
                  </w:tcBorders>
                  <w:noWrap w:val="0"/>
                  <w:vAlign w:val="center"/>
                </w:tcPr>
                <w:p w14:paraId="5A551029">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达标</w:t>
                  </w:r>
                </w:p>
              </w:tc>
              <w:tc>
                <w:tcPr>
                  <w:tcW w:w="689" w:type="pct"/>
                  <w:tcBorders>
                    <w:tl2br w:val="nil"/>
                    <w:tr2bl w:val="nil"/>
                  </w:tcBorders>
                  <w:noWrap w:val="0"/>
                  <w:vAlign w:val="center"/>
                </w:tcPr>
                <w:p w14:paraId="132DD48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689" w:type="pct"/>
                  <w:tcBorders>
                    <w:tl2br w:val="nil"/>
                    <w:tr2bl w:val="nil"/>
                  </w:tcBorders>
                  <w:noWrap w:val="0"/>
                  <w:vAlign w:val="center"/>
                </w:tcPr>
                <w:p w14:paraId="59E5338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p>
              </w:tc>
            </w:tr>
          </w:tbl>
          <w:p w14:paraId="25867735">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000000" w:themeColor="text1"/>
                <w:sz w:val="24"/>
                <w:szCs w:val="24"/>
                <w:highlight w:val="none"/>
                <w:lang w:bidi="ar-SA"/>
                <w14:textFill>
                  <w14:solidFill>
                    <w14:schemeClr w14:val="tx1"/>
                  </w14:solidFill>
                </w14:textFill>
              </w:rPr>
            </w:pPr>
            <w:r>
              <w:rPr>
                <w:rFonts w:hint="eastAsia" w:ascii="Times New Roman" w:hAnsi="Times New Roman" w:cs="Times New Roman"/>
                <w:color w:val="000000" w:themeColor="text1"/>
                <w:sz w:val="24"/>
                <w:szCs w:val="24"/>
                <w:highlight w:val="none"/>
                <w:lang w:bidi="ar-SA"/>
                <w14:textFill>
                  <w14:solidFill>
                    <w14:schemeClr w14:val="tx1"/>
                  </w14:solidFill>
                </w14:textFill>
              </w:rPr>
              <w:t>根据上表可知</w:t>
            </w:r>
            <w:r>
              <w:rPr>
                <w:rFonts w:hint="eastAsia" w:cs="Times New Roman"/>
                <w:color w:val="000000" w:themeColor="text1"/>
                <w:sz w:val="24"/>
                <w:szCs w:val="24"/>
                <w:highlight w:val="none"/>
                <w:lang w:eastAsia="zh-CN" w:bidi="ar-SA"/>
                <w14:textFill>
                  <w14:solidFill>
                    <w14:schemeClr w14:val="tx1"/>
                  </w14:solidFill>
                </w14:textFill>
              </w:rPr>
              <w:t>，</w:t>
            </w:r>
            <w:r>
              <w:rPr>
                <w:rFonts w:hint="eastAsia" w:ascii="Times New Roman" w:hAnsi="Times New Roman" w:cs="Times New Roman"/>
                <w:color w:val="000000" w:themeColor="text1"/>
                <w:sz w:val="24"/>
                <w:szCs w:val="24"/>
                <w:highlight w:val="none"/>
                <w:lang w:bidi="ar-SA"/>
                <w14:textFill>
                  <w14:solidFill>
                    <w14:schemeClr w14:val="tx1"/>
                  </w14:solidFill>
                </w14:textFill>
              </w:rPr>
              <w:t>项目创新制剂车间固体制剂</w:t>
            </w:r>
            <w:r>
              <w:rPr>
                <w:rFonts w:hint="eastAsia" w:cs="Times New Roman"/>
                <w:color w:val="000000" w:themeColor="text1"/>
                <w:sz w:val="24"/>
                <w:szCs w:val="24"/>
                <w:highlight w:val="none"/>
                <w:lang w:eastAsia="zh-CN" w:bidi="ar-SA"/>
                <w14:textFill>
                  <w14:solidFill>
                    <w14:schemeClr w14:val="tx1"/>
                  </w14:solidFill>
                </w14:textFill>
              </w:rPr>
              <w:t>单元</w:t>
            </w:r>
            <w:r>
              <w:rPr>
                <w:rFonts w:hint="eastAsia" w:ascii="Times New Roman" w:hAnsi="Times New Roman" w:cs="Times New Roman"/>
                <w:color w:val="000000" w:themeColor="text1"/>
                <w:sz w:val="24"/>
                <w:szCs w:val="24"/>
                <w:highlight w:val="none"/>
                <w:lang w:bidi="ar-SA"/>
                <w14:textFill>
                  <w14:solidFill>
                    <w14:schemeClr w14:val="tx1"/>
                  </w14:solidFill>
                </w14:textFill>
              </w:rPr>
              <w:t>排放的有组织</w:t>
            </w:r>
            <w:r>
              <w:rPr>
                <w:rFonts w:hint="eastAsia" w:cs="Times New Roman"/>
                <w:color w:val="000000" w:themeColor="text1"/>
                <w:sz w:val="24"/>
                <w:szCs w:val="24"/>
                <w:highlight w:val="none"/>
                <w:lang w:val="en-US" w:eastAsia="zh-CN" w:bidi="ar-SA"/>
                <w14:textFill>
                  <w14:solidFill>
                    <w14:schemeClr w14:val="tx1"/>
                  </w14:solidFill>
                </w14:textFill>
              </w:rPr>
              <w:t>颗粒物</w:t>
            </w:r>
            <w:r>
              <w:rPr>
                <w:rFonts w:hint="eastAsia" w:ascii="Times New Roman" w:hAnsi="Times New Roman" w:cs="Times New Roman"/>
                <w:color w:val="000000" w:themeColor="text1"/>
                <w:sz w:val="24"/>
                <w:szCs w:val="24"/>
                <w:highlight w:val="none"/>
                <w:lang w:bidi="ar-SA"/>
                <w14:textFill>
                  <w14:solidFill>
                    <w14:schemeClr w14:val="tx1"/>
                  </w14:solidFill>
                </w14:textFill>
              </w:rPr>
              <w:t>满足</w:t>
            </w:r>
            <w:r>
              <w:rPr>
                <w:rFonts w:hint="eastAsia" w:cs="Times New Roman"/>
                <w:color w:val="000000" w:themeColor="text1"/>
                <w:sz w:val="24"/>
                <w:szCs w:val="24"/>
                <w:highlight w:val="none"/>
                <w:lang w:val="en-US" w:eastAsia="zh-CN"/>
                <w14:textFill>
                  <w14:solidFill>
                    <w14:schemeClr w14:val="tx1"/>
                  </w14:solidFill>
                </w14:textFill>
              </w:rPr>
              <w:t>《制药工业大气污染物排放标准》（GB37823-2019）表1大气污染物排放限值</w:t>
            </w:r>
            <w:r>
              <w:rPr>
                <w:rFonts w:hint="eastAsia" w:ascii="Times New Roman" w:hAnsi="Times New Roman" w:cs="Times New Roman"/>
                <w:color w:val="000000" w:themeColor="text1"/>
                <w:sz w:val="24"/>
                <w:szCs w:val="24"/>
                <w:highlight w:val="none"/>
                <w:lang w:bidi="ar-SA"/>
                <w14:textFill>
                  <w14:solidFill>
                    <w14:schemeClr w14:val="tx1"/>
                  </w14:solidFill>
                </w14:textFill>
              </w:rPr>
              <w:t>要求。</w:t>
            </w:r>
          </w:p>
          <w:p w14:paraId="3E235DF7">
            <w:pPr>
              <w:keepNext w:val="0"/>
              <w:keepLines w:val="0"/>
              <w:pageBreakBefore w:val="0"/>
              <w:widowControl w:val="0"/>
              <w:suppressLineNumbers w:val="0"/>
              <w:kinsoku/>
              <w:wordWrap/>
              <w:overflowPunct/>
              <w:topLinePunct w:val="0"/>
              <w:autoSpaceDE w:val="0"/>
              <w:autoSpaceDN w:val="0"/>
              <w:bidi w:val="0"/>
              <w:adjustRightInd/>
              <w:snapToGrid/>
              <w:spacing w:before="157" w:beforeLines="50" w:beforeAutospacing="0" w:after="0" w:afterAutospacing="0" w:line="360" w:lineRule="auto"/>
              <w:ind w:left="0" w:right="0"/>
              <w:textAlignment w:val="auto"/>
              <w:rPr>
                <w:rFonts w:hint="eastAsia"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（4）综合制剂车间</w:t>
            </w:r>
          </w:p>
          <w:p w14:paraId="512ADD6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t>根据2025年6月10日~11日的例行检测报告（报告编号：LNKR-2025(W)-06-644）可知现有项目制剂废气排放口最大排放浓度。</w:t>
            </w:r>
          </w:p>
          <w:p w14:paraId="55F1A779">
            <w:pPr>
              <w:keepNext w:val="0"/>
              <w:keepLines w:val="0"/>
              <w:pageBreakBefore w:val="0"/>
              <w:widowControl w:val="0"/>
              <w:numPr>
                <w:ilvl w:val="0"/>
                <w:numId w:val="26"/>
              </w:numPr>
              <w:suppressLineNumbers w:val="0"/>
              <w:kinsoku/>
              <w:wordWrap/>
              <w:overflowPunct/>
              <w:topLinePunct w:val="0"/>
              <w:autoSpaceDE/>
              <w:autoSpaceDN/>
              <w:bidi w:val="0"/>
              <w:adjustRightInd/>
              <w:snapToGrid w:val="0"/>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综合制剂车间大气污染物有组织排放量分析表</w:t>
            </w:r>
          </w:p>
          <w:tbl>
            <w:tblPr>
              <w:tblStyle w:val="35"/>
              <w:tblW w:w="4997"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79"/>
              <w:gridCol w:w="1235"/>
              <w:gridCol w:w="999"/>
              <w:gridCol w:w="1205"/>
              <w:gridCol w:w="1205"/>
              <w:gridCol w:w="1022"/>
              <w:gridCol w:w="917"/>
            </w:tblGrid>
            <w:tr w14:paraId="0AB1BF7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64" w:type="pct"/>
                  <w:tcBorders>
                    <w:tl2br w:val="nil"/>
                    <w:tr2bl w:val="nil"/>
                  </w:tcBorders>
                  <w:noWrap w:val="0"/>
                  <w:vAlign w:val="center"/>
                </w:tcPr>
                <w:p w14:paraId="1C2021B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排放口编号</w:t>
                  </w:r>
                </w:p>
              </w:tc>
              <w:tc>
                <w:tcPr>
                  <w:tcW w:w="738" w:type="pct"/>
                  <w:tcBorders>
                    <w:tl2br w:val="nil"/>
                    <w:tr2bl w:val="nil"/>
                  </w:tcBorders>
                  <w:noWrap w:val="0"/>
                  <w:vAlign w:val="center"/>
                </w:tcPr>
                <w:p w14:paraId="4615D02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排放口类型</w:t>
                  </w:r>
                </w:p>
              </w:tc>
              <w:tc>
                <w:tcPr>
                  <w:tcW w:w="597" w:type="pct"/>
                  <w:tcBorders>
                    <w:tl2br w:val="nil"/>
                    <w:tr2bl w:val="nil"/>
                  </w:tcBorders>
                  <w:noWrap w:val="0"/>
                  <w:vAlign w:val="center"/>
                </w:tcPr>
                <w:p w14:paraId="3200B47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污染物</w:t>
                  </w:r>
                </w:p>
              </w:tc>
              <w:tc>
                <w:tcPr>
                  <w:tcW w:w="720" w:type="pct"/>
                  <w:tcBorders>
                    <w:tl2br w:val="nil"/>
                    <w:tr2bl w:val="nil"/>
                  </w:tcBorders>
                  <w:noWrap w:val="0"/>
                  <w:vAlign w:val="center"/>
                </w:tcPr>
                <w:p w14:paraId="478F127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现有项目最大排放浓度</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（mg/m</w:t>
                  </w:r>
                  <w:r>
                    <w:rPr>
                      <w:rFonts w:hint="default" w:ascii="Times New Roman" w:hAnsi="Times New Roman" w:eastAsia="宋体" w:cs="Times New Roman"/>
                      <w:b/>
                      <w:bCs/>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w:t>
                  </w:r>
                </w:p>
              </w:tc>
              <w:tc>
                <w:tcPr>
                  <w:tcW w:w="720" w:type="pct"/>
                  <w:tcBorders>
                    <w:tl2br w:val="nil"/>
                    <w:tr2bl w:val="nil"/>
                  </w:tcBorders>
                  <w:noWrap w:val="0"/>
                  <w:vAlign w:val="center"/>
                </w:tcPr>
                <w:p w14:paraId="250DFD7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本项目增加</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排放浓度</w:t>
                  </w:r>
                </w:p>
                <w:p w14:paraId="69DF799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（mg/m</w:t>
                  </w:r>
                  <w:r>
                    <w:rPr>
                      <w:rFonts w:hint="default" w:ascii="Times New Roman" w:hAnsi="Times New Roman" w:eastAsia="宋体" w:cs="Times New Roman"/>
                      <w:b/>
                      <w:bCs/>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w:t>
                  </w:r>
                </w:p>
              </w:tc>
              <w:tc>
                <w:tcPr>
                  <w:tcW w:w="611" w:type="pct"/>
                  <w:tcBorders>
                    <w:tl2br w:val="nil"/>
                    <w:tr2bl w:val="nil"/>
                  </w:tcBorders>
                  <w:noWrap w:val="0"/>
                  <w:vAlign w:val="center"/>
                </w:tcPr>
                <w:p w14:paraId="6323161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本项目增加</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排放速率（kg/h）</w:t>
                  </w:r>
                </w:p>
              </w:tc>
              <w:tc>
                <w:tcPr>
                  <w:tcW w:w="548" w:type="pct"/>
                  <w:tcBorders>
                    <w:tl2br w:val="nil"/>
                    <w:tr2bl w:val="nil"/>
                  </w:tcBorders>
                  <w:noWrap w:val="0"/>
                  <w:vAlign w:val="center"/>
                </w:tcPr>
                <w:p w14:paraId="6C9354F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本项目增加</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年排放量（t/a）</w:t>
                  </w:r>
                </w:p>
              </w:tc>
            </w:tr>
            <w:tr w14:paraId="7F062D6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1064" w:type="pct"/>
                  <w:tcBorders>
                    <w:tl2br w:val="nil"/>
                    <w:tr2bl w:val="nil"/>
                  </w:tcBorders>
                  <w:noWrap w:val="0"/>
                  <w:vAlign w:val="center"/>
                </w:tcPr>
                <w:p w14:paraId="37697D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highlight w:val="none"/>
                      <w14:textFill>
                        <w14:solidFill>
                          <w14:schemeClr w14:val="tx1"/>
                        </w14:solidFill>
                      </w14:textFill>
                    </w:rPr>
                    <w:t>（DA00</w:t>
                  </w:r>
                  <w:r>
                    <w:rPr>
                      <w:rFonts w:hint="eastAsia" w:cs="Times New Roman"/>
                      <w:color w:val="000000" w:themeColor="text1"/>
                      <w:sz w:val="21"/>
                      <w:szCs w:val="21"/>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738" w:type="pct"/>
                  <w:tcBorders>
                    <w:tl2br w:val="nil"/>
                    <w:tr2bl w:val="nil"/>
                  </w:tcBorders>
                  <w:noWrap w:val="0"/>
                  <w:vAlign w:val="center"/>
                </w:tcPr>
                <w:p w14:paraId="40299B0E">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一般</w:t>
                  </w:r>
                  <w:r>
                    <w:rPr>
                      <w:rFonts w:hint="default" w:ascii="Times New Roman" w:hAnsi="Times New Roman" w:eastAsia="宋体" w:cs="Times New Roman"/>
                      <w:color w:val="000000" w:themeColor="text1"/>
                      <w:sz w:val="21"/>
                      <w:szCs w:val="21"/>
                      <w:highlight w:val="none"/>
                      <w14:textFill>
                        <w14:solidFill>
                          <w14:schemeClr w14:val="tx1"/>
                        </w14:solidFill>
                      </w14:textFill>
                    </w:rPr>
                    <w:t>排放口</w:t>
                  </w:r>
                </w:p>
              </w:tc>
              <w:tc>
                <w:tcPr>
                  <w:tcW w:w="597" w:type="pct"/>
                  <w:vMerge w:val="restart"/>
                  <w:tcBorders>
                    <w:tl2br w:val="nil"/>
                    <w:tr2bl w:val="nil"/>
                  </w:tcBorders>
                  <w:noWrap w:val="0"/>
                  <w:vAlign w:val="center"/>
                </w:tcPr>
                <w:p w14:paraId="747FA54F">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颗粒物</w:t>
                  </w:r>
                </w:p>
              </w:tc>
              <w:tc>
                <w:tcPr>
                  <w:tcW w:w="720" w:type="pct"/>
                  <w:tcBorders>
                    <w:tl2br w:val="nil"/>
                    <w:tr2bl w:val="nil"/>
                  </w:tcBorders>
                  <w:noWrap w:val="0"/>
                  <w:vAlign w:val="center"/>
                </w:tcPr>
                <w:p w14:paraId="35448BE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3.8</w:t>
                  </w:r>
                </w:p>
              </w:tc>
              <w:tc>
                <w:tcPr>
                  <w:tcW w:w="720" w:type="pct"/>
                  <w:vMerge w:val="restart"/>
                  <w:tcBorders>
                    <w:tl2br w:val="nil"/>
                    <w:tr2bl w:val="nil"/>
                  </w:tcBorders>
                  <w:noWrap w:val="0"/>
                  <w:vAlign w:val="center"/>
                </w:tcPr>
                <w:p w14:paraId="1BCB22B2">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kern w:val="2"/>
                      <w:sz w:val="21"/>
                      <w:szCs w:val="21"/>
                      <w:highlight w:val="none"/>
                      <w:lang w:val="en-US" w:eastAsia="zh-CN" w:bidi="ar"/>
                      <w14:textFill>
                        <w14:solidFill>
                          <w14:schemeClr w14:val="tx1"/>
                        </w14:solidFill>
                      </w14:textFill>
                    </w:rPr>
                    <w:t>0.50</w:t>
                  </w:r>
                </w:p>
              </w:tc>
              <w:tc>
                <w:tcPr>
                  <w:tcW w:w="611" w:type="pct"/>
                  <w:vMerge w:val="restart"/>
                  <w:tcBorders>
                    <w:tl2br w:val="nil"/>
                    <w:tr2bl w:val="nil"/>
                  </w:tcBorders>
                  <w:noWrap w:val="0"/>
                  <w:vAlign w:val="center"/>
                </w:tcPr>
                <w:p w14:paraId="1911E0CE">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olor w:val="000000" w:themeColor="text1"/>
                      <w:sz w:val="21"/>
                      <w:szCs w:val="21"/>
                      <w:highlight w:val="none"/>
                      <w:lang w:val="en-US" w:eastAsia="zh-CN"/>
                      <w14:textFill>
                        <w14:solidFill>
                          <w14:schemeClr w14:val="tx1"/>
                        </w14:solidFill>
                      </w14:textFill>
                    </w:rPr>
                    <w:t>0.0011</w:t>
                  </w:r>
                </w:p>
              </w:tc>
              <w:tc>
                <w:tcPr>
                  <w:tcW w:w="548" w:type="pct"/>
                  <w:vMerge w:val="restart"/>
                  <w:tcBorders>
                    <w:tl2br w:val="nil"/>
                    <w:tr2bl w:val="nil"/>
                  </w:tcBorders>
                  <w:noWrap w:val="0"/>
                  <w:vAlign w:val="center"/>
                </w:tcPr>
                <w:p w14:paraId="1A4071C1">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0.005</w:t>
                  </w:r>
                </w:p>
              </w:tc>
            </w:tr>
            <w:tr w14:paraId="3530EDF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1064" w:type="pct"/>
                  <w:tcBorders>
                    <w:tl2br w:val="nil"/>
                    <w:tr2bl w:val="nil"/>
                  </w:tcBorders>
                  <w:noWrap w:val="0"/>
                  <w:vAlign w:val="center"/>
                </w:tcPr>
                <w:p w14:paraId="25A25D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（DA00</w:t>
                  </w:r>
                  <w:r>
                    <w:rPr>
                      <w:rFonts w:hint="eastAsia" w:cs="Times New Roman"/>
                      <w:color w:val="000000" w:themeColor="text1"/>
                      <w:sz w:val="21"/>
                      <w:szCs w:val="21"/>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738" w:type="pct"/>
                  <w:tcBorders>
                    <w:tl2br w:val="nil"/>
                    <w:tr2bl w:val="nil"/>
                  </w:tcBorders>
                  <w:noWrap w:val="0"/>
                  <w:vAlign w:val="center"/>
                </w:tcPr>
                <w:p w14:paraId="643C73E2">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一般</w:t>
                  </w:r>
                  <w:r>
                    <w:rPr>
                      <w:rFonts w:hint="default" w:ascii="Times New Roman" w:hAnsi="Times New Roman" w:eastAsia="宋体" w:cs="Times New Roman"/>
                      <w:color w:val="000000" w:themeColor="text1"/>
                      <w:sz w:val="21"/>
                      <w:szCs w:val="21"/>
                      <w:highlight w:val="none"/>
                      <w14:textFill>
                        <w14:solidFill>
                          <w14:schemeClr w14:val="tx1"/>
                        </w14:solidFill>
                      </w14:textFill>
                    </w:rPr>
                    <w:t>排放口</w:t>
                  </w:r>
                </w:p>
              </w:tc>
              <w:tc>
                <w:tcPr>
                  <w:tcW w:w="597" w:type="pct"/>
                  <w:vMerge w:val="continue"/>
                  <w:tcBorders>
                    <w:tl2br w:val="nil"/>
                    <w:tr2bl w:val="nil"/>
                  </w:tcBorders>
                  <w:noWrap w:val="0"/>
                  <w:vAlign w:val="center"/>
                </w:tcPr>
                <w:p w14:paraId="6276904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720" w:type="pct"/>
                  <w:tcBorders>
                    <w:tl2br w:val="nil"/>
                    <w:tr2bl w:val="nil"/>
                  </w:tcBorders>
                  <w:noWrap w:val="0"/>
                  <w:vAlign w:val="center"/>
                </w:tcPr>
                <w:p w14:paraId="2FA7A90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2.5</w:t>
                  </w:r>
                </w:p>
              </w:tc>
              <w:tc>
                <w:tcPr>
                  <w:tcW w:w="720" w:type="pct"/>
                  <w:vMerge w:val="continue"/>
                  <w:tcBorders>
                    <w:tl2br w:val="nil"/>
                    <w:tr2bl w:val="nil"/>
                  </w:tcBorders>
                  <w:noWrap w:val="0"/>
                  <w:vAlign w:val="center"/>
                </w:tcPr>
                <w:p w14:paraId="25669997">
                  <w:pPr>
                    <w:pStyle w:val="31"/>
                    <w:keepNext w:val="0"/>
                    <w:keepLines w:val="0"/>
                    <w:suppressLineNumbers w:val="0"/>
                    <w:spacing w:before="0" w:beforeAutospacing="0" w:after="0" w:afterAutospacing="0"/>
                    <w:ind w:left="0" w:leftChars="0" w:right="0" w:rightChars="0"/>
                    <w:jc w:val="center"/>
                    <w:rPr>
                      <w:rFonts w:hint="eastAsia" w:ascii="Times New Roman" w:hAnsi="Times New Roman" w:cs="Times New Roman"/>
                      <w:color w:val="000000" w:themeColor="text1"/>
                      <w:kern w:val="2"/>
                      <w:sz w:val="21"/>
                      <w:szCs w:val="21"/>
                      <w:highlight w:val="none"/>
                      <w:lang w:val="en-US" w:eastAsia="zh-CN" w:bidi="ar"/>
                      <w14:textFill>
                        <w14:solidFill>
                          <w14:schemeClr w14:val="tx1"/>
                        </w14:solidFill>
                      </w14:textFill>
                    </w:rPr>
                  </w:pPr>
                </w:p>
              </w:tc>
              <w:tc>
                <w:tcPr>
                  <w:tcW w:w="611" w:type="pct"/>
                  <w:vMerge w:val="continue"/>
                  <w:tcBorders>
                    <w:tl2br w:val="nil"/>
                    <w:tr2bl w:val="nil"/>
                  </w:tcBorders>
                  <w:noWrap w:val="0"/>
                  <w:vAlign w:val="center"/>
                </w:tcPr>
                <w:p w14:paraId="517D028F">
                  <w:pPr>
                    <w:pStyle w:val="31"/>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c>
                <w:tcPr>
                  <w:tcW w:w="548" w:type="pct"/>
                  <w:vMerge w:val="continue"/>
                  <w:tcBorders>
                    <w:tl2br w:val="nil"/>
                    <w:tr2bl w:val="nil"/>
                  </w:tcBorders>
                  <w:noWrap w:val="0"/>
                  <w:vAlign w:val="center"/>
                </w:tcPr>
                <w:p w14:paraId="3B133449">
                  <w:pPr>
                    <w:pStyle w:val="31"/>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r>
            <w:tr w14:paraId="10D7B4A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1064" w:type="pct"/>
                  <w:tcBorders>
                    <w:tl2br w:val="nil"/>
                    <w:tr2bl w:val="nil"/>
                  </w:tcBorders>
                  <w:noWrap w:val="0"/>
                  <w:vAlign w:val="center"/>
                </w:tcPr>
                <w:p w14:paraId="6BB7A5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14:textFill>
                        <w14:solidFill>
                          <w14:schemeClr w14:val="tx1"/>
                        </w14:solidFill>
                      </w14:textFill>
                    </w:rPr>
                    <w:t>（DA00</w:t>
                  </w:r>
                  <w:r>
                    <w:rPr>
                      <w:rFonts w:hint="eastAsia" w:cs="Times New Roman"/>
                      <w:color w:val="000000" w:themeColor="text1"/>
                      <w:sz w:val="21"/>
                      <w:szCs w:val="21"/>
                      <w:highlight w:val="none"/>
                      <w:lang w:val="en-US" w:eastAsia="zh-CN"/>
                      <w14:textFill>
                        <w14:solidFill>
                          <w14:schemeClr w14:val="tx1"/>
                        </w14:solidFill>
                      </w14:textFill>
                    </w:rPr>
                    <w:t>8</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738" w:type="pct"/>
                  <w:tcBorders>
                    <w:tl2br w:val="nil"/>
                    <w:tr2bl w:val="nil"/>
                  </w:tcBorders>
                  <w:noWrap w:val="0"/>
                  <w:vAlign w:val="center"/>
                </w:tcPr>
                <w:p w14:paraId="1CEDC6E4">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一般</w:t>
                  </w:r>
                  <w:r>
                    <w:rPr>
                      <w:rFonts w:hint="default" w:ascii="Times New Roman" w:hAnsi="Times New Roman" w:eastAsia="宋体" w:cs="Times New Roman"/>
                      <w:color w:val="000000" w:themeColor="text1"/>
                      <w:sz w:val="21"/>
                      <w:szCs w:val="21"/>
                      <w:highlight w:val="none"/>
                      <w14:textFill>
                        <w14:solidFill>
                          <w14:schemeClr w14:val="tx1"/>
                        </w14:solidFill>
                      </w14:textFill>
                    </w:rPr>
                    <w:t>排放口</w:t>
                  </w:r>
                </w:p>
              </w:tc>
              <w:tc>
                <w:tcPr>
                  <w:tcW w:w="597" w:type="pct"/>
                  <w:vMerge w:val="continue"/>
                  <w:tcBorders>
                    <w:tl2br w:val="nil"/>
                    <w:tr2bl w:val="nil"/>
                  </w:tcBorders>
                  <w:noWrap w:val="0"/>
                  <w:vAlign w:val="center"/>
                </w:tcPr>
                <w:p w14:paraId="2A939A7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720" w:type="pct"/>
                  <w:tcBorders>
                    <w:tl2br w:val="nil"/>
                    <w:tr2bl w:val="nil"/>
                  </w:tcBorders>
                  <w:noWrap w:val="0"/>
                  <w:vAlign w:val="center"/>
                </w:tcPr>
                <w:p w14:paraId="4A8C47E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2.3</w:t>
                  </w:r>
                </w:p>
              </w:tc>
              <w:tc>
                <w:tcPr>
                  <w:tcW w:w="720" w:type="pct"/>
                  <w:vMerge w:val="continue"/>
                  <w:tcBorders>
                    <w:tl2br w:val="nil"/>
                    <w:tr2bl w:val="nil"/>
                  </w:tcBorders>
                  <w:noWrap w:val="0"/>
                  <w:vAlign w:val="center"/>
                </w:tcPr>
                <w:p w14:paraId="2F56FEC7">
                  <w:pPr>
                    <w:pStyle w:val="31"/>
                    <w:keepNext w:val="0"/>
                    <w:keepLines w:val="0"/>
                    <w:suppressLineNumbers w:val="0"/>
                    <w:spacing w:before="0" w:beforeAutospacing="0" w:after="0" w:afterAutospacing="0"/>
                    <w:ind w:left="0" w:leftChars="0" w:right="0" w:rightChars="0"/>
                    <w:jc w:val="center"/>
                    <w:rPr>
                      <w:rFonts w:hint="eastAsia" w:ascii="Times New Roman" w:hAnsi="Times New Roman" w:cs="Times New Roman"/>
                      <w:color w:val="000000" w:themeColor="text1"/>
                      <w:kern w:val="2"/>
                      <w:sz w:val="21"/>
                      <w:szCs w:val="21"/>
                      <w:highlight w:val="none"/>
                      <w:lang w:val="en-US" w:eastAsia="zh-CN" w:bidi="ar"/>
                      <w14:textFill>
                        <w14:solidFill>
                          <w14:schemeClr w14:val="tx1"/>
                        </w14:solidFill>
                      </w14:textFill>
                    </w:rPr>
                  </w:pPr>
                </w:p>
              </w:tc>
              <w:tc>
                <w:tcPr>
                  <w:tcW w:w="611" w:type="pct"/>
                  <w:vMerge w:val="continue"/>
                  <w:tcBorders>
                    <w:tl2br w:val="nil"/>
                    <w:tr2bl w:val="nil"/>
                  </w:tcBorders>
                  <w:noWrap w:val="0"/>
                  <w:vAlign w:val="center"/>
                </w:tcPr>
                <w:p w14:paraId="62BACD9B">
                  <w:pPr>
                    <w:pStyle w:val="31"/>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c>
                <w:tcPr>
                  <w:tcW w:w="548" w:type="pct"/>
                  <w:vMerge w:val="continue"/>
                  <w:tcBorders>
                    <w:tl2br w:val="nil"/>
                    <w:tr2bl w:val="nil"/>
                  </w:tcBorders>
                  <w:noWrap w:val="0"/>
                  <w:vAlign w:val="center"/>
                </w:tcPr>
                <w:p w14:paraId="2DB0D9B0">
                  <w:pPr>
                    <w:pStyle w:val="31"/>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r>
            <w:tr w14:paraId="1B5F03E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1064" w:type="pct"/>
                  <w:tcBorders>
                    <w:tl2br w:val="nil"/>
                    <w:tr2bl w:val="nil"/>
                  </w:tcBorders>
                  <w:noWrap w:val="0"/>
                  <w:vAlign w:val="center"/>
                </w:tcPr>
                <w:p w14:paraId="542D28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1"/>
                      <w:szCs w:val="21"/>
                      <w:highlight w:val="none"/>
                      <w14:textFill>
                        <w14:solidFill>
                          <w14:schemeClr w14:val="tx1"/>
                        </w14:solidFill>
                      </w14:textFill>
                    </w:rPr>
                    <w:t>（DA00</w:t>
                  </w:r>
                  <w:r>
                    <w:rPr>
                      <w:rFonts w:hint="eastAsia" w:cs="Times New Roman"/>
                      <w:color w:val="000000" w:themeColor="text1"/>
                      <w:sz w:val="21"/>
                      <w:szCs w:val="21"/>
                      <w:highlight w:val="none"/>
                      <w:lang w:val="en-US" w:eastAsia="zh-CN"/>
                      <w14:textFill>
                        <w14:solidFill>
                          <w14:schemeClr w14:val="tx1"/>
                        </w14:solidFill>
                      </w14:textFill>
                    </w:rPr>
                    <w:t>9</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738" w:type="pct"/>
                  <w:tcBorders>
                    <w:tl2br w:val="nil"/>
                    <w:tr2bl w:val="nil"/>
                  </w:tcBorders>
                  <w:noWrap w:val="0"/>
                  <w:vAlign w:val="center"/>
                </w:tcPr>
                <w:p w14:paraId="17908A37">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一般</w:t>
                  </w:r>
                  <w:r>
                    <w:rPr>
                      <w:rFonts w:hint="default" w:ascii="Times New Roman" w:hAnsi="Times New Roman" w:eastAsia="宋体" w:cs="Times New Roman"/>
                      <w:color w:val="000000" w:themeColor="text1"/>
                      <w:sz w:val="21"/>
                      <w:szCs w:val="21"/>
                      <w:highlight w:val="none"/>
                      <w14:textFill>
                        <w14:solidFill>
                          <w14:schemeClr w14:val="tx1"/>
                        </w14:solidFill>
                      </w14:textFill>
                    </w:rPr>
                    <w:t>排放口</w:t>
                  </w:r>
                </w:p>
              </w:tc>
              <w:tc>
                <w:tcPr>
                  <w:tcW w:w="597" w:type="pct"/>
                  <w:vMerge w:val="continue"/>
                  <w:tcBorders>
                    <w:tl2br w:val="nil"/>
                    <w:tr2bl w:val="nil"/>
                  </w:tcBorders>
                  <w:noWrap w:val="0"/>
                  <w:vAlign w:val="center"/>
                </w:tcPr>
                <w:p w14:paraId="5731921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720" w:type="pct"/>
                  <w:tcBorders>
                    <w:tl2br w:val="nil"/>
                    <w:tr2bl w:val="nil"/>
                  </w:tcBorders>
                  <w:noWrap w:val="0"/>
                  <w:vAlign w:val="center"/>
                </w:tcPr>
                <w:p w14:paraId="2803AB4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4.8</w:t>
                  </w:r>
                </w:p>
              </w:tc>
              <w:tc>
                <w:tcPr>
                  <w:tcW w:w="720" w:type="pct"/>
                  <w:vMerge w:val="continue"/>
                  <w:tcBorders>
                    <w:tl2br w:val="nil"/>
                    <w:tr2bl w:val="nil"/>
                  </w:tcBorders>
                  <w:noWrap w:val="0"/>
                  <w:vAlign w:val="center"/>
                </w:tcPr>
                <w:p w14:paraId="647DEAD4">
                  <w:pPr>
                    <w:pStyle w:val="31"/>
                    <w:keepNext w:val="0"/>
                    <w:keepLines w:val="0"/>
                    <w:suppressLineNumbers w:val="0"/>
                    <w:spacing w:before="0" w:beforeAutospacing="0" w:after="0" w:afterAutospacing="0"/>
                    <w:ind w:left="0" w:leftChars="0" w:right="0" w:rightChars="0"/>
                    <w:jc w:val="center"/>
                    <w:rPr>
                      <w:rFonts w:hint="eastAsia" w:ascii="Times New Roman" w:hAnsi="Times New Roman" w:cs="Times New Roman"/>
                      <w:color w:val="000000" w:themeColor="text1"/>
                      <w:kern w:val="2"/>
                      <w:sz w:val="21"/>
                      <w:szCs w:val="21"/>
                      <w:highlight w:val="none"/>
                      <w:lang w:val="en-US" w:eastAsia="zh-CN" w:bidi="ar"/>
                      <w14:textFill>
                        <w14:solidFill>
                          <w14:schemeClr w14:val="tx1"/>
                        </w14:solidFill>
                      </w14:textFill>
                    </w:rPr>
                  </w:pPr>
                </w:p>
              </w:tc>
              <w:tc>
                <w:tcPr>
                  <w:tcW w:w="611" w:type="pct"/>
                  <w:vMerge w:val="continue"/>
                  <w:tcBorders>
                    <w:tl2br w:val="nil"/>
                    <w:tr2bl w:val="nil"/>
                  </w:tcBorders>
                  <w:noWrap w:val="0"/>
                  <w:vAlign w:val="center"/>
                </w:tcPr>
                <w:p w14:paraId="7BB19C08">
                  <w:pPr>
                    <w:pStyle w:val="31"/>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c>
                <w:tcPr>
                  <w:tcW w:w="548" w:type="pct"/>
                  <w:vMerge w:val="continue"/>
                  <w:tcBorders>
                    <w:tl2br w:val="nil"/>
                    <w:tr2bl w:val="nil"/>
                  </w:tcBorders>
                  <w:noWrap w:val="0"/>
                  <w:vAlign w:val="center"/>
                </w:tcPr>
                <w:p w14:paraId="6C30A7C9">
                  <w:pPr>
                    <w:pStyle w:val="31"/>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r>
            <w:tr w14:paraId="58B1814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1064" w:type="pct"/>
                  <w:tcBorders>
                    <w:tl2br w:val="nil"/>
                    <w:tr2bl w:val="nil"/>
                  </w:tcBorders>
                  <w:noWrap w:val="0"/>
                  <w:vAlign w:val="center"/>
                </w:tcPr>
                <w:p w14:paraId="62465E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highlight w:val="none"/>
                      <w14:textFill>
                        <w14:solidFill>
                          <w14:schemeClr w14:val="tx1"/>
                        </w14:solidFill>
                      </w14:textFill>
                    </w:rPr>
                    <w:t>（DA0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10</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738" w:type="pct"/>
                  <w:tcBorders>
                    <w:tl2br w:val="nil"/>
                    <w:tr2bl w:val="nil"/>
                  </w:tcBorders>
                  <w:noWrap w:val="0"/>
                  <w:vAlign w:val="center"/>
                </w:tcPr>
                <w:p w14:paraId="6AB96B62">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一般</w:t>
                  </w:r>
                  <w:r>
                    <w:rPr>
                      <w:rFonts w:hint="default" w:ascii="Times New Roman" w:hAnsi="Times New Roman" w:eastAsia="宋体" w:cs="Times New Roman"/>
                      <w:color w:val="000000" w:themeColor="text1"/>
                      <w:sz w:val="21"/>
                      <w:szCs w:val="21"/>
                      <w:highlight w:val="none"/>
                      <w14:textFill>
                        <w14:solidFill>
                          <w14:schemeClr w14:val="tx1"/>
                        </w14:solidFill>
                      </w14:textFill>
                    </w:rPr>
                    <w:t>排放口</w:t>
                  </w:r>
                </w:p>
              </w:tc>
              <w:tc>
                <w:tcPr>
                  <w:tcW w:w="597" w:type="pct"/>
                  <w:vMerge w:val="continue"/>
                  <w:tcBorders>
                    <w:tl2br w:val="nil"/>
                    <w:tr2bl w:val="nil"/>
                  </w:tcBorders>
                  <w:noWrap w:val="0"/>
                  <w:vAlign w:val="center"/>
                </w:tcPr>
                <w:p w14:paraId="7DDB5E0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720" w:type="pct"/>
                  <w:tcBorders>
                    <w:tl2br w:val="nil"/>
                    <w:tr2bl w:val="nil"/>
                  </w:tcBorders>
                  <w:noWrap w:val="0"/>
                  <w:vAlign w:val="center"/>
                </w:tcPr>
                <w:p w14:paraId="39D56B3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5.4</w:t>
                  </w:r>
                </w:p>
              </w:tc>
              <w:tc>
                <w:tcPr>
                  <w:tcW w:w="720" w:type="pct"/>
                  <w:vMerge w:val="continue"/>
                  <w:tcBorders>
                    <w:tl2br w:val="nil"/>
                    <w:tr2bl w:val="nil"/>
                  </w:tcBorders>
                  <w:noWrap w:val="0"/>
                  <w:vAlign w:val="center"/>
                </w:tcPr>
                <w:p w14:paraId="150831A4">
                  <w:pPr>
                    <w:pStyle w:val="31"/>
                    <w:keepNext w:val="0"/>
                    <w:keepLines w:val="0"/>
                    <w:suppressLineNumbers w:val="0"/>
                    <w:spacing w:before="0" w:beforeAutospacing="0" w:after="0" w:afterAutospacing="0"/>
                    <w:ind w:left="0" w:leftChars="0" w:right="0" w:rightChars="0"/>
                    <w:jc w:val="center"/>
                    <w:rPr>
                      <w:rFonts w:hint="eastAsia" w:ascii="Times New Roman" w:hAnsi="Times New Roman" w:cs="Times New Roman"/>
                      <w:color w:val="000000" w:themeColor="text1"/>
                      <w:kern w:val="2"/>
                      <w:sz w:val="21"/>
                      <w:szCs w:val="21"/>
                      <w:highlight w:val="none"/>
                      <w:lang w:val="en-US" w:eastAsia="zh-CN" w:bidi="ar"/>
                      <w14:textFill>
                        <w14:solidFill>
                          <w14:schemeClr w14:val="tx1"/>
                        </w14:solidFill>
                      </w14:textFill>
                    </w:rPr>
                  </w:pPr>
                </w:p>
              </w:tc>
              <w:tc>
                <w:tcPr>
                  <w:tcW w:w="611" w:type="pct"/>
                  <w:vMerge w:val="continue"/>
                  <w:tcBorders>
                    <w:tl2br w:val="nil"/>
                    <w:tr2bl w:val="nil"/>
                  </w:tcBorders>
                  <w:noWrap w:val="0"/>
                  <w:vAlign w:val="center"/>
                </w:tcPr>
                <w:p w14:paraId="4C53238C">
                  <w:pPr>
                    <w:pStyle w:val="31"/>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c>
                <w:tcPr>
                  <w:tcW w:w="548" w:type="pct"/>
                  <w:vMerge w:val="continue"/>
                  <w:tcBorders>
                    <w:tl2br w:val="nil"/>
                    <w:tr2bl w:val="nil"/>
                  </w:tcBorders>
                  <w:noWrap w:val="0"/>
                  <w:vAlign w:val="center"/>
                </w:tcPr>
                <w:p w14:paraId="2754CFA6">
                  <w:pPr>
                    <w:pStyle w:val="31"/>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r>
            <w:tr w14:paraId="553408E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1064" w:type="pct"/>
                  <w:tcBorders>
                    <w:tl2br w:val="nil"/>
                    <w:tr2bl w:val="nil"/>
                  </w:tcBorders>
                  <w:noWrap w:val="0"/>
                  <w:vAlign w:val="center"/>
                </w:tcPr>
                <w:p w14:paraId="792E08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1"/>
                      <w:szCs w:val="21"/>
                      <w:highlight w:val="none"/>
                      <w14:textFill>
                        <w14:solidFill>
                          <w14:schemeClr w14:val="tx1"/>
                        </w14:solidFill>
                      </w14:textFill>
                    </w:rPr>
                    <w:t>（DA0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11</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738" w:type="pct"/>
                  <w:tcBorders>
                    <w:tl2br w:val="nil"/>
                    <w:tr2bl w:val="nil"/>
                  </w:tcBorders>
                  <w:noWrap w:val="0"/>
                  <w:vAlign w:val="center"/>
                </w:tcPr>
                <w:p w14:paraId="1A0F80D3">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一般</w:t>
                  </w:r>
                  <w:r>
                    <w:rPr>
                      <w:rFonts w:hint="default" w:ascii="Times New Roman" w:hAnsi="Times New Roman" w:eastAsia="宋体" w:cs="Times New Roman"/>
                      <w:color w:val="000000" w:themeColor="text1"/>
                      <w:sz w:val="21"/>
                      <w:szCs w:val="21"/>
                      <w:highlight w:val="none"/>
                      <w14:textFill>
                        <w14:solidFill>
                          <w14:schemeClr w14:val="tx1"/>
                        </w14:solidFill>
                      </w14:textFill>
                    </w:rPr>
                    <w:t>排放口</w:t>
                  </w:r>
                </w:p>
              </w:tc>
              <w:tc>
                <w:tcPr>
                  <w:tcW w:w="597" w:type="pct"/>
                  <w:vMerge w:val="continue"/>
                  <w:tcBorders>
                    <w:tl2br w:val="nil"/>
                    <w:tr2bl w:val="nil"/>
                  </w:tcBorders>
                  <w:noWrap w:val="0"/>
                  <w:vAlign w:val="center"/>
                </w:tcPr>
                <w:p w14:paraId="5F2BE9C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720" w:type="pct"/>
                  <w:tcBorders>
                    <w:tl2br w:val="nil"/>
                    <w:tr2bl w:val="nil"/>
                  </w:tcBorders>
                  <w:noWrap w:val="0"/>
                  <w:vAlign w:val="center"/>
                </w:tcPr>
                <w:p w14:paraId="6A7310D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2.6</w:t>
                  </w:r>
                </w:p>
              </w:tc>
              <w:tc>
                <w:tcPr>
                  <w:tcW w:w="720" w:type="pct"/>
                  <w:vMerge w:val="continue"/>
                  <w:tcBorders>
                    <w:tl2br w:val="nil"/>
                    <w:tr2bl w:val="nil"/>
                  </w:tcBorders>
                  <w:noWrap w:val="0"/>
                  <w:vAlign w:val="center"/>
                </w:tcPr>
                <w:p w14:paraId="5DBCFFDF">
                  <w:pPr>
                    <w:pStyle w:val="31"/>
                    <w:keepNext w:val="0"/>
                    <w:keepLines w:val="0"/>
                    <w:suppressLineNumbers w:val="0"/>
                    <w:spacing w:before="0" w:beforeAutospacing="0" w:after="0" w:afterAutospacing="0"/>
                    <w:ind w:left="0" w:leftChars="0" w:right="0" w:rightChars="0"/>
                    <w:jc w:val="center"/>
                    <w:rPr>
                      <w:rFonts w:hint="eastAsia" w:ascii="Times New Roman" w:hAnsi="Times New Roman" w:cs="Times New Roman"/>
                      <w:color w:val="000000" w:themeColor="text1"/>
                      <w:kern w:val="2"/>
                      <w:sz w:val="21"/>
                      <w:szCs w:val="21"/>
                      <w:highlight w:val="none"/>
                      <w:lang w:val="en-US" w:eastAsia="zh-CN" w:bidi="ar"/>
                      <w14:textFill>
                        <w14:solidFill>
                          <w14:schemeClr w14:val="tx1"/>
                        </w14:solidFill>
                      </w14:textFill>
                    </w:rPr>
                  </w:pPr>
                </w:p>
              </w:tc>
              <w:tc>
                <w:tcPr>
                  <w:tcW w:w="611" w:type="pct"/>
                  <w:vMerge w:val="continue"/>
                  <w:tcBorders>
                    <w:tl2br w:val="nil"/>
                    <w:tr2bl w:val="nil"/>
                  </w:tcBorders>
                  <w:noWrap w:val="0"/>
                  <w:vAlign w:val="center"/>
                </w:tcPr>
                <w:p w14:paraId="6462E5D8">
                  <w:pPr>
                    <w:pStyle w:val="31"/>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c>
                <w:tcPr>
                  <w:tcW w:w="548" w:type="pct"/>
                  <w:vMerge w:val="continue"/>
                  <w:tcBorders>
                    <w:tl2br w:val="nil"/>
                    <w:tr2bl w:val="nil"/>
                  </w:tcBorders>
                  <w:noWrap w:val="0"/>
                  <w:vAlign w:val="center"/>
                </w:tcPr>
                <w:p w14:paraId="71D98ACF">
                  <w:pPr>
                    <w:pStyle w:val="31"/>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r>
            <w:tr w14:paraId="3F3A5E0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1064" w:type="pct"/>
                  <w:tcBorders>
                    <w:tl2br w:val="nil"/>
                    <w:tr2bl w:val="nil"/>
                  </w:tcBorders>
                  <w:noWrap w:val="0"/>
                  <w:vAlign w:val="center"/>
                </w:tcPr>
                <w:p w14:paraId="153AF0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z w:val="21"/>
                      <w:szCs w:val="21"/>
                      <w:highlight w:val="none"/>
                      <w14:textFill>
                        <w14:solidFill>
                          <w14:schemeClr w14:val="tx1"/>
                        </w14:solidFill>
                      </w14:textFill>
                    </w:rPr>
                    <w:t>（DA0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12</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738" w:type="pct"/>
                  <w:tcBorders>
                    <w:tl2br w:val="nil"/>
                    <w:tr2bl w:val="nil"/>
                  </w:tcBorders>
                  <w:noWrap w:val="0"/>
                  <w:vAlign w:val="center"/>
                </w:tcPr>
                <w:p w14:paraId="1667B553">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一般</w:t>
                  </w:r>
                  <w:r>
                    <w:rPr>
                      <w:rFonts w:hint="default" w:ascii="Times New Roman" w:hAnsi="Times New Roman" w:eastAsia="宋体" w:cs="Times New Roman"/>
                      <w:color w:val="000000" w:themeColor="text1"/>
                      <w:sz w:val="21"/>
                      <w:szCs w:val="21"/>
                      <w:highlight w:val="none"/>
                      <w14:textFill>
                        <w14:solidFill>
                          <w14:schemeClr w14:val="tx1"/>
                        </w14:solidFill>
                      </w14:textFill>
                    </w:rPr>
                    <w:t>排放口</w:t>
                  </w:r>
                </w:p>
              </w:tc>
              <w:tc>
                <w:tcPr>
                  <w:tcW w:w="597" w:type="pct"/>
                  <w:vMerge w:val="continue"/>
                  <w:tcBorders>
                    <w:tl2br w:val="nil"/>
                    <w:tr2bl w:val="nil"/>
                  </w:tcBorders>
                  <w:noWrap w:val="0"/>
                  <w:vAlign w:val="center"/>
                </w:tcPr>
                <w:p w14:paraId="7E84D09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720" w:type="pct"/>
                  <w:tcBorders>
                    <w:tl2br w:val="nil"/>
                    <w:tr2bl w:val="nil"/>
                  </w:tcBorders>
                  <w:noWrap w:val="0"/>
                  <w:vAlign w:val="center"/>
                </w:tcPr>
                <w:p w14:paraId="2044800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7.4</w:t>
                  </w:r>
                </w:p>
              </w:tc>
              <w:tc>
                <w:tcPr>
                  <w:tcW w:w="720" w:type="pct"/>
                  <w:vMerge w:val="continue"/>
                  <w:tcBorders>
                    <w:tl2br w:val="nil"/>
                    <w:tr2bl w:val="nil"/>
                  </w:tcBorders>
                  <w:noWrap w:val="0"/>
                  <w:vAlign w:val="center"/>
                </w:tcPr>
                <w:p w14:paraId="7B10F4C8">
                  <w:pPr>
                    <w:pStyle w:val="31"/>
                    <w:keepNext w:val="0"/>
                    <w:keepLines w:val="0"/>
                    <w:suppressLineNumbers w:val="0"/>
                    <w:spacing w:before="0" w:beforeAutospacing="0" w:after="0" w:afterAutospacing="0"/>
                    <w:ind w:left="0" w:leftChars="0" w:right="0" w:rightChars="0"/>
                    <w:jc w:val="center"/>
                    <w:rPr>
                      <w:rFonts w:hint="eastAsia" w:ascii="Times New Roman" w:hAnsi="Times New Roman" w:cs="Times New Roman"/>
                      <w:color w:val="000000" w:themeColor="text1"/>
                      <w:kern w:val="2"/>
                      <w:sz w:val="21"/>
                      <w:szCs w:val="21"/>
                      <w:highlight w:val="none"/>
                      <w:lang w:val="en-US" w:eastAsia="zh-CN" w:bidi="ar"/>
                      <w14:textFill>
                        <w14:solidFill>
                          <w14:schemeClr w14:val="tx1"/>
                        </w14:solidFill>
                      </w14:textFill>
                    </w:rPr>
                  </w:pPr>
                </w:p>
              </w:tc>
              <w:tc>
                <w:tcPr>
                  <w:tcW w:w="611" w:type="pct"/>
                  <w:vMerge w:val="continue"/>
                  <w:tcBorders>
                    <w:tl2br w:val="nil"/>
                    <w:tr2bl w:val="nil"/>
                  </w:tcBorders>
                  <w:noWrap w:val="0"/>
                  <w:vAlign w:val="center"/>
                </w:tcPr>
                <w:p w14:paraId="229A17FA">
                  <w:pPr>
                    <w:pStyle w:val="31"/>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c>
                <w:tcPr>
                  <w:tcW w:w="548" w:type="pct"/>
                  <w:vMerge w:val="continue"/>
                  <w:tcBorders>
                    <w:tl2br w:val="nil"/>
                    <w:tr2bl w:val="nil"/>
                  </w:tcBorders>
                  <w:noWrap w:val="0"/>
                  <w:vAlign w:val="center"/>
                </w:tcPr>
                <w:p w14:paraId="5085076E">
                  <w:pPr>
                    <w:pStyle w:val="31"/>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r>
            <w:tr w14:paraId="7FC851F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1064" w:type="pct"/>
                  <w:tcBorders>
                    <w:tl2br w:val="nil"/>
                    <w:tr2bl w:val="nil"/>
                  </w:tcBorders>
                  <w:noWrap w:val="0"/>
                  <w:vAlign w:val="center"/>
                </w:tcPr>
                <w:p w14:paraId="461546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8</w:t>
                  </w:r>
                  <w:r>
                    <w:rPr>
                      <w:rFonts w:hint="default" w:ascii="Times New Roman" w:hAnsi="Times New Roman" w:eastAsia="宋体" w:cs="Times New Roman"/>
                      <w:color w:val="000000" w:themeColor="text1"/>
                      <w:sz w:val="21"/>
                      <w:szCs w:val="21"/>
                      <w:highlight w:val="none"/>
                      <w14:textFill>
                        <w14:solidFill>
                          <w14:schemeClr w14:val="tx1"/>
                        </w14:solidFill>
                      </w14:textFill>
                    </w:rPr>
                    <w:t>（DA0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13</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738" w:type="pct"/>
                  <w:tcBorders>
                    <w:tl2br w:val="nil"/>
                    <w:tr2bl w:val="nil"/>
                  </w:tcBorders>
                  <w:noWrap w:val="0"/>
                  <w:vAlign w:val="center"/>
                </w:tcPr>
                <w:p w14:paraId="207C5F02">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一般</w:t>
                  </w:r>
                  <w:r>
                    <w:rPr>
                      <w:rFonts w:hint="default" w:ascii="Times New Roman" w:hAnsi="Times New Roman" w:eastAsia="宋体" w:cs="Times New Roman"/>
                      <w:color w:val="000000" w:themeColor="text1"/>
                      <w:sz w:val="21"/>
                      <w:szCs w:val="21"/>
                      <w:highlight w:val="none"/>
                      <w14:textFill>
                        <w14:solidFill>
                          <w14:schemeClr w14:val="tx1"/>
                        </w14:solidFill>
                      </w14:textFill>
                    </w:rPr>
                    <w:t>排放口</w:t>
                  </w:r>
                </w:p>
              </w:tc>
              <w:tc>
                <w:tcPr>
                  <w:tcW w:w="597" w:type="pct"/>
                  <w:vMerge w:val="continue"/>
                  <w:tcBorders>
                    <w:tl2br w:val="nil"/>
                    <w:tr2bl w:val="nil"/>
                  </w:tcBorders>
                  <w:noWrap w:val="0"/>
                  <w:vAlign w:val="center"/>
                </w:tcPr>
                <w:p w14:paraId="5800FE5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720" w:type="pct"/>
                  <w:tcBorders>
                    <w:tl2br w:val="nil"/>
                    <w:tr2bl w:val="nil"/>
                  </w:tcBorders>
                  <w:noWrap w:val="0"/>
                  <w:vAlign w:val="center"/>
                </w:tcPr>
                <w:p w14:paraId="4AA504D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2.5</w:t>
                  </w:r>
                </w:p>
              </w:tc>
              <w:tc>
                <w:tcPr>
                  <w:tcW w:w="720" w:type="pct"/>
                  <w:vMerge w:val="continue"/>
                  <w:tcBorders>
                    <w:tl2br w:val="nil"/>
                    <w:tr2bl w:val="nil"/>
                  </w:tcBorders>
                  <w:noWrap w:val="0"/>
                  <w:vAlign w:val="center"/>
                </w:tcPr>
                <w:p w14:paraId="7744DF91">
                  <w:pPr>
                    <w:pStyle w:val="31"/>
                    <w:keepNext w:val="0"/>
                    <w:keepLines w:val="0"/>
                    <w:suppressLineNumbers w:val="0"/>
                    <w:spacing w:before="0" w:beforeAutospacing="0" w:after="0" w:afterAutospacing="0"/>
                    <w:ind w:left="0" w:leftChars="0" w:right="0" w:rightChars="0"/>
                    <w:jc w:val="center"/>
                    <w:rPr>
                      <w:rFonts w:hint="eastAsia" w:ascii="Times New Roman" w:hAnsi="Times New Roman" w:cs="Times New Roman"/>
                      <w:color w:val="000000" w:themeColor="text1"/>
                      <w:kern w:val="2"/>
                      <w:sz w:val="21"/>
                      <w:szCs w:val="21"/>
                      <w:highlight w:val="none"/>
                      <w:lang w:val="en-US" w:eastAsia="zh-CN" w:bidi="ar"/>
                      <w14:textFill>
                        <w14:solidFill>
                          <w14:schemeClr w14:val="tx1"/>
                        </w14:solidFill>
                      </w14:textFill>
                    </w:rPr>
                  </w:pPr>
                </w:p>
              </w:tc>
              <w:tc>
                <w:tcPr>
                  <w:tcW w:w="611" w:type="pct"/>
                  <w:vMerge w:val="continue"/>
                  <w:tcBorders>
                    <w:tl2br w:val="nil"/>
                    <w:tr2bl w:val="nil"/>
                  </w:tcBorders>
                  <w:noWrap w:val="0"/>
                  <w:vAlign w:val="center"/>
                </w:tcPr>
                <w:p w14:paraId="22DC50FD">
                  <w:pPr>
                    <w:pStyle w:val="31"/>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c>
                <w:tcPr>
                  <w:tcW w:w="548" w:type="pct"/>
                  <w:vMerge w:val="continue"/>
                  <w:tcBorders>
                    <w:tl2br w:val="nil"/>
                    <w:tr2bl w:val="nil"/>
                  </w:tcBorders>
                  <w:noWrap w:val="0"/>
                  <w:vAlign w:val="center"/>
                </w:tcPr>
                <w:p w14:paraId="6ED8865E">
                  <w:pPr>
                    <w:pStyle w:val="31"/>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r>
            <w:tr w14:paraId="27B6186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802" w:type="pct"/>
                  <w:gridSpan w:val="2"/>
                  <w:tcBorders>
                    <w:tl2br w:val="nil"/>
                    <w:tr2bl w:val="nil"/>
                  </w:tcBorders>
                  <w:noWrap w:val="0"/>
                  <w:vAlign w:val="center"/>
                </w:tcPr>
                <w:p w14:paraId="69E01A41">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标准</w:t>
                  </w:r>
                </w:p>
              </w:tc>
              <w:tc>
                <w:tcPr>
                  <w:tcW w:w="597" w:type="pct"/>
                  <w:vMerge w:val="continue"/>
                  <w:tcBorders>
                    <w:tl2br w:val="nil"/>
                    <w:tr2bl w:val="nil"/>
                  </w:tcBorders>
                  <w:noWrap w:val="0"/>
                  <w:vAlign w:val="center"/>
                </w:tcPr>
                <w:p w14:paraId="28F6208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720" w:type="pct"/>
                  <w:tcBorders>
                    <w:tl2br w:val="nil"/>
                    <w:tr2bl w:val="nil"/>
                  </w:tcBorders>
                  <w:noWrap w:val="0"/>
                  <w:vAlign w:val="center"/>
                </w:tcPr>
                <w:p w14:paraId="4662063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30</w:t>
                  </w:r>
                </w:p>
              </w:tc>
              <w:tc>
                <w:tcPr>
                  <w:tcW w:w="720" w:type="pct"/>
                  <w:tcBorders>
                    <w:tl2br w:val="nil"/>
                    <w:tr2bl w:val="nil"/>
                  </w:tcBorders>
                  <w:noWrap w:val="0"/>
                  <w:vAlign w:val="center"/>
                </w:tcPr>
                <w:p w14:paraId="10526D2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kern w:val="2"/>
                      <w:sz w:val="21"/>
                      <w:szCs w:val="21"/>
                      <w:highlight w:val="none"/>
                      <w:lang w:val="en-US" w:eastAsia="zh-CN" w:bidi="ar"/>
                      <w14:textFill>
                        <w14:solidFill>
                          <w14:schemeClr w14:val="tx1"/>
                        </w14:solidFill>
                      </w14:textFill>
                    </w:rPr>
                  </w:pPr>
                  <w:r>
                    <w:rPr>
                      <w:rFonts w:hint="eastAsia" w:cs="Times New Roman"/>
                      <w:color w:val="000000" w:themeColor="text1"/>
                      <w:kern w:val="2"/>
                      <w:sz w:val="21"/>
                      <w:szCs w:val="21"/>
                      <w:highlight w:val="none"/>
                      <w:lang w:val="en-US" w:eastAsia="zh-CN" w:bidi="ar"/>
                      <w14:textFill>
                        <w14:solidFill>
                          <w14:schemeClr w14:val="tx1"/>
                        </w14:solidFill>
                      </w14:textFill>
                    </w:rPr>
                    <w:t>30</w:t>
                  </w:r>
                </w:p>
              </w:tc>
              <w:tc>
                <w:tcPr>
                  <w:tcW w:w="611" w:type="pct"/>
                  <w:tcBorders>
                    <w:tl2br w:val="nil"/>
                    <w:tr2bl w:val="nil"/>
                  </w:tcBorders>
                  <w:noWrap w:val="0"/>
                  <w:vAlign w:val="center"/>
                </w:tcPr>
                <w:p w14:paraId="2F38B73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themeColor="text1"/>
                      <w:kern w:val="2"/>
                      <w:sz w:val="21"/>
                      <w:szCs w:val="21"/>
                      <w:highlight w:val="none"/>
                      <w:lang w:val="en-US" w:eastAsia="zh-CN" w:bidi="ar"/>
                      <w14:textFill>
                        <w14:solidFill>
                          <w14:schemeClr w14:val="tx1"/>
                        </w14:solidFill>
                      </w14:textFill>
                    </w:rPr>
                  </w:pPr>
                  <w:r>
                    <w:rPr>
                      <w:rFonts w:hint="eastAsia" w:cs="Times New Roman"/>
                      <w:color w:val="000000" w:themeColor="text1"/>
                      <w:kern w:val="2"/>
                      <w:sz w:val="21"/>
                      <w:szCs w:val="21"/>
                      <w:highlight w:val="none"/>
                      <w:lang w:val="en-US" w:eastAsia="zh-CN" w:bidi="ar"/>
                      <w14:textFill>
                        <w14:solidFill>
                          <w14:schemeClr w14:val="tx1"/>
                        </w14:solidFill>
                      </w14:textFill>
                    </w:rPr>
                    <w:t>/</w:t>
                  </w:r>
                </w:p>
              </w:tc>
              <w:tc>
                <w:tcPr>
                  <w:tcW w:w="548" w:type="pct"/>
                  <w:tcBorders>
                    <w:tl2br w:val="nil"/>
                    <w:tr2bl w:val="nil"/>
                  </w:tcBorders>
                  <w:noWrap w:val="0"/>
                  <w:vAlign w:val="center"/>
                </w:tcPr>
                <w:p w14:paraId="0E2156A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bidi="ar"/>
                      <w14:textFill>
                        <w14:solidFill>
                          <w14:schemeClr w14:val="tx1"/>
                        </w14:solidFill>
                      </w14:textFill>
                    </w:rPr>
                    <w:t>/</w:t>
                  </w:r>
                </w:p>
              </w:tc>
            </w:tr>
            <w:tr w14:paraId="030679C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802" w:type="pct"/>
                  <w:gridSpan w:val="2"/>
                  <w:tcBorders>
                    <w:tl2br w:val="nil"/>
                    <w:tr2bl w:val="nil"/>
                  </w:tcBorders>
                  <w:noWrap w:val="0"/>
                  <w:vAlign w:val="center"/>
                </w:tcPr>
                <w:p w14:paraId="1A86C174">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达标分析</w:t>
                  </w:r>
                </w:p>
              </w:tc>
              <w:tc>
                <w:tcPr>
                  <w:tcW w:w="597" w:type="pct"/>
                  <w:vMerge w:val="continue"/>
                  <w:tcBorders>
                    <w:tl2br w:val="nil"/>
                    <w:tr2bl w:val="nil"/>
                  </w:tcBorders>
                  <w:noWrap w:val="0"/>
                  <w:vAlign w:val="center"/>
                </w:tcPr>
                <w:p w14:paraId="1E80E77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720" w:type="pct"/>
                  <w:tcBorders>
                    <w:tl2br w:val="nil"/>
                    <w:tr2bl w:val="nil"/>
                  </w:tcBorders>
                  <w:noWrap w:val="0"/>
                  <w:vAlign w:val="center"/>
                </w:tcPr>
                <w:p w14:paraId="19F89E2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达标</w:t>
                  </w:r>
                </w:p>
              </w:tc>
              <w:tc>
                <w:tcPr>
                  <w:tcW w:w="720" w:type="pct"/>
                  <w:tcBorders>
                    <w:tl2br w:val="nil"/>
                    <w:tr2bl w:val="nil"/>
                  </w:tcBorders>
                  <w:noWrap w:val="0"/>
                  <w:vAlign w:val="center"/>
                </w:tcPr>
                <w:p w14:paraId="01A08902">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达标</w:t>
                  </w:r>
                </w:p>
              </w:tc>
              <w:tc>
                <w:tcPr>
                  <w:tcW w:w="611" w:type="pct"/>
                  <w:tcBorders>
                    <w:tl2br w:val="nil"/>
                    <w:tr2bl w:val="nil"/>
                  </w:tcBorders>
                  <w:noWrap w:val="0"/>
                  <w:vAlign w:val="center"/>
                </w:tcPr>
                <w:p w14:paraId="13381AE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548" w:type="pct"/>
                  <w:tcBorders>
                    <w:tl2br w:val="nil"/>
                    <w:tr2bl w:val="nil"/>
                  </w:tcBorders>
                  <w:noWrap w:val="0"/>
                  <w:vAlign w:val="center"/>
                </w:tcPr>
                <w:p w14:paraId="66BB093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p>
              </w:tc>
            </w:tr>
          </w:tbl>
          <w:p w14:paraId="5CCD0842">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000000" w:themeColor="text1"/>
                <w:sz w:val="24"/>
                <w:szCs w:val="24"/>
                <w:highlight w:val="none"/>
                <w:lang w:bidi="ar-SA"/>
                <w14:textFill>
                  <w14:solidFill>
                    <w14:schemeClr w14:val="tx1"/>
                  </w14:solidFill>
                </w14:textFill>
              </w:rPr>
            </w:pPr>
            <w:r>
              <w:rPr>
                <w:rFonts w:hint="eastAsia" w:ascii="Times New Roman" w:hAnsi="Times New Roman" w:eastAsia="宋体" w:cs="Times New Roman"/>
                <w:color w:val="000000" w:themeColor="text1"/>
                <w:sz w:val="24"/>
                <w:szCs w:val="24"/>
                <w:highlight w:val="none"/>
                <w:lang w:bidi="ar-SA"/>
                <w14:textFill>
                  <w14:solidFill>
                    <w14:schemeClr w14:val="tx1"/>
                  </w14:solidFill>
                </w14:textFill>
              </w:rPr>
              <w:t>根据上表可知</w:t>
            </w:r>
            <w:r>
              <w:rPr>
                <w:rFonts w:hint="eastAsia" w:ascii="Times New Roman" w:hAnsi="Times New Roman" w:eastAsia="宋体" w:cs="Times New Roman"/>
                <w:color w:val="000000" w:themeColor="text1"/>
                <w:sz w:val="24"/>
                <w:szCs w:val="24"/>
                <w:highlight w:val="none"/>
                <w:lang w:eastAsia="zh-CN" w:bidi="ar-SA"/>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t>现有项目制剂废气排放口颗粒物排放浓度较低，本</w:t>
            </w:r>
            <w:r>
              <w:rPr>
                <w:rFonts w:hint="eastAsia" w:ascii="Times New Roman" w:hAnsi="Times New Roman" w:eastAsia="宋体" w:cs="Times New Roman"/>
                <w:color w:val="000000" w:themeColor="text1"/>
                <w:sz w:val="24"/>
                <w:szCs w:val="24"/>
                <w:highlight w:val="none"/>
                <w:lang w:bidi="ar-SA"/>
                <w14:textFill>
                  <w14:solidFill>
                    <w14:schemeClr w14:val="tx1"/>
                  </w14:solidFill>
                </w14:textFill>
              </w:rPr>
              <w:t>项目</w:t>
            </w:r>
            <w:r>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t>产品增加产能后，有组织排放的颗粒物增加的排放浓度较小，制剂废气排放口（</w:t>
            </w:r>
            <w:r>
              <w:rPr>
                <w:rFonts w:hint="eastAsia" w:cs="Times New Roman"/>
                <w:color w:val="000000" w:themeColor="text1"/>
                <w:sz w:val="24"/>
                <w:szCs w:val="24"/>
                <w:highlight w:val="none"/>
                <w:lang w:val="en-US" w:eastAsia="zh-CN" w:bidi="ar-SA"/>
                <w14:textFill>
                  <w14:solidFill>
                    <w14:schemeClr w14:val="tx1"/>
                  </w14:solidFill>
                </w14:textFill>
              </w:rPr>
              <w:t>1</w:t>
            </w:r>
            <w:r>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t>~</w:t>
            </w:r>
            <w:r>
              <w:rPr>
                <w:rFonts w:hint="eastAsia" w:cs="Times New Roman"/>
                <w:color w:val="000000" w:themeColor="text1"/>
                <w:sz w:val="24"/>
                <w:szCs w:val="24"/>
                <w:highlight w:val="none"/>
                <w:lang w:val="en-US" w:eastAsia="zh-CN" w:bidi="ar-SA"/>
                <w14:textFill>
                  <w14:solidFill>
                    <w14:schemeClr w14:val="tx1"/>
                  </w14:solidFill>
                </w14:textFill>
              </w:rPr>
              <w:t>8</w:t>
            </w:r>
            <w:r>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bidi="ar-SA"/>
                <w14:textFill>
                  <w14:solidFill>
                    <w14:schemeClr w14:val="tx1"/>
                  </w14:solidFill>
                </w14:textFill>
              </w:rPr>
              <w:t>排放的有组织</w:t>
            </w:r>
            <w:r>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t>颗粒物可以</w:t>
            </w:r>
            <w:r>
              <w:rPr>
                <w:rFonts w:hint="eastAsia" w:ascii="Times New Roman" w:hAnsi="Times New Roman" w:eastAsia="宋体" w:cs="Times New Roman"/>
                <w:color w:val="000000" w:themeColor="text1"/>
                <w:sz w:val="24"/>
                <w:szCs w:val="24"/>
                <w:highlight w:val="none"/>
                <w:lang w:bidi="ar-SA"/>
                <w14:textFill>
                  <w14:solidFill>
                    <w14:schemeClr w14:val="tx1"/>
                  </w14:solidFill>
                </w14:textFill>
              </w:rPr>
              <w:t>满足</w:t>
            </w:r>
            <w:r>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t>《制药工业大气污染物排放标准》（GB37823-2019）表1大气污染物排放限值</w:t>
            </w:r>
            <w:r>
              <w:rPr>
                <w:rFonts w:hint="eastAsia" w:ascii="Times New Roman" w:hAnsi="Times New Roman" w:eastAsia="宋体" w:cs="Times New Roman"/>
                <w:color w:val="000000" w:themeColor="text1"/>
                <w:sz w:val="24"/>
                <w:szCs w:val="24"/>
                <w:highlight w:val="none"/>
                <w:lang w:bidi="ar-SA"/>
                <w14:textFill>
                  <w14:solidFill>
                    <w14:schemeClr w14:val="tx1"/>
                  </w14:solidFill>
                </w14:textFill>
              </w:rPr>
              <w:t>要求。</w:t>
            </w:r>
          </w:p>
          <w:p w14:paraId="4E54E410">
            <w:pPr>
              <w:keepNext w:val="0"/>
              <w:keepLines w:val="0"/>
              <w:suppressLineNumbers w:val="0"/>
              <w:autoSpaceDE w:val="0"/>
              <w:autoSpaceDN w:val="0"/>
              <w:spacing w:before="0" w:beforeAutospacing="0" w:after="0" w:afterAutospacing="0" w:line="360" w:lineRule="auto"/>
              <w:ind w:left="0" w:right="0"/>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1.8</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、本项目无组织废气达标排放分析</w:t>
            </w:r>
          </w:p>
          <w:p w14:paraId="0190955E">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000000" w:themeColor="text1"/>
                <w:kern w:val="0"/>
                <w:sz w:val="24"/>
                <w:szCs w:val="24"/>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bidi="ar"/>
                <w14:textFill>
                  <w14:solidFill>
                    <w14:schemeClr w14:val="tx1"/>
                  </w14:solidFill>
                </w14:textFill>
              </w:rPr>
              <w:t>本次项目采用《环境影响评价技术导则 大气环境》（HJ2.2-2018）中推荐模式中的估算模式对厂界无组织达标情况进行估算，</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本</w:t>
            </w:r>
            <w:r>
              <w:rPr>
                <w:rFonts w:hint="default" w:ascii="Times New Roman" w:hAnsi="Times New Roman" w:eastAsia="宋体" w:cs="Times New Roman"/>
                <w:color w:val="000000" w:themeColor="text1"/>
                <w:kern w:val="0"/>
                <w:sz w:val="24"/>
                <w:szCs w:val="24"/>
                <w:highlight w:val="none"/>
                <w:lang w:bidi="ar"/>
                <w14:textFill>
                  <w14:solidFill>
                    <w14:schemeClr w14:val="tx1"/>
                  </w14:solidFill>
                </w14:textFill>
              </w:rPr>
              <w:t>项目生产废气中主要污染物为</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颗粒物</w:t>
            </w:r>
            <w:r>
              <w:rPr>
                <w:rFonts w:hint="default" w:ascii="Times New Roman" w:hAnsi="Times New Roman" w:eastAsia="宋体" w:cs="Times New Roman"/>
                <w:color w:val="000000" w:themeColor="text1"/>
                <w:kern w:val="0"/>
                <w:sz w:val="24"/>
                <w:szCs w:val="24"/>
                <w:highlight w:val="none"/>
                <w:lang w:bidi="ar"/>
                <w14:textFill>
                  <w14:solidFill>
                    <w14:schemeClr w14:val="tx1"/>
                  </w14:solidFill>
                </w14:textFill>
              </w:rPr>
              <w:t>。估算参数</w:t>
            </w:r>
            <w:r>
              <w:rPr>
                <w:rFonts w:hint="default" w:ascii="Times New Roman" w:hAnsi="Times New Roman" w:eastAsia="宋体" w:cs="Times New Roman"/>
                <w:color w:val="000000" w:themeColor="text1"/>
                <w:kern w:val="0"/>
                <w:sz w:val="24"/>
                <w:szCs w:val="24"/>
                <w:highlight w:val="none"/>
                <w:lang w:eastAsia="zh-CN" w:bidi="ar"/>
                <w14:textFill>
                  <w14:solidFill>
                    <w14:schemeClr w14:val="tx1"/>
                  </w14:solidFill>
                </w14:textFill>
              </w:rPr>
              <w:t>、结果等详见</w:t>
            </w:r>
            <w:r>
              <w:rPr>
                <w:rFonts w:hint="eastAsia" w:cs="Times New Roman"/>
                <w:color w:val="000000" w:themeColor="text1"/>
                <w:kern w:val="0"/>
                <w:sz w:val="24"/>
                <w:szCs w:val="24"/>
                <w:highlight w:val="none"/>
                <w:lang w:val="en-US" w:eastAsia="zh-CN" w:bidi="ar"/>
                <w14:textFill>
                  <w14:solidFill>
                    <w14:schemeClr w14:val="tx1"/>
                  </w14:solidFill>
                </w14:textFill>
              </w:rPr>
              <w:t>下</w:t>
            </w:r>
            <w:r>
              <w:rPr>
                <w:rFonts w:hint="default" w:ascii="Times New Roman" w:hAnsi="Times New Roman" w:eastAsia="宋体" w:cs="Times New Roman"/>
                <w:color w:val="000000" w:themeColor="text1"/>
                <w:kern w:val="0"/>
                <w:sz w:val="24"/>
                <w:szCs w:val="24"/>
                <w:highlight w:val="none"/>
                <w:lang w:eastAsia="zh-CN" w:bidi="ar"/>
                <w14:textFill>
                  <w14:solidFill>
                    <w14:schemeClr w14:val="tx1"/>
                  </w14:solidFill>
                </w14:textFill>
              </w:rPr>
              <w:t>表</w:t>
            </w:r>
            <w:r>
              <w:rPr>
                <w:rFonts w:hint="default" w:ascii="Times New Roman" w:hAnsi="Times New Roman" w:eastAsia="宋体" w:cs="Times New Roman"/>
                <w:color w:val="000000" w:themeColor="text1"/>
                <w:kern w:val="0"/>
                <w:sz w:val="24"/>
                <w:szCs w:val="24"/>
                <w:highlight w:val="none"/>
                <w:lang w:bidi="ar"/>
                <w14:textFill>
                  <w14:solidFill>
                    <w14:schemeClr w14:val="tx1"/>
                  </w14:solidFill>
                </w14:textFill>
              </w:rPr>
              <w:t>。</w:t>
            </w:r>
          </w:p>
          <w:p w14:paraId="6AC5DF00">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000000" w:themeColor="text1"/>
                <w:kern w:val="0"/>
                <w:sz w:val="24"/>
                <w:szCs w:val="24"/>
                <w:highlight w:val="none"/>
                <w:lang w:bidi="ar"/>
                <w14:textFill>
                  <w14:solidFill>
                    <w14:schemeClr w14:val="tx1"/>
                  </w14:solidFill>
                </w14:textFill>
              </w:rPr>
            </w:pPr>
          </w:p>
          <w:p w14:paraId="4C00D713">
            <w:pPr>
              <w:keepNext w:val="0"/>
              <w:keepLines w:val="0"/>
              <w:pageBreakBefore w:val="0"/>
              <w:widowControl w:val="0"/>
              <w:numPr>
                <w:ilvl w:val="0"/>
                <w:numId w:val="26"/>
              </w:numPr>
              <w:suppressLineNumbers w:val="0"/>
              <w:kinsoku/>
              <w:wordWrap/>
              <w:overflowPunct/>
              <w:topLinePunct w:val="0"/>
              <w:autoSpaceDE/>
              <w:autoSpaceDN/>
              <w:bidi w:val="0"/>
              <w:adjustRightInd/>
              <w:snapToGrid w:val="0"/>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本项目大气污染物厂界浓度预测参数 </w:t>
            </w:r>
          </w:p>
          <w:tbl>
            <w:tblPr>
              <w:tblStyle w:val="35"/>
              <w:tblW w:w="4997"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06"/>
              <w:gridCol w:w="1152"/>
              <w:gridCol w:w="1152"/>
              <w:gridCol w:w="867"/>
              <w:gridCol w:w="1152"/>
              <w:gridCol w:w="867"/>
              <w:gridCol w:w="1466"/>
            </w:tblGrid>
            <w:tr w14:paraId="41FAA9B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020" w:type="pct"/>
                  <w:vMerge w:val="restart"/>
                  <w:noWrap w:val="0"/>
                  <w:tcMar>
                    <w:top w:w="0" w:type="dxa"/>
                    <w:left w:w="0" w:type="dxa"/>
                    <w:bottom w:w="0" w:type="dxa"/>
                    <w:right w:w="0" w:type="dxa"/>
                  </w:tcMar>
                  <w:vAlign w:val="center"/>
                </w:tcPr>
                <w:p w14:paraId="172990E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名称</w:t>
                  </w:r>
                </w:p>
              </w:tc>
              <w:tc>
                <w:tcPr>
                  <w:tcW w:w="688" w:type="pct"/>
                  <w:vMerge w:val="restart"/>
                  <w:noWrap w:val="0"/>
                  <w:tcMar>
                    <w:top w:w="0" w:type="dxa"/>
                    <w:left w:w="0" w:type="dxa"/>
                    <w:bottom w:w="0" w:type="dxa"/>
                    <w:right w:w="0" w:type="dxa"/>
                  </w:tcMar>
                  <w:vAlign w:val="center"/>
                </w:tcPr>
                <w:p w14:paraId="7E81C24E">
                  <w:pPr>
                    <w:keepNext w:val="0"/>
                    <w:keepLines w:val="0"/>
                    <w:widowControl/>
                    <w:suppressLineNumbers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面源长度</w:t>
                  </w:r>
                </w:p>
                <w:p w14:paraId="5EB7BD64">
                  <w:pPr>
                    <w:keepNext w:val="0"/>
                    <w:keepLines w:val="0"/>
                    <w:widowControl/>
                    <w:suppressLineNumbers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m</w:t>
                  </w:r>
                </w:p>
              </w:tc>
              <w:tc>
                <w:tcPr>
                  <w:tcW w:w="688" w:type="pct"/>
                  <w:vMerge w:val="restart"/>
                  <w:noWrap w:val="0"/>
                  <w:tcMar>
                    <w:top w:w="0" w:type="dxa"/>
                    <w:left w:w="0" w:type="dxa"/>
                    <w:bottom w:w="0" w:type="dxa"/>
                    <w:right w:w="0" w:type="dxa"/>
                  </w:tcMar>
                  <w:vAlign w:val="center"/>
                </w:tcPr>
                <w:p w14:paraId="02BBF2A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面源宽度</w:t>
                  </w:r>
                </w:p>
                <w:p w14:paraId="42DC676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m</w:t>
                  </w:r>
                </w:p>
              </w:tc>
              <w:tc>
                <w:tcPr>
                  <w:tcW w:w="518" w:type="pct"/>
                  <w:vMerge w:val="restart"/>
                  <w:noWrap w:val="0"/>
                  <w:tcMar>
                    <w:top w:w="0" w:type="dxa"/>
                    <w:left w:w="0" w:type="dxa"/>
                    <w:bottom w:w="0" w:type="dxa"/>
                    <w:right w:w="0" w:type="dxa"/>
                  </w:tcMar>
                  <w:vAlign w:val="center"/>
                </w:tcPr>
                <w:p w14:paraId="17F151C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与正北</w:t>
                  </w:r>
                </w:p>
                <w:p w14:paraId="4FE07BD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夹角/°</w:t>
                  </w:r>
                </w:p>
              </w:tc>
              <w:tc>
                <w:tcPr>
                  <w:tcW w:w="688" w:type="pct"/>
                  <w:vMerge w:val="restart"/>
                  <w:noWrap w:val="0"/>
                  <w:tcMar>
                    <w:top w:w="0" w:type="dxa"/>
                    <w:left w:w="0" w:type="dxa"/>
                    <w:bottom w:w="0" w:type="dxa"/>
                    <w:right w:w="0" w:type="dxa"/>
                  </w:tcMar>
                  <w:vAlign w:val="center"/>
                </w:tcPr>
                <w:p w14:paraId="0DFE1AE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面源有效</w:t>
                  </w:r>
                </w:p>
                <w:p w14:paraId="1062515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高度</w:t>
                  </w:r>
                </w:p>
                <w:p w14:paraId="0103944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m</w:t>
                  </w:r>
                </w:p>
              </w:tc>
              <w:tc>
                <w:tcPr>
                  <w:tcW w:w="518" w:type="pct"/>
                  <w:vMerge w:val="restart"/>
                  <w:noWrap w:val="0"/>
                  <w:tcMar>
                    <w:top w:w="0" w:type="dxa"/>
                    <w:left w:w="0" w:type="dxa"/>
                    <w:bottom w:w="0" w:type="dxa"/>
                    <w:right w:w="0" w:type="dxa"/>
                  </w:tcMar>
                  <w:vAlign w:val="center"/>
                </w:tcPr>
                <w:p w14:paraId="0DCFB7C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年排放</w:t>
                  </w:r>
                </w:p>
                <w:p w14:paraId="6925FCF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小时数</w:t>
                  </w:r>
                </w:p>
              </w:tc>
              <w:tc>
                <w:tcPr>
                  <w:tcW w:w="876" w:type="pct"/>
                  <w:noWrap w:val="0"/>
                  <w:tcMar>
                    <w:top w:w="0" w:type="dxa"/>
                    <w:left w:w="0" w:type="dxa"/>
                    <w:bottom w:w="0" w:type="dxa"/>
                    <w:right w:w="0" w:type="dxa"/>
                  </w:tcMar>
                  <w:vAlign w:val="center"/>
                </w:tcPr>
                <w:p w14:paraId="6C72293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排放速率</w:t>
                  </w:r>
                </w:p>
              </w:tc>
            </w:tr>
            <w:tr w14:paraId="14969EE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020" w:type="pct"/>
                  <w:vMerge w:val="continue"/>
                  <w:noWrap w:val="0"/>
                  <w:tcMar>
                    <w:top w:w="0" w:type="dxa"/>
                    <w:left w:w="0" w:type="dxa"/>
                    <w:bottom w:w="0" w:type="dxa"/>
                    <w:right w:w="0" w:type="dxa"/>
                  </w:tcMar>
                  <w:vAlign w:val="center"/>
                </w:tcPr>
                <w:p w14:paraId="771B3DC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688" w:type="pct"/>
                  <w:vMerge w:val="continue"/>
                  <w:noWrap w:val="0"/>
                  <w:tcMar>
                    <w:top w:w="0" w:type="dxa"/>
                    <w:left w:w="0" w:type="dxa"/>
                    <w:bottom w:w="0" w:type="dxa"/>
                    <w:right w:w="0" w:type="dxa"/>
                  </w:tcMar>
                  <w:vAlign w:val="center"/>
                </w:tcPr>
                <w:p w14:paraId="1007D66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688" w:type="pct"/>
                  <w:vMerge w:val="continue"/>
                  <w:noWrap w:val="0"/>
                  <w:tcMar>
                    <w:top w:w="0" w:type="dxa"/>
                    <w:left w:w="0" w:type="dxa"/>
                    <w:bottom w:w="0" w:type="dxa"/>
                    <w:right w:w="0" w:type="dxa"/>
                  </w:tcMar>
                  <w:vAlign w:val="center"/>
                </w:tcPr>
                <w:p w14:paraId="0DF0024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518" w:type="pct"/>
                  <w:vMerge w:val="continue"/>
                  <w:noWrap w:val="0"/>
                  <w:tcMar>
                    <w:top w:w="0" w:type="dxa"/>
                    <w:left w:w="0" w:type="dxa"/>
                    <w:bottom w:w="0" w:type="dxa"/>
                    <w:right w:w="0" w:type="dxa"/>
                  </w:tcMar>
                  <w:vAlign w:val="center"/>
                </w:tcPr>
                <w:p w14:paraId="778C2E1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688" w:type="pct"/>
                  <w:vMerge w:val="continue"/>
                  <w:noWrap w:val="0"/>
                  <w:tcMar>
                    <w:top w:w="0" w:type="dxa"/>
                    <w:left w:w="0" w:type="dxa"/>
                    <w:bottom w:w="0" w:type="dxa"/>
                    <w:right w:w="0" w:type="dxa"/>
                  </w:tcMar>
                  <w:vAlign w:val="center"/>
                </w:tcPr>
                <w:p w14:paraId="6DA0E38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518" w:type="pct"/>
                  <w:vMerge w:val="continue"/>
                  <w:noWrap w:val="0"/>
                  <w:tcMar>
                    <w:top w:w="0" w:type="dxa"/>
                    <w:left w:w="0" w:type="dxa"/>
                    <w:bottom w:w="0" w:type="dxa"/>
                    <w:right w:w="0" w:type="dxa"/>
                  </w:tcMar>
                  <w:vAlign w:val="center"/>
                </w:tcPr>
                <w:p w14:paraId="4F79BD5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876" w:type="pct"/>
                  <w:shd w:val="clear" w:color="auto" w:fill="auto"/>
                  <w:noWrap w:val="0"/>
                  <w:tcMar>
                    <w:top w:w="0" w:type="dxa"/>
                    <w:left w:w="0" w:type="dxa"/>
                    <w:bottom w:w="0" w:type="dxa"/>
                    <w:right w:w="0" w:type="dxa"/>
                  </w:tcMar>
                  <w:vAlign w:val="center"/>
                </w:tcPr>
                <w:p w14:paraId="33A142A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颗粒物</w:t>
                  </w: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kg/h</w:t>
                  </w:r>
                </w:p>
              </w:tc>
            </w:tr>
            <w:tr w14:paraId="65C8830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20" w:type="pct"/>
                  <w:vMerge w:val="restart"/>
                  <w:noWrap w:val="0"/>
                  <w:tcMar>
                    <w:top w:w="0" w:type="dxa"/>
                    <w:left w:w="0" w:type="dxa"/>
                    <w:bottom w:w="0" w:type="dxa"/>
                    <w:right w:w="0" w:type="dxa"/>
                  </w:tcMar>
                  <w:vAlign w:val="center"/>
                </w:tcPr>
                <w:p w14:paraId="79105D3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前处理车间</w:t>
                  </w:r>
                </w:p>
              </w:tc>
              <w:tc>
                <w:tcPr>
                  <w:tcW w:w="688" w:type="pct"/>
                  <w:vMerge w:val="restart"/>
                  <w:noWrap w:val="0"/>
                  <w:tcMar>
                    <w:top w:w="0" w:type="dxa"/>
                    <w:left w:w="0" w:type="dxa"/>
                    <w:bottom w:w="0" w:type="dxa"/>
                    <w:right w:w="0" w:type="dxa"/>
                  </w:tcMar>
                  <w:vAlign w:val="center"/>
                </w:tcPr>
                <w:p w14:paraId="26E94B71">
                  <w:pPr>
                    <w:pStyle w:val="99"/>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43.47</w:t>
                  </w:r>
                </w:p>
              </w:tc>
              <w:tc>
                <w:tcPr>
                  <w:tcW w:w="688" w:type="pct"/>
                  <w:vMerge w:val="restart"/>
                  <w:noWrap w:val="0"/>
                  <w:tcMar>
                    <w:top w:w="0" w:type="dxa"/>
                    <w:left w:w="0" w:type="dxa"/>
                    <w:bottom w:w="0" w:type="dxa"/>
                    <w:right w:w="0" w:type="dxa"/>
                  </w:tcMar>
                  <w:vAlign w:val="center"/>
                </w:tcPr>
                <w:p w14:paraId="4F7494EE">
                  <w:pPr>
                    <w:pStyle w:val="99"/>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21.84</w:t>
                  </w:r>
                </w:p>
              </w:tc>
              <w:tc>
                <w:tcPr>
                  <w:tcW w:w="518" w:type="pct"/>
                  <w:vMerge w:val="restart"/>
                  <w:noWrap w:val="0"/>
                  <w:tcMar>
                    <w:top w:w="0" w:type="dxa"/>
                    <w:left w:w="0" w:type="dxa"/>
                    <w:bottom w:w="0" w:type="dxa"/>
                    <w:right w:w="0" w:type="dxa"/>
                  </w:tcMar>
                  <w:vAlign w:val="center"/>
                </w:tcPr>
                <w:p w14:paraId="5EE28FCC">
                  <w:pPr>
                    <w:pStyle w:val="99"/>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w:t>
                  </w:r>
                </w:p>
              </w:tc>
              <w:tc>
                <w:tcPr>
                  <w:tcW w:w="688" w:type="pct"/>
                  <w:vMerge w:val="restart"/>
                  <w:noWrap w:val="0"/>
                  <w:tcMar>
                    <w:top w:w="0" w:type="dxa"/>
                    <w:left w:w="0" w:type="dxa"/>
                    <w:bottom w:w="0" w:type="dxa"/>
                    <w:right w:w="0" w:type="dxa"/>
                  </w:tcMar>
                  <w:vAlign w:val="center"/>
                </w:tcPr>
                <w:p w14:paraId="0ED24021">
                  <w:pPr>
                    <w:pStyle w:val="99"/>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w:t>
                  </w:r>
                </w:p>
              </w:tc>
              <w:tc>
                <w:tcPr>
                  <w:tcW w:w="518" w:type="pct"/>
                  <w:noWrap w:val="0"/>
                  <w:tcMar>
                    <w:top w:w="0" w:type="dxa"/>
                    <w:left w:w="0" w:type="dxa"/>
                    <w:bottom w:w="0" w:type="dxa"/>
                    <w:right w:w="0" w:type="dxa"/>
                  </w:tcMar>
                  <w:vAlign w:val="center"/>
                </w:tcPr>
                <w:p w14:paraId="4CE96088">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3000</w:t>
                  </w:r>
                </w:p>
              </w:tc>
              <w:tc>
                <w:tcPr>
                  <w:tcW w:w="876" w:type="pct"/>
                  <w:shd w:val="clear" w:color="auto" w:fill="auto"/>
                  <w:noWrap w:val="0"/>
                  <w:tcMar>
                    <w:top w:w="0" w:type="dxa"/>
                    <w:left w:w="0" w:type="dxa"/>
                    <w:bottom w:w="0" w:type="dxa"/>
                    <w:right w:w="0" w:type="dxa"/>
                  </w:tcMar>
                  <w:vAlign w:val="center"/>
                </w:tcPr>
                <w:p w14:paraId="2F05D12B">
                  <w:pPr>
                    <w:pStyle w:val="99"/>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宋体"/>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0.0256</w:t>
                  </w:r>
                </w:p>
              </w:tc>
            </w:tr>
            <w:tr w14:paraId="6BB68AA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20" w:type="pct"/>
                  <w:vMerge w:val="continue"/>
                  <w:noWrap w:val="0"/>
                  <w:tcMar>
                    <w:top w:w="0" w:type="dxa"/>
                    <w:left w:w="0" w:type="dxa"/>
                    <w:bottom w:w="0" w:type="dxa"/>
                    <w:right w:w="0" w:type="dxa"/>
                  </w:tcMar>
                  <w:vAlign w:val="center"/>
                </w:tcPr>
                <w:p w14:paraId="47E7A05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688" w:type="pct"/>
                  <w:vMerge w:val="continue"/>
                  <w:noWrap w:val="0"/>
                  <w:tcMar>
                    <w:top w:w="0" w:type="dxa"/>
                    <w:left w:w="0" w:type="dxa"/>
                    <w:bottom w:w="0" w:type="dxa"/>
                    <w:right w:w="0" w:type="dxa"/>
                  </w:tcMar>
                  <w:vAlign w:val="center"/>
                </w:tcPr>
                <w:p w14:paraId="03A0C9BC">
                  <w:pPr>
                    <w:pStyle w:val="99"/>
                    <w:keepNext w:val="0"/>
                    <w:keepLines w:val="0"/>
                    <w:suppressLineNumbers w:val="0"/>
                    <w:spacing w:before="0" w:beforeAutospacing="0" w:after="0" w:afterAutospacing="0"/>
                    <w:ind w:left="0" w:right="0" w:firstLine="0" w:firstLineChars="0"/>
                    <w:jc w:val="center"/>
                    <w:rPr>
                      <w:rFonts w:hint="eastAsia" w:cs="Times New Roman"/>
                      <w:color w:val="000000" w:themeColor="text1"/>
                      <w:sz w:val="21"/>
                      <w:szCs w:val="21"/>
                      <w:highlight w:val="none"/>
                      <w:lang w:val="en-US" w:eastAsia="zh-CN"/>
                      <w14:textFill>
                        <w14:solidFill>
                          <w14:schemeClr w14:val="tx1"/>
                        </w14:solidFill>
                      </w14:textFill>
                    </w:rPr>
                  </w:pPr>
                </w:p>
              </w:tc>
              <w:tc>
                <w:tcPr>
                  <w:tcW w:w="688" w:type="pct"/>
                  <w:vMerge w:val="continue"/>
                  <w:noWrap w:val="0"/>
                  <w:tcMar>
                    <w:top w:w="0" w:type="dxa"/>
                    <w:left w:w="0" w:type="dxa"/>
                    <w:bottom w:w="0" w:type="dxa"/>
                    <w:right w:w="0" w:type="dxa"/>
                  </w:tcMar>
                  <w:vAlign w:val="center"/>
                </w:tcPr>
                <w:p w14:paraId="65F2C97C">
                  <w:pPr>
                    <w:pStyle w:val="99"/>
                    <w:keepNext w:val="0"/>
                    <w:keepLines w:val="0"/>
                    <w:suppressLineNumbers w:val="0"/>
                    <w:spacing w:before="0" w:beforeAutospacing="0" w:after="0" w:afterAutospacing="0"/>
                    <w:ind w:left="0" w:right="0" w:firstLine="0" w:firstLineChars="0"/>
                    <w:jc w:val="center"/>
                    <w:rPr>
                      <w:rFonts w:hint="eastAsia" w:cs="Times New Roman"/>
                      <w:color w:val="000000" w:themeColor="text1"/>
                      <w:sz w:val="21"/>
                      <w:szCs w:val="21"/>
                      <w:highlight w:val="none"/>
                      <w:lang w:val="en-US" w:eastAsia="zh-CN"/>
                      <w14:textFill>
                        <w14:solidFill>
                          <w14:schemeClr w14:val="tx1"/>
                        </w14:solidFill>
                      </w14:textFill>
                    </w:rPr>
                  </w:pPr>
                </w:p>
              </w:tc>
              <w:tc>
                <w:tcPr>
                  <w:tcW w:w="518" w:type="pct"/>
                  <w:vMerge w:val="continue"/>
                  <w:noWrap w:val="0"/>
                  <w:tcMar>
                    <w:top w:w="0" w:type="dxa"/>
                    <w:left w:w="0" w:type="dxa"/>
                    <w:bottom w:w="0" w:type="dxa"/>
                    <w:right w:w="0" w:type="dxa"/>
                  </w:tcMar>
                  <w:vAlign w:val="center"/>
                </w:tcPr>
                <w:p w14:paraId="7C43A6F3">
                  <w:pPr>
                    <w:pStyle w:val="99"/>
                    <w:keepNext w:val="0"/>
                    <w:keepLines w:val="0"/>
                    <w:suppressLineNumbers w:val="0"/>
                    <w:spacing w:before="0" w:beforeAutospacing="0" w:after="0" w:afterAutospacing="0"/>
                    <w:ind w:left="0" w:right="0" w:firstLine="0" w:firstLineChars="0"/>
                    <w:jc w:val="center"/>
                    <w:rPr>
                      <w:rFonts w:hint="eastAsia" w:cs="Times New Roman"/>
                      <w:color w:val="000000" w:themeColor="text1"/>
                      <w:sz w:val="21"/>
                      <w:szCs w:val="21"/>
                      <w:highlight w:val="none"/>
                      <w:lang w:val="en-US" w:eastAsia="zh-CN"/>
                      <w14:textFill>
                        <w14:solidFill>
                          <w14:schemeClr w14:val="tx1"/>
                        </w14:solidFill>
                      </w14:textFill>
                    </w:rPr>
                  </w:pPr>
                </w:p>
              </w:tc>
              <w:tc>
                <w:tcPr>
                  <w:tcW w:w="688" w:type="pct"/>
                  <w:vMerge w:val="continue"/>
                  <w:noWrap w:val="0"/>
                  <w:tcMar>
                    <w:top w:w="0" w:type="dxa"/>
                    <w:left w:w="0" w:type="dxa"/>
                    <w:bottom w:w="0" w:type="dxa"/>
                    <w:right w:w="0" w:type="dxa"/>
                  </w:tcMar>
                  <w:vAlign w:val="center"/>
                </w:tcPr>
                <w:p w14:paraId="1C39E27C">
                  <w:pPr>
                    <w:pStyle w:val="99"/>
                    <w:keepNext w:val="0"/>
                    <w:keepLines w:val="0"/>
                    <w:suppressLineNumbers w:val="0"/>
                    <w:spacing w:before="0" w:beforeAutospacing="0" w:after="0" w:afterAutospacing="0"/>
                    <w:ind w:left="0" w:right="0" w:firstLine="0" w:firstLineChars="0"/>
                    <w:jc w:val="center"/>
                    <w:rPr>
                      <w:rFonts w:hint="eastAsia" w:cs="Times New Roman"/>
                      <w:color w:val="000000" w:themeColor="text1"/>
                      <w:sz w:val="21"/>
                      <w:szCs w:val="21"/>
                      <w:highlight w:val="none"/>
                      <w:lang w:val="en-US" w:eastAsia="zh-CN"/>
                      <w14:textFill>
                        <w14:solidFill>
                          <w14:schemeClr w14:val="tx1"/>
                        </w14:solidFill>
                      </w14:textFill>
                    </w:rPr>
                  </w:pPr>
                </w:p>
              </w:tc>
              <w:tc>
                <w:tcPr>
                  <w:tcW w:w="518" w:type="pct"/>
                  <w:noWrap w:val="0"/>
                  <w:tcMar>
                    <w:top w:w="0" w:type="dxa"/>
                    <w:left w:w="0" w:type="dxa"/>
                    <w:bottom w:w="0" w:type="dxa"/>
                    <w:right w:w="0" w:type="dxa"/>
                  </w:tcMar>
                  <w:vAlign w:val="center"/>
                </w:tcPr>
                <w:p w14:paraId="1C4F3C8A">
                  <w:pPr>
                    <w:keepNext w:val="0"/>
                    <w:keepLines w:val="0"/>
                    <w:suppressLineNumbers w:val="0"/>
                    <w:spacing w:before="0" w:beforeAutospacing="0" w:after="0" w:afterAutospacing="0"/>
                    <w:ind w:left="0" w:right="0" w:firstLine="0" w:firstLineChars="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750</w:t>
                  </w:r>
                </w:p>
              </w:tc>
              <w:tc>
                <w:tcPr>
                  <w:tcW w:w="876" w:type="pct"/>
                  <w:shd w:val="clear" w:color="auto" w:fill="auto"/>
                  <w:noWrap w:val="0"/>
                  <w:tcMar>
                    <w:top w:w="0" w:type="dxa"/>
                    <w:left w:w="0" w:type="dxa"/>
                    <w:bottom w:w="0" w:type="dxa"/>
                    <w:right w:w="0" w:type="dxa"/>
                  </w:tcMar>
                  <w:vAlign w:val="center"/>
                </w:tcPr>
                <w:p w14:paraId="4C2FC22E">
                  <w:pPr>
                    <w:pStyle w:val="99"/>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0.0083</w:t>
                  </w:r>
                </w:p>
              </w:tc>
            </w:tr>
            <w:tr w14:paraId="77CD093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20" w:type="pct"/>
                  <w:noWrap w:val="0"/>
                  <w:tcMar>
                    <w:top w:w="0" w:type="dxa"/>
                    <w:left w:w="0" w:type="dxa"/>
                    <w:bottom w:w="0" w:type="dxa"/>
                    <w:right w:w="0" w:type="dxa"/>
                  </w:tcMar>
                  <w:vAlign w:val="center"/>
                </w:tcPr>
                <w:p w14:paraId="60523E0B">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创新制剂车间</w:t>
                  </w:r>
                </w:p>
              </w:tc>
              <w:tc>
                <w:tcPr>
                  <w:tcW w:w="688" w:type="pct"/>
                  <w:noWrap w:val="0"/>
                  <w:tcMar>
                    <w:top w:w="0" w:type="dxa"/>
                    <w:left w:w="0" w:type="dxa"/>
                    <w:bottom w:w="0" w:type="dxa"/>
                    <w:right w:w="0" w:type="dxa"/>
                  </w:tcMar>
                  <w:vAlign w:val="center"/>
                </w:tcPr>
                <w:p w14:paraId="45C13107">
                  <w:pPr>
                    <w:pStyle w:val="99"/>
                    <w:keepNext w:val="0"/>
                    <w:keepLines w:val="0"/>
                    <w:suppressLineNumbers w:val="0"/>
                    <w:spacing w:before="0" w:beforeAutospacing="0" w:after="0" w:afterAutospacing="0"/>
                    <w:ind w:left="0" w:right="0" w:firstLine="0" w:firstLineChars="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60.74</w:t>
                  </w:r>
                </w:p>
              </w:tc>
              <w:tc>
                <w:tcPr>
                  <w:tcW w:w="688" w:type="pct"/>
                  <w:noWrap w:val="0"/>
                  <w:tcMar>
                    <w:top w:w="0" w:type="dxa"/>
                    <w:left w:w="0" w:type="dxa"/>
                    <w:bottom w:w="0" w:type="dxa"/>
                    <w:right w:w="0" w:type="dxa"/>
                  </w:tcMar>
                  <w:vAlign w:val="center"/>
                </w:tcPr>
                <w:p w14:paraId="31686DFF">
                  <w:pPr>
                    <w:pStyle w:val="99"/>
                    <w:keepNext w:val="0"/>
                    <w:keepLines w:val="0"/>
                    <w:suppressLineNumbers w:val="0"/>
                    <w:spacing w:before="0" w:beforeAutospacing="0" w:after="0" w:afterAutospacing="0"/>
                    <w:ind w:left="0" w:right="0" w:firstLine="0" w:firstLine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48.72</w:t>
                  </w:r>
                </w:p>
              </w:tc>
              <w:tc>
                <w:tcPr>
                  <w:tcW w:w="518" w:type="pct"/>
                  <w:noWrap w:val="0"/>
                  <w:tcMar>
                    <w:top w:w="0" w:type="dxa"/>
                    <w:left w:w="0" w:type="dxa"/>
                    <w:bottom w:w="0" w:type="dxa"/>
                    <w:right w:w="0" w:type="dxa"/>
                  </w:tcMar>
                  <w:vAlign w:val="center"/>
                </w:tcPr>
                <w:p w14:paraId="6392FC0E">
                  <w:pPr>
                    <w:pStyle w:val="99"/>
                    <w:keepNext w:val="0"/>
                    <w:keepLines w:val="0"/>
                    <w:suppressLineNumbers w:val="0"/>
                    <w:spacing w:before="0" w:beforeAutospacing="0" w:after="0" w:afterAutospacing="0"/>
                    <w:ind w:left="0" w:right="0" w:firstLine="0" w:firstLineChars="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w:t>
                  </w:r>
                </w:p>
              </w:tc>
              <w:tc>
                <w:tcPr>
                  <w:tcW w:w="688" w:type="pct"/>
                  <w:noWrap w:val="0"/>
                  <w:tcMar>
                    <w:top w:w="0" w:type="dxa"/>
                    <w:left w:w="0" w:type="dxa"/>
                    <w:bottom w:w="0" w:type="dxa"/>
                    <w:right w:w="0" w:type="dxa"/>
                  </w:tcMar>
                  <w:vAlign w:val="center"/>
                </w:tcPr>
                <w:p w14:paraId="06B93809">
                  <w:pPr>
                    <w:pStyle w:val="99"/>
                    <w:keepNext w:val="0"/>
                    <w:keepLines w:val="0"/>
                    <w:suppressLineNumbers w:val="0"/>
                    <w:spacing w:before="0" w:beforeAutospacing="0" w:after="0" w:afterAutospacing="0"/>
                    <w:ind w:left="0" w:right="0" w:firstLine="0" w:firstLineChars="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w:t>
                  </w:r>
                </w:p>
              </w:tc>
              <w:tc>
                <w:tcPr>
                  <w:tcW w:w="518" w:type="pct"/>
                  <w:noWrap w:val="0"/>
                  <w:tcMar>
                    <w:top w:w="0" w:type="dxa"/>
                    <w:left w:w="0" w:type="dxa"/>
                    <w:bottom w:w="0" w:type="dxa"/>
                    <w:right w:w="0" w:type="dxa"/>
                  </w:tcMar>
                  <w:vAlign w:val="center"/>
                </w:tcPr>
                <w:p w14:paraId="0012FA60">
                  <w:pPr>
                    <w:keepNext w:val="0"/>
                    <w:keepLines w:val="0"/>
                    <w:suppressLineNumbers w:val="0"/>
                    <w:spacing w:before="0" w:beforeAutospacing="0" w:after="0" w:afterAutospacing="0"/>
                    <w:ind w:left="0" w:right="0" w:firstLine="0" w:firstLineChars="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3000</w:t>
                  </w:r>
                </w:p>
              </w:tc>
              <w:tc>
                <w:tcPr>
                  <w:tcW w:w="876" w:type="pct"/>
                  <w:shd w:val="clear" w:color="auto" w:fill="auto"/>
                  <w:noWrap w:val="0"/>
                  <w:tcMar>
                    <w:top w:w="0" w:type="dxa"/>
                    <w:left w:w="0" w:type="dxa"/>
                    <w:bottom w:w="0" w:type="dxa"/>
                    <w:right w:w="0" w:type="dxa"/>
                  </w:tcMar>
                  <w:vAlign w:val="center"/>
                </w:tcPr>
                <w:p w14:paraId="534411E3">
                  <w:pPr>
                    <w:pStyle w:val="99"/>
                    <w:keepNext w:val="0"/>
                    <w:keepLines w:val="0"/>
                    <w:suppressLineNumbers w:val="0"/>
                    <w:spacing w:before="0" w:beforeAutospacing="0" w:after="0" w:afterAutospacing="0"/>
                    <w:ind w:left="0" w:leftChars="0" w:right="0" w:rightChars="0" w:firstLine="0" w:firstLineChars="0"/>
                    <w:jc w:val="center"/>
                    <w:rPr>
                      <w:rFonts w:hint="eastAsia"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0.0028</w:t>
                  </w:r>
                </w:p>
              </w:tc>
            </w:tr>
            <w:tr w14:paraId="171AB9D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20" w:type="pct"/>
                  <w:noWrap w:val="0"/>
                  <w:tcMar>
                    <w:top w:w="0" w:type="dxa"/>
                    <w:left w:w="0" w:type="dxa"/>
                    <w:bottom w:w="0" w:type="dxa"/>
                    <w:right w:w="0" w:type="dxa"/>
                  </w:tcMar>
                  <w:vAlign w:val="center"/>
                </w:tcPr>
                <w:p w14:paraId="141450D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综合制剂车间</w:t>
                  </w:r>
                </w:p>
              </w:tc>
              <w:tc>
                <w:tcPr>
                  <w:tcW w:w="1165" w:type="dxa"/>
                  <w:noWrap w:val="0"/>
                  <w:tcMar>
                    <w:top w:w="0" w:type="dxa"/>
                    <w:left w:w="0" w:type="dxa"/>
                    <w:bottom w:w="0" w:type="dxa"/>
                    <w:right w:w="0" w:type="dxa"/>
                  </w:tcMar>
                  <w:vAlign w:val="center"/>
                </w:tcPr>
                <w:p w14:paraId="3B62273E">
                  <w:pPr>
                    <w:pStyle w:val="99"/>
                    <w:keepNext w:val="0"/>
                    <w:keepLines w:val="0"/>
                    <w:suppressLineNumbers w:val="0"/>
                    <w:spacing w:before="0" w:beforeAutospacing="0" w:after="0" w:afterAutospacing="0"/>
                    <w:ind w:left="0" w:leftChars="0" w:right="0" w:rightChars="0" w:firstLine="0" w:firstLine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60.74</w:t>
                  </w:r>
                </w:p>
              </w:tc>
              <w:tc>
                <w:tcPr>
                  <w:tcW w:w="1166" w:type="dxa"/>
                  <w:noWrap w:val="0"/>
                  <w:tcMar>
                    <w:top w:w="0" w:type="dxa"/>
                    <w:left w:w="0" w:type="dxa"/>
                    <w:bottom w:w="0" w:type="dxa"/>
                    <w:right w:w="0" w:type="dxa"/>
                  </w:tcMar>
                  <w:vAlign w:val="center"/>
                </w:tcPr>
                <w:p w14:paraId="6F24D1A0">
                  <w:pPr>
                    <w:pStyle w:val="99"/>
                    <w:keepNext w:val="0"/>
                    <w:keepLines w:val="0"/>
                    <w:suppressLineNumbers w:val="0"/>
                    <w:spacing w:before="0" w:beforeAutospacing="0" w:after="0" w:afterAutospacing="0"/>
                    <w:ind w:left="0" w:leftChars="0" w:right="0" w:rightChars="0" w:firstLine="0" w:firstLine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48.72</w:t>
                  </w:r>
                </w:p>
              </w:tc>
              <w:tc>
                <w:tcPr>
                  <w:tcW w:w="878" w:type="dxa"/>
                  <w:noWrap w:val="0"/>
                  <w:tcMar>
                    <w:top w:w="0" w:type="dxa"/>
                    <w:left w:w="0" w:type="dxa"/>
                    <w:bottom w:w="0" w:type="dxa"/>
                    <w:right w:w="0" w:type="dxa"/>
                  </w:tcMar>
                  <w:vAlign w:val="center"/>
                </w:tcPr>
                <w:p w14:paraId="229873AD">
                  <w:pPr>
                    <w:pStyle w:val="99"/>
                    <w:keepNext w:val="0"/>
                    <w:keepLines w:val="0"/>
                    <w:suppressLineNumbers w:val="0"/>
                    <w:spacing w:before="0" w:beforeAutospacing="0" w:after="0" w:afterAutospacing="0"/>
                    <w:ind w:left="0" w:leftChars="0" w:right="0" w:rightChars="0" w:firstLine="0" w:firstLine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w:t>
                  </w:r>
                </w:p>
              </w:tc>
              <w:tc>
                <w:tcPr>
                  <w:tcW w:w="1166" w:type="dxa"/>
                  <w:noWrap w:val="0"/>
                  <w:tcMar>
                    <w:top w:w="0" w:type="dxa"/>
                    <w:left w:w="0" w:type="dxa"/>
                    <w:bottom w:w="0" w:type="dxa"/>
                    <w:right w:w="0" w:type="dxa"/>
                  </w:tcMar>
                  <w:vAlign w:val="center"/>
                </w:tcPr>
                <w:p w14:paraId="7F82BBA3">
                  <w:pPr>
                    <w:pStyle w:val="99"/>
                    <w:keepNext w:val="0"/>
                    <w:keepLines w:val="0"/>
                    <w:suppressLineNumbers w:val="0"/>
                    <w:spacing w:before="0" w:beforeAutospacing="0" w:after="0" w:afterAutospacing="0"/>
                    <w:ind w:left="0" w:leftChars="0" w:right="0" w:rightChars="0" w:firstLine="0" w:firstLine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w:t>
                  </w:r>
                </w:p>
              </w:tc>
              <w:tc>
                <w:tcPr>
                  <w:tcW w:w="518" w:type="pct"/>
                  <w:noWrap w:val="0"/>
                  <w:tcMar>
                    <w:top w:w="0" w:type="dxa"/>
                    <w:left w:w="0" w:type="dxa"/>
                    <w:bottom w:w="0" w:type="dxa"/>
                    <w:right w:w="0" w:type="dxa"/>
                  </w:tcMar>
                  <w:vAlign w:val="center"/>
                </w:tcPr>
                <w:p w14:paraId="444EE6AE">
                  <w:pPr>
                    <w:keepNext w:val="0"/>
                    <w:keepLines w:val="0"/>
                    <w:suppressLineNumbers w:val="0"/>
                    <w:spacing w:before="0" w:beforeAutospacing="0" w:after="0" w:afterAutospacing="0"/>
                    <w:ind w:left="0" w:right="0" w:firstLine="0" w:firstLineChars="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4000</w:t>
                  </w:r>
                </w:p>
              </w:tc>
              <w:tc>
                <w:tcPr>
                  <w:tcW w:w="876" w:type="pct"/>
                  <w:shd w:val="clear" w:color="auto" w:fill="auto"/>
                  <w:noWrap w:val="0"/>
                  <w:tcMar>
                    <w:top w:w="0" w:type="dxa"/>
                    <w:left w:w="0" w:type="dxa"/>
                    <w:bottom w:w="0" w:type="dxa"/>
                    <w:right w:w="0" w:type="dxa"/>
                  </w:tcMar>
                  <w:vAlign w:val="center"/>
                </w:tcPr>
                <w:p w14:paraId="6B767369">
                  <w:pPr>
                    <w:pStyle w:val="99"/>
                    <w:keepNext w:val="0"/>
                    <w:keepLines w:val="0"/>
                    <w:suppressLineNumbers w:val="0"/>
                    <w:spacing w:before="0" w:beforeAutospacing="0" w:after="0" w:afterAutospacing="0"/>
                    <w:ind w:left="0" w:leftChars="0" w:right="0" w:rightChars="0"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0.0</w:t>
                  </w:r>
                  <w:r>
                    <w:rPr>
                      <w:rFonts w:hint="eastAsia" w:eastAsia="宋体" w:cs="Times New Roman"/>
                      <w:color w:val="000000" w:themeColor="text1"/>
                      <w:kern w:val="2"/>
                      <w:sz w:val="21"/>
                      <w:szCs w:val="21"/>
                      <w:highlight w:val="none"/>
                      <w:lang w:val="en-US" w:eastAsia="zh-CN" w:bidi="ar-SA"/>
                      <w14:textFill>
                        <w14:solidFill>
                          <w14:schemeClr w14:val="tx1"/>
                        </w14:solidFill>
                      </w14:textFill>
                    </w:rPr>
                    <w:t>255</w:t>
                  </w:r>
                </w:p>
              </w:tc>
            </w:tr>
          </w:tbl>
          <w:p w14:paraId="148AD44B">
            <w:pPr>
              <w:keepNext w:val="0"/>
              <w:keepLines w:val="0"/>
              <w:pageBreakBefore w:val="0"/>
              <w:widowControl w:val="0"/>
              <w:numPr>
                <w:ilvl w:val="0"/>
                <w:numId w:val="26"/>
              </w:numPr>
              <w:suppressLineNumbers w:val="0"/>
              <w:kinsoku/>
              <w:wordWrap/>
              <w:overflowPunct/>
              <w:topLinePunct w:val="0"/>
              <w:autoSpaceDE/>
              <w:autoSpaceDN/>
              <w:bidi w:val="0"/>
              <w:adjustRightInd/>
              <w:snapToGrid w:val="0"/>
              <w:spacing w:before="157" w:beforeLines="5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主要污染源估算模型计算结果表</w:t>
            </w:r>
          </w:p>
          <w:tbl>
            <w:tblPr>
              <w:tblStyle w:val="35"/>
              <w:tblW w:w="4998"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51"/>
              <w:gridCol w:w="2366"/>
              <w:gridCol w:w="1568"/>
              <w:gridCol w:w="1827"/>
              <w:gridCol w:w="1052"/>
            </w:tblGrid>
            <w:tr w14:paraId="774C895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7" w:type="pct"/>
                  <w:vMerge w:val="restart"/>
                  <w:noWrap w:val="0"/>
                  <w:tcMar>
                    <w:top w:w="0" w:type="dxa"/>
                    <w:left w:w="0" w:type="dxa"/>
                    <w:bottom w:w="0" w:type="dxa"/>
                    <w:right w:w="0" w:type="dxa"/>
                  </w:tcMar>
                  <w:vAlign w:val="center"/>
                </w:tcPr>
                <w:p w14:paraId="61203C9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污染源</w:t>
                  </w:r>
                </w:p>
              </w:tc>
              <w:tc>
                <w:tcPr>
                  <w:tcW w:w="4072" w:type="pct"/>
                  <w:gridSpan w:val="4"/>
                  <w:noWrap w:val="0"/>
                  <w:tcMar>
                    <w:top w:w="0" w:type="dxa"/>
                    <w:left w:w="0" w:type="dxa"/>
                    <w:bottom w:w="0" w:type="dxa"/>
                    <w:right w:w="0" w:type="dxa"/>
                  </w:tcMar>
                  <w:vAlign w:val="center"/>
                </w:tcPr>
                <w:p w14:paraId="3CCE5D9B">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估算结果汇总</w:t>
                  </w:r>
                </w:p>
              </w:tc>
            </w:tr>
            <w:tr w14:paraId="2D3312D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7" w:type="pct"/>
                  <w:vMerge w:val="continue"/>
                  <w:noWrap w:val="0"/>
                  <w:tcMar>
                    <w:top w:w="0" w:type="dxa"/>
                    <w:left w:w="0" w:type="dxa"/>
                    <w:bottom w:w="0" w:type="dxa"/>
                    <w:right w:w="0" w:type="dxa"/>
                  </w:tcMar>
                  <w:vAlign w:val="center"/>
                </w:tcPr>
                <w:p w14:paraId="36425A1F">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4072" w:type="pct"/>
                  <w:gridSpan w:val="4"/>
                  <w:noWrap w:val="0"/>
                  <w:tcMar>
                    <w:top w:w="0" w:type="dxa"/>
                    <w:left w:w="0" w:type="dxa"/>
                    <w:bottom w:w="0" w:type="dxa"/>
                    <w:right w:w="0" w:type="dxa"/>
                  </w:tcMar>
                  <w:vAlign w:val="center"/>
                </w:tcPr>
                <w:p w14:paraId="53051E0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color w:val="000000" w:themeColor="text1"/>
                      <w:kern w:val="0"/>
                      <w:sz w:val="21"/>
                      <w:szCs w:val="21"/>
                      <w:highlight w:val="none"/>
                      <w:lang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颗粒物</w:t>
                  </w:r>
                </w:p>
              </w:tc>
            </w:tr>
            <w:tr w14:paraId="3C6ADAA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7" w:type="pct"/>
                  <w:vMerge w:val="continue"/>
                  <w:noWrap w:val="0"/>
                  <w:tcMar>
                    <w:top w:w="0" w:type="dxa"/>
                    <w:left w:w="0" w:type="dxa"/>
                    <w:bottom w:w="0" w:type="dxa"/>
                    <w:right w:w="0" w:type="dxa"/>
                  </w:tcMar>
                  <w:vAlign w:val="center"/>
                </w:tcPr>
                <w:p w14:paraId="0031ECB3">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p>
              </w:tc>
              <w:tc>
                <w:tcPr>
                  <w:tcW w:w="1414" w:type="pct"/>
                  <w:noWrap w:val="0"/>
                  <w:tcMar>
                    <w:top w:w="0" w:type="dxa"/>
                    <w:left w:w="0" w:type="dxa"/>
                    <w:bottom w:w="0" w:type="dxa"/>
                    <w:right w:w="0" w:type="dxa"/>
                  </w:tcMar>
                  <w:vAlign w:val="center"/>
                </w:tcPr>
                <w:p w14:paraId="14D13EEA">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最大落地浓度距离m</w:t>
                  </w:r>
                </w:p>
              </w:tc>
              <w:tc>
                <w:tcPr>
                  <w:tcW w:w="937" w:type="pct"/>
                  <w:noWrap w:val="0"/>
                  <w:tcMar>
                    <w:top w:w="0" w:type="dxa"/>
                    <w:left w:w="0" w:type="dxa"/>
                    <w:bottom w:w="0" w:type="dxa"/>
                    <w:right w:w="0" w:type="dxa"/>
                  </w:tcMar>
                  <w:vAlign w:val="center"/>
                </w:tcPr>
                <w:p w14:paraId="6B5B64A4">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预测质量浓度</w:t>
                  </w:r>
                </w:p>
                <w:p w14:paraId="69E97979">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m</w:t>
                  </w: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g/m</w:t>
                  </w:r>
                  <w:r>
                    <w:rPr>
                      <w:rFonts w:hint="default" w:ascii="Times New Roman" w:hAnsi="Times New Roman" w:eastAsia="宋体" w:cs="Times New Roman"/>
                      <w:b/>
                      <w:bCs/>
                      <w:color w:val="000000" w:themeColor="text1"/>
                      <w:kern w:val="0"/>
                      <w:sz w:val="21"/>
                      <w:szCs w:val="21"/>
                      <w:highlight w:val="none"/>
                      <w:vertAlign w:val="superscript"/>
                      <w:lang w:bidi="ar"/>
                      <w14:textFill>
                        <w14:solidFill>
                          <w14:schemeClr w14:val="tx1"/>
                        </w14:solidFill>
                      </w14:textFill>
                    </w:rPr>
                    <w:t>3</w:t>
                  </w:r>
                </w:p>
              </w:tc>
              <w:tc>
                <w:tcPr>
                  <w:tcW w:w="1092" w:type="pct"/>
                  <w:noWrap w:val="0"/>
                  <w:tcMar>
                    <w:top w:w="0" w:type="dxa"/>
                    <w:left w:w="0" w:type="dxa"/>
                    <w:bottom w:w="0" w:type="dxa"/>
                    <w:right w:w="0" w:type="dxa"/>
                  </w:tcMar>
                  <w:vAlign w:val="center"/>
                </w:tcPr>
                <w:p w14:paraId="41A416CF">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标准限值m</w:t>
                  </w:r>
                  <w:r>
                    <w:rPr>
                      <w:rFonts w:hint="default" w:ascii="Times New Roman" w:hAnsi="Times New Roman" w:eastAsia="宋体" w:cs="Times New Roman"/>
                      <w:b/>
                      <w:bCs/>
                      <w:color w:val="000000" w:themeColor="text1"/>
                      <w:kern w:val="0"/>
                      <w:sz w:val="21"/>
                      <w:szCs w:val="21"/>
                      <w:highlight w:val="none"/>
                      <w:lang w:bidi="ar"/>
                      <w14:textFill>
                        <w14:solidFill>
                          <w14:schemeClr w14:val="tx1"/>
                        </w14:solidFill>
                      </w14:textFill>
                    </w:rPr>
                    <w:t>g/m</w:t>
                  </w:r>
                  <w:r>
                    <w:rPr>
                      <w:rFonts w:hint="default" w:ascii="Times New Roman" w:hAnsi="Times New Roman" w:eastAsia="宋体" w:cs="Times New Roman"/>
                      <w:b/>
                      <w:bCs/>
                      <w:color w:val="000000" w:themeColor="text1"/>
                      <w:kern w:val="0"/>
                      <w:sz w:val="21"/>
                      <w:szCs w:val="21"/>
                      <w:highlight w:val="none"/>
                      <w:vertAlign w:val="superscript"/>
                      <w:lang w:bidi="ar"/>
                      <w14:textFill>
                        <w14:solidFill>
                          <w14:schemeClr w14:val="tx1"/>
                        </w14:solidFill>
                      </w14:textFill>
                    </w:rPr>
                    <w:t>3</w:t>
                  </w:r>
                </w:p>
              </w:tc>
              <w:tc>
                <w:tcPr>
                  <w:tcW w:w="628" w:type="pct"/>
                  <w:shd w:val="clear" w:color="auto" w:fill="auto"/>
                  <w:noWrap w:val="0"/>
                  <w:tcMar>
                    <w:top w:w="0" w:type="dxa"/>
                    <w:left w:w="0" w:type="dxa"/>
                    <w:bottom w:w="0" w:type="dxa"/>
                    <w:right w:w="0" w:type="dxa"/>
                  </w:tcMar>
                  <w:vAlign w:val="center"/>
                </w:tcPr>
                <w:p w14:paraId="49AAF39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达标情况</w:t>
                  </w:r>
                </w:p>
              </w:tc>
            </w:tr>
            <w:tr w14:paraId="5849105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7" w:type="pct"/>
                  <w:noWrap w:val="0"/>
                  <w:tcMar>
                    <w:top w:w="0" w:type="dxa"/>
                    <w:left w:w="0" w:type="dxa"/>
                    <w:bottom w:w="0" w:type="dxa"/>
                    <w:right w:w="0" w:type="dxa"/>
                  </w:tcMar>
                  <w:vAlign w:val="center"/>
                </w:tcPr>
                <w:p w14:paraId="10DFBF4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前处理车间</w:t>
                  </w:r>
                </w:p>
              </w:tc>
              <w:tc>
                <w:tcPr>
                  <w:tcW w:w="1414" w:type="pct"/>
                  <w:noWrap w:val="0"/>
                  <w:tcMar>
                    <w:top w:w="0" w:type="dxa"/>
                    <w:left w:w="0" w:type="dxa"/>
                    <w:bottom w:w="0" w:type="dxa"/>
                    <w:right w:w="0" w:type="dxa"/>
                  </w:tcMar>
                  <w:vAlign w:val="center"/>
                </w:tcPr>
                <w:p w14:paraId="568E8CC8">
                  <w:pPr>
                    <w:pStyle w:val="9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25</w:t>
                  </w:r>
                </w:p>
              </w:tc>
              <w:tc>
                <w:tcPr>
                  <w:tcW w:w="937" w:type="pct"/>
                  <w:noWrap w:val="0"/>
                  <w:tcMar>
                    <w:top w:w="0" w:type="dxa"/>
                    <w:left w:w="0" w:type="dxa"/>
                    <w:bottom w:w="0" w:type="dxa"/>
                    <w:right w:w="0" w:type="dxa"/>
                  </w:tcMar>
                  <w:vAlign w:val="center"/>
                </w:tcPr>
                <w:p w14:paraId="709E75EA">
                  <w:pPr>
                    <w:pStyle w:val="9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0.0282</w:t>
                  </w:r>
                </w:p>
              </w:tc>
              <w:tc>
                <w:tcPr>
                  <w:tcW w:w="1092" w:type="pct"/>
                  <w:vMerge w:val="restart"/>
                  <w:noWrap w:val="0"/>
                  <w:tcMar>
                    <w:top w:w="0" w:type="dxa"/>
                    <w:left w:w="0" w:type="dxa"/>
                    <w:bottom w:w="0" w:type="dxa"/>
                    <w:right w:w="0" w:type="dxa"/>
                  </w:tcMar>
                  <w:vAlign w:val="center"/>
                </w:tcPr>
                <w:p w14:paraId="4CD2390F">
                  <w:pPr>
                    <w:pStyle w:val="9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1.0</w:t>
                  </w:r>
                </w:p>
              </w:tc>
              <w:tc>
                <w:tcPr>
                  <w:tcW w:w="628" w:type="pct"/>
                  <w:shd w:val="clear" w:color="auto" w:fill="auto"/>
                  <w:noWrap w:val="0"/>
                  <w:tcMar>
                    <w:top w:w="0" w:type="dxa"/>
                    <w:left w:w="0" w:type="dxa"/>
                    <w:bottom w:w="0" w:type="dxa"/>
                    <w:right w:w="0" w:type="dxa"/>
                  </w:tcMar>
                  <w:vAlign w:val="center"/>
                </w:tcPr>
                <w:p w14:paraId="2FE1C15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达标</w:t>
                  </w:r>
                </w:p>
              </w:tc>
            </w:tr>
            <w:tr w14:paraId="3C0AC73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7" w:type="pct"/>
                  <w:noWrap w:val="0"/>
                  <w:tcMar>
                    <w:top w:w="0" w:type="dxa"/>
                    <w:left w:w="0" w:type="dxa"/>
                    <w:bottom w:w="0" w:type="dxa"/>
                    <w:right w:w="0" w:type="dxa"/>
                  </w:tcMar>
                  <w:vAlign w:val="center"/>
                </w:tcPr>
                <w:p w14:paraId="22A45D72">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创新制剂车间</w:t>
                  </w:r>
                </w:p>
              </w:tc>
              <w:tc>
                <w:tcPr>
                  <w:tcW w:w="1414" w:type="pct"/>
                  <w:noWrap w:val="0"/>
                  <w:tcMar>
                    <w:top w:w="0" w:type="dxa"/>
                    <w:left w:w="0" w:type="dxa"/>
                    <w:bottom w:w="0" w:type="dxa"/>
                    <w:right w:w="0" w:type="dxa"/>
                  </w:tcMar>
                  <w:vAlign w:val="center"/>
                </w:tcPr>
                <w:p w14:paraId="0E06A91C">
                  <w:pPr>
                    <w:pStyle w:val="9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36</w:t>
                  </w:r>
                </w:p>
              </w:tc>
              <w:tc>
                <w:tcPr>
                  <w:tcW w:w="937" w:type="pct"/>
                  <w:noWrap w:val="0"/>
                  <w:tcMar>
                    <w:top w:w="0" w:type="dxa"/>
                    <w:left w:w="0" w:type="dxa"/>
                    <w:bottom w:w="0" w:type="dxa"/>
                    <w:right w:w="0" w:type="dxa"/>
                  </w:tcMar>
                  <w:vAlign w:val="center"/>
                </w:tcPr>
                <w:p w14:paraId="002C3212">
                  <w:pPr>
                    <w:pStyle w:val="9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0.0019</w:t>
                  </w:r>
                </w:p>
              </w:tc>
              <w:tc>
                <w:tcPr>
                  <w:tcW w:w="1092" w:type="pct"/>
                  <w:vMerge w:val="continue"/>
                  <w:noWrap w:val="0"/>
                  <w:tcMar>
                    <w:top w:w="0" w:type="dxa"/>
                    <w:left w:w="0" w:type="dxa"/>
                    <w:bottom w:w="0" w:type="dxa"/>
                    <w:right w:w="0" w:type="dxa"/>
                  </w:tcMar>
                  <w:vAlign w:val="center"/>
                </w:tcPr>
                <w:p w14:paraId="2551DF5B">
                  <w:pPr>
                    <w:pStyle w:val="99"/>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28" w:type="pct"/>
                  <w:shd w:val="clear" w:color="auto" w:fill="auto"/>
                  <w:noWrap w:val="0"/>
                  <w:tcMar>
                    <w:top w:w="0" w:type="dxa"/>
                    <w:left w:w="0" w:type="dxa"/>
                    <w:bottom w:w="0" w:type="dxa"/>
                    <w:right w:w="0" w:type="dxa"/>
                  </w:tcMar>
                  <w:vAlign w:val="center"/>
                </w:tcPr>
                <w:p w14:paraId="616F8BC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达标</w:t>
                  </w:r>
                </w:p>
              </w:tc>
            </w:tr>
            <w:tr w14:paraId="07E5D07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7" w:type="pct"/>
                  <w:noWrap w:val="0"/>
                  <w:tcMar>
                    <w:top w:w="0" w:type="dxa"/>
                    <w:left w:w="0" w:type="dxa"/>
                    <w:bottom w:w="0" w:type="dxa"/>
                    <w:right w:w="0" w:type="dxa"/>
                  </w:tcMar>
                  <w:vAlign w:val="center"/>
                </w:tcPr>
                <w:p w14:paraId="48E1F18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综合制剂车间</w:t>
                  </w:r>
                </w:p>
              </w:tc>
              <w:tc>
                <w:tcPr>
                  <w:tcW w:w="1414" w:type="pct"/>
                  <w:noWrap w:val="0"/>
                  <w:tcMar>
                    <w:top w:w="0" w:type="dxa"/>
                    <w:left w:w="0" w:type="dxa"/>
                    <w:bottom w:w="0" w:type="dxa"/>
                    <w:right w:w="0" w:type="dxa"/>
                  </w:tcMar>
                  <w:vAlign w:val="center"/>
                </w:tcPr>
                <w:p w14:paraId="00EB13A5">
                  <w:pPr>
                    <w:pStyle w:val="99"/>
                    <w:keepNext w:val="0"/>
                    <w:keepLines w:val="0"/>
                    <w:suppressLineNumbers w:val="0"/>
                    <w:spacing w:before="0" w:beforeAutospacing="0" w:after="0" w:afterAutospacing="0" w:line="240" w:lineRule="auto"/>
                    <w:ind w:left="0" w:right="0" w:firstLine="0" w:firstLineChars="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34</w:t>
                  </w:r>
                </w:p>
              </w:tc>
              <w:tc>
                <w:tcPr>
                  <w:tcW w:w="937" w:type="pct"/>
                  <w:noWrap w:val="0"/>
                  <w:tcMar>
                    <w:top w:w="0" w:type="dxa"/>
                    <w:left w:w="0" w:type="dxa"/>
                    <w:bottom w:w="0" w:type="dxa"/>
                    <w:right w:w="0" w:type="dxa"/>
                  </w:tcMar>
                  <w:vAlign w:val="center"/>
                </w:tcPr>
                <w:p w14:paraId="3F194C48">
                  <w:pPr>
                    <w:pStyle w:val="99"/>
                    <w:keepNext w:val="0"/>
                    <w:keepLines w:val="0"/>
                    <w:suppressLineNumbers w:val="0"/>
                    <w:spacing w:before="0" w:beforeAutospacing="0" w:after="0" w:afterAutospacing="0" w:line="240" w:lineRule="auto"/>
                    <w:ind w:left="0" w:right="0" w:firstLine="0" w:firstLineChars="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0.0171</w:t>
                  </w:r>
                </w:p>
              </w:tc>
              <w:tc>
                <w:tcPr>
                  <w:tcW w:w="1092" w:type="pct"/>
                  <w:vMerge w:val="continue"/>
                  <w:noWrap w:val="0"/>
                  <w:tcMar>
                    <w:top w:w="0" w:type="dxa"/>
                    <w:left w:w="0" w:type="dxa"/>
                    <w:bottom w:w="0" w:type="dxa"/>
                    <w:right w:w="0" w:type="dxa"/>
                  </w:tcMar>
                  <w:vAlign w:val="center"/>
                </w:tcPr>
                <w:p w14:paraId="61BF7D98">
                  <w:pPr>
                    <w:pStyle w:val="99"/>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28" w:type="pct"/>
                  <w:shd w:val="clear" w:color="auto" w:fill="auto"/>
                  <w:noWrap w:val="0"/>
                  <w:tcMar>
                    <w:top w:w="0" w:type="dxa"/>
                    <w:left w:w="0" w:type="dxa"/>
                    <w:bottom w:w="0" w:type="dxa"/>
                    <w:right w:w="0" w:type="dxa"/>
                  </w:tcMar>
                  <w:vAlign w:val="center"/>
                </w:tcPr>
                <w:p w14:paraId="20342AF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达标</w:t>
                  </w:r>
                </w:p>
              </w:tc>
            </w:tr>
            <w:tr w14:paraId="048063A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7" w:type="pct"/>
                  <w:noWrap w:val="0"/>
                  <w:tcMar>
                    <w:top w:w="0" w:type="dxa"/>
                    <w:left w:w="0" w:type="dxa"/>
                    <w:bottom w:w="0" w:type="dxa"/>
                    <w:right w:w="0" w:type="dxa"/>
                  </w:tcMar>
                  <w:vAlign w:val="center"/>
                </w:tcPr>
                <w:p w14:paraId="71870E3A">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执行标准</w:t>
                  </w:r>
                </w:p>
              </w:tc>
              <w:tc>
                <w:tcPr>
                  <w:tcW w:w="4072" w:type="pct"/>
                  <w:gridSpan w:val="4"/>
                  <w:noWrap w:val="0"/>
                  <w:tcMar>
                    <w:top w:w="0" w:type="dxa"/>
                    <w:left w:w="0" w:type="dxa"/>
                    <w:bottom w:w="0" w:type="dxa"/>
                    <w:right w:w="0" w:type="dxa"/>
                  </w:tcMar>
                  <w:vAlign w:val="center"/>
                </w:tcPr>
                <w:p w14:paraId="24FF1F78">
                  <w:pPr>
                    <w:pStyle w:val="9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《大气污染物综合排放标准》（GB16297-1996）表2</w:t>
                  </w:r>
                </w:p>
              </w:tc>
            </w:tr>
          </w:tbl>
          <w:p w14:paraId="24FF12B1">
            <w:pPr>
              <w:keepNext w:val="0"/>
              <w:keepLines w:val="0"/>
              <w:pageBreakBefore w:val="0"/>
              <w:widowControl/>
              <w:suppressLineNumbers w:val="0"/>
              <w:kinsoku/>
              <w:wordWrap/>
              <w:overflowPunct/>
              <w:topLinePunct w:val="0"/>
              <w:autoSpaceDE/>
              <w:autoSpaceDN/>
              <w:bidi w:val="0"/>
              <w:adjustRightInd/>
              <w:snapToGrid/>
              <w:spacing w:before="157" w:beforeLines="5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由</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上</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表可知，</w:t>
            </w:r>
            <w:r>
              <w:rPr>
                <w:rFonts w:hint="default" w:ascii="Times New Roman" w:hAnsi="Times New Roman" w:eastAsia="宋体" w:cs="Times New Roman"/>
                <w:color w:val="000000" w:themeColor="text1"/>
                <w:sz w:val="24"/>
                <w:szCs w:val="24"/>
                <w:highlight w:val="none"/>
                <w14:textFill>
                  <w14:solidFill>
                    <w14:schemeClr w14:val="tx1"/>
                  </w14:solidFill>
                </w14:textFill>
              </w:rPr>
              <w:t>前处理车间</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无组织颗粒物</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最大落地浓度为0.0</w:t>
            </w:r>
            <w:r>
              <w:rPr>
                <w:rFonts w:hint="eastAsia" w:cs="Times New Roman"/>
                <w:b w:val="0"/>
                <w:bCs w:val="0"/>
                <w:color w:val="000000" w:themeColor="text1"/>
                <w:sz w:val="24"/>
                <w:szCs w:val="24"/>
                <w:highlight w:val="none"/>
                <w:lang w:val="en-US" w:eastAsia="zh-CN"/>
                <w14:textFill>
                  <w14:solidFill>
                    <w14:schemeClr w14:val="tx1"/>
                  </w14:solidFill>
                </w14:textFill>
              </w:rPr>
              <w:t>282</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g/m</w:t>
            </w:r>
            <w:r>
              <w:rPr>
                <w:rFonts w:hint="default" w:ascii="Times New Roman" w:hAnsi="Times New Roman" w:eastAsia="宋体" w:cs="Times New Roman"/>
                <w:b w:val="0"/>
                <w:bCs w:val="0"/>
                <w:color w:val="000000" w:themeColor="text1"/>
                <w:sz w:val="24"/>
                <w:szCs w:val="24"/>
                <w:highlight w:val="none"/>
                <w:vertAlign w:val="superscript"/>
                <w14:textFill>
                  <w14:solidFill>
                    <w14:schemeClr w14:val="tx1"/>
                  </w14:solidFill>
                </w14:textFill>
              </w:rPr>
              <w:t>3</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，最大落地浓度距离</w:t>
            </w:r>
            <w:r>
              <w:rPr>
                <w:rFonts w:hint="eastAsia" w:cs="Times New Roman"/>
                <w:b w:val="0"/>
                <w:bCs w:val="0"/>
                <w:color w:val="000000" w:themeColor="text1"/>
                <w:sz w:val="24"/>
                <w:szCs w:val="24"/>
                <w:highlight w:val="none"/>
                <w:lang w:val="en-US" w:eastAsia="zh-CN"/>
                <w14:textFill>
                  <w14:solidFill>
                    <w14:schemeClr w14:val="tx1"/>
                  </w14:solidFill>
                </w14:textFill>
              </w:rPr>
              <w:t>25</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m</w:t>
            </w:r>
            <w:r>
              <w:rPr>
                <w:rFonts w:hint="eastAsia"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创新制剂车间</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无组织颗粒物</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最大落地浓度为0.0</w:t>
            </w:r>
            <w:r>
              <w:rPr>
                <w:rFonts w:hint="eastAsia" w:cs="Times New Roman"/>
                <w:b w:val="0"/>
                <w:bCs w:val="0"/>
                <w:color w:val="000000" w:themeColor="text1"/>
                <w:sz w:val="24"/>
                <w:szCs w:val="24"/>
                <w:highlight w:val="none"/>
                <w:lang w:val="en-US" w:eastAsia="zh-CN"/>
                <w14:textFill>
                  <w14:solidFill>
                    <w14:schemeClr w14:val="tx1"/>
                  </w14:solidFill>
                </w14:textFill>
              </w:rPr>
              <w:t>019</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g/m</w:t>
            </w:r>
            <w:r>
              <w:rPr>
                <w:rFonts w:hint="default" w:ascii="Times New Roman" w:hAnsi="Times New Roman" w:eastAsia="宋体" w:cs="Times New Roman"/>
                <w:b w:val="0"/>
                <w:bCs w:val="0"/>
                <w:color w:val="000000" w:themeColor="text1"/>
                <w:sz w:val="24"/>
                <w:szCs w:val="24"/>
                <w:highlight w:val="none"/>
                <w:vertAlign w:val="superscript"/>
                <w14:textFill>
                  <w14:solidFill>
                    <w14:schemeClr w14:val="tx1"/>
                  </w14:solidFill>
                </w14:textFill>
              </w:rPr>
              <w:t>3</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，最大落地浓度距离</w:t>
            </w:r>
            <w:r>
              <w:rPr>
                <w:rFonts w:hint="eastAsia" w:cs="Times New Roman"/>
                <w:b w:val="0"/>
                <w:bCs w:val="0"/>
                <w:color w:val="000000" w:themeColor="text1"/>
                <w:sz w:val="24"/>
                <w:szCs w:val="24"/>
                <w:highlight w:val="none"/>
                <w:lang w:val="en-US" w:eastAsia="zh-CN"/>
                <w14:textFill>
                  <w14:solidFill>
                    <w14:schemeClr w14:val="tx1"/>
                  </w14:solidFill>
                </w14:textFill>
              </w:rPr>
              <w:t>36</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m</w:t>
            </w:r>
            <w:r>
              <w:rPr>
                <w:rFonts w:hint="eastAsia" w:cs="Times New Roman"/>
                <w:b w:val="0"/>
                <w:bCs w:val="0"/>
                <w:color w:val="000000" w:themeColor="text1"/>
                <w:sz w:val="24"/>
                <w:szCs w:val="24"/>
                <w:highlight w:val="none"/>
                <w:lang w:eastAsia="zh-CN"/>
                <w14:textFill>
                  <w14:solidFill>
                    <w14:schemeClr w14:val="tx1"/>
                  </w14:solidFill>
                </w14:textFill>
              </w:rPr>
              <w:t>；综合制剂车间</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无组织颗粒物</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最大落地浓度为0.0171</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g/m</w:t>
            </w:r>
            <w:r>
              <w:rPr>
                <w:rFonts w:hint="default" w:ascii="Times New Roman" w:hAnsi="Times New Roman" w:eastAsia="宋体" w:cs="Times New Roman"/>
                <w:b w:val="0"/>
                <w:bCs w:val="0"/>
                <w:color w:val="000000" w:themeColor="text1"/>
                <w:sz w:val="24"/>
                <w:szCs w:val="24"/>
                <w:highlight w:val="none"/>
                <w:vertAlign w:val="superscript"/>
                <w14:textFill>
                  <w14:solidFill>
                    <w14:schemeClr w14:val="tx1"/>
                  </w14:solidFill>
                </w14:textFill>
              </w:rPr>
              <w:t>3</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，最大落地浓度距离</w:t>
            </w:r>
            <w:r>
              <w:rPr>
                <w:rFonts w:hint="eastAsia" w:cs="Times New Roman"/>
                <w:b w:val="0"/>
                <w:bCs w:val="0"/>
                <w:color w:val="000000" w:themeColor="text1"/>
                <w:sz w:val="24"/>
                <w:szCs w:val="24"/>
                <w:highlight w:val="none"/>
                <w:lang w:val="en-US" w:eastAsia="zh-CN"/>
                <w14:textFill>
                  <w14:solidFill>
                    <w14:schemeClr w14:val="tx1"/>
                  </w14:solidFill>
                </w14:textFill>
              </w:rPr>
              <w:t>34</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m</w:t>
            </w: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无组织颗粒物排放</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浓度满足《大气污染物综合排放标准》（GB16297-1996）表2中无组织排放监测浓度限值要求</w:t>
            </w: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w:t>
            </w:r>
          </w:p>
          <w:p w14:paraId="378E009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000000" w:themeColor="text1"/>
                <w:kern w:val="0"/>
                <w:sz w:val="24"/>
                <w:szCs w:val="24"/>
                <w:highlight w:val="none"/>
                <w:lang w:bidi="ar"/>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根据上述分析，</w:t>
            </w:r>
            <w:r>
              <w:rPr>
                <w:rFonts w:hint="default" w:ascii="Times New Roman" w:hAnsi="Times New Roman" w:eastAsia="宋体" w:cs="Times New Roman"/>
                <w:color w:val="000000" w:themeColor="text1"/>
                <w:sz w:val="24"/>
                <w:szCs w:val="24"/>
                <w:highlight w:val="none"/>
                <w14:textFill>
                  <w14:solidFill>
                    <w14:schemeClr w14:val="tx1"/>
                  </w14:solidFill>
                </w14:textFill>
              </w:rPr>
              <w:t>在严格执行环评提出的环保措施前提下，项目对周边环境保护目标、区域环境空气质量影响较小</w:t>
            </w:r>
            <w:r>
              <w:rPr>
                <w:rFonts w:hint="default" w:ascii="Times New Roman" w:hAnsi="Times New Roman" w:eastAsia="宋体" w:cs="Times New Roman"/>
                <w:color w:val="000000" w:themeColor="text1"/>
                <w:kern w:val="0"/>
                <w:sz w:val="24"/>
                <w:szCs w:val="24"/>
                <w:highlight w:val="none"/>
                <w:lang w:bidi="ar"/>
                <w14:textFill>
                  <w14:solidFill>
                    <w14:schemeClr w14:val="tx1"/>
                  </w14:solidFill>
                </w14:textFill>
              </w:rPr>
              <w:t>。</w:t>
            </w:r>
          </w:p>
          <w:p w14:paraId="7A78A2FD">
            <w:pPr>
              <w:keepNext w:val="0"/>
              <w:keepLines w:val="0"/>
              <w:pageBreakBefore w:val="0"/>
              <w:widowControl w:val="0"/>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textAlignment w:val="auto"/>
              <w:rPr>
                <w:rFonts w:hint="default" w:ascii="Times New Roman" w:hAnsi="Times New Roman" w:eastAsia="宋体" w:cs="Times New Roman"/>
                <w:b/>
                <w:bCs/>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4"/>
                <w:szCs w:val="20"/>
                <w:highlight w:val="none"/>
                <w:lang w:val="en-US" w:eastAsia="zh-CN"/>
                <w14:textFill>
                  <w14:solidFill>
                    <w14:schemeClr w14:val="tx1"/>
                  </w14:solidFill>
                </w14:textFill>
              </w:rPr>
              <w:t>1.</w:t>
            </w:r>
            <w:r>
              <w:rPr>
                <w:rFonts w:hint="eastAsia" w:cs="Times New Roman"/>
                <w:b/>
                <w:bCs/>
                <w:color w:val="000000" w:themeColor="text1"/>
                <w:kern w:val="0"/>
                <w:sz w:val="24"/>
                <w:szCs w:val="20"/>
                <w:highlight w:val="none"/>
                <w:lang w:val="en-US" w:eastAsia="zh-CN"/>
                <w14:textFill>
                  <w14:solidFill>
                    <w14:schemeClr w14:val="tx1"/>
                  </w14:solidFill>
                </w14:textFill>
              </w:rPr>
              <w:t>9本项目</w:t>
            </w:r>
            <w:r>
              <w:rPr>
                <w:rFonts w:hint="eastAsia" w:ascii="Times New Roman" w:hAnsi="Times New Roman" w:eastAsia="宋体" w:cs="Times New Roman"/>
                <w:b/>
                <w:bCs/>
                <w:color w:val="000000" w:themeColor="text1"/>
                <w:kern w:val="0"/>
                <w:sz w:val="24"/>
                <w:szCs w:val="24"/>
                <w:highlight w:val="none"/>
                <w:lang w:val="en-US" w:eastAsia="zh-CN" w:bidi="ar-SA"/>
                <w14:textFill>
                  <w14:solidFill>
                    <w14:schemeClr w14:val="tx1"/>
                  </w14:solidFill>
                </w14:textFill>
              </w:rPr>
              <w:t>年排放情况核算</w:t>
            </w:r>
          </w:p>
          <w:p w14:paraId="7B0B2626">
            <w:pPr>
              <w:keepNext w:val="0"/>
              <w:keepLines w:val="0"/>
              <w:suppressLineNumbers w:val="0"/>
              <w:spacing w:before="0" w:beforeAutospacing="0" w:after="0" w:afterAutospacing="0" w:line="360" w:lineRule="auto"/>
              <w:ind w:left="0" w:right="0" w:firstLine="480"/>
              <w:rPr>
                <w:rFonts w:hint="default"/>
                <w:bCs/>
                <w:color w:val="000000" w:themeColor="text1"/>
                <w:spacing w:val="-10"/>
                <w:sz w:val="24"/>
                <w:highlight w:val="none"/>
                <w14:textFill>
                  <w14:solidFill>
                    <w14:schemeClr w14:val="tx1"/>
                  </w14:solidFill>
                </w14:textFill>
              </w:rPr>
            </w:pPr>
            <w:r>
              <w:rPr>
                <w:rFonts w:hint="eastAsia"/>
                <w:bCs/>
                <w:color w:val="000000" w:themeColor="text1"/>
                <w:spacing w:val="-10"/>
                <w:sz w:val="24"/>
                <w:highlight w:val="none"/>
                <w:lang w:val="en-US" w:eastAsia="zh-CN"/>
                <w14:textFill>
                  <w14:solidFill>
                    <w14:schemeClr w14:val="tx1"/>
                  </w14:solidFill>
                </w14:textFill>
              </w:rPr>
              <w:t>本项目</w:t>
            </w:r>
            <w:r>
              <w:rPr>
                <w:rFonts w:hint="eastAsia"/>
                <w:bCs/>
                <w:color w:val="000000" w:themeColor="text1"/>
                <w:spacing w:val="-10"/>
                <w:sz w:val="24"/>
                <w:highlight w:val="none"/>
                <w14:textFill>
                  <w14:solidFill>
                    <w14:schemeClr w14:val="tx1"/>
                  </w14:solidFill>
                </w14:textFill>
              </w:rPr>
              <w:t>污染物排放情况详见下表。</w:t>
            </w:r>
          </w:p>
          <w:p w14:paraId="6A060DA0">
            <w:pPr>
              <w:keepNext w:val="0"/>
              <w:keepLines w:val="0"/>
              <w:pageBreakBefore w:val="0"/>
              <w:widowControl w:val="0"/>
              <w:numPr>
                <w:ilvl w:val="0"/>
                <w:numId w:val="26"/>
              </w:numPr>
              <w:suppressLineNumbers w:val="0"/>
              <w:kinsoku/>
              <w:wordWrap/>
              <w:overflowPunct/>
              <w:topLinePunct w:val="0"/>
              <w:autoSpaceDE/>
              <w:autoSpaceDN/>
              <w:bidi w:val="0"/>
              <w:adjustRightInd/>
              <w:snapToGrid w:val="0"/>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有组织排放量核算</w:t>
            </w:r>
          </w:p>
          <w:tbl>
            <w:tblPr>
              <w:tblStyle w:val="35"/>
              <w:tblW w:w="5000"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795"/>
              <w:gridCol w:w="1215"/>
              <w:gridCol w:w="1537"/>
              <w:gridCol w:w="1560"/>
              <w:gridCol w:w="1717"/>
              <w:gridCol w:w="1543"/>
            </w:tblGrid>
            <w:tr w14:paraId="6C1BA93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669" w:hRule="atLeast"/>
                <w:jc w:val="center"/>
              </w:trPr>
              <w:tc>
                <w:tcPr>
                  <w:tcW w:w="475" w:type="pct"/>
                  <w:tcBorders>
                    <w:tl2br w:val="nil"/>
                    <w:tr2bl w:val="nil"/>
                  </w:tcBorders>
                  <w:noWrap w:val="0"/>
                  <w:vAlign w:val="center"/>
                </w:tcPr>
                <w:p w14:paraId="19C9F877">
                  <w:pPr>
                    <w:pStyle w:val="5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14:textFill>
                        <w14:solidFill>
                          <w14:schemeClr w14:val="tx1"/>
                        </w14:solidFill>
                      </w14:textFill>
                    </w:rPr>
                    <w:t>序号</w:t>
                  </w:r>
                </w:p>
              </w:tc>
              <w:tc>
                <w:tcPr>
                  <w:tcW w:w="726" w:type="pct"/>
                  <w:tcBorders>
                    <w:tl2br w:val="nil"/>
                    <w:tr2bl w:val="nil"/>
                  </w:tcBorders>
                  <w:noWrap w:val="0"/>
                  <w:vAlign w:val="center"/>
                </w:tcPr>
                <w:p w14:paraId="474EE4C4">
                  <w:pPr>
                    <w:pStyle w:val="5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14:textFill>
                        <w14:solidFill>
                          <w14:schemeClr w14:val="tx1"/>
                        </w14:solidFill>
                      </w14:textFill>
                    </w:rPr>
                    <w:t>排放口编号</w:t>
                  </w:r>
                </w:p>
              </w:tc>
              <w:tc>
                <w:tcPr>
                  <w:tcW w:w="918" w:type="pct"/>
                  <w:tcBorders>
                    <w:tl2br w:val="nil"/>
                    <w:tr2bl w:val="nil"/>
                  </w:tcBorders>
                  <w:noWrap w:val="0"/>
                  <w:vAlign w:val="center"/>
                </w:tcPr>
                <w:p w14:paraId="2851E9C4">
                  <w:pPr>
                    <w:pStyle w:val="5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14:textFill>
                        <w14:solidFill>
                          <w14:schemeClr w14:val="tx1"/>
                        </w14:solidFill>
                      </w14:textFill>
                    </w:rPr>
                    <w:t>污染物</w:t>
                  </w:r>
                </w:p>
              </w:tc>
              <w:tc>
                <w:tcPr>
                  <w:tcW w:w="932" w:type="pct"/>
                  <w:tcBorders>
                    <w:tl2br w:val="nil"/>
                    <w:tr2bl w:val="nil"/>
                  </w:tcBorders>
                  <w:noWrap w:val="0"/>
                  <w:vAlign w:val="center"/>
                </w:tcPr>
                <w:p w14:paraId="7EEE191E">
                  <w:pPr>
                    <w:pStyle w:val="5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14:textFill>
                        <w14:solidFill>
                          <w14:schemeClr w14:val="tx1"/>
                        </w14:solidFill>
                      </w14:textFill>
                    </w:rPr>
                    <w:t>核算排放浓度</w:t>
                  </w:r>
                  <w:r>
                    <w:rPr>
                      <w:rFonts w:hint="eastAsia" w:ascii="Times New Roman" w:hAnsi="Times New Roman" w:eastAsia="宋体" w:cs="Times New Roman"/>
                      <w:b/>
                      <w:bCs/>
                      <w:caps w:val="0"/>
                      <w:smallCaps w:val="0"/>
                      <w:snapToGrid w:val="0"/>
                      <w:color w:val="000000" w:themeColor="text1"/>
                      <w:spacing w:val="0"/>
                      <w:w w:val="100"/>
                      <w:kern w:val="0"/>
                      <w:position w:val="0"/>
                      <w:sz w:val="21"/>
                      <w:szCs w:val="21"/>
                      <w:highlight w:val="none"/>
                      <w:lang w:eastAsia="zh-CN"/>
                      <w14:textFill>
                        <w14:solidFill>
                          <w14:schemeClr w14:val="tx1"/>
                        </w14:solidFill>
                      </w14:textFill>
                    </w:rPr>
                    <w:t>（</w:t>
                  </w:r>
                  <w:r>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lang w:val="en-US" w:eastAsia="zh-CN"/>
                      <w14:textFill>
                        <w14:solidFill>
                          <w14:schemeClr w14:val="tx1"/>
                        </w14:solidFill>
                      </w14:textFill>
                    </w:rPr>
                    <w:t>m</w:t>
                  </w:r>
                  <w:r>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14:textFill>
                        <w14:solidFill>
                          <w14:schemeClr w14:val="tx1"/>
                        </w14:solidFill>
                      </w14:textFill>
                    </w:rPr>
                    <w:t>g/m</w:t>
                  </w:r>
                  <w:r>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vertAlign w:val="superscript"/>
                      <w14:textFill>
                        <w14:solidFill>
                          <w14:schemeClr w14:val="tx1"/>
                        </w14:solidFill>
                      </w14:textFill>
                    </w:rPr>
                    <w:t>3</w:t>
                  </w:r>
                  <w:r>
                    <w:rPr>
                      <w:rFonts w:hint="eastAsia" w:ascii="Times New Roman" w:hAnsi="Times New Roman" w:eastAsia="宋体" w:cs="Times New Roman"/>
                      <w:b/>
                      <w:bCs/>
                      <w:caps w:val="0"/>
                      <w:smallCaps w:val="0"/>
                      <w:snapToGrid w:val="0"/>
                      <w:color w:val="000000" w:themeColor="text1"/>
                      <w:spacing w:val="0"/>
                      <w:w w:val="100"/>
                      <w:kern w:val="0"/>
                      <w:position w:val="0"/>
                      <w:sz w:val="21"/>
                      <w:szCs w:val="21"/>
                      <w:highlight w:val="none"/>
                      <w:lang w:eastAsia="zh-CN"/>
                      <w14:textFill>
                        <w14:solidFill>
                          <w14:schemeClr w14:val="tx1"/>
                        </w14:solidFill>
                      </w14:textFill>
                    </w:rPr>
                    <w:t>）</w:t>
                  </w:r>
                </w:p>
              </w:tc>
              <w:tc>
                <w:tcPr>
                  <w:tcW w:w="1026" w:type="pct"/>
                  <w:tcBorders>
                    <w:tl2br w:val="nil"/>
                    <w:tr2bl w:val="nil"/>
                  </w:tcBorders>
                  <w:noWrap w:val="0"/>
                  <w:vAlign w:val="center"/>
                </w:tcPr>
                <w:p w14:paraId="501BC78C">
                  <w:pPr>
                    <w:pStyle w:val="5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14:textFill>
                        <w14:solidFill>
                          <w14:schemeClr w14:val="tx1"/>
                        </w14:solidFill>
                      </w14:textFill>
                    </w:rPr>
                    <w:t>核算排放速率</w:t>
                  </w:r>
                  <w:r>
                    <w:rPr>
                      <w:rFonts w:hint="eastAsia" w:ascii="Times New Roman" w:hAnsi="Times New Roman" w:eastAsia="宋体" w:cs="Times New Roman"/>
                      <w:b/>
                      <w:bCs/>
                      <w:caps w:val="0"/>
                      <w:smallCaps w:val="0"/>
                      <w:snapToGrid w:val="0"/>
                      <w:color w:val="000000" w:themeColor="text1"/>
                      <w:spacing w:val="0"/>
                      <w:w w:val="100"/>
                      <w:kern w:val="0"/>
                      <w:position w:val="0"/>
                      <w:sz w:val="21"/>
                      <w:szCs w:val="21"/>
                      <w:highlight w:val="none"/>
                      <w:lang w:eastAsia="zh-CN"/>
                      <w14:textFill>
                        <w14:solidFill>
                          <w14:schemeClr w14:val="tx1"/>
                        </w14:solidFill>
                      </w14:textFill>
                    </w:rPr>
                    <w:t>（</w:t>
                  </w:r>
                  <w:r>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14:textFill>
                        <w14:solidFill>
                          <w14:schemeClr w14:val="tx1"/>
                        </w14:solidFill>
                      </w14:textFill>
                    </w:rPr>
                    <w:t>kg/h</w:t>
                  </w:r>
                  <w:r>
                    <w:rPr>
                      <w:rFonts w:hint="eastAsia" w:ascii="Times New Roman" w:hAnsi="Times New Roman" w:eastAsia="宋体" w:cs="Times New Roman"/>
                      <w:b/>
                      <w:bCs/>
                      <w:caps w:val="0"/>
                      <w:smallCaps w:val="0"/>
                      <w:snapToGrid w:val="0"/>
                      <w:color w:val="000000" w:themeColor="text1"/>
                      <w:spacing w:val="0"/>
                      <w:w w:val="100"/>
                      <w:kern w:val="0"/>
                      <w:position w:val="0"/>
                      <w:sz w:val="21"/>
                      <w:szCs w:val="21"/>
                      <w:highlight w:val="none"/>
                      <w:lang w:eastAsia="zh-CN"/>
                      <w14:textFill>
                        <w14:solidFill>
                          <w14:schemeClr w14:val="tx1"/>
                        </w14:solidFill>
                      </w14:textFill>
                    </w:rPr>
                    <w:t>）</w:t>
                  </w:r>
                </w:p>
              </w:tc>
              <w:tc>
                <w:tcPr>
                  <w:tcW w:w="922" w:type="pct"/>
                  <w:tcBorders>
                    <w:tl2br w:val="nil"/>
                    <w:tr2bl w:val="nil"/>
                  </w:tcBorders>
                  <w:noWrap w:val="0"/>
                  <w:vAlign w:val="center"/>
                </w:tcPr>
                <w:p w14:paraId="401EC68B">
                  <w:pPr>
                    <w:pStyle w:val="5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14:textFill>
                        <w14:solidFill>
                          <w14:schemeClr w14:val="tx1"/>
                        </w14:solidFill>
                      </w14:textFill>
                    </w:rPr>
                    <w:t>核算年排放量</w:t>
                  </w:r>
                  <w:r>
                    <w:rPr>
                      <w:rFonts w:hint="eastAsia" w:ascii="Times New Roman" w:hAnsi="Times New Roman" w:eastAsia="宋体" w:cs="Times New Roman"/>
                      <w:b/>
                      <w:bCs/>
                      <w:caps w:val="0"/>
                      <w:smallCaps w:val="0"/>
                      <w:snapToGrid w:val="0"/>
                      <w:color w:val="000000" w:themeColor="text1"/>
                      <w:spacing w:val="0"/>
                      <w:w w:val="100"/>
                      <w:kern w:val="0"/>
                      <w:position w:val="0"/>
                      <w:sz w:val="21"/>
                      <w:szCs w:val="21"/>
                      <w:highlight w:val="none"/>
                      <w:lang w:eastAsia="zh-CN"/>
                      <w14:textFill>
                        <w14:solidFill>
                          <w14:schemeClr w14:val="tx1"/>
                        </w14:solidFill>
                      </w14:textFill>
                    </w:rPr>
                    <w:t>（</w:t>
                  </w:r>
                  <w:r>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14:textFill>
                        <w14:solidFill>
                          <w14:schemeClr w14:val="tx1"/>
                        </w14:solidFill>
                      </w14:textFill>
                    </w:rPr>
                    <w:t>t/a</w:t>
                  </w:r>
                  <w:r>
                    <w:rPr>
                      <w:rFonts w:hint="eastAsia" w:ascii="Times New Roman" w:hAnsi="Times New Roman" w:eastAsia="宋体" w:cs="Times New Roman"/>
                      <w:b/>
                      <w:bCs/>
                      <w:caps w:val="0"/>
                      <w:smallCaps w:val="0"/>
                      <w:snapToGrid w:val="0"/>
                      <w:color w:val="000000" w:themeColor="text1"/>
                      <w:spacing w:val="0"/>
                      <w:w w:val="100"/>
                      <w:kern w:val="0"/>
                      <w:position w:val="0"/>
                      <w:sz w:val="21"/>
                      <w:szCs w:val="21"/>
                      <w:highlight w:val="none"/>
                      <w:lang w:eastAsia="zh-CN"/>
                      <w14:textFill>
                        <w14:solidFill>
                          <w14:schemeClr w14:val="tx1"/>
                        </w14:solidFill>
                      </w14:textFill>
                    </w:rPr>
                    <w:t>）</w:t>
                  </w:r>
                </w:p>
              </w:tc>
            </w:tr>
            <w:tr w14:paraId="59F546E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475" w:type="pct"/>
                  <w:tcBorders>
                    <w:tl2br w:val="nil"/>
                    <w:tr2bl w:val="nil"/>
                  </w:tcBorders>
                  <w:noWrap w:val="0"/>
                  <w:vAlign w:val="center"/>
                </w:tcPr>
                <w:p w14:paraId="12A809F9">
                  <w:pPr>
                    <w:pStyle w:val="63"/>
                    <w:keepNext w:val="0"/>
                    <w:keepLines w:val="0"/>
                    <w:pageBreakBefore w:val="0"/>
                    <w:widowControl w:val="0"/>
                    <w:numPr>
                      <w:ilvl w:val="0"/>
                      <w:numId w:val="2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726" w:type="pct"/>
                  <w:tcBorders>
                    <w:tl2br w:val="nil"/>
                    <w:tr2bl w:val="nil"/>
                  </w:tcBorders>
                  <w:noWrap w:val="0"/>
                  <w:vAlign w:val="center"/>
                </w:tcPr>
                <w:p w14:paraId="5804AD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aps w:val="0"/>
                      <w:smallCaps w:val="0"/>
                      <w:snapToGrid w:val="0"/>
                      <w:color w:val="000000" w:themeColor="text1"/>
                      <w:spacing w:val="0"/>
                      <w:w w:val="100"/>
                      <w:kern w:val="0"/>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aps w:val="0"/>
                      <w:smallCaps w:val="0"/>
                      <w:snapToGrid w:val="0"/>
                      <w:color w:val="000000" w:themeColor="text1"/>
                      <w:spacing w:val="0"/>
                      <w:w w:val="100"/>
                      <w:kern w:val="0"/>
                      <w:position w:val="0"/>
                      <w:sz w:val="21"/>
                      <w:szCs w:val="21"/>
                      <w:highlight w:val="none"/>
                      <w:lang w:val="en-US" w:eastAsia="zh-CN"/>
                      <w14:textFill>
                        <w14:solidFill>
                          <w14:schemeClr w14:val="tx1"/>
                        </w14:solidFill>
                      </w14:textFill>
                    </w:rPr>
                    <w:t>DA0</w:t>
                  </w:r>
                  <w:r>
                    <w:rPr>
                      <w:rFonts w:hint="eastAsia" w:cs="Times New Roman"/>
                      <w:b w:val="0"/>
                      <w:bCs w:val="0"/>
                      <w:caps w:val="0"/>
                      <w:smallCaps w:val="0"/>
                      <w:snapToGrid w:val="0"/>
                      <w:color w:val="000000" w:themeColor="text1"/>
                      <w:spacing w:val="0"/>
                      <w:w w:val="100"/>
                      <w:kern w:val="0"/>
                      <w:position w:val="0"/>
                      <w:sz w:val="21"/>
                      <w:szCs w:val="21"/>
                      <w:highlight w:val="none"/>
                      <w:lang w:val="en-US" w:eastAsia="zh-CN"/>
                      <w14:textFill>
                        <w14:solidFill>
                          <w14:schemeClr w14:val="tx1"/>
                        </w14:solidFill>
                      </w14:textFill>
                    </w:rPr>
                    <w:t>16</w:t>
                  </w:r>
                </w:p>
              </w:tc>
              <w:tc>
                <w:tcPr>
                  <w:tcW w:w="918" w:type="pct"/>
                  <w:tcBorders>
                    <w:tl2br w:val="nil"/>
                    <w:tr2bl w:val="nil"/>
                  </w:tcBorders>
                  <w:noWrap w:val="0"/>
                  <w:vAlign w:val="center"/>
                </w:tcPr>
                <w:p w14:paraId="0D6C49C6">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aps w:val="0"/>
                      <w:smallCaps w:val="0"/>
                      <w:snapToGrid w:val="0"/>
                      <w:color w:val="000000" w:themeColor="text1"/>
                      <w:spacing w:val="0"/>
                      <w:w w:val="100"/>
                      <w:kern w:val="0"/>
                      <w:position w:val="0"/>
                      <w:sz w:val="21"/>
                      <w:szCs w:val="21"/>
                      <w:highlight w:val="none"/>
                      <w:lang w:val="en-US" w:eastAsia="zh-CN" w:bidi="ar-SA"/>
                      <w14:textFill>
                        <w14:solidFill>
                          <w14:schemeClr w14:val="tx1"/>
                        </w14:solidFill>
                      </w14:textFill>
                    </w:rPr>
                  </w:pPr>
                  <w:r>
                    <w:rPr>
                      <w:rFonts w:hint="default"/>
                      <w:color w:val="000000" w:themeColor="text1"/>
                      <w:sz w:val="21"/>
                      <w:szCs w:val="21"/>
                      <w:highlight w:val="none"/>
                      <w14:textFill>
                        <w14:solidFill>
                          <w14:schemeClr w14:val="tx1"/>
                        </w14:solidFill>
                      </w14:textFill>
                    </w:rPr>
                    <w:t>颗粒物</w:t>
                  </w:r>
                </w:p>
              </w:tc>
              <w:tc>
                <w:tcPr>
                  <w:tcW w:w="932" w:type="pct"/>
                  <w:tcBorders>
                    <w:tl2br w:val="nil"/>
                    <w:tr2bl w:val="nil"/>
                  </w:tcBorders>
                  <w:noWrap w:val="0"/>
                  <w:vAlign w:val="center"/>
                </w:tcPr>
                <w:p w14:paraId="219B0166">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aps w:val="0"/>
                      <w:smallCaps w:val="0"/>
                      <w:snapToGrid w:val="0"/>
                      <w:color w:val="000000" w:themeColor="text1"/>
                      <w:spacing w:val="0"/>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bidi="ar"/>
                      <w14:textFill>
                        <w14:solidFill>
                          <w14:schemeClr w14:val="tx1"/>
                        </w14:solidFill>
                      </w14:textFill>
                    </w:rPr>
                    <w:t>1.81</w:t>
                  </w:r>
                </w:p>
              </w:tc>
              <w:tc>
                <w:tcPr>
                  <w:tcW w:w="1026" w:type="pct"/>
                  <w:tcBorders>
                    <w:tl2br w:val="nil"/>
                    <w:tr2bl w:val="nil"/>
                  </w:tcBorders>
                  <w:noWrap w:val="0"/>
                  <w:vAlign w:val="center"/>
                </w:tcPr>
                <w:p w14:paraId="73267C19">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aps w:val="0"/>
                      <w:smallCaps w:val="0"/>
                      <w:snapToGrid w:val="0"/>
                      <w:color w:val="000000" w:themeColor="text1"/>
                      <w:spacing w:val="0"/>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0.0010</w:t>
                  </w:r>
                </w:p>
              </w:tc>
              <w:tc>
                <w:tcPr>
                  <w:tcW w:w="922" w:type="pct"/>
                  <w:tcBorders>
                    <w:tl2br w:val="nil"/>
                    <w:tr2bl w:val="nil"/>
                  </w:tcBorders>
                  <w:noWrap w:val="0"/>
                  <w:vAlign w:val="center"/>
                </w:tcPr>
                <w:p w14:paraId="2A6CF42C">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aps w:val="0"/>
                      <w:smallCaps w:val="0"/>
                      <w:snapToGrid w:val="0"/>
                      <w:color w:val="000000" w:themeColor="text1"/>
                      <w:spacing w:val="0"/>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0.0031</w:t>
                  </w:r>
                </w:p>
              </w:tc>
            </w:tr>
            <w:tr w14:paraId="1C95635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475" w:type="pct"/>
                  <w:tcBorders>
                    <w:tl2br w:val="nil"/>
                    <w:tr2bl w:val="nil"/>
                  </w:tcBorders>
                  <w:noWrap w:val="0"/>
                  <w:vAlign w:val="center"/>
                </w:tcPr>
                <w:p w14:paraId="56D1A683">
                  <w:pPr>
                    <w:pStyle w:val="63"/>
                    <w:keepNext w:val="0"/>
                    <w:keepLines w:val="0"/>
                    <w:pageBreakBefore w:val="0"/>
                    <w:widowControl w:val="0"/>
                    <w:numPr>
                      <w:ilvl w:val="0"/>
                      <w:numId w:val="2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726" w:type="pct"/>
                  <w:tcBorders>
                    <w:tl2br w:val="nil"/>
                    <w:tr2bl w:val="nil"/>
                  </w:tcBorders>
                  <w:noWrap w:val="0"/>
                  <w:vAlign w:val="center"/>
                </w:tcPr>
                <w:p w14:paraId="4F93DF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aps w:val="0"/>
                      <w:smallCaps w:val="0"/>
                      <w:snapToGrid w:val="0"/>
                      <w:color w:val="000000" w:themeColor="text1"/>
                      <w:spacing w:val="0"/>
                      <w:w w:val="100"/>
                      <w:kern w:val="0"/>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aps w:val="0"/>
                      <w:smallCaps w:val="0"/>
                      <w:snapToGrid w:val="0"/>
                      <w:color w:val="000000" w:themeColor="text1"/>
                      <w:spacing w:val="0"/>
                      <w:w w:val="100"/>
                      <w:kern w:val="0"/>
                      <w:position w:val="0"/>
                      <w:sz w:val="21"/>
                      <w:szCs w:val="21"/>
                      <w:highlight w:val="none"/>
                      <w:lang w:val="en-US" w:eastAsia="zh-CN"/>
                      <w14:textFill>
                        <w14:solidFill>
                          <w14:schemeClr w14:val="tx1"/>
                        </w14:solidFill>
                      </w14:textFill>
                    </w:rPr>
                    <w:t>DA0</w:t>
                  </w:r>
                  <w:r>
                    <w:rPr>
                      <w:rFonts w:hint="eastAsia" w:cs="Times New Roman"/>
                      <w:b w:val="0"/>
                      <w:bCs w:val="0"/>
                      <w:caps w:val="0"/>
                      <w:smallCaps w:val="0"/>
                      <w:snapToGrid w:val="0"/>
                      <w:color w:val="000000" w:themeColor="text1"/>
                      <w:spacing w:val="0"/>
                      <w:w w:val="100"/>
                      <w:kern w:val="0"/>
                      <w:position w:val="0"/>
                      <w:sz w:val="21"/>
                      <w:szCs w:val="21"/>
                      <w:highlight w:val="none"/>
                      <w:lang w:val="en-US" w:eastAsia="zh-CN"/>
                      <w14:textFill>
                        <w14:solidFill>
                          <w14:schemeClr w14:val="tx1"/>
                        </w14:solidFill>
                      </w14:textFill>
                    </w:rPr>
                    <w:t>02</w:t>
                  </w:r>
                </w:p>
              </w:tc>
              <w:tc>
                <w:tcPr>
                  <w:tcW w:w="918" w:type="pct"/>
                  <w:tcBorders>
                    <w:tl2br w:val="nil"/>
                    <w:tr2bl w:val="nil"/>
                  </w:tcBorders>
                  <w:noWrap w:val="0"/>
                  <w:vAlign w:val="center"/>
                </w:tcPr>
                <w:p w14:paraId="0C23B02D">
                  <w:pPr>
                    <w:keepNext w:val="0"/>
                    <w:keepLines w:val="0"/>
                    <w:suppressLineNumbers w:val="0"/>
                    <w:spacing w:before="0" w:beforeAutospacing="0" w:after="0" w:afterAutospacing="0" w:line="240" w:lineRule="auto"/>
                    <w:ind w:left="0" w:leftChars="0" w:right="0" w:rightChars="0"/>
                    <w:jc w:val="center"/>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颗粒物</w:t>
                  </w:r>
                </w:p>
              </w:tc>
              <w:tc>
                <w:tcPr>
                  <w:tcW w:w="1579" w:type="dxa"/>
                  <w:tcBorders>
                    <w:tl2br w:val="nil"/>
                    <w:tr2bl w:val="nil"/>
                  </w:tcBorders>
                  <w:noWrap w:val="0"/>
                  <w:vAlign w:val="center"/>
                </w:tcPr>
                <w:p w14:paraId="23D2621A">
                  <w:pPr>
                    <w:pStyle w:val="31"/>
                    <w:keepNext w:val="0"/>
                    <w:keepLines w:val="0"/>
                    <w:suppressLineNumbers w:val="0"/>
                    <w:spacing w:before="0" w:beforeAutospacing="0" w:after="0" w:afterAutospacing="0"/>
                    <w:ind w:left="0" w:leftChars="0" w:right="0" w:rightChars="0"/>
                    <w:jc w:val="center"/>
                    <w:rPr>
                      <w:rFonts w:hint="eastAsia" w:ascii="Times New Roman" w:hAnsi="Times New Roman" w:cs="Times New Roman"/>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bidi="ar"/>
                      <w14:textFill>
                        <w14:solidFill>
                          <w14:schemeClr w14:val="tx1"/>
                        </w14:solidFill>
                      </w14:textFill>
                    </w:rPr>
                    <w:t>0.0</w:t>
                  </w:r>
                  <w:r>
                    <w:rPr>
                      <w:rFonts w:hint="eastAsia" w:cs="Times New Roman"/>
                      <w:color w:val="000000" w:themeColor="text1"/>
                      <w:kern w:val="2"/>
                      <w:sz w:val="21"/>
                      <w:szCs w:val="21"/>
                      <w:highlight w:val="none"/>
                      <w:lang w:val="en-US" w:eastAsia="zh-CN" w:bidi="ar"/>
                      <w14:textFill>
                        <w14:solidFill>
                          <w14:schemeClr w14:val="tx1"/>
                        </w14:solidFill>
                      </w14:textFill>
                    </w:rPr>
                    <w:t>8</w:t>
                  </w:r>
                </w:p>
              </w:tc>
              <w:tc>
                <w:tcPr>
                  <w:tcW w:w="1738" w:type="dxa"/>
                  <w:tcBorders>
                    <w:tl2br w:val="nil"/>
                    <w:tr2bl w:val="nil"/>
                  </w:tcBorders>
                  <w:noWrap w:val="0"/>
                  <w:vAlign w:val="center"/>
                </w:tcPr>
                <w:p w14:paraId="490E74CB">
                  <w:pPr>
                    <w:pStyle w:val="31"/>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bidi="ar"/>
                      <w14:textFill>
                        <w14:solidFill>
                          <w14:schemeClr w14:val="tx1"/>
                        </w14:solidFill>
                      </w14:textFill>
                    </w:rPr>
                    <w:t>0.0003</w:t>
                  </w:r>
                </w:p>
              </w:tc>
              <w:tc>
                <w:tcPr>
                  <w:tcW w:w="1562" w:type="dxa"/>
                  <w:tcBorders>
                    <w:tl2br w:val="nil"/>
                    <w:tr2bl w:val="nil"/>
                  </w:tcBorders>
                  <w:noWrap w:val="0"/>
                  <w:vAlign w:val="center"/>
                </w:tcPr>
                <w:p w14:paraId="131BC4D0">
                  <w:pPr>
                    <w:pStyle w:val="31"/>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bidi="ar"/>
                      <w14:textFill>
                        <w14:solidFill>
                          <w14:schemeClr w14:val="tx1"/>
                        </w14:solidFill>
                      </w14:textFill>
                    </w:rPr>
                    <w:t>0.000</w:t>
                  </w:r>
                  <w:r>
                    <w:rPr>
                      <w:rFonts w:hint="eastAsia" w:cs="Times New Roman"/>
                      <w:color w:val="000000" w:themeColor="text1"/>
                      <w:kern w:val="2"/>
                      <w:sz w:val="21"/>
                      <w:szCs w:val="21"/>
                      <w:highlight w:val="none"/>
                      <w:lang w:val="en-US" w:eastAsia="zh-CN" w:bidi="ar"/>
                      <w14:textFill>
                        <w14:solidFill>
                          <w14:schemeClr w14:val="tx1"/>
                        </w14:solidFill>
                      </w14:textFill>
                    </w:rPr>
                    <w:t>3</w:t>
                  </w:r>
                </w:p>
              </w:tc>
            </w:tr>
            <w:tr w14:paraId="1099179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475" w:type="pct"/>
                  <w:tcBorders>
                    <w:tl2br w:val="nil"/>
                    <w:tr2bl w:val="nil"/>
                  </w:tcBorders>
                  <w:noWrap w:val="0"/>
                  <w:vAlign w:val="center"/>
                </w:tcPr>
                <w:p w14:paraId="505AD4F5">
                  <w:pPr>
                    <w:pStyle w:val="63"/>
                    <w:keepNext w:val="0"/>
                    <w:keepLines w:val="0"/>
                    <w:pageBreakBefore w:val="0"/>
                    <w:widowControl w:val="0"/>
                    <w:numPr>
                      <w:ilvl w:val="0"/>
                      <w:numId w:val="2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726" w:type="pct"/>
                  <w:tcBorders>
                    <w:tl2br w:val="nil"/>
                    <w:tr2bl w:val="nil"/>
                  </w:tcBorders>
                  <w:noWrap w:val="0"/>
                  <w:vAlign w:val="center"/>
                </w:tcPr>
                <w:p w14:paraId="69BD44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aps w:val="0"/>
                      <w:smallCaps w:val="0"/>
                      <w:snapToGrid w:val="0"/>
                      <w:color w:val="000000" w:themeColor="text1"/>
                      <w:spacing w:val="0"/>
                      <w:w w:val="100"/>
                      <w:kern w:val="0"/>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aps w:val="0"/>
                      <w:smallCaps w:val="0"/>
                      <w:snapToGrid w:val="0"/>
                      <w:color w:val="000000" w:themeColor="text1"/>
                      <w:spacing w:val="0"/>
                      <w:w w:val="100"/>
                      <w:kern w:val="0"/>
                      <w:position w:val="0"/>
                      <w:sz w:val="21"/>
                      <w:szCs w:val="21"/>
                      <w:highlight w:val="none"/>
                      <w:lang w:val="en-US" w:eastAsia="zh-CN"/>
                      <w14:textFill>
                        <w14:solidFill>
                          <w14:schemeClr w14:val="tx1"/>
                        </w14:solidFill>
                      </w14:textFill>
                    </w:rPr>
                    <w:t>DA00</w:t>
                  </w:r>
                  <w:r>
                    <w:rPr>
                      <w:rFonts w:hint="eastAsia" w:cs="Times New Roman"/>
                      <w:b w:val="0"/>
                      <w:bCs w:val="0"/>
                      <w:caps w:val="0"/>
                      <w:smallCaps w:val="0"/>
                      <w:snapToGrid w:val="0"/>
                      <w:color w:val="000000" w:themeColor="text1"/>
                      <w:spacing w:val="0"/>
                      <w:w w:val="100"/>
                      <w:kern w:val="0"/>
                      <w:position w:val="0"/>
                      <w:sz w:val="21"/>
                      <w:szCs w:val="21"/>
                      <w:highlight w:val="none"/>
                      <w:lang w:val="en-US" w:eastAsia="zh-CN"/>
                      <w14:textFill>
                        <w14:solidFill>
                          <w14:schemeClr w14:val="tx1"/>
                        </w14:solidFill>
                      </w14:textFill>
                    </w:rPr>
                    <w:t>5</w:t>
                  </w:r>
                </w:p>
              </w:tc>
              <w:tc>
                <w:tcPr>
                  <w:tcW w:w="918" w:type="pct"/>
                  <w:tcBorders>
                    <w:tl2br w:val="nil"/>
                    <w:tr2bl w:val="nil"/>
                  </w:tcBorders>
                  <w:noWrap w:val="0"/>
                  <w:vAlign w:val="center"/>
                </w:tcPr>
                <w:p w14:paraId="7D46065E">
                  <w:pPr>
                    <w:keepNext w:val="0"/>
                    <w:keepLines w:val="0"/>
                    <w:suppressLineNumbers w:val="0"/>
                    <w:spacing w:before="0" w:beforeAutospacing="0" w:after="0" w:afterAutospacing="0" w:line="240" w:lineRule="auto"/>
                    <w:ind w:left="0" w:leftChars="0" w:right="0" w:rightChars="0"/>
                    <w:jc w:val="center"/>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颗粒物</w:t>
                  </w:r>
                </w:p>
              </w:tc>
              <w:tc>
                <w:tcPr>
                  <w:tcW w:w="932" w:type="pct"/>
                  <w:tcBorders>
                    <w:tl2br w:val="nil"/>
                    <w:tr2bl w:val="nil"/>
                  </w:tcBorders>
                  <w:noWrap w:val="0"/>
                  <w:vAlign w:val="center"/>
                </w:tcPr>
                <w:p w14:paraId="13423C2F">
                  <w:pPr>
                    <w:pStyle w:val="31"/>
                    <w:keepNext w:val="0"/>
                    <w:keepLines w:val="0"/>
                    <w:suppressLineNumbers w:val="0"/>
                    <w:spacing w:before="0" w:beforeAutospacing="0" w:after="0" w:afterAutospacing="0"/>
                    <w:ind w:left="0" w:leftChars="0" w:right="0" w:rightChars="0"/>
                    <w:jc w:val="center"/>
                    <w:rPr>
                      <w:rFonts w:hint="eastAsia" w:cs="Times New Roman"/>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bidi="ar"/>
                      <w14:textFill>
                        <w14:solidFill>
                          <w14:schemeClr w14:val="tx1"/>
                        </w14:solidFill>
                      </w14:textFill>
                    </w:rPr>
                    <w:t>0.89</w:t>
                  </w:r>
                </w:p>
              </w:tc>
              <w:tc>
                <w:tcPr>
                  <w:tcW w:w="1026" w:type="pct"/>
                  <w:tcBorders>
                    <w:tl2br w:val="nil"/>
                    <w:tr2bl w:val="nil"/>
                  </w:tcBorders>
                  <w:noWrap w:val="0"/>
                  <w:vAlign w:val="center"/>
                </w:tcPr>
                <w:p w14:paraId="36D297C2">
                  <w:pPr>
                    <w:pStyle w:val="31"/>
                    <w:keepNext w:val="0"/>
                    <w:keepLines w:val="0"/>
                    <w:suppressLineNumbers w:val="0"/>
                    <w:spacing w:before="0" w:beforeAutospacing="0" w:after="0" w:afterAutospacing="0"/>
                    <w:ind w:left="0" w:leftChars="0" w:right="0" w:rightChars="0"/>
                    <w:jc w:val="center"/>
                    <w:rPr>
                      <w:rFonts w:hint="eastAsia" w:cs="Times New Roman"/>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0.0001</w:t>
                  </w:r>
                </w:p>
              </w:tc>
              <w:tc>
                <w:tcPr>
                  <w:tcW w:w="922" w:type="pct"/>
                  <w:tcBorders>
                    <w:tl2br w:val="nil"/>
                    <w:tr2bl w:val="nil"/>
                  </w:tcBorders>
                  <w:noWrap w:val="0"/>
                  <w:vAlign w:val="center"/>
                </w:tcPr>
                <w:p w14:paraId="49A8823D">
                  <w:pPr>
                    <w:pStyle w:val="31"/>
                    <w:keepNext w:val="0"/>
                    <w:keepLines w:val="0"/>
                    <w:suppressLineNumbers w:val="0"/>
                    <w:spacing w:before="0" w:beforeAutospacing="0" w:after="0" w:afterAutospacing="0"/>
                    <w:ind w:left="0" w:leftChars="0" w:right="0" w:rightChars="0"/>
                    <w:jc w:val="center"/>
                    <w:rPr>
                      <w:rFonts w:hint="eastAsia" w:cs="Times New Roman"/>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0.0003</w:t>
                  </w:r>
                </w:p>
              </w:tc>
            </w:tr>
            <w:tr w14:paraId="052B39B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475" w:type="pct"/>
                  <w:tcBorders>
                    <w:tl2br w:val="nil"/>
                    <w:tr2bl w:val="nil"/>
                  </w:tcBorders>
                  <w:noWrap w:val="0"/>
                  <w:vAlign w:val="center"/>
                </w:tcPr>
                <w:p w14:paraId="22D3EC05">
                  <w:pPr>
                    <w:pStyle w:val="63"/>
                    <w:keepNext w:val="0"/>
                    <w:keepLines w:val="0"/>
                    <w:pageBreakBefore w:val="0"/>
                    <w:widowControl w:val="0"/>
                    <w:numPr>
                      <w:ilvl w:val="0"/>
                      <w:numId w:val="2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726" w:type="pct"/>
                  <w:tcBorders>
                    <w:tl2br w:val="nil"/>
                    <w:tr2bl w:val="nil"/>
                  </w:tcBorders>
                  <w:noWrap w:val="0"/>
                  <w:vAlign w:val="center"/>
                </w:tcPr>
                <w:p w14:paraId="3F5540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aps w:val="0"/>
                      <w:smallCaps w:val="0"/>
                      <w:snapToGrid w:val="0"/>
                      <w:color w:val="000000" w:themeColor="text1"/>
                      <w:spacing w:val="0"/>
                      <w:w w:val="100"/>
                      <w:kern w:val="0"/>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aps w:val="0"/>
                      <w:smallCaps w:val="0"/>
                      <w:snapToGrid w:val="0"/>
                      <w:color w:val="000000" w:themeColor="text1"/>
                      <w:spacing w:val="0"/>
                      <w:w w:val="100"/>
                      <w:kern w:val="0"/>
                      <w:position w:val="0"/>
                      <w:sz w:val="21"/>
                      <w:szCs w:val="21"/>
                      <w:highlight w:val="none"/>
                      <w:lang w:val="en-US" w:eastAsia="zh-CN"/>
                      <w14:textFill>
                        <w14:solidFill>
                          <w14:schemeClr w14:val="tx1"/>
                        </w14:solidFill>
                      </w14:textFill>
                    </w:rPr>
                    <w:t>DA00</w:t>
                  </w:r>
                  <w:r>
                    <w:rPr>
                      <w:rFonts w:hint="eastAsia" w:cs="Times New Roman"/>
                      <w:b w:val="0"/>
                      <w:bCs w:val="0"/>
                      <w:caps w:val="0"/>
                      <w:smallCaps w:val="0"/>
                      <w:snapToGrid w:val="0"/>
                      <w:color w:val="000000" w:themeColor="text1"/>
                      <w:spacing w:val="0"/>
                      <w:w w:val="100"/>
                      <w:kern w:val="0"/>
                      <w:position w:val="0"/>
                      <w:sz w:val="21"/>
                      <w:szCs w:val="21"/>
                      <w:highlight w:val="none"/>
                      <w:lang w:val="en-US" w:eastAsia="zh-CN"/>
                      <w14:textFill>
                        <w14:solidFill>
                          <w14:schemeClr w14:val="tx1"/>
                        </w14:solidFill>
                      </w14:textFill>
                    </w:rPr>
                    <w:t>6~</w:t>
                  </w:r>
                  <w:r>
                    <w:rPr>
                      <w:rFonts w:hint="default" w:ascii="Times New Roman" w:hAnsi="Times New Roman" w:eastAsia="宋体" w:cs="Times New Roman"/>
                      <w:b w:val="0"/>
                      <w:bCs w:val="0"/>
                      <w:caps w:val="0"/>
                      <w:smallCaps w:val="0"/>
                      <w:snapToGrid w:val="0"/>
                      <w:color w:val="000000" w:themeColor="text1"/>
                      <w:spacing w:val="0"/>
                      <w:w w:val="100"/>
                      <w:kern w:val="0"/>
                      <w:position w:val="0"/>
                      <w:sz w:val="21"/>
                      <w:szCs w:val="21"/>
                      <w:highlight w:val="none"/>
                      <w:lang w:val="en-US" w:eastAsia="zh-CN"/>
                      <w14:textFill>
                        <w14:solidFill>
                          <w14:schemeClr w14:val="tx1"/>
                        </w14:solidFill>
                      </w14:textFill>
                    </w:rPr>
                    <w:t>DA0</w:t>
                  </w:r>
                  <w:r>
                    <w:rPr>
                      <w:rFonts w:hint="eastAsia" w:cs="Times New Roman"/>
                      <w:b w:val="0"/>
                      <w:bCs w:val="0"/>
                      <w:caps w:val="0"/>
                      <w:smallCaps w:val="0"/>
                      <w:snapToGrid w:val="0"/>
                      <w:color w:val="000000" w:themeColor="text1"/>
                      <w:spacing w:val="0"/>
                      <w:w w:val="100"/>
                      <w:kern w:val="0"/>
                      <w:position w:val="0"/>
                      <w:sz w:val="21"/>
                      <w:szCs w:val="21"/>
                      <w:highlight w:val="none"/>
                      <w:lang w:val="en-US" w:eastAsia="zh-CN"/>
                      <w14:textFill>
                        <w14:solidFill>
                          <w14:schemeClr w14:val="tx1"/>
                        </w14:solidFill>
                      </w14:textFill>
                    </w:rPr>
                    <w:t>13</w:t>
                  </w:r>
                </w:p>
              </w:tc>
              <w:tc>
                <w:tcPr>
                  <w:tcW w:w="918" w:type="pct"/>
                  <w:tcBorders>
                    <w:tl2br w:val="nil"/>
                    <w:tr2bl w:val="nil"/>
                  </w:tcBorders>
                  <w:noWrap w:val="0"/>
                  <w:vAlign w:val="center"/>
                </w:tcPr>
                <w:p w14:paraId="01835A57">
                  <w:pPr>
                    <w:keepNext w:val="0"/>
                    <w:keepLines w:val="0"/>
                    <w:suppressLineNumbers w:val="0"/>
                    <w:spacing w:before="0" w:beforeAutospacing="0" w:after="0" w:afterAutospacing="0" w:line="240" w:lineRule="auto"/>
                    <w:ind w:left="0" w:leftChars="0" w:right="0" w:rightChars="0"/>
                    <w:jc w:val="center"/>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颗粒物</w:t>
                  </w:r>
                </w:p>
              </w:tc>
              <w:tc>
                <w:tcPr>
                  <w:tcW w:w="1544" w:type="dxa"/>
                  <w:tcBorders>
                    <w:tl2br w:val="nil"/>
                    <w:tr2bl w:val="nil"/>
                  </w:tcBorders>
                  <w:noWrap w:val="0"/>
                  <w:vAlign w:val="center"/>
                </w:tcPr>
                <w:p w14:paraId="45632C52">
                  <w:pPr>
                    <w:pStyle w:val="31"/>
                    <w:keepNext w:val="0"/>
                    <w:keepLines w:val="0"/>
                    <w:suppressLineNumbers w:val="0"/>
                    <w:spacing w:before="0" w:beforeAutospacing="0" w:after="0" w:afterAutospacing="0"/>
                    <w:ind w:left="0" w:leftChars="0" w:right="0" w:rightChars="0"/>
                    <w:jc w:val="center"/>
                    <w:rPr>
                      <w:rFonts w:hint="eastAsia" w:ascii="Times New Roman" w:hAnsi="Times New Roman" w:cs="Times New Roman"/>
                      <w:color w:val="000000" w:themeColor="text1"/>
                      <w:kern w:val="2"/>
                      <w:sz w:val="21"/>
                      <w:szCs w:val="21"/>
                      <w:highlight w:val="none"/>
                      <w:lang w:val="en-US" w:eastAsia="zh-CN" w:bidi="ar"/>
                      <w14:textFill>
                        <w14:solidFill>
                          <w14:schemeClr w14:val="tx1"/>
                        </w14:solidFill>
                      </w14:textFill>
                    </w:rPr>
                  </w:pPr>
                  <w:r>
                    <w:rPr>
                      <w:rFonts w:hint="eastAsia" w:cs="Times New Roman"/>
                      <w:color w:val="000000" w:themeColor="text1"/>
                      <w:kern w:val="2"/>
                      <w:sz w:val="21"/>
                      <w:szCs w:val="21"/>
                      <w:highlight w:val="none"/>
                      <w:lang w:val="en-US" w:eastAsia="zh-CN" w:bidi="ar"/>
                      <w14:textFill>
                        <w14:solidFill>
                          <w14:schemeClr w14:val="tx1"/>
                        </w14:solidFill>
                      </w14:textFill>
                    </w:rPr>
                    <w:t>0.50</w:t>
                  </w:r>
                </w:p>
              </w:tc>
              <w:tc>
                <w:tcPr>
                  <w:tcW w:w="1703" w:type="dxa"/>
                  <w:tcBorders>
                    <w:tl2br w:val="nil"/>
                    <w:tr2bl w:val="nil"/>
                  </w:tcBorders>
                  <w:noWrap w:val="0"/>
                  <w:vAlign w:val="center"/>
                </w:tcPr>
                <w:p w14:paraId="75DD23B1">
                  <w:pPr>
                    <w:pStyle w:val="31"/>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eastAsia="宋体"/>
                      <w:color w:val="000000" w:themeColor="text1"/>
                      <w:sz w:val="21"/>
                      <w:szCs w:val="21"/>
                      <w:highlight w:val="none"/>
                      <w:lang w:val="en-US" w:eastAsia="zh-CN"/>
                      <w14:textFill>
                        <w14:solidFill>
                          <w14:schemeClr w14:val="tx1"/>
                        </w14:solidFill>
                      </w14:textFill>
                    </w:rPr>
                    <w:t>0.0011</w:t>
                  </w:r>
                </w:p>
              </w:tc>
              <w:tc>
                <w:tcPr>
                  <w:tcW w:w="1527" w:type="dxa"/>
                  <w:tcBorders>
                    <w:tl2br w:val="nil"/>
                    <w:tr2bl w:val="nil"/>
                  </w:tcBorders>
                  <w:noWrap w:val="0"/>
                  <w:vAlign w:val="center"/>
                </w:tcPr>
                <w:p w14:paraId="585E34AA">
                  <w:pPr>
                    <w:pStyle w:val="31"/>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0.005</w:t>
                  </w:r>
                </w:p>
              </w:tc>
            </w:tr>
            <w:tr w14:paraId="5E954BF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1201" w:type="pct"/>
                  <w:gridSpan w:val="2"/>
                  <w:tcBorders>
                    <w:tl2br w:val="nil"/>
                    <w:tr2bl w:val="nil"/>
                  </w:tcBorders>
                  <w:noWrap w:val="0"/>
                  <w:vAlign w:val="center"/>
                </w:tcPr>
                <w:p w14:paraId="3BC7CB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aps w:val="0"/>
                      <w:smallCaps w:val="0"/>
                      <w:snapToGrid w:val="0"/>
                      <w:color w:val="000000" w:themeColor="text1"/>
                      <w:spacing w:val="0"/>
                      <w:w w:val="100"/>
                      <w:kern w:val="0"/>
                      <w:position w:val="0"/>
                      <w:sz w:val="21"/>
                      <w:szCs w:val="21"/>
                      <w:highlight w:val="none"/>
                      <w:lang w:val="en-US" w:eastAsia="zh-CN"/>
                      <w14:textFill>
                        <w14:solidFill>
                          <w14:schemeClr w14:val="tx1"/>
                        </w14:solidFill>
                      </w14:textFill>
                    </w:rPr>
                  </w:pPr>
                  <w:r>
                    <w:rPr>
                      <w:rFonts w:hint="eastAsia" w:cs="Times New Roman"/>
                      <w:b w:val="0"/>
                      <w:bCs w:val="0"/>
                      <w:caps w:val="0"/>
                      <w:smallCaps w:val="0"/>
                      <w:snapToGrid w:val="0"/>
                      <w:color w:val="000000" w:themeColor="text1"/>
                      <w:spacing w:val="0"/>
                      <w:w w:val="100"/>
                      <w:kern w:val="0"/>
                      <w:position w:val="0"/>
                      <w:sz w:val="21"/>
                      <w:szCs w:val="21"/>
                      <w:highlight w:val="none"/>
                      <w:lang w:val="en-US" w:eastAsia="zh-CN"/>
                      <w14:textFill>
                        <w14:solidFill>
                          <w14:schemeClr w14:val="tx1"/>
                        </w14:solidFill>
                      </w14:textFill>
                    </w:rPr>
                    <w:t>总计</w:t>
                  </w:r>
                </w:p>
              </w:tc>
              <w:tc>
                <w:tcPr>
                  <w:tcW w:w="3798" w:type="pct"/>
                  <w:gridSpan w:val="4"/>
                  <w:tcBorders>
                    <w:tl2br w:val="nil"/>
                    <w:tr2bl w:val="nil"/>
                  </w:tcBorders>
                  <w:noWrap w:val="0"/>
                  <w:vAlign w:val="center"/>
                </w:tcPr>
                <w:p w14:paraId="513B912B">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0.00</w:t>
                  </w:r>
                  <w:r>
                    <w:rPr>
                      <w:rFonts w:hint="eastAsia" w:cs="Times New Roman"/>
                      <w:color w:val="000000" w:themeColor="text1"/>
                      <w:kern w:val="2"/>
                      <w:sz w:val="21"/>
                      <w:szCs w:val="21"/>
                      <w:highlight w:val="none"/>
                      <w:lang w:val="en-US" w:eastAsia="zh-CN" w:bidi="ar"/>
                      <w14:textFill>
                        <w14:solidFill>
                          <w14:schemeClr w14:val="tx1"/>
                        </w14:solidFill>
                      </w14:textFill>
                    </w:rPr>
                    <w:t>87</w:t>
                  </w:r>
                </w:p>
              </w:tc>
            </w:tr>
          </w:tbl>
          <w:p w14:paraId="562F11D6">
            <w:pPr>
              <w:keepNext w:val="0"/>
              <w:keepLines w:val="0"/>
              <w:pageBreakBefore w:val="0"/>
              <w:widowControl w:val="0"/>
              <w:numPr>
                <w:ilvl w:val="0"/>
                <w:numId w:val="26"/>
              </w:numPr>
              <w:suppressLineNumbers w:val="0"/>
              <w:kinsoku/>
              <w:wordWrap/>
              <w:overflowPunct/>
              <w:topLinePunct w:val="0"/>
              <w:autoSpaceDE/>
              <w:autoSpaceDN/>
              <w:bidi w:val="0"/>
              <w:adjustRightInd/>
              <w:snapToGrid w:val="0"/>
              <w:spacing w:before="157" w:beforeLines="5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无组织排放量核算</w:t>
            </w:r>
          </w:p>
          <w:tbl>
            <w:tblPr>
              <w:tblStyle w:val="35"/>
              <w:tblW w:w="8469" w:type="dxa"/>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23" w:type="dxa"/>
                <w:bottom w:w="0" w:type="dxa"/>
                <w:right w:w="23" w:type="dxa"/>
              </w:tblCellMar>
            </w:tblPr>
            <w:tblGrid>
              <w:gridCol w:w="392"/>
              <w:gridCol w:w="1417"/>
              <w:gridCol w:w="1379"/>
              <w:gridCol w:w="1183"/>
              <w:gridCol w:w="1886"/>
              <w:gridCol w:w="1116"/>
              <w:gridCol w:w="1096"/>
            </w:tblGrid>
            <w:tr w14:paraId="0D5F1C3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392" w:type="dxa"/>
                  <w:vMerge w:val="restart"/>
                  <w:tcBorders>
                    <w:tl2br w:val="nil"/>
                    <w:tr2bl w:val="nil"/>
                  </w:tcBorders>
                  <w:noWrap w:val="0"/>
                  <w:vAlign w:val="center"/>
                </w:tcPr>
                <w:p w14:paraId="5901802C">
                  <w:pPr>
                    <w:pStyle w:val="5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14:textFill>
                        <w14:solidFill>
                          <w14:schemeClr w14:val="tx1"/>
                        </w14:solidFill>
                      </w14:textFill>
                    </w:rPr>
                  </w:pPr>
                  <w:r>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14:textFill>
                        <w14:solidFill>
                          <w14:schemeClr w14:val="tx1"/>
                        </w14:solidFill>
                      </w14:textFill>
                    </w:rPr>
                    <w:t>序号</w:t>
                  </w:r>
                </w:p>
              </w:tc>
              <w:tc>
                <w:tcPr>
                  <w:tcW w:w="1417" w:type="dxa"/>
                  <w:vMerge w:val="restart"/>
                  <w:tcBorders>
                    <w:tl2br w:val="nil"/>
                    <w:tr2bl w:val="nil"/>
                  </w:tcBorders>
                  <w:noWrap w:val="0"/>
                  <w:vAlign w:val="center"/>
                </w:tcPr>
                <w:p w14:paraId="42478D39">
                  <w:pPr>
                    <w:pStyle w:val="5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lang w:eastAsia="zh-CN"/>
                      <w14:textFill>
                        <w14:solidFill>
                          <w14:schemeClr w14:val="tx1"/>
                        </w14:solidFill>
                      </w14:textFill>
                    </w:rPr>
                  </w:pPr>
                  <w:r>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14:textFill>
                        <w14:solidFill>
                          <w14:schemeClr w14:val="tx1"/>
                        </w14:solidFill>
                      </w14:textFill>
                    </w:rPr>
                    <w:t>排放</w:t>
                  </w:r>
                  <w:r>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lang w:val="en-US" w:eastAsia="zh-CN"/>
                      <w14:textFill>
                        <w14:solidFill>
                          <w14:schemeClr w14:val="tx1"/>
                        </w14:solidFill>
                      </w14:textFill>
                    </w:rPr>
                    <w:t>源</w:t>
                  </w:r>
                </w:p>
              </w:tc>
              <w:tc>
                <w:tcPr>
                  <w:tcW w:w="1379" w:type="dxa"/>
                  <w:vMerge w:val="restart"/>
                  <w:tcBorders>
                    <w:tl2br w:val="nil"/>
                    <w:tr2bl w:val="nil"/>
                  </w:tcBorders>
                  <w:noWrap w:val="0"/>
                  <w:vAlign w:val="center"/>
                </w:tcPr>
                <w:p w14:paraId="010BA5C5">
                  <w:pPr>
                    <w:pStyle w:val="5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14:textFill>
                        <w14:solidFill>
                          <w14:schemeClr w14:val="tx1"/>
                        </w14:solidFill>
                      </w14:textFill>
                    </w:rPr>
                  </w:pPr>
                  <w:r>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14:textFill>
                        <w14:solidFill>
                          <w14:schemeClr w14:val="tx1"/>
                        </w14:solidFill>
                      </w14:textFill>
                    </w:rPr>
                    <w:t>污染物</w:t>
                  </w:r>
                </w:p>
              </w:tc>
              <w:tc>
                <w:tcPr>
                  <w:tcW w:w="1183" w:type="dxa"/>
                  <w:vMerge w:val="restart"/>
                  <w:tcBorders>
                    <w:tl2br w:val="nil"/>
                    <w:tr2bl w:val="nil"/>
                  </w:tcBorders>
                  <w:noWrap w:val="0"/>
                  <w:vAlign w:val="center"/>
                </w:tcPr>
                <w:p w14:paraId="79E3FFAD">
                  <w:pPr>
                    <w:pStyle w:val="5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14:textFill>
                        <w14:solidFill>
                          <w14:schemeClr w14:val="tx1"/>
                        </w14:solidFill>
                      </w14:textFill>
                    </w:rPr>
                  </w:pPr>
                  <w:r>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14:textFill>
                        <w14:solidFill>
                          <w14:schemeClr w14:val="tx1"/>
                        </w14:solidFill>
                      </w14:textFill>
                    </w:rPr>
                    <w:t>主要污染防治措施</w:t>
                  </w:r>
                </w:p>
              </w:tc>
              <w:tc>
                <w:tcPr>
                  <w:tcW w:w="3002" w:type="dxa"/>
                  <w:gridSpan w:val="2"/>
                  <w:tcBorders>
                    <w:tl2br w:val="nil"/>
                    <w:tr2bl w:val="nil"/>
                  </w:tcBorders>
                  <w:noWrap w:val="0"/>
                  <w:vAlign w:val="center"/>
                </w:tcPr>
                <w:p w14:paraId="77D988A6">
                  <w:pPr>
                    <w:pStyle w:val="5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14:textFill>
                        <w14:solidFill>
                          <w14:schemeClr w14:val="tx1"/>
                        </w14:solidFill>
                      </w14:textFill>
                    </w:rPr>
                  </w:pPr>
                  <w:r>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14:textFill>
                        <w14:solidFill>
                          <w14:schemeClr w14:val="tx1"/>
                        </w14:solidFill>
                      </w14:textFill>
                    </w:rPr>
                    <w:t>国家或地方污染物排放标准</w:t>
                  </w:r>
                </w:p>
              </w:tc>
              <w:tc>
                <w:tcPr>
                  <w:tcW w:w="1096" w:type="dxa"/>
                  <w:vMerge w:val="restart"/>
                  <w:tcBorders>
                    <w:tl2br w:val="nil"/>
                    <w:tr2bl w:val="nil"/>
                  </w:tcBorders>
                  <w:noWrap w:val="0"/>
                  <w:vAlign w:val="center"/>
                </w:tcPr>
                <w:p w14:paraId="3EDC6F59">
                  <w:pPr>
                    <w:pStyle w:val="5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b w:val="0"/>
                      <w:bCs w:val="0"/>
                      <w:caps w:val="0"/>
                      <w:smallCaps w:val="0"/>
                      <w:snapToGrid w:val="0"/>
                      <w:color w:val="000000" w:themeColor="text1"/>
                      <w:spacing w:val="0"/>
                      <w:w w:val="100"/>
                      <w:kern w:val="0"/>
                      <w:position w:val="0"/>
                      <w:sz w:val="21"/>
                      <w:szCs w:val="21"/>
                      <w:highlight w:val="none"/>
                      <w14:textFill>
                        <w14:solidFill>
                          <w14:schemeClr w14:val="tx1"/>
                        </w14:solidFill>
                      </w14:textFill>
                    </w:rPr>
                  </w:pPr>
                  <w:r>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14:textFill>
                        <w14:solidFill>
                          <w14:schemeClr w14:val="tx1"/>
                        </w14:solidFill>
                      </w14:textFill>
                    </w:rPr>
                    <w:t>年排放量</w:t>
                  </w:r>
                  <w:r>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lang w:eastAsia="zh-CN"/>
                      <w14:textFill>
                        <w14:solidFill>
                          <w14:schemeClr w14:val="tx1"/>
                        </w14:solidFill>
                      </w14:textFill>
                    </w:rPr>
                    <w:t>（</w:t>
                  </w:r>
                  <w:r>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14:textFill>
                        <w14:solidFill>
                          <w14:schemeClr w14:val="tx1"/>
                        </w14:solidFill>
                      </w14:textFill>
                    </w:rPr>
                    <w:t>t/a</w:t>
                  </w:r>
                  <w:r>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lang w:eastAsia="zh-CN"/>
                      <w14:textFill>
                        <w14:solidFill>
                          <w14:schemeClr w14:val="tx1"/>
                        </w14:solidFill>
                      </w14:textFill>
                    </w:rPr>
                    <w:t>）</w:t>
                  </w:r>
                </w:p>
              </w:tc>
            </w:tr>
            <w:tr w14:paraId="72D5009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639" w:hRule="atLeast"/>
                <w:jc w:val="center"/>
              </w:trPr>
              <w:tc>
                <w:tcPr>
                  <w:tcW w:w="392" w:type="dxa"/>
                  <w:vMerge w:val="continue"/>
                  <w:tcBorders>
                    <w:tl2br w:val="nil"/>
                    <w:tr2bl w:val="nil"/>
                  </w:tcBorders>
                  <w:noWrap w:val="0"/>
                  <w:vAlign w:val="center"/>
                </w:tcPr>
                <w:p w14:paraId="19DBFBCF">
                  <w:pPr>
                    <w:pStyle w:val="5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14:textFill>
                        <w14:solidFill>
                          <w14:schemeClr w14:val="tx1"/>
                        </w14:solidFill>
                      </w14:textFill>
                    </w:rPr>
                  </w:pPr>
                </w:p>
              </w:tc>
              <w:tc>
                <w:tcPr>
                  <w:tcW w:w="1417" w:type="dxa"/>
                  <w:vMerge w:val="continue"/>
                  <w:tcBorders>
                    <w:tl2br w:val="nil"/>
                    <w:tr2bl w:val="nil"/>
                  </w:tcBorders>
                  <w:noWrap w:val="0"/>
                  <w:vAlign w:val="center"/>
                </w:tcPr>
                <w:p w14:paraId="4CCAD5E9">
                  <w:pPr>
                    <w:pStyle w:val="5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14:textFill>
                        <w14:solidFill>
                          <w14:schemeClr w14:val="tx1"/>
                        </w14:solidFill>
                      </w14:textFill>
                    </w:rPr>
                  </w:pPr>
                </w:p>
              </w:tc>
              <w:tc>
                <w:tcPr>
                  <w:tcW w:w="1379" w:type="dxa"/>
                  <w:vMerge w:val="continue"/>
                  <w:tcBorders>
                    <w:tl2br w:val="nil"/>
                    <w:tr2bl w:val="nil"/>
                  </w:tcBorders>
                  <w:noWrap w:val="0"/>
                  <w:vAlign w:val="center"/>
                </w:tcPr>
                <w:p w14:paraId="027F377D">
                  <w:pPr>
                    <w:pStyle w:val="5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14:textFill>
                        <w14:solidFill>
                          <w14:schemeClr w14:val="tx1"/>
                        </w14:solidFill>
                      </w14:textFill>
                    </w:rPr>
                  </w:pPr>
                </w:p>
              </w:tc>
              <w:tc>
                <w:tcPr>
                  <w:tcW w:w="1183" w:type="dxa"/>
                  <w:vMerge w:val="continue"/>
                  <w:tcBorders>
                    <w:tl2br w:val="nil"/>
                    <w:tr2bl w:val="nil"/>
                  </w:tcBorders>
                  <w:noWrap w:val="0"/>
                  <w:vAlign w:val="center"/>
                </w:tcPr>
                <w:p w14:paraId="42761F82">
                  <w:pPr>
                    <w:pStyle w:val="5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14:textFill>
                        <w14:solidFill>
                          <w14:schemeClr w14:val="tx1"/>
                        </w14:solidFill>
                      </w14:textFill>
                    </w:rPr>
                  </w:pPr>
                </w:p>
              </w:tc>
              <w:tc>
                <w:tcPr>
                  <w:tcW w:w="1886" w:type="dxa"/>
                  <w:tcBorders>
                    <w:tl2br w:val="nil"/>
                    <w:tr2bl w:val="nil"/>
                  </w:tcBorders>
                  <w:noWrap w:val="0"/>
                  <w:vAlign w:val="center"/>
                </w:tcPr>
                <w:p w14:paraId="28723158">
                  <w:pPr>
                    <w:pStyle w:val="5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14:textFill>
                        <w14:solidFill>
                          <w14:schemeClr w14:val="tx1"/>
                        </w14:solidFill>
                      </w14:textFill>
                    </w:rPr>
                  </w:pPr>
                  <w:r>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14:textFill>
                        <w14:solidFill>
                          <w14:schemeClr w14:val="tx1"/>
                        </w14:solidFill>
                      </w14:textFill>
                    </w:rPr>
                    <w:t>标准名称</w:t>
                  </w:r>
                </w:p>
              </w:tc>
              <w:tc>
                <w:tcPr>
                  <w:tcW w:w="1116" w:type="dxa"/>
                  <w:tcBorders>
                    <w:tl2br w:val="nil"/>
                    <w:tr2bl w:val="nil"/>
                  </w:tcBorders>
                  <w:noWrap w:val="0"/>
                  <w:vAlign w:val="center"/>
                </w:tcPr>
                <w:p w14:paraId="49C3F8CB">
                  <w:pPr>
                    <w:pStyle w:val="5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14:textFill>
                        <w14:solidFill>
                          <w14:schemeClr w14:val="tx1"/>
                        </w14:solidFill>
                      </w14:textFill>
                    </w:rPr>
                  </w:pPr>
                  <w:r>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14:textFill>
                        <w14:solidFill>
                          <w14:schemeClr w14:val="tx1"/>
                        </w14:solidFill>
                      </w14:textFill>
                    </w:rPr>
                    <w:t>浓度限值</w:t>
                  </w:r>
                  <w:r>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lang w:eastAsia="zh-CN"/>
                      <w14:textFill>
                        <w14:solidFill>
                          <w14:schemeClr w14:val="tx1"/>
                        </w14:solidFill>
                      </w14:textFill>
                    </w:rPr>
                    <w:t>（</w:t>
                  </w:r>
                  <w:r>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lang w:val="en-US" w:eastAsia="zh-CN"/>
                      <w14:textFill>
                        <w14:solidFill>
                          <w14:schemeClr w14:val="tx1"/>
                        </w14:solidFill>
                      </w14:textFill>
                    </w:rPr>
                    <w:t>m</w:t>
                  </w:r>
                  <w:r>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14:textFill>
                        <w14:solidFill>
                          <w14:schemeClr w14:val="tx1"/>
                        </w14:solidFill>
                      </w14:textFill>
                    </w:rPr>
                    <w:t>g/m</w:t>
                  </w:r>
                  <w:r>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vertAlign w:val="superscript"/>
                      <w14:textFill>
                        <w14:solidFill>
                          <w14:schemeClr w14:val="tx1"/>
                        </w14:solidFill>
                      </w14:textFill>
                    </w:rPr>
                    <w:t>3</w:t>
                  </w:r>
                  <w:r>
                    <w:rPr>
                      <w:rFonts w:hint="default" w:ascii="Times New Roman" w:hAnsi="Times New Roman" w:eastAsia="宋体" w:cs="Times New Roman"/>
                      <w:b/>
                      <w:bCs/>
                      <w:caps w:val="0"/>
                      <w:smallCaps w:val="0"/>
                      <w:snapToGrid w:val="0"/>
                      <w:color w:val="000000" w:themeColor="text1"/>
                      <w:spacing w:val="0"/>
                      <w:w w:val="100"/>
                      <w:kern w:val="0"/>
                      <w:position w:val="0"/>
                      <w:sz w:val="21"/>
                      <w:szCs w:val="21"/>
                      <w:highlight w:val="none"/>
                      <w:lang w:eastAsia="zh-CN"/>
                      <w14:textFill>
                        <w14:solidFill>
                          <w14:schemeClr w14:val="tx1"/>
                        </w14:solidFill>
                      </w14:textFill>
                    </w:rPr>
                    <w:t>）</w:t>
                  </w:r>
                </w:p>
              </w:tc>
              <w:tc>
                <w:tcPr>
                  <w:tcW w:w="1096" w:type="dxa"/>
                  <w:vMerge w:val="continue"/>
                  <w:tcBorders>
                    <w:tl2br w:val="nil"/>
                    <w:tr2bl w:val="nil"/>
                  </w:tcBorders>
                  <w:noWrap w:val="0"/>
                  <w:vAlign w:val="center"/>
                </w:tcPr>
                <w:p w14:paraId="0AF1BCAF">
                  <w:pPr>
                    <w:pStyle w:val="58"/>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default" w:ascii="Times New Roman" w:hAnsi="Times New Roman" w:eastAsia="宋体" w:cs="Times New Roman"/>
                      <w:b w:val="0"/>
                      <w:bCs w:val="0"/>
                      <w:caps w:val="0"/>
                      <w:smallCaps w:val="0"/>
                      <w:snapToGrid w:val="0"/>
                      <w:color w:val="000000" w:themeColor="text1"/>
                      <w:spacing w:val="0"/>
                      <w:w w:val="100"/>
                      <w:kern w:val="0"/>
                      <w:position w:val="0"/>
                      <w:sz w:val="21"/>
                      <w:szCs w:val="21"/>
                      <w:highlight w:val="none"/>
                      <w14:textFill>
                        <w14:solidFill>
                          <w14:schemeClr w14:val="tx1"/>
                        </w14:solidFill>
                      </w14:textFill>
                    </w:rPr>
                  </w:pPr>
                </w:p>
              </w:tc>
            </w:tr>
            <w:tr w14:paraId="1B7329F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392" w:type="dxa"/>
                  <w:tcBorders>
                    <w:tl2br w:val="nil"/>
                    <w:tr2bl w:val="nil"/>
                  </w:tcBorders>
                  <w:noWrap w:val="0"/>
                  <w:vAlign w:val="center"/>
                </w:tcPr>
                <w:p w14:paraId="3FFD7B8D">
                  <w:pPr>
                    <w:pStyle w:val="63"/>
                    <w:keepNext w:val="0"/>
                    <w:keepLines w:val="0"/>
                    <w:pageBreakBefore w:val="0"/>
                    <w:widowControl w:val="0"/>
                    <w:numPr>
                      <w:ilvl w:val="0"/>
                      <w:numId w:val="28"/>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17" w:type="dxa"/>
                  <w:vMerge w:val="restart"/>
                  <w:tcBorders>
                    <w:tl2br w:val="nil"/>
                    <w:tr2bl w:val="nil"/>
                  </w:tcBorders>
                  <w:noWrap w:val="0"/>
                  <w:vAlign w:val="center"/>
                </w:tcPr>
                <w:p w14:paraId="4F27D04D">
                  <w:pPr>
                    <w:pStyle w:val="5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firstLine="0" w:firstLineChars="0"/>
                    <w:jc w:val="center"/>
                    <w:textAlignment w:val="auto"/>
                    <w:rPr>
                      <w:rFonts w:hint="default" w:ascii="Times New Roman" w:hAnsi="Times New Roman" w:eastAsia="宋体" w:cs="Times New Roman"/>
                      <w:b w:val="0"/>
                      <w:bCs w:val="0"/>
                      <w:caps w:val="0"/>
                      <w:smallCaps w:val="0"/>
                      <w:snapToGrid w:val="0"/>
                      <w:color w:val="000000" w:themeColor="text1"/>
                      <w:spacing w:val="0"/>
                      <w:w w:val="100"/>
                      <w:kern w:val="0"/>
                      <w:position w:val="0"/>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前处理车间除尘系统未捕集粉尘</w:t>
                  </w:r>
                </w:p>
              </w:tc>
              <w:tc>
                <w:tcPr>
                  <w:tcW w:w="1379" w:type="dxa"/>
                  <w:vMerge w:val="restart"/>
                  <w:tcBorders>
                    <w:tl2br w:val="nil"/>
                    <w:tr2bl w:val="nil"/>
                  </w:tcBorders>
                  <w:noWrap w:val="0"/>
                  <w:vAlign w:val="center"/>
                </w:tcPr>
                <w:p w14:paraId="3420DCFC">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aps w:val="0"/>
                      <w:smallCaps w:val="0"/>
                      <w:snapToGrid w:val="0"/>
                      <w:color w:val="000000" w:themeColor="text1"/>
                      <w:spacing w:val="0"/>
                      <w:w w:val="100"/>
                      <w:kern w:val="0"/>
                      <w:position w:val="0"/>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颗粒物</w:t>
                  </w:r>
                </w:p>
              </w:tc>
              <w:tc>
                <w:tcPr>
                  <w:tcW w:w="1183" w:type="dxa"/>
                  <w:vMerge w:val="restart"/>
                  <w:tcBorders>
                    <w:tl2br w:val="nil"/>
                    <w:tr2bl w:val="nil"/>
                  </w:tcBorders>
                  <w:noWrap w:val="0"/>
                  <w:vAlign w:val="center"/>
                </w:tcPr>
                <w:p w14:paraId="042C22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aps w:val="0"/>
                      <w:smallCaps w:val="0"/>
                      <w:snapToGrid w:val="0"/>
                      <w:color w:val="000000" w:themeColor="text1"/>
                      <w:spacing w:val="0"/>
                      <w:w w:val="100"/>
                      <w:kern w:val="0"/>
                      <w:position w:val="0"/>
                      <w:sz w:val="21"/>
                      <w:szCs w:val="21"/>
                      <w:highlight w:val="none"/>
                      <w:lang w:val="en-US" w:eastAsia="zh-CN"/>
                      <w14:textFill>
                        <w14:solidFill>
                          <w14:schemeClr w14:val="tx1"/>
                        </w14:solidFill>
                      </w14:textFill>
                    </w:rPr>
                  </w:pPr>
                  <w:r>
                    <w:rPr>
                      <w:rFonts w:hint="default" w:ascii="Times New Roman" w:hAnsi="Times New Roman" w:cs="Times New Roman"/>
                      <w:b w:val="0"/>
                      <w:bCs w:val="0"/>
                      <w:caps w:val="0"/>
                      <w:smallCaps w:val="0"/>
                      <w:snapToGrid w:val="0"/>
                      <w:color w:val="000000" w:themeColor="text1"/>
                      <w:spacing w:val="0"/>
                      <w:w w:val="100"/>
                      <w:kern w:val="0"/>
                      <w:position w:val="0"/>
                      <w:sz w:val="21"/>
                      <w:szCs w:val="21"/>
                      <w:highlight w:val="none"/>
                      <w:lang w:val="en-US" w:eastAsia="zh-CN"/>
                      <w14:textFill>
                        <w14:solidFill>
                          <w14:schemeClr w14:val="tx1"/>
                        </w14:solidFill>
                      </w14:textFill>
                    </w:rPr>
                    <w:t>/</w:t>
                  </w:r>
                </w:p>
              </w:tc>
              <w:tc>
                <w:tcPr>
                  <w:tcW w:w="1886" w:type="dxa"/>
                  <w:vMerge w:val="restart"/>
                  <w:tcBorders>
                    <w:tl2br w:val="nil"/>
                    <w:tr2bl w:val="nil"/>
                  </w:tcBorders>
                  <w:noWrap w:val="0"/>
                  <w:vAlign w:val="center"/>
                </w:tcPr>
                <w:p w14:paraId="520DD2A1">
                  <w:pPr>
                    <w:pStyle w:val="5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《大气污染物综合排放标准》（GB16297-1996）表2</w:t>
                  </w:r>
                </w:p>
              </w:tc>
              <w:tc>
                <w:tcPr>
                  <w:tcW w:w="1116" w:type="dxa"/>
                  <w:vMerge w:val="restart"/>
                  <w:tcBorders>
                    <w:tl2br w:val="nil"/>
                    <w:tr2bl w:val="nil"/>
                  </w:tcBorders>
                  <w:noWrap w:val="0"/>
                  <w:vAlign w:val="center"/>
                </w:tcPr>
                <w:p w14:paraId="218E73B3">
                  <w:pPr>
                    <w:pStyle w:val="5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firstLine="0" w:firstLineChars="0"/>
                    <w:jc w:val="center"/>
                    <w:textAlignment w:val="auto"/>
                    <w:rPr>
                      <w:rFonts w:hint="default" w:ascii="Times New Roman" w:hAnsi="Times New Roman" w:eastAsia="宋体" w:cs="Times New Roman"/>
                      <w:b w:val="0"/>
                      <w:bCs w:val="0"/>
                      <w:caps w:val="0"/>
                      <w:smallCaps w:val="0"/>
                      <w:snapToGrid w:val="0"/>
                      <w:color w:val="000000" w:themeColor="text1"/>
                      <w:spacing w:val="0"/>
                      <w:w w:val="100"/>
                      <w:kern w:val="0"/>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aps w:val="0"/>
                      <w:smallCaps w:val="0"/>
                      <w:snapToGrid w:val="0"/>
                      <w:color w:val="000000" w:themeColor="text1"/>
                      <w:spacing w:val="0"/>
                      <w:w w:val="100"/>
                      <w:kern w:val="0"/>
                      <w:position w:val="0"/>
                      <w:sz w:val="21"/>
                      <w:szCs w:val="21"/>
                      <w:highlight w:val="none"/>
                      <w:lang w:val="en-US" w:eastAsia="zh-CN"/>
                      <w14:textFill>
                        <w14:solidFill>
                          <w14:schemeClr w14:val="tx1"/>
                        </w14:solidFill>
                      </w14:textFill>
                    </w:rPr>
                    <w:t>1.0</w:t>
                  </w:r>
                </w:p>
              </w:tc>
              <w:tc>
                <w:tcPr>
                  <w:tcW w:w="1096" w:type="dxa"/>
                  <w:tcBorders>
                    <w:tl2br w:val="nil"/>
                    <w:tr2bl w:val="nil"/>
                  </w:tcBorders>
                  <w:noWrap w:val="0"/>
                  <w:vAlign w:val="center"/>
                </w:tcPr>
                <w:p w14:paraId="6899EC2D">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aps w:val="0"/>
                      <w:smallCaps w:val="0"/>
                      <w:snapToGrid w:val="0"/>
                      <w:color w:val="000000" w:themeColor="text1"/>
                      <w:spacing w:val="0"/>
                      <w:kern w:val="0"/>
                      <w:positio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0.0768</w:t>
                  </w:r>
                </w:p>
              </w:tc>
            </w:tr>
            <w:tr w14:paraId="3ED5776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392" w:type="dxa"/>
                  <w:tcBorders>
                    <w:tl2br w:val="nil"/>
                    <w:tr2bl w:val="nil"/>
                  </w:tcBorders>
                  <w:noWrap w:val="0"/>
                  <w:vAlign w:val="center"/>
                </w:tcPr>
                <w:p w14:paraId="3B8ECBB7">
                  <w:pPr>
                    <w:pStyle w:val="63"/>
                    <w:keepNext w:val="0"/>
                    <w:keepLines w:val="0"/>
                    <w:pageBreakBefore w:val="0"/>
                    <w:widowControl w:val="0"/>
                    <w:numPr>
                      <w:ilvl w:val="0"/>
                      <w:numId w:val="28"/>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17" w:type="dxa"/>
                  <w:vMerge w:val="continue"/>
                  <w:tcBorders>
                    <w:tl2br w:val="nil"/>
                    <w:tr2bl w:val="nil"/>
                  </w:tcBorders>
                  <w:noWrap w:val="0"/>
                  <w:vAlign w:val="center"/>
                </w:tcPr>
                <w:p w14:paraId="5A0A9A01">
                  <w:pPr>
                    <w:pStyle w:val="5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1379" w:type="dxa"/>
                  <w:vMerge w:val="continue"/>
                  <w:tcBorders>
                    <w:tl2br w:val="nil"/>
                    <w:tr2bl w:val="nil"/>
                  </w:tcBorders>
                  <w:noWrap w:val="0"/>
                  <w:vAlign w:val="center"/>
                </w:tcPr>
                <w:p w14:paraId="049297D0">
                  <w:pPr>
                    <w:pStyle w:val="31"/>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1183" w:type="dxa"/>
                  <w:vMerge w:val="continue"/>
                  <w:tcBorders>
                    <w:tl2br w:val="nil"/>
                    <w:tr2bl w:val="nil"/>
                  </w:tcBorders>
                  <w:noWrap w:val="0"/>
                  <w:vAlign w:val="center"/>
                </w:tcPr>
                <w:p w14:paraId="67C4DC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aps w:val="0"/>
                      <w:smallCaps w:val="0"/>
                      <w:snapToGrid w:val="0"/>
                      <w:color w:val="000000" w:themeColor="text1"/>
                      <w:spacing w:val="0"/>
                      <w:w w:val="100"/>
                      <w:kern w:val="0"/>
                      <w:position w:val="0"/>
                      <w:sz w:val="21"/>
                      <w:szCs w:val="21"/>
                      <w:highlight w:val="none"/>
                      <w:lang w:val="en-US" w:eastAsia="zh-CN"/>
                      <w14:textFill>
                        <w14:solidFill>
                          <w14:schemeClr w14:val="tx1"/>
                        </w14:solidFill>
                      </w14:textFill>
                    </w:rPr>
                  </w:pPr>
                </w:p>
              </w:tc>
              <w:tc>
                <w:tcPr>
                  <w:tcW w:w="1886" w:type="dxa"/>
                  <w:vMerge w:val="continue"/>
                  <w:tcBorders>
                    <w:tl2br w:val="nil"/>
                    <w:tr2bl w:val="nil"/>
                  </w:tcBorders>
                  <w:noWrap w:val="0"/>
                  <w:vAlign w:val="center"/>
                </w:tcPr>
                <w:p w14:paraId="7FB8BD41">
                  <w:pPr>
                    <w:pStyle w:val="5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1116" w:type="dxa"/>
                  <w:vMerge w:val="continue"/>
                  <w:tcBorders>
                    <w:tl2br w:val="nil"/>
                    <w:tr2bl w:val="nil"/>
                  </w:tcBorders>
                  <w:noWrap w:val="0"/>
                  <w:vAlign w:val="center"/>
                </w:tcPr>
                <w:p w14:paraId="45C57BDC">
                  <w:pPr>
                    <w:pStyle w:val="5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firstLine="0" w:firstLineChars="0"/>
                    <w:jc w:val="center"/>
                    <w:textAlignment w:val="auto"/>
                    <w:rPr>
                      <w:rFonts w:hint="default" w:ascii="Times New Roman" w:hAnsi="Times New Roman" w:eastAsia="宋体" w:cs="Times New Roman"/>
                      <w:b w:val="0"/>
                      <w:bCs w:val="0"/>
                      <w:caps w:val="0"/>
                      <w:smallCaps w:val="0"/>
                      <w:snapToGrid w:val="0"/>
                      <w:color w:val="000000" w:themeColor="text1"/>
                      <w:spacing w:val="0"/>
                      <w:w w:val="100"/>
                      <w:kern w:val="0"/>
                      <w:position w:val="0"/>
                      <w:sz w:val="21"/>
                      <w:szCs w:val="21"/>
                      <w:highlight w:val="none"/>
                      <w:lang w:val="en-US" w:eastAsia="zh-CN"/>
                      <w14:textFill>
                        <w14:solidFill>
                          <w14:schemeClr w14:val="tx1"/>
                        </w14:solidFill>
                      </w14:textFill>
                    </w:rPr>
                  </w:pPr>
                </w:p>
              </w:tc>
              <w:tc>
                <w:tcPr>
                  <w:tcW w:w="1096" w:type="dxa"/>
                  <w:tcBorders>
                    <w:tl2br w:val="nil"/>
                    <w:tr2bl w:val="nil"/>
                  </w:tcBorders>
                  <w:noWrap w:val="0"/>
                  <w:vAlign w:val="center"/>
                </w:tcPr>
                <w:p w14:paraId="073C6C2E">
                  <w:pPr>
                    <w:pStyle w:val="31"/>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2"/>
                      <w:sz w:val="21"/>
                      <w:szCs w:val="21"/>
                      <w:highlight w:val="none"/>
                      <w:lang w:val="en-US" w:eastAsia="zh-CN" w:bidi="ar-SA"/>
                      <w14:textFill>
                        <w14:solidFill>
                          <w14:schemeClr w14:val="tx1"/>
                        </w14:solidFill>
                      </w14:textFill>
                    </w:rPr>
                    <w:t>0.006</w:t>
                  </w:r>
                  <w:r>
                    <w:rPr>
                      <w:rFonts w:hint="eastAsia" w:cs="Times New Roman"/>
                      <w:color w:val="000000" w:themeColor="text1"/>
                      <w:kern w:val="2"/>
                      <w:sz w:val="21"/>
                      <w:szCs w:val="21"/>
                      <w:highlight w:val="none"/>
                      <w:lang w:val="en-US" w:eastAsia="zh-CN" w:bidi="ar-SA"/>
                      <w14:textFill>
                        <w14:solidFill>
                          <w14:schemeClr w14:val="tx1"/>
                        </w14:solidFill>
                      </w14:textFill>
                    </w:rPr>
                    <w:t>9</w:t>
                  </w:r>
                </w:p>
              </w:tc>
            </w:tr>
            <w:tr w14:paraId="6FAA346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392" w:type="dxa"/>
                  <w:tcBorders>
                    <w:tl2br w:val="nil"/>
                    <w:tr2bl w:val="nil"/>
                  </w:tcBorders>
                  <w:shd w:val="clear" w:color="auto" w:fill="auto"/>
                  <w:noWrap w:val="0"/>
                  <w:vAlign w:val="center"/>
                </w:tcPr>
                <w:p w14:paraId="5F8B8A33">
                  <w:pPr>
                    <w:pStyle w:val="63"/>
                    <w:keepNext w:val="0"/>
                    <w:keepLines w:val="0"/>
                    <w:pageBreakBefore w:val="0"/>
                    <w:widowControl w:val="0"/>
                    <w:numPr>
                      <w:ilvl w:val="0"/>
                      <w:numId w:val="28"/>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17" w:type="dxa"/>
                  <w:tcBorders>
                    <w:tl2br w:val="nil"/>
                    <w:tr2bl w:val="nil"/>
                  </w:tcBorders>
                  <w:noWrap w:val="0"/>
                  <w:vAlign w:val="center"/>
                </w:tcPr>
                <w:p w14:paraId="5F6645D0">
                  <w:pPr>
                    <w:pStyle w:val="5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firstLine="0" w:firstLineChars="0"/>
                    <w:jc w:val="center"/>
                    <w:textAlignment w:val="auto"/>
                    <w:rPr>
                      <w:rFonts w:hint="default" w:ascii="Times New Roman" w:hAnsi="Times New Roman" w:eastAsia="宋体" w:cs="Times New Roman"/>
                      <w:b w:val="0"/>
                      <w:bCs w:val="0"/>
                      <w:caps w:val="0"/>
                      <w:smallCaps w:val="0"/>
                      <w:snapToGrid w:val="0"/>
                      <w:color w:val="000000" w:themeColor="text1"/>
                      <w:spacing w:val="0"/>
                      <w:w w:val="100"/>
                      <w:kern w:val="0"/>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创新制剂车间</w:t>
                  </w:r>
                  <w:r>
                    <w:rPr>
                      <w:rFonts w:hint="default" w:ascii="Times New Roman" w:hAnsi="Times New Roman" w:cs="Times New Roman"/>
                      <w:color w:val="000000" w:themeColor="text1"/>
                      <w:sz w:val="21"/>
                      <w:szCs w:val="21"/>
                      <w:highlight w:val="none"/>
                      <w14:textFill>
                        <w14:solidFill>
                          <w14:schemeClr w14:val="tx1"/>
                        </w14:solidFill>
                      </w14:textFill>
                    </w:rPr>
                    <w:t>除尘系统未捕集粉尘</w:t>
                  </w:r>
                </w:p>
              </w:tc>
              <w:tc>
                <w:tcPr>
                  <w:tcW w:w="1379" w:type="dxa"/>
                  <w:tcBorders>
                    <w:tl2br w:val="nil"/>
                    <w:tr2bl w:val="nil"/>
                  </w:tcBorders>
                  <w:noWrap w:val="0"/>
                  <w:vAlign w:val="center"/>
                </w:tcPr>
                <w:p w14:paraId="6877F0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themeColor="text1"/>
                      <w:spacing w:val="6"/>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颗粒物</w:t>
                  </w:r>
                </w:p>
              </w:tc>
              <w:tc>
                <w:tcPr>
                  <w:tcW w:w="1183" w:type="dxa"/>
                  <w:tcBorders>
                    <w:tl2br w:val="nil"/>
                    <w:tr2bl w:val="nil"/>
                  </w:tcBorders>
                  <w:noWrap w:val="0"/>
                  <w:vAlign w:val="center"/>
                </w:tcPr>
                <w:p w14:paraId="4EC1E5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aps w:val="0"/>
                      <w:smallCaps w:val="0"/>
                      <w:snapToGrid w:val="0"/>
                      <w:color w:val="000000" w:themeColor="text1"/>
                      <w:spacing w:val="0"/>
                      <w:w w:val="100"/>
                      <w:kern w:val="0"/>
                      <w:position w:val="0"/>
                      <w:sz w:val="21"/>
                      <w:szCs w:val="21"/>
                      <w:highlight w:val="none"/>
                      <w:lang w:val="en-US" w:eastAsia="zh-CN"/>
                      <w14:textFill>
                        <w14:solidFill>
                          <w14:schemeClr w14:val="tx1"/>
                        </w14:solidFill>
                      </w14:textFill>
                    </w:rPr>
                  </w:pPr>
                  <w:r>
                    <w:rPr>
                      <w:rFonts w:hint="default" w:ascii="Times New Roman" w:hAnsi="Times New Roman" w:cs="Times New Roman"/>
                      <w:b w:val="0"/>
                      <w:bCs w:val="0"/>
                      <w:caps w:val="0"/>
                      <w:smallCaps w:val="0"/>
                      <w:snapToGrid w:val="0"/>
                      <w:color w:val="000000" w:themeColor="text1"/>
                      <w:spacing w:val="0"/>
                      <w:w w:val="100"/>
                      <w:kern w:val="0"/>
                      <w:position w:val="0"/>
                      <w:sz w:val="21"/>
                      <w:szCs w:val="21"/>
                      <w:highlight w:val="none"/>
                      <w:lang w:val="en-US" w:eastAsia="zh-CN"/>
                      <w14:textFill>
                        <w14:solidFill>
                          <w14:schemeClr w14:val="tx1"/>
                        </w14:solidFill>
                      </w14:textFill>
                    </w:rPr>
                    <w:t>/</w:t>
                  </w:r>
                </w:p>
              </w:tc>
              <w:tc>
                <w:tcPr>
                  <w:tcW w:w="1886" w:type="dxa"/>
                  <w:vMerge w:val="continue"/>
                  <w:tcBorders>
                    <w:tl2br w:val="nil"/>
                    <w:tr2bl w:val="nil"/>
                  </w:tcBorders>
                  <w:noWrap w:val="0"/>
                  <w:vAlign w:val="center"/>
                </w:tcPr>
                <w:p w14:paraId="180A78D6">
                  <w:pPr>
                    <w:pStyle w:val="5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1116" w:type="dxa"/>
                  <w:vMerge w:val="continue"/>
                  <w:tcBorders>
                    <w:tl2br w:val="nil"/>
                    <w:tr2bl w:val="nil"/>
                  </w:tcBorders>
                  <w:noWrap w:val="0"/>
                  <w:vAlign w:val="center"/>
                </w:tcPr>
                <w:p w14:paraId="2E298A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096" w:type="dxa"/>
                  <w:tcBorders>
                    <w:tl2br w:val="nil"/>
                    <w:tr2bl w:val="nil"/>
                  </w:tcBorders>
                  <w:noWrap w:val="0"/>
                  <w:vAlign w:val="center"/>
                </w:tcPr>
                <w:p w14:paraId="6AE68743">
                  <w:pPr>
                    <w:pStyle w:val="31"/>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0.0084</w:t>
                  </w:r>
                </w:p>
              </w:tc>
            </w:tr>
            <w:tr w14:paraId="6939171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392" w:type="dxa"/>
                  <w:tcBorders>
                    <w:tl2br w:val="nil"/>
                    <w:tr2bl w:val="nil"/>
                  </w:tcBorders>
                  <w:shd w:val="clear" w:color="auto" w:fill="auto"/>
                  <w:noWrap w:val="0"/>
                  <w:vAlign w:val="center"/>
                </w:tcPr>
                <w:p w14:paraId="75368B2C">
                  <w:pPr>
                    <w:pStyle w:val="63"/>
                    <w:keepNext w:val="0"/>
                    <w:keepLines w:val="0"/>
                    <w:pageBreakBefore w:val="0"/>
                    <w:widowControl w:val="0"/>
                    <w:numPr>
                      <w:ilvl w:val="0"/>
                      <w:numId w:val="28"/>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zh-TW"/>
                      <w14:textFill>
                        <w14:solidFill>
                          <w14:schemeClr w14:val="tx1"/>
                        </w14:solidFill>
                      </w14:textFill>
                    </w:rPr>
                  </w:pPr>
                </w:p>
              </w:tc>
              <w:tc>
                <w:tcPr>
                  <w:tcW w:w="1417" w:type="dxa"/>
                  <w:tcBorders>
                    <w:tl2br w:val="nil"/>
                    <w:tr2bl w:val="nil"/>
                  </w:tcBorders>
                  <w:noWrap w:val="0"/>
                  <w:vAlign w:val="center"/>
                </w:tcPr>
                <w:p w14:paraId="759055C5">
                  <w:pPr>
                    <w:pStyle w:val="5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综合制剂</w:t>
                  </w:r>
                  <w:r>
                    <w:rPr>
                      <w:rFonts w:hint="eastAsia" w:eastAsia="宋体" w:cs="Times New Roman"/>
                      <w:color w:val="000000" w:themeColor="text1"/>
                      <w:kern w:val="2"/>
                      <w:sz w:val="21"/>
                      <w:szCs w:val="21"/>
                      <w:highlight w:val="none"/>
                      <w:lang w:val="en-US" w:eastAsia="zh-CN" w:bidi="ar"/>
                      <w14:textFill>
                        <w14:solidFill>
                          <w14:schemeClr w14:val="tx1"/>
                        </w14:solidFill>
                      </w14:textFill>
                    </w:rPr>
                    <w:t>车间</w:t>
                  </w:r>
                  <w:r>
                    <w:rPr>
                      <w:rFonts w:hint="default" w:ascii="Times New Roman" w:hAnsi="Times New Roman" w:cs="Times New Roman"/>
                      <w:color w:val="000000" w:themeColor="text1"/>
                      <w:sz w:val="21"/>
                      <w:szCs w:val="21"/>
                      <w:highlight w:val="none"/>
                      <w14:textFill>
                        <w14:solidFill>
                          <w14:schemeClr w14:val="tx1"/>
                        </w14:solidFill>
                      </w14:textFill>
                    </w:rPr>
                    <w:t>除尘系统未捕集粉尘</w:t>
                  </w:r>
                </w:p>
              </w:tc>
              <w:tc>
                <w:tcPr>
                  <w:tcW w:w="1379" w:type="dxa"/>
                  <w:tcBorders>
                    <w:tl2br w:val="nil"/>
                    <w:tr2bl w:val="nil"/>
                  </w:tcBorders>
                  <w:noWrap w:val="0"/>
                  <w:vAlign w:val="center"/>
                </w:tcPr>
                <w:p w14:paraId="7D5D21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颗粒物</w:t>
                  </w:r>
                </w:p>
              </w:tc>
              <w:tc>
                <w:tcPr>
                  <w:tcW w:w="1183" w:type="dxa"/>
                  <w:tcBorders>
                    <w:tl2br w:val="nil"/>
                    <w:tr2bl w:val="nil"/>
                  </w:tcBorders>
                  <w:noWrap w:val="0"/>
                  <w:vAlign w:val="center"/>
                </w:tcPr>
                <w:p w14:paraId="410869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aps w:val="0"/>
                      <w:smallCaps w:val="0"/>
                      <w:snapToGrid w:val="0"/>
                      <w:color w:val="000000" w:themeColor="text1"/>
                      <w:spacing w:val="0"/>
                      <w:w w:val="100"/>
                      <w:kern w:val="0"/>
                      <w:position w:val="0"/>
                      <w:sz w:val="21"/>
                      <w:szCs w:val="21"/>
                      <w:highlight w:val="none"/>
                      <w:lang w:val="en-US" w:eastAsia="zh-CN"/>
                      <w14:textFill>
                        <w14:solidFill>
                          <w14:schemeClr w14:val="tx1"/>
                        </w14:solidFill>
                      </w14:textFill>
                    </w:rPr>
                  </w:pPr>
                  <w:r>
                    <w:rPr>
                      <w:rFonts w:hint="eastAsia" w:cs="Times New Roman"/>
                      <w:b w:val="0"/>
                      <w:bCs w:val="0"/>
                      <w:caps w:val="0"/>
                      <w:smallCaps w:val="0"/>
                      <w:snapToGrid w:val="0"/>
                      <w:color w:val="000000" w:themeColor="text1"/>
                      <w:spacing w:val="0"/>
                      <w:w w:val="100"/>
                      <w:kern w:val="0"/>
                      <w:position w:val="0"/>
                      <w:sz w:val="21"/>
                      <w:szCs w:val="21"/>
                      <w:highlight w:val="none"/>
                      <w:lang w:val="en-US" w:eastAsia="zh-CN"/>
                      <w14:textFill>
                        <w14:solidFill>
                          <w14:schemeClr w14:val="tx1"/>
                        </w14:solidFill>
                      </w14:textFill>
                    </w:rPr>
                    <w:t>/</w:t>
                  </w:r>
                </w:p>
              </w:tc>
              <w:tc>
                <w:tcPr>
                  <w:tcW w:w="1886" w:type="dxa"/>
                  <w:vMerge w:val="continue"/>
                  <w:tcBorders>
                    <w:tl2br w:val="nil"/>
                    <w:tr2bl w:val="nil"/>
                  </w:tcBorders>
                  <w:noWrap w:val="0"/>
                  <w:vAlign w:val="center"/>
                </w:tcPr>
                <w:p w14:paraId="7D25ABC3">
                  <w:pPr>
                    <w:pStyle w:val="5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1116" w:type="dxa"/>
                  <w:vMerge w:val="continue"/>
                  <w:tcBorders>
                    <w:tl2br w:val="nil"/>
                    <w:tr2bl w:val="nil"/>
                  </w:tcBorders>
                  <w:noWrap w:val="0"/>
                  <w:vAlign w:val="center"/>
                </w:tcPr>
                <w:p w14:paraId="5490D5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096" w:type="dxa"/>
                  <w:tcBorders>
                    <w:tl2br w:val="nil"/>
                    <w:tr2bl w:val="nil"/>
                  </w:tcBorders>
                  <w:noWrap w:val="0"/>
                  <w:vAlign w:val="center"/>
                </w:tcPr>
                <w:p w14:paraId="610B14E4">
                  <w:pPr>
                    <w:pStyle w:val="31"/>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eastAsia="宋体" w:cs="Times New Roman"/>
                      <w:color w:val="000000" w:themeColor="text1"/>
                      <w:kern w:val="2"/>
                      <w:sz w:val="21"/>
                      <w:szCs w:val="21"/>
                      <w:highlight w:val="none"/>
                      <w:lang w:val="en-US" w:eastAsia="zh-CN" w:bidi="ar-SA"/>
                      <w14:textFill>
                        <w14:solidFill>
                          <w14:schemeClr w14:val="tx1"/>
                        </w14:solidFill>
                      </w14:textFill>
                    </w:rPr>
                    <w:t>0.102</w:t>
                  </w:r>
                </w:p>
              </w:tc>
            </w:tr>
            <w:tr w14:paraId="4846660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1809" w:type="dxa"/>
                  <w:gridSpan w:val="2"/>
                  <w:tcBorders>
                    <w:tl2br w:val="nil"/>
                    <w:tr2bl w:val="nil"/>
                  </w:tcBorders>
                  <w:shd w:val="clear" w:color="auto" w:fill="auto"/>
                  <w:noWrap w:val="0"/>
                  <w:vAlign w:val="center"/>
                </w:tcPr>
                <w:p w14:paraId="0F203CF2">
                  <w:pPr>
                    <w:pStyle w:val="5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firstLine="0" w:firstLineChars="0"/>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总计</w:t>
                  </w:r>
                </w:p>
              </w:tc>
              <w:tc>
                <w:tcPr>
                  <w:tcW w:w="6660" w:type="dxa"/>
                  <w:gridSpan w:val="5"/>
                  <w:tcBorders>
                    <w:tl2br w:val="nil"/>
                    <w:tr2bl w:val="nil"/>
                  </w:tcBorders>
                  <w:noWrap w:val="0"/>
                  <w:vAlign w:val="center"/>
                </w:tcPr>
                <w:p w14:paraId="628E7E28">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w:t>
                  </w:r>
                  <w:r>
                    <w:rPr>
                      <w:rFonts w:hint="eastAsia" w:cs="Times New Roman"/>
                      <w:color w:val="000000" w:themeColor="text1"/>
                      <w:kern w:val="2"/>
                      <w:sz w:val="21"/>
                      <w:szCs w:val="21"/>
                      <w:highlight w:val="none"/>
                      <w:lang w:val="en-US" w:eastAsia="zh-CN" w:bidi="ar-SA"/>
                      <w14:textFill>
                        <w14:solidFill>
                          <w14:schemeClr w14:val="tx1"/>
                        </w14:solidFill>
                      </w14:textFill>
                    </w:rPr>
                    <w:t>1941</w:t>
                  </w:r>
                </w:p>
              </w:tc>
            </w:tr>
          </w:tbl>
          <w:p w14:paraId="46D1E7BC">
            <w:pPr>
              <w:keepNext w:val="0"/>
              <w:keepLines w:val="0"/>
              <w:pageBreakBefore w:val="0"/>
              <w:widowControl w:val="0"/>
              <w:numPr>
                <w:ilvl w:val="0"/>
                <w:numId w:val="26"/>
              </w:numPr>
              <w:suppressLineNumbers w:val="0"/>
              <w:kinsoku/>
              <w:wordWrap/>
              <w:overflowPunct/>
              <w:topLinePunct w:val="0"/>
              <w:autoSpaceDE/>
              <w:autoSpaceDN/>
              <w:bidi w:val="0"/>
              <w:adjustRightInd/>
              <w:snapToGrid w:val="0"/>
              <w:spacing w:before="157" w:beforeLines="5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大气污染物年排放量核算表</w:t>
            </w:r>
          </w:p>
          <w:tbl>
            <w:tblPr>
              <w:tblStyle w:val="35"/>
              <w:tblW w:w="5000" w:type="pct"/>
              <w:jc w:val="center"/>
              <w:tblBorders>
                <w:top w:val="double" w:color="auto" w:sz="4" w:space="0"/>
                <w:left w:val="none" w:color="auto" w:sz="0" w:space="0"/>
                <w:bottom w:val="double" w:color="auto" w:sz="4" w:space="0"/>
                <w:right w:val="none" w:color="auto" w:sz="0" w:space="0"/>
                <w:insideH w:val="single" w:color="auto" w:sz="6" w:space="0"/>
                <w:insideV w:val="single" w:color="auto" w:sz="6" w:space="0"/>
              </w:tblBorders>
              <w:tblLayout w:type="fixed"/>
              <w:tblCellMar>
                <w:top w:w="0" w:type="dxa"/>
                <w:left w:w="23" w:type="dxa"/>
                <w:bottom w:w="0" w:type="dxa"/>
                <w:right w:w="23" w:type="dxa"/>
              </w:tblCellMar>
            </w:tblPr>
            <w:tblGrid>
              <w:gridCol w:w="1046"/>
              <w:gridCol w:w="3661"/>
              <w:gridCol w:w="3660"/>
            </w:tblGrid>
            <w:tr w14:paraId="5384D354">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340" w:hRule="atLeast"/>
                <w:jc w:val="center"/>
              </w:trPr>
              <w:tc>
                <w:tcPr>
                  <w:tcW w:w="625" w:type="pct"/>
                  <w:tcBorders>
                    <w:tl2br w:val="nil"/>
                    <w:tr2bl w:val="nil"/>
                  </w:tcBorders>
                  <w:noWrap w:val="0"/>
                  <w:vAlign w:val="center"/>
                </w:tcPr>
                <w:p w14:paraId="4AECB2E6">
                  <w:pPr>
                    <w:pStyle w:val="5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b w:val="0"/>
                      <w:bCs w:val="0"/>
                      <w:caps w:val="0"/>
                      <w:smallCaps w:val="0"/>
                      <w:snapToGrid w:val="0"/>
                      <w:color w:val="000000" w:themeColor="text1"/>
                      <w:spacing w:val="0"/>
                      <w:w w:val="100"/>
                      <w:kern w:val="0"/>
                      <w:position w:val="0"/>
                      <w:sz w:val="21"/>
                      <w:szCs w:val="21"/>
                      <w:highlight w:val="none"/>
                      <w:shd w:val="clear" w:color="auto" w:fill="auto"/>
                      <w14:textFill>
                        <w14:solidFill>
                          <w14:schemeClr w14:val="tx1"/>
                        </w14:solidFill>
                      </w14:textFill>
                    </w:rPr>
                  </w:pPr>
                  <w:r>
                    <w:rPr>
                      <w:rFonts w:hint="default" w:ascii="Times New Roman" w:hAnsi="Times New Roman" w:eastAsia="宋体" w:cs="Times New Roman"/>
                      <w:b w:val="0"/>
                      <w:bCs w:val="0"/>
                      <w:caps w:val="0"/>
                      <w:smallCaps w:val="0"/>
                      <w:snapToGrid w:val="0"/>
                      <w:color w:val="000000" w:themeColor="text1"/>
                      <w:spacing w:val="0"/>
                      <w:w w:val="100"/>
                      <w:kern w:val="0"/>
                      <w:position w:val="0"/>
                      <w:sz w:val="21"/>
                      <w:szCs w:val="21"/>
                      <w:highlight w:val="none"/>
                      <w:shd w:val="clear" w:color="auto" w:fill="auto"/>
                      <w14:textFill>
                        <w14:solidFill>
                          <w14:schemeClr w14:val="tx1"/>
                        </w14:solidFill>
                      </w14:textFill>
                    </w:rPr>
                    <w:t>序号</w:t>
                  </w:r>
                </w:p>
              </w:tc>
              <w:tc>
                <w:tcPr>
                  <w:tcW w:w="2187" w:type="pct"/>
                  <w:tcBorders>
                    <w:tl2br w:val="nil"/>
                    <w:tr2bl w:val="nil"/>
                  </w:tcBorders>
                  <w:noWrap w:val="0"/>
                  <w:vAlign w:val="center"/>
                </w:tcPr>
                <w:p w14:paraId="61185CC4">
                  <w:pPr>
                    <w:pStyle w:val="5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b w:val="0"/>
                      <w:bCs w:val="0"/>
                      <w:caps w:val="0"/>
                      <w:smallCaps w:val="0"/>
                      <w:snapToGrid w:val="0"/>
                      <w:color w:val="000000" w:themeColor="text1"/>
                      <w:spacing w:val="0"/>
                      <w:w w:val="100"/>
                      <w:kern w:val="0"/>
                      <w:position w:val="0"/>
                      <w:sz w:val="21"/>
                      <w:szCs w:val="21"/>
                      <w:highlight w:val="none"/>
                      <w:shd w:val="clear" w:color="auto" w:fill="auto"/>
                      <w14:textFill>
                        <w14:solidFill>
                          <w14:schemeClr w14:val="tx1"/>
                        </w14:solidFill>
                      </w14:textFill>
                    </w:rPr>
                  </w:pPr>
                  <w:r>
                    <w:rPr>
                      <w:rFonts w:hint="default" w:ascii="Times New Roman" w:hAnsi="Times New Roman" w:eastAsia="宋体" w:cs="Times New Roman"/>
                      <w:b w:val="0"/>
                      <w:bCs w:val="0"/>
                      <w:caps w:val="0"/>
                      <w:smallCaps w:val="0"/>
                      <w:snapToGrid w:val="0"/>
                      <w:color w:val="000000" w:themeColor="text1"/>
                      <w:spacing w:val="0"/>
                      <w:w w:val="100"/>
                      <w:kern w:val="0"/>
                      <w:position w:val="0"/>
                      <w:sz w:val="21"/>
                      <w:szCs w:val="21"/>
                      <w:highlight w:val="none"/>
                      <w:shd w:val="clear" w:color="auto" w:fill="auto"/>
                      <w14:textFill>
                        <w14:solidFill>
                          <w14:schemeClr w14:val="tx1"/>
                        </w14:solidFill>
                      </w14:textFill>
                    </w:rPr>
                    <w:t>污染物</w:t>
                  </w:r>
                </w:p>
              </w:tc>
              <w:tc>
                <w:tcPr>
                  <w:tcW w:w="2186" w:type="pct"/>
                  <w:tcBorders>
                    <w:tl2br w:val="nil"/>
                    <w:tr2bl w:val="nil"/>
                  </w:tcBorders>
                  <w:noWrap w:val="0"/>
                  <w:vAlign w:val="center"/>
                </w:tcPr>
                <w:p w14:paraId="42201265">
                  <w:pPr>
                    <w:pStyle w:val="5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b w:val="0"/>
                      <w:bCs w:val="0"/>
                      <w:caps w:val="0"/>
                      <w:smallCaps w:val="0"/>
                      <w:snapToGrid w:val="0"/>
                      <w:color w:val="000000" w:themeColor="text1"/>
                      <w:spacing w:val="0"/>
                      <w:w w:val="100"/>
                      <w:kern w:val="0"/>
                      <w:position w:val="0"/>
                      <w:sz w:val="21"/>
                      <w:szCs w:val="21"/>
                      <w:highlight w:val="none"/>
                      <w:shd w:val="clear" w:color="auto" w:fill="auto"/>
                      <w14:textFill>
                        <w14:solidFill>
                          <w14:schemeClr w14:val="tx1"/>
                        </w14:solidFill>
                      </w14:textFill>
                    </w:rPr>
                  </w:pPr>
                  <w:r>
                    <w:rPr>
                      <w:rFonts w:hint="default" w:ascii="Times New Roman" w:hAnsi="Times New Roman" w:eastAsia="宋体" w:cs="Times New Roman"/>
                      <w:b w:val="0"/>
                      <w:bCs w:val="0"/>
                      <w:caps w:val="0"/>
                      <w:smallCaps w:val="0"/>
                      <w:snapToGrid w:val="0"/>
                      <w:color w:val="000000" w:themeColor="text1"/>
                      <w:spacing w:val="0"/>
                      <w:w w:val="100"/>
                      <w:kern w:val="0"/>
                      <w:position w:val="0"/>
                      <w:sz w:val="21"/>
                      <w:szCs w:val="21"/>
                      <w:highlight w:val="none"/>
                      <w:shd w:val="clear" w:color="auto" w:fill="auto"/>
                      <w14:textFill>
                        <w14:solidFill>
                          <w14:schemeClr w14:val="tx1"/>
                        </w14:solidFill>
                      </w14:textFill>
                    </w:rPr>
                    <w:t>年排放量t/a</w:t>
                  </w:r>
                </w:p>
              </w:tc>
            </w:tr>
            <w:tr w14:paraId="4C15DFD8">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340" w:hRule="atLeast"/>
                <w:jc w:val="center"/>
              </w:trPr>
              <w:tc>
                <w:tcPr>
                  <w:tcW w:w="625" w:type="pct"/>
                  <w:tcBorders>
                    <w:tl2br w:val="nil"/>
                    <w:tr2bl w:val="nil"/>
                  </w:tcBorders>
                  <w:noWrap w:val="0"/>
                  <w:vAlign w:val="center"/>
                </w:tcPr>
                <w:p w14:paraId="09E70DCE">
                  <w:pPr>
                    <w:pStyle w:val="5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b w:val="0"/>
                      <w:bCs w:val="0"/>
                      <w:caps w:val="0"/>
                      <w:smallCaps w:val="0"/>
                      <w:snapToGrid w:val="0"/>
                      <w:color w:val="000000" w:themeColor="text1"/>
                      <w:spacing w:val="0"/>
                      <w:w w:val="100"/>
                      <w:kern w:val="0"/>
                      <w:position w:val="0"/>
                      <w:sz w:val="21"/>
                      <w:szCs w:val="21"/>
                      <w:highlight w:val="none"/>
                      <w:shd w:val="clear" w:color="auto" w:fill="auto"/>
                      <w14:textFill>
                        <w14:solidFill>
                          <w14:schemeClr w14:val="tx1"/>
                        </w14:solidFill>
                      </w14:textFill>
                    </w:rPr>
                  </w:pPr>
                  <w:r>
                    <w:rPr>
                      <w:rFonts w:hint="default" w:ascii="Times New Roman" w:hAnsi="Times New Roman" w:eastAsia="宋体" w:cs="Times New Roman"/>
                      <w:b w:val="0"/>
                      <w:bCs w:val="0"/>
                      <w:caps w:val="0"/>
                      <w:smallCaps w:val="0"/>
                      <w:snapToGrid w:val="0"/>
                      <w:color w:val="000000" w:themeColor="text1"/>
                      <w:spacing w:val="0"/>
                      <w:w w:val="100"/>
                      <w:kern w:val="0"/>
                      <w:position w:val="0"/>
                      <w:sz w:val="21"/>
                      <w:szCs w:val="21"/>
                      <w:highlight w:val="none"/>
                      <w:shd w:val="clear" w:color="auto" w:fill="auto"/>
                      <w14:textFill>
                        <w14:solidFill>
                          <w14:schemeClr w14:val="tx1"/>
                        </w14:solidFill>
                      </w14:textFill>
                    </w:rPr>
                    <w:t>1</w:t>
                  </w:r>
                </w:p>
              </w:tc>
              <w:tc>
                <w:tcPr>
                  <w:tcW w:w="2187" w:type="pct"/>
                  <w:tcBorders>
                    <w:tl2br w:val="nil"/>
                    <w:tr2bl w:val="nil"/>
                  </w:tcBorders>
                  <w:noWrap w:val="0"/>
                  <w:vAlign w:val="center"/>
                </w:tcPr>
                <w:p w14:paraId="719DCDAF">
                  <w:pPr>
                    <w:pStyle w:val="3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aps w:val="0"/>
                      <w:smallCaps w:val="0"/>
                      <w:snapToGrid w:val="0"/>
                      <w:color w:val="000000" w:themeColor="text1"/>
                      <w:spacing w:val="0"/>
                      <w:w w:val="100"/>
                      <w:kern w:val="0"/>
                      <w:position w:val="0"/>
                      <w:sz w:val="21"/>
                      <w:szCs w:val="21"/>
                      <w:highlight w:val="none"/>
                      <w:shd w:val="clear" w:color="auto" w:fill="auto"/>
                      <w:lang w:val="en-US" w:eastAsia="zh-CN" w:bidi="ar-SA"/>
                      <w14:textFill>
                        <w14:solidFill>
                          <w14:schemeClr w14:val="tx1"/>
                        </w14:solidFill>
                      </w14:textFill>
                    </w:rPr>
                  </w:pPr>
                  <w:r>
                    <w:rPr>
                      <w:rFonts w:hint="default"/>
                      <w:color w:val="000000" w:themeColor="text1"/>
                      <w:sz w:val="21"/>
                      <w:szCs w:val="21"/>
                      <w:highlight w:val="none"/>
                      <w14:textFill>
                        <w14:solidFill>
                          <w14:schemeClr w14:val="tx1"/>
                        </w14:solidFill>
                      </w14:textFill>
                    </w:rPr>
                    <w:t>颗粒物</w:t>
                  </w:r>
                </w:p>
              </w:tc>
              <w:tc>
                <w:tcPr>
                  <w:tcW w:w="2186" w:type="pct"/>
                  <w:tcBorders>
                    <w:tl2br w:val="nil"/>
                    <w:tr2bl w:val="nil"/>
                  </w:tcBorders>
                  <w:noWrap w:val="0"/>
                  <w:vAlign w:val="center"/>
                </w:tcPr>
                <w:p w14:paraId="254EB3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aps w:val="0"/>
                      <w:smallCaps w:val="0"/>
                      <w:snapToGrid w:val="0"/>
                      <w:color w:val="000000" w:themeColor="text1"/>
                      <w:spacing w:val="0"/>
                      <w:w w:val="100"/>
                      <w:kern w:val="0"/>
                      <w:position w:val="0"/>
                      <w:sz w:val="21"/>
                      <w:szCs w:val="21"/>
                      <w:highlight w:val="none"/>
                      <w:lang w:val="en-US" w:eastAsia="zh-CN" w:bidi="zh-CN"/>
                      <w14:textFill>
                        <w14:solidFill>
                          <w14:schemeClr w14:val="tx1"/>
                        </w14:solidFill>
                      </w14:textFill>
                    </w:rPr>
                  </w:pPr>
                  <w:r>
                    <w:rPr>
                      <w:rFonts w:hint="eastAsia" w:cs="Times New Roman"/>
                      <w:b w:val="0"/>
                      <w:bCs w:val="0"/>
                      <w:caps w:val="0"/>
                      <w:smallCaps w:val="0"/>
                      <w:snapToGrid w:val="0"/>
                      <w:color w:val="000000" w:themeColor="text1"/>
                      <w:spacing w:val="0"/>
                      <w:w w:val="100"/>
                      <w:kern w:val="0"/>
                      <w:position w:val="0"/>
                      <w:sz w:val="21"/>
                      <w:szCs w:val="21"/>
                      <w:highlight w:val="none"/>
                      <w:lang w:val="en-US" w:eastAsia="zh-CN" w:bidi="zh-CN"/>
                      <w14:textFill>
                        <w14:solidFill>
                          <w14:schemeClr w14:val="tx1"/>
                        </w14:solidFill>
                      </w14:textFill>
                    </w:rPr>
                    <w:t>0.2028</w:t>
                  </w:r>
                </w:p>
              </w:tc>
            </w:tr>
          </w:tbl>
          <w:p w14:paraId="6575BD24">
            <w:pPr>
              <w:keepNext w:val="0"/>
              <w:keepLines w:val="0"/>
              <w:pageBreakBefore w:val="0"/>
              <w:widowControl w:val="0"/>
              <w:suppressLineNumbers w:val="0"/>
              <w:kinsoku/>
              <w:wordWrap/>
              <w:overflowPunct/>
              <w:topLinePunct w:val="0"/>
              <w:autoSpaceDE w:val="0"/>
              <w:autoSpaceDN w:val="0"/>
              <w:bidi w:val="0"/>
              <w:adjustRightInd/>
              <w:snapToGrid/>
              <w:spacing w:before="157" w:beforeLines="50" w:beforeAutospacing="0" w:after="0" w:afterAutospacing="0" w:line="360" w:lineRule="auto"/>
              <w:ind w:left="0" w:right="0"/>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1.10</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、有组织废气</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治理措施可行性分析</w:t>
            </w:r>
          </w:p>
          <w:p w14:paraId="3B792027">
            <w:pPr>
              <w:keepNext w:val="0"/>
              <w:keepLines w:val="0"/>
              <w:suppressLineNumbers w:val="0"/>
              <w:autoSpaceDE w:val="0"/>
              <w:autoSpaceDN w:val="0"/>
              <w:spacing w:before="0" w:beforeAutospacing="0" w:after="0" w:afterAutospacing="0" w:line="360" w:lineRule="auto"/>
              <w:ind w:left="0" w:right="0" w:firstLine="480" w:firstLineChars="200"/>
              <w:rPr>
                <w:rFonts w:hint="default"/>
                <w:color w:val="000000" w:themeColor="text1"/>
                <w:sz w:val="24"/>
                <w:szCs w:val="24"/>
                <w:highlight w:val="none"/>
                <w:lang w:val="en-US"/>
                <w14:textFill>
                  <w14:solidFill>
                    <w14:schemeClr w14:val="tx1"/>
                  </w14:solidFill>
                </w14:textFill>
              </w:rPr>
            </w:pPr>
            <w:r>
              <w:rPr>
                <w:rFonts w:hint="default"/>
                <w:color w:val="000000" w:themeColor="text1"/>
                <w:sz w:val="24"/>
                <w:szCs w:val="24"/>
                <w:highlight w:val="none"/>
                <w14:textFill>
                  <w14:solidFill>
                    <w14:schemeClr w14:val="tx1"/>
                  </w14:solidFill>
                </w14:textFill>
              </w:rPr>
              <w:t>本项目前处理车间炮制</w:t>
            </w:r>
            <w:r>
              <w:rPr>
                <w:rFonts w:hint="eastAsia"/>
                <w:color w:val="000000" w:themeColor="text1"/>
                <w:sz w:val="24"/>
                <w:szCs w:val="24"/>
                <w:highlight w:val="none"/>
                <w:lang w:eastAsia="zh-CN"/>
                <w14:textFill>
                  <w14:solidFill>
                    <w14:schemeClr w14:val="tx1"/>
                  </w14:solidFill>
                </w14:textFill>
              </w:rPr>
              <w:t>单元、石膏打碎、除杂和粉碎工序</w:t>
            </w:r>
            <w:r>
              <w:rPr>
                <w:rFonts w:hint="default"/>
                <w:color w:val="000000" w:themeColor="text1"/>
                <w:sz w:val="24"/>
                <w:szCs w:val="24"/>
                <w:highlight w:val="none"/>
                <w14:textFill>
                  <w14:solidFill>
                    <w14:schemeClr w14:val="tx1"/>
                  </w14:solidFill>
                </w14:textFill>
              </w:rPr>
              <w:t>产生的粉尘均采用布袋除尘器进行处理</w:t>
            </w:r>
            <w:r>
              <w:rPr>
                <w:rFonts w:hint="eastAsia"/>
                <w:color w:val="000000" w:themeColor="text1"/>
                <w:sz w:val="24"/>
                <w:szCs w:val="24"/>
                <w:highlight w:val="none"/>
                <w:lang w:eastAsia="zh-CN"/>
                <w14:textFill>
                  <w14:solidFill>
                    <w14:schemeClr w14:val="tx1"/>
                  </w14:solidFill>
                </w14:textFill>
              </w:rPr>
              <w:t>；创新制剂车间固体制剂单元</w:t>
            </w:r>
            <w:r>
              <w:rPr>
                <w:rFonts w:hint="default"/>
                <w:color w:val="000000" w:themeColor="text1"/>
                <w:sz w:val="24"/>
                <w:szCs w:val="24"/>
                <w:highlight w:val="none"/>
                <w14:textFill>
                  <w14:solidFill>
                    <w14:schemeClr w14:val="tx1"/>
                  </w14:solidFill>
                </w14:textFill>
              </w:rPr>
              <w:t>产生的粉尘采用布袋除尘器进行处理</w:t>
            </w:r>
            <w:r>
              <w:rPr>
                <w:rFonts w:hint="eastAsia"/>
                <w:color w:val="000000" w:themeColor="text1"/>
                <w:sz w:val="24"/>
                <w:szCs w:val="24"/>
                <w:highlight w:val="none"/>
                <w:lang w:eastAsia="zh-CN"/>
                <w14:textFill>
                  <w14:solidFill>
                    <w14:schemeClr w14:val="tx1"/>
                  </w14:solidFill>
                </w14:textFill>
              </w:rPr>
              <w:t>；综合制剂车间制剂单元</w:t>
            </w:r>
            <w:r>
              <w:rPr>
                <w:rFonts w:hint="default"/>
                <w:color w:val="000000" w:themeColor="text1"/>
                <w:sz w:val="24"/>
                <w:szCs w:val="24"/>
                <w:highlight w:val="none"/>
                <w14:textFill>
                  <w14:solidFill>
                    <w14:schemeClr w14:val="tx1"/>
                  </w14:solidFill>
                </w14:textFill>
              </w:rPr>
              <w:t>产生的粉尘采用呼吸口处捕集袋除尘+旋风除尘器进行处理，处理达标后经排气筒</w:t>
            </w:r>
            <w:r>
              <w:rPr>
                <w:rFonts w:hint="eastAsia"/>
                <w:color w:val="000000" w:themeColor="text1"/>
                <w:sz w:val="24"/>
                <w:szCs w:val="24"/>
                <w:highlight w:val="none"/>
                <w:lang w:val="en-US" w:eastAsia="zh-CN"/>
                <w14:textFill>
                  <w14:solidFill>
                    <w14:schemeClr w14:val="tx1"/>
                  </w14:solidFill>
                </w14:textFill>
              </w:rPr>
              <w:t>有组织</w:t>
            </w:r>
            <w:r>
              <w:rPr>
                <w:rFonts w:hint="default"/>
                <w:color w:val="000000" w:themeColor="text1"/>
                <w:sz w:val="24"/>
                <w:szCs w:val="24"/>
                <w:highlight w:val="none"/>
                <w14:textFill>
                  <w14:solidFill>
                    <w14:schemeClr w14:val="tx1"/>
                  </w14:solidFill>
                </w14:textFill>
              </w:rPr>
              <w:t>排放</w:t>
            </w:r>
            <w:r>
              <w:rPr>
                <w:rFonts w:hint="eastAsia"/>
                <w:color w:val="000000" w:themeColor="text1"/>
                <w:sz w:val="24"/>
                <w:szCs w:val="24"/>
                <w:highlight w:val="none"/>
                <w:lang w:eastAsia="zh-CN"/>
                <w14:textFill>
                  <w14:solidFill>
                    <w14:schemeClr w14:val="tx1"/>
                  </w14:solidFill>
                </w14:textFill>
              </w:rPr>
              <w:t>；</w:t>
            </w:r>
            <w:r>
              <w:rPr>
                <w:rFonts w:hint="default"/>
                <w:color w:val="000000" w:themeColor="text1"/>
                <w:sz w:val="24"/>
                <w:szCs w:val="24"/>
                <w:highlight w:val="none"/>
                <w14:textFill>
                  <w14:solidFill>
                    <w14:schemeClr w14:val="tx1"/>
                  </w14:solidFill>
                </w14:textFill>
              </w:rPr>
              <w:t>前处理车间炮制</w:t>
            </w:r>
            <w:r>
              <w:rPr>
                <w:rFonts w:hint="eastAsia"/>
                <w:color w:val="000000" w:themeColor="text1"/>
                <w:sz w:val="24"/>
                <w:szCs w:val="24"/>
                <w:highlight w:val="none"/>
                <w:lang w:eastAsia="zh-CN"/>
                <w14:textFill>
                  <w14:solidFill>
                    <w14:schemeClr w14:val="tx1"/>
                  </w14:solidFill>
                </w14:textFill>
              </w:rPr>
              <w:t>单元</w:t>
            </w:r>
            <w:r>
              <w:rPr>
                <w:rFonts w:hint="default"/>
                <w:color w:val="000000" w:themeColor="text1"/>
                <w:sz w:val="24"/>
                <w:szCs w:val="24"/>
                <w:highlight w:val="none"/>
                <w14:textFill>
                  <w14:solidFill>
                    <w14:schemeClr w14:val="tx1"/>
                  </w14:solidFill>
                </w14:textFill>
              </w:rPr>
              <w:t>产生的</w:t>
            </w:r>
            <w:r>
              <w:rPr>
                <w:rFonts w:hint="eastAsia" w:cs="Times New Roman"/>
                <w:color w:val="000000" w:themeColor="text1"/>
                <w:sz w:val="24"/>
                <w:szCs w:val="24"/>
                <w:highlight w:val="none"/>
                <w:lang w:val="en-US" w:eastAsia="zh-CN"/>
                <w14:textFill>
                  <w14:solidFill>
                    <w14:schemeClr w14:val="tx1"/>
                  </w14:solidFill>
                </w14:textFill>
              </w:rPr>
              <w:t>臭气浓度</w:t>
            </w:r>
            <w:r>
              <w:rPr>
                <w:rFonts w:hint="default"/>
                <w:color w:val="000000" w:themeColor="text1"/>
                <w:sz w:val="24"/>
                <w:szCs w:val="24"/>
                <w:highlight w:val="none"/>
                <w14:textFill>
                  <w14:solidFill>
                    <w14:schemeClr w14:val="tx1"/>
                  </w14:solidFill>
                </w14:textFill>
              </w:rPr>
              <w:t>采用</w:t>
            </w:r>
            <w:r>
              <w:rPr>
                <w:rFonts w:hint="eastAsia" w:eastAsia="宋体"/>
                <w:color w:val="000000" w:themeColor="text1"/>
                <w:sz w:val="24"/>
                <w:szCs w:val="24"/>
                <w:highlight w:val="none"/>
                <w:lang w:val="en-US" w:eastAsia="zh-CN"/>
                <w14:textFill>
                  <w14:solidFill>
                    <w14:schemeClr w14:val="tx1"/>
                  </w14:solidFill>
                </w14:textFill>
              </w:rPr>
              <w:t>二级活性炭吸附设施处理</w:t>
            </w:r>
            <w:r>
              <w:rPr>
                <w:rFonts w:hint="eastAsia"/>
                <w:color w:val="000000" w:themeColor="text1"/>
                <w:sz w:val="24"/>
                <w:szCs w:val="24"/>
                <w:highlight w:val="none"/>
                <w:lang w:val="en-US" w:eastAsia="zh-CN"/>
                <w14:textFill>
                  <w14:solidFill>
                    <w14:schemeClr w14:val="tx1"/>
                  </w14:solidFill>
                </w14:textFill>
              </w:rPr>
              <w:t>，</w:t>
            </w:r>
            <w:r>
              <w:rPr>
                <w:rFonts w:hint="default"/>
                <w:color w:val="000000" w:themeColor="text1"/>
                <w:sz w:val="24"/>
                <w:szCs w:val="24"/>
                <w:highlight w:val="none"/>
                <w14:textFill>
                  <w14:solidFill>
                    <w14:schemeClr w14:val="tx1"/>
                  </w14:solidFill>
                </w14:textFill>
              </w:rPr>
              <w:t>处理达标后经排气筒</w:t>
            </w:r>
            <w:r>
              <w:rPr>
                <w:rFonts w:hint="eastAsia"/>
                <w:color w:val="000000" w:themeColor="text1"/>
                <w:sz w:val="24"/>
                <w:szCs w:val="24"/>
                <w:highlight w:val="none"/>
                <w:lang w:val="en-US" w:eastAsia="zh-CN"/>
                <w14:textFill>
                  <w14:solidFill>
                    <w14:schemeClr w14:val="tx1"/>
                  </w14:solidFill>
                </w14:textFill>
              </w:rPr>
              <w:t>有组织</w:t>
            </w:r>
            <w:r>
              <w:rPr>
                <w:rFonts w:hint="default"/>
                <w:color w:val="000000" w:themeColor="text1"/>
                <w:sz w:val="24"/>
                <w:szCs w:val="24"/>
                <w:highlight w:val="none"/>
                <w14:textFill>
                  <w14:solidFill>
                    <w14:schemeClr w14:val="tx1"/>
                  </w14:solidFill>
                </w14:textFill>
              </w:rPr>
              <w:t>排放</w:t>
            </w:r>
            <w:r>
              <w:rPr>
                <w:rFonts w:hint="eastAsia"/>
                <w:color w:val="000000" w:themeColor="text1"/>
                <w:sz w:val="24"/>
                <w:szCs w:val="24"/>
                <w:highlight w:val="none"/>
                <w:lang w:eastAsia="zh-CN"/>
                <w14:textFill>
                  <w14:solidFill>
                    <w14:schemeClr w14:val="tx1"/>
                  </w14:solidFill>
                </w14:textFill>
              </w:rPr>
              <w:t>。</w:t>
            </w:r>
          </w:p>
          <w:p w14:paraId="10E5D94A">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参</w:t>
            </w:r>
            <w:r>
              <w:rPr>
                <w:rFonts w:hint="eastAsia" w:cs="Times New Roman"/>
                <w:color w:val="000000" w:themeColor="text1"/>
                <w:kern w:val="2"/>
                <w:sz w:val="24"/>
                <w:szCs w:val="24"/>
                <w:highlight w:val="none"/>
                <w:lang w:val="en-US" w:eastAsia="zh-CN" w:bidi="ar-SA"/>
                <w14:textFill>
                  <w14:solidFill>
                    <w14:schemeClr w14:val="tx1"/>
                  </w14:solidFill>
                </w14:textFill>
              </w:rPr>
              <w:t>照</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 xml:space="preserve">《排污许可证申请与核发技术规范 </w:t>
            </w:r>
            <w:r>
              <w:rPr>
                <w:rFonts w:hint="eastAsia" w:cs="Times New Roman"/>
                <w:color w:val="000000" w:themeColor="text1"/>
                <w:kern w:val="2"/>
                <w:sz w:val="24"/>
                <w:szCs w:val="24"/>
                <w:highlight w:val="none"/>
                <w:lang w:val="en-US" w:eastAsia="zh-CN" w:bidi="ar-SA"/>
                <w14:textFill>
                  <w14:solidFill>
                    <w14:schemeClr w14:val="tx1"/>
                  </w14:solidFill>
                </w14:textFill>
              </w:rPr>
              <w:t>中成药生产</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》（HJ</w:t>
            </w:r>
            <w:r>
              <w:rPr>
                <w:rFonts w:hint="eastAsia" w:cs="Times New Roman"/>
                <w:color w:val="000000" w:themeColor="text1"/>
                <w:kern w:val="2"/>
                <w:sz w:val="24"/>
                <w:szCs w:val="24"/>
                <w:highlight w:val="none"/>
                <w:lang w:val="en-US" w:eastAsia="zh-CN" w:bidi="ar-SA"/>
                <w14:textFill>
                  <w14:solidFill>
                    <w14:schemeClr w14:val="tx1"/>
                  </w14:solidFill>
                </w14:textFill>
              </w:rPr>
              <w:t xml:space="preserve"> 1064</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—20</w:t>
            </w:r>
            <w:r>
              <w:rPr>
                <w:rFonts w:hint="eastAsia" w:cs="Times New Roman"/>
                <w:color w:val="000000" w:themeColor="text1"/>
                <w:kern w:val="2"/>
                <w:sz w:val="24"/>
                <w:szCs w:val="24"/>
                <w:highlight w:val="none"/>
                <w:lang w:val="en-US" w:eastAsia="zh-CN" w:bidi="ar-SA"/>
                <w14:textFill>
                  <w14:solidFill>
                    <w14:schemeClr w14:val="tx1"/>
                  </w14:solidFill>
                </w14:textFill>
              </w:rPr>
              <w:t>19</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eastAsia" w:cs="Times New Roman"/>
                <w:color w:val="000000" w:themeColor="text1"/>
                <w:kern w:val="2"/>
                <w:sz w:val="24"/>
                <w:szCs w:val="24"/>
                <w:highlight w:val="none"/>
                <w:lang w:val="en-US" w:eastAsia="zh-CN" w:bidi="ar-SA"/>
                <w14:textFill>
                  <w14:solidFill>
                    <w14:schemeClr w14:val="tx1"/>
                  </w14:solidFill>
                </w14:textFill>
              </w:rPr>
              <w:t>表2</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”中</w:t>
            </w:r>
            <w:r>
              <w:rPr>
                <w:rFonts w:hint="eastAsia" w:cs="Times New Roman"/>
                <w:color w:val="000000" w:themeColor="text1"/>
                <w:kern w:val="2"/>
                <w:sz w:val="24"/>
                <w:szCs w:val="24"/>
                <w:highlight w:val="none"/>
                <w:lang w:val="en-US" w:eastAsia="zh-CN" w:bidi="ar-SA"/>
                <w14:textFill>
                  <w14:solidFill>
                    <w14:schemeClr w14:val="tx1"/>
                  </w14:solidFill>
                </w14:textFill>
              </w:rPr>
              <w:t>污染治理设施的污染治理工艺，分析本项目废气的污染治理工艺是否为可行性技术，分析详见下表</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p>
          <w:p w14:paraId="342C2B63">
            <w:pPr>
              <w:keepNext w:val="0"/>
              <w:keepLines w:val="0"/>
              <w:pageBreakBefore w:val="0"/>
              <w:widowControl w:val="0"/>
              <w:numPr>
                <w:ilvl w:val="0"/>
                <w:numId w:val="26"/>
              </w:numPr>
              <w:suppressLineNumbers w:val="0"/>
              <w:kinsoku/>
              <w:wordWrap/>
              <w:overflowPunct/>
              <w:topLinePunct w:val="0"/>
              <w:autoSpaceDE/>
              <w:autoSpaceDN/>
              <w:bidi w:val="0"/>
              <w:adjustRightInd/>
              <w:snapToGrid w:val="0"/>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本项目废气治理措施可行性技术的相符性分析</w:t>
            </w:r>
          </w:p>
          <w:tbl>
            <w:tblPr>
              <w:tblStyle w:val="36"/>
              <w:tblW w:w="4997" w:type="pct"/>
              <w:tblInd w:w="0" w:type="dxa"/>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36"/>
              <w:gridCol w:w="2087"/>
              <w:gridCol w:w="1218"/>
              <w:gridCol w:w="1762"/>
              <w:gridCol w:w="924"/>
              <w:gridCol w:w="835"/>
            </w:tblGrid>
            <w:tr w14:paraId="6006CE5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18" w:type="pct"/>
                  <w:tcBorders>
                    <w:tl2br w:val="nil"/>
                    <w:tr2bl w:val="nil"/>
                  </w:tcBorders>
                  <w:vAlign w:val="center"/>
                </w:tcPr>
                <w:p w14:paraId="720FB3BF">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t>产排污环节</w:t>
                  </w:r>
                </w:p>
              </w:tc>
              <w:tc>
                <w:tcPr>
                  <w:tcW w:w="1247" w:type="pct"/>
                  <w:tcBorders>
                    <w:tl2br w:val="nil"/>
                    <w:tr2bl w:val="nil"/>
                  </w:tcBorders>
                  <w:vAlign w:val="center"/>
                </w:tcPr>
                <w:p w14:paraId="163946FD">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t>排放口</w:t>
                  </w:r>
                </w:p>
              </w:tc>
              <w:tc>
                <w:tcPr>
                  <w:tcW w:w="728" w:type="pct"/>
                  <w:tcBorders>
                    <w:tl2br w:val="nil"/>
                    <w:tr2bl w:val="nil"/>
                  </w:tcBorders>
                  <w:vAlign w:val="center"/>
                </w:tcPr>
                <w:p w14:paraId="4D84E416">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t>主要污染物</w:t>
                  </w:r>
                </w:p>
              </w:tc>
              <w:tc>
                <w:tcPr>
                  <w:tcW w:w="1053" w:type="pct"/>
                  <w:tcBorders>
                    <w:tl2br w:val="nil"/>
                    <w:tr2bl w:val="nil"/>
                  </w:tcBorders>
                  <w:vAlign w:val="center"/>
                </w:tcPr>
                <w:p w14:paraId="5DD405EE">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t>可行技术</w:t>
                  </w:r>
                </w:p>
              </w:tc>
              <w:tc>
                <w:tcPr>
                  <w:tcW w:w="552" w:type="pct"/>
                  <w:tcBorders>
                    <w:tl2br w:val="nil"/>
                    <w:tr2bl w:val="nil"/>
                  </w:tcBorders>
                  <w:vAlign w:val="center"/>
                </w:tcPr>
                <w:p w14:paraId="06933E4B">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t>本项目</w:t>
                  </w:r>
                </w:p>
              </w:tc>
              <w:tc>
                <w:tcPr>
                  <w:tcW w:w="499" w:type="pct"/>
                  <w:tcBorders>
                    <w:tl2br w:val="nil"/>
                    <w:tr2bl w:val="nil"/>
                  </w:tcBorders>
                  <w:vAlign w:val="center"/>
                </w:tcPr>
                <w:p w14:paraId="0ECA081E">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t>符合性</w:t>
                  </w:r>
                </w:p>
              </w:tc>
            </w:tr>
            <w:tr w14:paraId="3F8E8CC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918" w:type="pct"/>
                  <w:vMerge w:val="restart"/>
                  <w:tcBorders>
                    <w:tl2br w:val="nil"/>
                    <w:tr2bl w:val="nil"/>
                  </w:tcBorders>
                  <w:vAlign w:val="center"/>
                </w:tcPr>
                <w:p w14:paraId="55C9907C">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t>炮制单元</w:t>
                  </w:r>
                </w:p>
              </w:tc>
              <w:tc>
                <w:tcPr>
                  <w:tcW w:w="1247" w:type="pct"/>
                  <w:vMerge w:val="restart"/>
                  <w:tcBorders>
                    <w:tl2br w:val="nil"/>
                    <w:tr2bl w:val="nil"/>
                  </w:tcBorders>
                  <w:vAlign w:val="center"/>
                </w:tcPr>
                <w:p w14:paraId="27023EBA">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前处理炮制废气排放口2</w:t>
                  </w:r>
                  <w:r>
                    <w:rPr>
                      <w:rFonts w:hint="default" w:ascii="Times New Roman" w:hAnsi="Times New Roman" w:eastAsia="宋体" w:cs="Times New Roman"/>
                      <w:color w:val="000000" w:themeColor="text1"/>
                      <w:sz w:val="21"/>
                      <w:szCs w:val="21"/>
                      <w:highlight w:val="none"/>
                      <w14:textFill>
                        <w14:solidFill>
                          <w14:schemeClr w14:val="tx1"/>
                        </w14:solidFill>
                      </w14:textFill>
                    </w:rPr>
                    <w:t>（DA0</w:t>
                  </w:r>
                  <w:r>
                    <w:rPr>
                      <w:rFonts w:hint="eastAsia" w:eastAsia="宋体" w:cs="Times New Roman"/>
                      <w:color w:val="000000" w:themeColor="text1"/>
                      <w:sz w:val="21"/>
                      <w:szCs w:val="21"/>
                      <w:highlight w:val="none"/>
                      <w:lang w:val="en-US" w:eastAsia="zh-CN"/>
                      <w14:textFill>
                        <w14:solidFill>
                          <w14:schemeClr w14:val="tx1"/>
                        </w14:solidFill>
                      </w14:textFill>
                    </w:rPr>
                    <w:t>16</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728" w:type="pct"/>
                  <w:tcBorders>
                    <w:tl2br w:val="nil"/>
                    <w:tr2bl w:val="nil"/>
                  </w:tcBorders>
                  <w:vAlign w:val="center"/>
                </w:tcPr>
                <w:p w14:paraId="5368AF66">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t>颗粒物</w:t>
                  </w:r>
                </w:p>
              </w:tc>
              <w:tc>
                <w:tcPr>
                  <w:tcW w:w="1053" w:type="pct"/>
                  <w:tcBorders>
                    <w:tl2br w:val="nil"/>
                    <w:tr2bl w:val="nil"/>
                  </w:tcBorders>
                  <w:vAlign w:val="center"/>
                </w:tcPr>
                <w:p w14:paraId="6A7F669C">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t>袋式除尘、静电除尘、湿式除尘、其他</w:t>
                  </w:r>
                </w:p>
              </w:tc>
              <w:tc>
                <w:tcPr>
                  <w:tcW w:w="552" w:type="pct"/>
                  <w:tcBorders>
                    <w:tl2br w:val="nil"/>
                    <w:tr2bl w:val="nil"/>
                  </w:tcBorders>
                  <w:vAlign w:val="center"/>
                </w:tcPr>
                <w:p w14:paraId="36520D35">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t>布袋除尘</w:t>
                  </w:r>
                </w:p>
              </w:tc>
              <w:tc>
                <w:tcPr>
                  <w:tcW w:w="499" w:type="pct"/>
                  <w:tcBorders>
                    <w:tl2br w:val="nil"/>
                    <w:tr2bl w:val="nil"/>
                  </w:tcBorders>
                  <w:vAlign w:val="center"/>
                </w:tcPr>
                <w:p w14:paraId="60213F15">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t>符合</w:t>
                  </w:r>
                </w:p>
              </w:tc>
            </w:tr>
            <w:tr w14:paraId="7FA0558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918" w:type="pct"/>
                  <w:vMerge w:val="continue"/>
                  <w:tcBorders>
                    <w:tl2br w:val="nil"/>
                    <w:tr2bl w:val="nil"/>
                  </w:tcBorders>
                  <w:vAlign w:val="center"/>
                </w:tcPr>
                <w:p w14:paraId="1D7F50EE">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pPr>
                </w:p>
              </w:tc>
              <w:tc>
                <w:tcPr>
                  <w:tcW w:w="1247" w:type="pct"/>
                  <w:vMerge w:val="continue"/>
                  <w:tcBorders>
                    <w:tl2br w:val="nil"/>
                    <w:tr2bl w:val="nil"/>
                  </w:tcBorders>
                  <w:vAlign w:val="center"/>
                </w:tcPr>
                <w:p w14:paraId="1642A8B3">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eastAsia="宋体" w:cs="Times New Roman"/>
                      <w:color w:val="000000" w:themeColor="text1"/>
                      <w:sz w:val="21"/>
                      <w:szCs w:val="21"/>
                      <w:highlight w:val="none"/>
                      <w:lang w:val="en-US" w:eastAsia="zh-CN"/>
                      <w14:textFill>
                        <w14:solidFill>
                          <w14:schemeClr w14:val="tx1"/>
                        </w14:solidFill>
                      </w14:textFill>
                    </w:rPr>
                  </w:pPr>
                </w:p>
              </w:tc>
              <w:tc>
                <w:tcPr>
                  <w:tcW w:w="728" w:type="pct"/>
                  <w:tcBorders>
                    <w:tl2br w:val="nil"/>
                    <w:tr2bl w:val="nil"/>
                  </w:tcBorders>
                  <w:vAlign w:val="center"/>
                </w:tcPr>
                <w:p w14:paraId="0AB3936F">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t>臭气浓度</w:t>
                  </w:r>
                </w:p>
              </w:tc>
              <w:tc>
                <w:tcPr>
                  <w:tcW w:w="1053" w:type="pct"/>
                  <w:tcBorders>
                    <w:tl2br w:val="nil"/>
                    <w:tr2bl w:val="nil"/>
                  </w:tcBorders>
                  <w:vAlign w:val="center"/>
                </w:tcPr>
                <w:p w14:paraId="66BC02B8">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t>吸收、活性炭吸附、其他</w:t>
                  </w:r>
                </w:p>
              </w:tc>
              <w:tc>
                <w:tcPr>
                  <w:tcW w:w="552" w:type="pct"/>
                  <w:tcBorders>
                    <w:tl2br w:val="nil"/>
                    <w:tr2bl w:val="nil"/>
                  </w:tcBorders>
                  <w:vAlign w:val="center"/>
                </w:tcPr>
                <w:p w14:paraId="15B71187">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t>二级活性炭吸附</w:t>
                  </w:r>
                </w:p>
              </w:tc>
              <w:tc>
                <w:tcPr>
                  <w:tcW w:w="499" w:type="pct"/>
                  <w:tcBorders>
                    <w:tl2br w:val="nil"/>
                    <w:tr2bl w:val="nil"/>
                  </w:tcBorders>
                  <w:vAlign w:val="center"/>
                </w:tcPr>
                <w:p w14:paraId="793D6AE5">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t>符合</w:t>
                  </w:r>
                </w:p>
              </w:tc>
            </w:tr>
            <w:tr w14:paraId="60973BB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918" w:type="pct"/>
                  <w:tcBorders>
                    <w:tl2br w:val="nil"/>
                    <w:tr2bl w:val="nil"/>
                  </w:tcBorders>
                  <w:vAlign w:val="center"/>
                </w:tcPr>
                <w:p w14:paraId="78AA8E99">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t>石膏打碎、除杂和粉碎工序</w:t>
                  </w:r>
                </w:p>
              </w:tc>
              <w:tc>
                <w:tcPr>
                  <w:tcW w:w="1247" w:type="pct"/>
                  <w:tcBorders>
                    <w:tl2br w:val="nil"/>
                    <w:tr2bl w:val="nil"/>
                  </w:tcBorders>
                  <w:vAlign w:val="center"/>
                </w:tcPr>
                <w:p w14:paraId="604DE628">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前处理炮制废气排放口1</w:t>
                  </w:r>
                  <w:r>
                    <w:rPr>
                      <w:rFonts w:hint="default" w:ascii="Times New Roman" w:hAnsi="Times New Roman" w:eastAsia="宋体" w:cs="Times New Roman"/>
                      <w:color w:val="000000" w:themeColor="text1"/>
                      <w:sz w:val="21"/>
                      <w:szCs w:val="21"/>
                      <w:highlight w:val="none"/>
                      <w14:textFill>
                        <w14:solidFill>
                          <w14:schemeClr w14:val="tx1"/>
                        </w14:solidFill>
                      </w14:textFill>
                    </w:rPr>
                    <w:t>（DA0</w:t>
                  </w:r>
                  <w:r>
                    <w:rPr>
                      <w:rFonts w:hint="eastAsia" w:eastAsia="宋体" w:cs="Times New Roman"/>
                      <w:color w:val="000000" w:themeColor="text1"/>
                      <w:sz w:val="21"/>
                      <w:szCs w:val="21"/>
                      <w:highlight w:val="none"/>
                      <w:lang w:val="en-US" w:eastAsia="zh-CN"/>
                      <w14:textFill>
                        <w14:solidFill>
                          <w14:schemeClr w14:val="tx1"/>
                        </w14:solidFill>
                      </w14:textFill>
                    </w:rPr>
                    <w:t>02</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728" w:type="pct"/>
                  <w:tcBorders>
                    <w:tl2br w:val="nil"/>
                    <w:tr2bl w:val="nil"/>
                  </w:tcBorders>
                  <w:vAlign w:val="center"/>
                </w:tcPr>
                <w:p w14:paraId="681B9570">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t>颗粒物</w:t>
                  </w:r>
                </w:p>
              </w:tc>
              <w:tc>
                <w:tcPr>
                  <w:tcW w:w="1053" w:type="pct"/>
                  <w:tcBorders>
                    <w:tl2br w:val="nil"/>
                    <w:tr2bl w:val="nil"/>
                  </w:tcBorders>
                  <w:vAlign w:val="center"/>
                </w:tcPr>
                <w:p w14:paraId="41831937">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t>袋式除尘、静电除尘、湿式除尘、其他</w:t>
                  </w:r>
                </w:p>
              </w:tc>
              <w:tc>
                <w:tcPr>
                  <w:tcW w:w="552" w:type="pct"/>
                  <w:tcBorders>
                    <w:tl2br w:val="nil"/>
                    <w:tr2bl w:val="nil"/>
                  </w:tcBorders>
                  <w:vAlign w:val="center"/>
                </w:tcPr>
                <w:p w14:paraId="14885A52">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t>布袋除尘</w:t>
                  </w:r>
                </w:p>
              </w:tc>
              <w:tc>
                <w:tcPr>
                  <w:tcW w:w="499" w:type="pct"/>
                  <w:tcBorders>
                    <w:tl2br w:val="nil"/>
                    <w:tr2bl w:val="nil"/>
                  </w:tcBorders>
                  <w:vAlign w:val="center"/>
                </w:tcPr>
                <w:p w14:paraId="753068EB">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t>符合</w:t>
                  </w:r>
                </w:p>
              </w:tc>
            </w:tr>
            <w:tr w14:paraId="799AC3C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918" w:type="pct"/>
                  <w:tcBorders>
                    <w:tl2br w:val="nil"/>
                    <w:tr2bl w:val="nil"/>
                  </w:tcBorders>
                  <w:vAlign w:val="center"/>
                </w:tcPr>
                <w:p w14:paraId="35367288">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固体制剂单元</w:t>
                  </w:r>
                </w:p>
              </w:tc>
              <w:tc>
                <w:tcPr>
                  <w:tcW w:w="1247" w:type="pct"/>
                  <w:tcBorders>
                    <w:tl2br w:val="nil"/>
                    <w:tr2bl w:val="nil"/>
                  </w:tcBorders>
                  <w:vAlign w:val="center"/>
                </w:tcPr>
                <w:p w14:paraId="4FE7EF0C">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创新制剂</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废气排放口</w:t>
                  </w:r>
                  <w:r>
                    <w:rPr>
                      <w:rFonts w:hint="default" w:ascii="Times New Roman" w:hAnsi="Times New Roman" w:eastAsia="宋体" w:cs="Times New Roman"/>
                      <w:color w:val="000000" w:themeColor="text1"/>
                      <w:sz w:val="21"/>
                      <w:szCs w:val="21"/>
                      <w:highlight w:val="none"/>
                      <w14:textFill>
                        <w14:solidFill>
                          <w14:schemeClr w14:val="tx1"/>
                        </w14:solidFill>
                      </w14:textFill>
                    </w:rPr>
                    <w:t>（DA00</w:t>
                  </w:r>
                  <w:r>
                    <w:rPr>
                      <w:rFonts w:hint="eastAsia"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728" w:type="pct"/>
                  <w:tcBorders>
                    <w:tl2br w:val="nil"/>
                    <w:tr2bl w:val="nil"/>
                  </w:tcBorders>
                  <w:vAlign w:val="center"/>
                </w:tcPr>
                <w:p w14:paraId="3E9D96B8">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t>颗粒物</w:t>
                  </w:r>
                </w:p>
              </w:tc>
              <w:tc>
                <w:tcPr>
                  <w:tcW w:w="1053" w:type="pct"/>
                  <w:tcBorders>
                    <w:tl2br w:val="nil"/>
                    <w:tr2bl w:val="nil"/>
                  </w:tcBorders>
                  <w:vAlign w:val="center"/>
                </w:tcPr>
                <w:p w14:paraId="139111C4">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t>袋式除尘、静电除尘、湿式除尘、其他</w:t>
                  </w:r>
                </w:p>
              </w:tc>
              <w:tc>
                <w:tcPr>
                  <w:tcW w:w="552" w:type="pct"/>
                  <w:tcBorders>
                    <w:tl2br w:val="nil"/>
                    <w:tr2bl w:val="nil"/>
                  </w:tcBorders>
                  <w:vAlign w:val="center"/>
                </w:tcPr>
                <w:p w14:paraId="2DD71298">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t>呼吸口处捕集袋除尘+旋风除尘器</w:t>
                  </w:r>
                </w:p>
              </w:tc>
              <w:tc>
                <w:tcPr>
                  <w:tcW w:w="499" w:type="pct"/>
                  <w:tcBorders>
                    <w:tl2br w:val="nil"/>
                    <w:tr2bl w:val="nil"/>
                  </w:tcBorders>
                  <w:vAlign w:val="center"/>
                </w:tcPr>
                <w:p w14:paraId="132A1C47">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t>符合</w:t>
                  </w:r>
                </w:p>
              </w:tc>
            </w:tr>
            <w:tr w14:paraId="7E31C52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918" w:type="pct"/>
                  <w:tcBorders>
                    <w:tl2br w:val="nil"/>
                    <w:tr2bl w:val="nil"/>
                  </w:tcBorders>
                  <w:vAlign w:val="center"/>
                </w:tcPr>
                <w:p w14:paraId="031EA1C3">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制剂单元</w:t>
                  </w:r>
                </w:p>
              </w:tc>
              <w:tc>
                <w:tcPr>
                  <w:tcW w:w="1247" w:type="pct"/>
                  <w:tcBorders>
                    <w:tl2br w:val="nil"/>
                    <w:tr2bl w:val="nil"/>
                  </w:tcBorders>
                  <w:vAlign w:val="center"/>
                </w:tcPr>
                <w:p w14:paraId="166DFC03">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eastAsia="宋体" w:cs="Times New Roman"/>
                      <w:color w:val="000000" w:themeColor="text1"/>
                      <w:sz w:val="21"/>
                      <w:szCs w:val="21"/>
                      <w:highlight w:val="none"/>
                      <w:lang w:val="en-US" w:eastAsia="zh-CN"/>
                      <w14:textFill>
                        <w14:solidFill>
                          <w14:schemeClr w14:val="tx1"/>
                        </w14:solidFill>
                      </w14:textFill>
                    </w:rPr>
                    <w:t>1~8（</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DA00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6</w:t>
                  </w:r>
                  <w:r>
                    <w:rPr>
                      <w:rFonts w:hint="eastAsia"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DA0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13</w:t>
                  </w:r>
                  <w:r>
                    <w:rPr>
                      <w:rFonts w:hint="eastAsia" w:eastAsia="宋体" w:cs="Times New Roman"/>
                      <w:color w:val="000000" w:themeColor="text1"/>
                      <w:sz w:val="21"/>
                      <w:szCs w:val="21"/>
                      <w:highlight w:val="none"/>
                      <w:lang w:val="en-US" w:eastAsia="zh-CN"/>
                      <w14:textFill>
                        <w14:solidFill>
                          <w14:schemeClr w14:val="tx1"/>
                        </w14:solidFill>
                      </w14:textFill>
                    </w:rPr>
                    <w:t>）</w:t>
                  </w:r>
                </w:p>
              </w:tc>
              <w:tc>
                <w:tcPr>
                  <w:tcW w:w="728" w:type="pct"/>
                  <w:tcBorders>
                    <w:tl2br w:val="nil"/>
                    <w:tr2bl w:val="nil"/>
                  </w:tcBorders>
                  <w:vAlign w:val="center"/>
                </w:tcPr>
                <w:p w14:paraId="2AD09EB1">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t>颗粒物</w:t>
                  </w:r>
                </w:p>
              </w:tc>
              <w:tc>
                <w:tcPr>
                  <w:tcW w:w="1053" w:type="pct"/>
                  <w:tcBorders>
                    <w:tl2br w:val="nil"/>
                    <w:tr2bl w:val="nil"/>
                  </w:tcBorders>
                  <w:vAlign w:val="center"/>
                </w:tcPr>
                <w:p w14:paraId="6D1DE983">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t>袋式除尘、静电除尘、湿式除尘、其他</w:t>
                  </w:r>
                </w:p>
              </w:tc>
              <w:tc>
                <w:tcPr>
                  <w:tcW w:w="552" w:type="pct"/>
                  <w:tcBorders>
                    <w:tl2br w:val="nil"/>
                    <w:tr2bl w:val="nil"/>
                  </w:tcBorders>
                  <w:vAlign w:val="center"/>
                </w:tcPr>
                <w:p w14:paraId="150148AF">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t>旋风除尘器+</w:t>
                  </w:r>
                  <w: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t>布袋除尘器</w:t>
                  </w:r>
                </w:p>
              </w:tc>
              <w:tc>
                <w:tcPr>
                  <w:tcW w:w="499" w:type="pct"/>
                  <w:tcBorders>
                    <w:tl2br w:val="nil"/>
                    <w:tr2bl w:val="nil"/>
                  </w:tcBorders>
                  <w:vAlign w:val="center"/>
                </w:tcPr>
                <w:p w14:paraId="3698F4CC">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t>符合</w:t>
                  </w:r>
                </w:p>
              </w:tc>
            </w:tr>
          </w:tbl>
          <w:p w14:paraId="13489850">
            <w:pPr>
              <w:keepNext w:val="0"/>
              <w:keepLines w:val="0"/>
              <w:pageBreakBefore w:val="0"/>
              <w:widowControl/>
              <w:suppressLineNumbers w:val="0"/>
              <w:kinsoku/>
              <w:wordWrap w:val="0"/>
              <w:overflowPunct/>
              <w:topLinePunct w:val="0"/>
              <w:autoSpaceDE/>
              <w:autoSpaceDN/>
              <w:bidi w:val="0"/>
              <w:adjustRightInd w:val="0"/>
              <w:snapToGrid w:val="0"/>
              <w:spacing w:before="157" w:beforeLines="5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二级活性炭吸附设施设计计算</w:t>
            </w:r>
          </w:p>
          <w:p w14:paraId="7D1F4B0F">
            <w:pPr>
              <w:keepNext w:val="0"/>
              <w:keepLines w:val="0"/>
              <w:pageBreakBefore w:val="0"/>
              <w:widowControl/>
              <w:suppressLineNumbers w:val="0"/>
              <w:kinsoku/>
              <w:wordWrap w:val="0"/>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cs="Times New Roman"/>
                <w:color w:val="000000" w:themeColor="text1"/>
                <w:sz w:val="24"/>
                <w:szCs w:val="24"/>
                <w:highlight w:val="none"/>
                <w:lang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因臭气浓度是根据嗅觉器官试验法对臭气气味的大小予以数量化表示的指标，用无臭的清洁空气对臭气样品连续稀释至嗅辨员阈值时的稀释倍数，不能根据废气产生量计算活性炭装填量，只能根据二级活性炭吸附设施风机风量、废气与活性炭接触时间核算活性炭装填量，</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本项目活性炭吸附装置的设计风量为</w:t>
            </w:r>
            <w:r>
              <w:rPr>
                <w:rFonts w:hint="eastAsia" w:cs="Times New Roman"/>
                <w:color w:val="000000" w:themeColor="text1"/>
                <w:sz w:val="24"/>
                <w:szCs w:val="24"/>
                <w:highlight w:val="none"/>
                <w:lang w:val="en-US" w:eastAsia="zh-CN"/>
                <w14:textFill>
                  <w14:solidFill>
                    <w14:schemeClr w14:val="tx1"/>
                  </w14:solidFill>
                </w14:textFill>
              </w:rPr>
              <w:t>3000</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m</w:t>
            </w:r>
            <w:r>
              <w:rPr>
                <w:rFonts w:hint="default" w:ascii="Times New Roman" w:hAnsi="Times New Roman" w:eastAsia="宋体" w:cs="Times New Roman"/>
                <w:color w:val="000000" w:themeColor="text1"/>
                <w:sz w:val="24"/>
                <w:szCs w:val="24"/>
                <w:highlight w:val="none"/>
                <w:vertAlign w:val="superscript"/>
                <w:lang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h</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0.83</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m</w:t>
            </w:r>
            <w:r>
              <w:rPr>
                <w:rFonts w:hint="default" w:ascii="Times New Roman" w:hAnsi="Times New Roman" w:eastAsia="宋体" w:cs="Times New Roman"/>
                <w:color w:val="000000" w:themeColor="text1"/>
                <w:sz w:val="24"/>
                <w:szCs w:val="24"/>
                <w:highlight w:val="none"/>
                <w:vertAlign w:val="superscript"/>
                <w:lang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/s，</w:t>
            </w:r>
            <w:r>
              <w:rPr>
                <w:rFonts w:hint="eastAsia" w:cs="Times New Roman"/>
                <w:color w:val="000000" w:themeColor="text1"/>
                <w:sz w:val="24"/>
                <w:szCs w:val="24"/>
                <w:highlight w:val="none"/>
                <w:lang w:val="en-US" w:eastAsia="zh-CN"/>
                <w14:textFill>
                  <w14:solidFill>
                    <w14:schemeClr w14:val="tx1"/>
                  </w14:solidFill>
                </w14:textFill>
              </w:rPr>
              <w:t>根据《工业建筑供暖通风与空气调节设计规范》（GB 50019-2015）中7.3.5第5款，固定床吸附装置：吸附剂和气体的接触时间宜为0.5s～2.0s，本项目接触时间按照2.0s计算，则总活性炭体积为0.83</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m</w:t>
            </w:r>
            <w:r>
              <w:rPr>
                <w:rFonts w:hint="default" w:ascii="Times New Roman" w:hAnsi="Times New Roman" w:eastAsia="宋体" w:cs="Times New Roman"/>
                <w:color w:val="000000" w:themeColor="text1"/>
                <w:sz w:val="24"/>
                <w:szCs w:val="24"/>
                <w:highlight w:val="none"/>
                <w:vertAlign w:val="superscript"/>
                <w:lang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/s×</w:t>
            </w:r>
            <w:r>
              <w:rPr>
                <w:rFonts w:hint="eastAsia" w:cs="Times New Roman"/>
                <w:color w:val="000000" w:themeColor="text1"/>
                <w:sz w:val="24"/>
                <w:szCs w:val="24"/>
                <w:highlight w:val="none"/>
                <w:lang w:val="en-US" w:eastAsia="zh-CN"/>
                <w14:textFill>
                  <w14:solidFill>
                    <w14:schemeClr w14:val="tx1"/>
                  </w14:solidFill>
                </w14:textFill>
              </w:rPr>
              <w:t>2.0s=1.66</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lang w:val="en-US" w:eastAsia="zh-CN"/>
                <w14:textFill>
                  <w14:solidFill>
                    <w14:schemeClr w14:val="tx1"/>
                  </w14:solidFill>
                </w14:textFill>
              </w:rPr>
              <w:t>3</w:t>
            </w:r>
            <w:r>
              <w:rPr>
                <w:rFonts w:hint="eastAsia" w:ascii="Times New Roman" w:hAnsi="Times New Roman" w:cs="Times New Roman"/>
                <w:color w:val="000000" w:themeColor="text1"/>
                <w:sz w:val="24"/>
                <w:szCs w:val="24"/>
                <w:highlight w:val="none"/>
                <w:vertAlign w:val="baseline"/>
                <w:lang w:val="en-US" w:eastAsia="zh-CN"/>
                <w14:textFill>
                  <w14:solidFill>
                    <w14:schemeClr w14:val="tx1"/>
                  </w14:solidFill>
                </w14:textFill>
              </w:rPr>
              <w:t>，颗粒状</w:t>
            </w:r>
            <w:r>
              <w:rPr>
                <w:rFonts w:hint="eastAsia" w:cs="Times New Roman"/>
                <w:color w:val="000000" w:themeColor="text1"/>
                <w:sz w:val="24"/>
                <w:szCs w:val="24"/>
                <w:highlight w:val="none"/>
                <w:lang w:val="en-US" w:eastAsia="zh-CN"/>
                <w14:textFill>
                  <w14:solidFill>
                    <w14:schemeClr w14:val="tx1"/>
                  </w14:solidFill>
                </w14:textFill>
              </w:rPr>
              <w:t>活性炭填充密度为500kg</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lang w:val="en-US" w:eastAsia="zh-CN"/>
                <w14:textFill>
                  <w14:solidFill>
                    <w14:schemeClr w14:val="tx1"/>
                  </w14:solidFill>
                </w14:textFill>
              </w:rPr>
              <w:t>3</w:t>
            </w:r>
            <w:r>
              <w:rPr>
                <w:rFonts w:hint="eastAsia" w:ascii="Times New Roman" w:hAnsi="Times New Roman" w:cs="Times New Roman"/>
                <w:color w:val="000000" w:themeColor="text1"/>
                <w:sz w:val="24"/>
                <w:szCs w:val="24"/>
                <w:highlight w:val="none"/>
                <w:vertAlign w:val="baseline"/>
                <w:lang w:val="en-US" w:eastAsia="zh-CN"/>
                <w14:textFill>
                  <w14:solidFill>
                    <w14:schemeClr w14:val="tx1"/>
                  </w14:solidFill>
                </w14:textFill>
              </w:rPr>
              <w:t>，则填充质量为1.66</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500kg</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lang w:val="en-US" w:eastAsia="zh-CN"/>
                <w14:textFill>
                  <w14:solidFill>
                    <w14:schemeClr w14:val="tx1"/>
                  </w14:solidFill>
                </w14:textFill>
              </w:rPr>
              <w:t>3</w:t>
            </w:r>
            <w:r>
              <w:rPr>
                <w:rFonts w:hint="eastAsia" w:ascii="Times New Roman" w:hAnsi="Times New Roman" w:cs="Times New Roman"/>
                <w:color w:val="000000" w:themeColor="text1"/>
                <w:sz w:val="24"/>
                <w:szCs w:val="24"/>
                <w:highlight w:val="none"/>
                <w:vertAlign w:val="baseline"/>
                <w:lang w:val="en-US" w:eastAsia="zh-CN"/>
                <w14:textFill>
                  <w14:solidFill>
                    <w14:schemeClr w14:val="tx1"/>
                  </w14:solidFill>
                </w14:textFill>
              </w:rPr>
              <w:t>=0.83t/a，每级装填量为0.83t/a÷2=0.415t/a。</w:t>
            </w:r>
            <w:r>
              <w:rPr>
                <w:rFonts w:hint="default" w:ascii="Times New Roman" w:hAnsi="Times New Roman" w:cs="Times New Roman"/>
                <w:color w:val="000000" w:themeColor="text1"/>
                <w:sz w:val="24"/>
                <w:szCs w:val="24"/>
                <w:highlight w:val="none"/>
                <w:lang w:eastAsia="zh-CN"/>
                <w14:textFill>
                  <w14:solidFill>
                    <w14:schemeClr w14:val="tx1"/>
                  </w14:solidFill>
                </w14:textFill>
              </w:rPr>
              <w:t>本项目活性炭每</w:t>
            </w:r>
            <w:r>
              <w:rPr>
                <w:rFonts w:hint="eastAsia" w:cs="Times New Roman"/>
                <w:color w:val="000000" w:themeColor="text1"/>
                <w:sz w:val="24"/>
                <w:szCs w:val="24"/>
                <w:highlight w:val="none"/>
                <w:lang w:val="en-US" w:eastAsia="zh-CN"/>
                <w14:textFill>
                  <w14:solidFill>
                    <w14:schemeClr w14:val="tx1"/>
                  </w14:solidFill>
                </w14:textFill>
              </w:rPr>
              <w:t>半年</w:t>
            </w:r>
            <w:r>
              <w:rPr>
                <w:rFonts w:hint="default" w:ascii="Times New Roman" w:hAnsi="Times New Roman" w:cs="Times New Roman"/>
                <w:color w:val="000000" w:themeColor="text1"/>
                <w:sz w:val="24"/>
                <w:szCs w:val="24"/>
                <w:highlight w:val="none"/>
                <w:lang w:eastAsia="zh-CN"/>
                <w14:textFill>
                  <w14:solidFill>
                    <w14:schemeClr w14:val="tx1"/>
                  </w14:solidFill>
                </w14:textFill>
              </w:rPr>
              <w:t>更换</w:t>
            </w:r>
            <w:r>
              <w:rPr>
                <w:rFonts w:hint="eastAsia"/>
                <w:color w:val="000000" w:themeColor="text1"/>
                <w:sz w:val="24"/>
                <w:szCs w:val="24"/>
                <w:highlight w:val="none"/>
                <w:lang w:val="en-US" w:eastAsia="zh-CN"/>
                <w14:textFill>
                  <w14:solidFill>
                    <w14:schemeClr w14:val="tx1"/>
                  </w14:solidFill>
                </w14:textFill>
              </w:rPr>
              <w:t>一</w:t>
            </w:r>
            <w:r>
              <w:rPr>
                <w:rFonts w:hint="default" w:ascii="Times New Roman" w:hAnsi="Times New Roman" w:cs="Times New Roman"/>
                <w:color w:val="000000" w:themeColor="text1"/>
                <w:sz w:val="24"/>
                <w:szCs w:val="24"/>
                <w:highlight w:val="none"/>
                <w:lang w:eastAsia="zh-CN"/>
                <w14:textFill>
                  <w14:solidFill>
                    <w14:schemeClr w14:val="tx1"/>
                  </w14:solidFill>
                </w14:textFill>
              </w:rPr>
              <w:t>次，每年更换</w:t>
            </w:r>
            <w:r>
              <w:rPr>
                <w:rFonts w:hint="eastAsia"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color w:val="000000" w:themeColor="text1"/>
                <w:sz w:val="24"/>
                <w:szCs w:val="24"/>
                <w:highlight w:val="none"/>
                <w:lang w:eastAsia="zh-CN"/>
                <w14:textFill>
                  <w14:solidFill>
                    <w14:schemeClr w14:val="tx1"/>
                  </w14:solidFill>
                </w14:textFill>
              </w:rPr>
              <w:t>次，活性炭用量为</w:t>
            </w:r>
            <w:r>
              <w:rPr>
                <w:rFonts w:hint="eastAsia" w:cs="Times New Roman"/>
                <w:color w:val="000000" w:themeColor="text1"/>
                <w:sz w:val="24"/>
                <w:szCs w:val="24"/>
                <w:highlight w:val="none"/>
                <w:lang w:val="en-US" w:eastAsia="zh-CN"/>
                <w14:textFill>
                  <w14:solidFill>
                    <w14:schemeClr w14:val="tx1"/>
                  </w14:solidFill>
                </w14:textFill>
              </w:rPr>
              <w:t>0.83</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1.66</w:t>
            </w:r>
            <w:r>
              <w:rPr>
                <w:rFonts w:hint="default" w:ascii="Times New Roman" w:hAnsi="Times New Roman" w:cs="Times New Roman"/>
                <w:color w:val="000000" w:themeColor="text1"/>
                <w:sz w:val="24"/>
                <w:szCs w:val="24"/>
                <w:highlight w:val="none"/>
                <w:lang w:eastAsia="zh-CN"/>
                <w14:textFill>
                  <w14:solidFill>
                    <w14:schemeClr w14:val="tx1"/>
                  </w14:solidFill>
                </w14:textFill>
              </w:rPr>
              <w:t>t/a。</w:t>
            </w:r>
          </w:p>
          <w:p w14:paraId="52BFF8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本项目二级活性炭吸附装置设置情况见</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下</w:t>
            </w:r>
            <w:r>
              <w:rPr>
                <w:rFonts w:hint="default" w:ascii="Times New Roman" w:hAnsi="Times New Roman" w:cs="Times New Roman"/>
                <w:color w:val="000000" w:themeColor="text1"/>
                <w:sz w:val="24"/>
                <w:szCs w:val="24"/>
                <w:highlight w:val="none"/>
                <w14:textFill>
                  <w14:solidFill>
                    <w14:schemeClr w14:val="tx1"/>
                  </w14:solidFill>
                </w14:textFill>
              </w:rPr>
              <w:t>表</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p>
          <w:p w14:paraId="12D5ED53">
            <w:pPr>
              <w:keepNext w:val="0"/>
              <w:keepLines w:val="0"/>
              <w:pageBreakBefore w:val="0"/>
              <w:widowControl w:val="0"/>
              <w:numPr>
                <w:ilvl w:val="0"/>
                <w:numId w:val="26"/>
              </w:numPr>
              <w:suppressLineNumbers w:val="0"/>
              <w:kinsoku/>
              <w:wordWrap/>
              <w:overflowPunct/>
              <w:topLinePunct w:val="0"/>
              <w:autoSpaceDE/>
              <w:autoSpaceDN/>
              <w:bidi w:val="0"/>
              <w:adjustRightInd/>
              <w:snapToGrid w:val="0"/>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本项目有机废气装置参数表</w:t>
            </w:r>
          </w:p>
          <w:tbl>
            <w:tblPr>
              <w:tblStyle w:val="35"/>
              <w:tblW w:w="4981" w:type="pct"/>
              <w:tblInd w:w="0" w:type="dxa"/>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918"/>
              <w:gridCol w:w="5417"/>
            </w:tblGrid>
            <w:tr w14:paraId="457BF5B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1750" w:type="pct"/>
                  <w:tcBorders>
                    <w:tl2br w:val="nil"/>
                    <w:tr2bl w:val="nil"/>
                  </w:tcBorders>
                  <w:vAlign w:val="center"/>
                </w:tcPr>
                <w:p w14:paraId="13B76D5E">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吸附设置</w:t>
                  </w:r>
                </w:p>
              </w:tc>
              <w:tc>
                <w:tcPr>
                  <w:tcW w:w="3249" w:type="pct"/>
                  <w:tcBorders>
                    <w:tl2br w:val="nil"/>
                    <w:tr2bl w:val="nil"/>
                  </w:tcBorders>
                  <w:vAlign w:val="center"/>
                </w:tcPr>
                <w:p w14:paraId="4ABB00D5">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二级活性炭</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吸附设施</w:t>
                  </w:r>
                </w:p>
              </w:tc>
            </w:tr>
            <w:tr w14:paraId="4672AEF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1750" w:type="pct"/>
                  <w:tcBorders>
                    <w:tl2br w:val="nil"/>
                    <w:tr2bl w:val="nil"/>
                  </w:tcBorders>
                  <w:vAlign w:val="center"/>
                </w:tcPr>
                <w:p w14:paraId="7BBB325B">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处理风量</w:t>
                  </w:r>
                </w:p>
              </w:tc>
              <w:tc>
                <w:tcPr>
                  <w:tcW w:w="3249" w:type="pct"/>
                  <w:tcBorders>
                    <w:tl2br w:val="nil"/>
                    <w:tr2bl w:val="nil"/>
                  </w:tcBorders>
                  <w:vAlign w:val="center"/>
                </w:tcPr>
                <w:p w14:paraId="51923F33">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3000</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bCs/>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/h</w:t>
                  </w:r>
                </w:p>
              </w:tc>
            </w:tr>
            <w:tr w14:paraId="7EFD55C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1750" w:type="pct"/>
                  <w:tcBorders>
                    <w:tl2br w:val="nil"/>
                    <w:tr2bl w:val="nil"/>
                  </w:tcBorders>
                  <w:shd w:val="clear" w:color="auto" w:fill="auto"/>
                  <w:vAlign w:val="center"/>
                </w:tcPr>
                <w:p w14:paraId="7936BA5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活性炭类型</w:t>
                  </w:r>
                </w:p>
              </w:tc>
              <w:tc>
                <w:tcPr>
                  <w:tcW w:w="3249" w:type="pct"/>
                  <w:tcBorders>
                    <w:tl2br w:val="nil"/>
                    <w:tr2bl w:val="nil"/>
                  </w:tcBorders>
                  <w:shd w:val="clear" w:color="auto" w:fill="auto"/>
                  <w:vAlign w:val="center"/>
                </w:tcPr>
                <w:p w14:paraId="1FE8AE7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颗粒</w:t>
                  </w:r>
                  <w:r>
                    <w:rPr>
                      <w:rFonts w:hint="eastAsia" w:cs="Times New Roman"/>
                      <w:bCs/>
                      <w:color w:val="000000" w:themeColor="text1"/>
                      <w:sz w:val="21"/>
                      <w:szCs w:val="21"/>
                      <w:highlight w:val="none"/>
                      <w:lang w:val="en-US" w:eastAsia="zh-CN"/>
                      <w14:textFill>
                        <w14:solidFill>
                          <w14:schemeClr w14:val="tx1"/>
                        </w14:solidFill>
                      </w14:textFill>
                    </w:rPr>
                    <w:t>状</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活性炭</w:t>
                  </w:r>
                </w:p>
              </w:tc>
            </w:tr>
            <w:tr w14:paraId="59C61AB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1750" w:type="pct"/>
                  <w:tcBorders>
                    <w:tl2br w:val="nil"/>
                    <w:tr2bl w:val="nil"/>
                  </w:tcBorders>
                  <w:vAlign w:val="center"/>
                </w:tcPr>
                <w:p w14:paraId="3810013B">
                  <w:pPr>
                    <w:keepNext w:val="0"/>
                    <w:keepLines w:val="0"/>
                    <w:suppressLineNumbers w:val="0"/>
                    <w:spacing w:before="0" w:beforeAutospacing="0" w:after="0" w:afterAutospacing="0"/>
                    <w:ind w:left="0" w:right="0"/>
                    <w:jc w:val="cente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接触时间</w:t>
                  </w:r>
                </w:p>
              </w:tc>
              <w:tc>
                <w:tcPr>
                  <w:tcW w:w="3249" w:type="pct"/>
                  <w:tcBorders>
                    <w:tl2br w:val="nil"/>
                    <w:tr2bl w:val="nil"/>
                  </w:tcBorders>
                  <w:vAlign w:val="center"/>
                </w:tcPr>
                <w:p w14:paraId="251D13C4">
                  <w:pPr>
                    <w:keepNext w:val="0"/>
                    <w:keepLines w:val="0"/>
                    <w:suppressLineNumbers w:val="0"/>
                    <w:spacing w:before="0" w:beforeAutospacing="0" w:after="0" w:afterAutospacing="0"/>
                    <w:ind w:left="0" w:right="0"/>
                    <w:jc w:val="cente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2.0</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s</w:t>
                  </w:r>
                </w:p>
              </w:tc>
            </w:tr>
            <w:tr w14:paraId="2110E77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1750" w:type="pct"/>
                  <w:tcBorders>
                    <w:tl2br w:val="nil"/>
                    <w:tr2bl w:val="nil"/>
                  </w:tcBorders>
                  <w:shd w:val="clear" w:color="auto" w:fill="auto"/>
                  <w:vAlign w:val="center"/>
                </w:tcPr>
                <w:p w14:paraId="166CC9C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填充密度</w:t>
                  </w:r>
                </w:p>
              </w:tc>
              <w:tc>
                <w:tcPr>
                  <w:tcW w:w="3249" w:type="pct"/>
                  <w:tcBorders>
                    <w:tl2br w:val="nil"/>
                    <w:tr2bl w:val="nil"/>
                  </w:tcBorders>
                  <w:shd w:val="clear" w:color="auto" w:fill="auto"/>
                  <w:vAlign w:val="center"/>
                </w:tcPr>
                <w:p w14:paraId="4A2478A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Cs w:val="21"/>
                      <w:highlight w:val="none"/>
                      <w:lang w:val="en-US" w:eastAsia="zh-CN"/>
                      <w14:textFill>
                        <w14:solidFill>
                          <w14:schemeClr w14:val="tx1"/>
                        </w14:solidFill>
                      </w14:textFill>
                    </w:rPr>
                    <w:t>500kg</w:t>
                  </w:r>
                  <w:r>
                    <w:rPr>
                      <w:rFonts w:hint="default" w:ascii="Times New Roman" w:hAnsi="Times New Roman" w:cs="Times New Roman"/>
                      <w:color w:val="000000" w:themeColor="text1"/>
                      <w:szCs w:val="21"/>
                      <w:highlight w:val="none"/>
                      <w14:textFill>
                        <w14:solidFill>
                          <w14:schemeClr w14:val="tx1"/>
                        </w14:solidFill>
                      </w14:textFill>
                    </w:rPr>
                    <w:t>/m</w:t>
                  </w:r>
                  <w:r>
                    <w:rPr>
                      <w:rFonts w:hint="default" w:ascii="Times New Roman" w:hAnsi="Times New Roman" w:cs="Times New Roman"/>
                      <w:color w:val="000000" w:themeColor="text1"/>
                      <w:szCs w:val="21"/>
                      <w:highlight w:val="none"/>
                      <w:vertAlign w:val="superscript"/>
                      <w:lang w:val="en-US" w:eastAsia="zh-CN"/>
                      <w14:textFill>
                        <w14:solidFill>
                          <w14:schemeClr w14:val="tx1"/>
                        </w14:solidFill>
                      </w14:textFill>
                    </w:rPr>
                    <w:t>3</w:t>
                  </w:r>
                </w:p>
              </w:tc>
            </w:tr>
            <w:tr w14:paraId="2133D96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1750" w:type="pct"/>
                  <w:tcBorders>
                    <w:tl2br w:val="nil"/>
                    <w:tr2bl w:val="nil"/>
                  </w:tcBorders>
                  <w:shd w:val="clear" w:color="auto" w:fill="auto"/>
                  <w:vAlign w:val="center"/>
                </w:tcPr>
                <w:p w14:paraId="4CEF440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活性炭碘值</w:t>
                  </w:r>
                </w:p>
              </w:tc>
              <w:tc>
                <w:tcPr>
                  <w:tcW w:w="3249" w:type="pct"/>
                  <w:tcBorders>
                    <w:tl2br w:val="nil"/>
                    <w:tr2bl w:val="nil"/>
                  </w:tcBorders>
                  <w:shd w:val="clear" w:color="auto" w:fill="auto"/>
                  <w:vAlign w:val="center"/>
                </w:tcPr>
                <w:p w14:paraId="76D3F42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800mg/g</w:t>
                  </w:r>
                </w:p>
              </w:tc>
            </w:tr>
            <w:tr w14:paraId="508A705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53" w:hRule="atLeast"/>
              </w:trPr>
              <w:tc>
                <w:tcPr>
                  <w:tcW w:w="1750" w:type="pct"/>
                  <w:tcBorders>
                    <w:tl2br w:val="nil"/>
                    <w:tr2bl w:val="nil"/>
                  </w:tcBorders>
                  <w:vAlign w:val="center"/>
                </w:tcPr>
                <w:p w14:paraId="27340F7D">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有机废气综合处理效率</w:t>
                  </w:r>
                </w:p>
              </w:tc>
              <w:tc>
                <w:tcPr>
                  <w:tcW w:w="3249" w:type="pct"/>
                  <w:tcBorders>
                    <w:tl2br w:val="nil"/>
                    <w:tr2bl w:val="nil"/>
                  </w:tcBorders>
                  <w:vAlign w:val="center"/>
                </w:tcPr>
                <w:p w14:paraId="7C36F61E">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w:t>
                  </w:r>
                  <w:r>
                    <w:rPr>
                      <w:rFonts w:hint="eastAsia" w:cs="Times New Roman"/>
                      <w:bCs/>
                      <w:color w:val="000000" w:themeColor="text1"/>
                      <w:sz w:val="21"/>
                      <w:szCs w:val="21"/>
                      <w:highlight w:val="none"/>
                      <w:lang w:val="en-US" w:eastAsia="zh-CN"/>
                      <w14:textFill>
                        <w14:solidFill>
                          <w14:schemeClr w14:val="tx1"/>
                        </w14:solidFill>
                      </w14:textFill>
                    </w:rPr>
                    <w:t>75</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w:t>
                  </w:r>
                </w:p>
              </w:tc>
            </w:tr>
            <w:tr w14:paraId="45FCB46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1750" w:type="pct"/>
                  <w:tcBorders>
                    <w:tl2br w:val="nil"/>
                    <w:tr2bl w:val="nil"/>
                  </w:tcBorders>
                  <w:vAlign w:val="center"/>
                </w:tcPr>
                <w:p w14:paraId="14F705D4">
                  <w:pPr>
                    <w:keepNext w:val="0"/>
                    <w:keepLines w:val="0"/>
                    <w:suppressLineNumbers w:val="0"/>
                    <w:spacing w:before="0" w:beforeAutospacing="0" w:after="0" w:afterAutospacing="0"/>
                    <w:ind w:left="0" w:right="0"/>
                    <w:jc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参数类别</w:t>
                  </w:r>
                </w:p>
              </w:tc>
              <w:tc>
                <w:tcPr>
                  <w:tcW w:w="3249" w:type="pct"/>
                  <w:tcBorders>
                    <w:tl2br w:val="nil"/>
                    <w:tr2bl w:val="nil"/>
                  </w:tcBorders>
                  <w:vAlign w:val="center"/>
                </w:tcPr>
                <w:p w14:paraId="353AEDF2">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活性炭吸附箱</w:t>
                  </w:r>
                </w:p>
              </w:tc>
            </w:tr>
            <w:tr w14:paraId="7E8C466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750" w:type="pct"/>
                  <w:tcBorders>
                    <w:tl2br w:val="nil"/>
                    <w:tr2bl w:val="nil"/>
                  </w:tcBorders>
                  <w:vAlign w:val="center"/>
                </w:tcPr>
                <w:p w14:paraId="18F094F0">
                  <w:pPr>
                    <w:keepNext w:val="0"/>
                    <w:keepLines w:val="0"/>
                    <w:suppressLineNumbers w:val="0"/>
                    <w:spacing w:before="0" w:beforeAutospacing="0" w:after="0" w:afterAutospacing="0"/>
                    <w:ind w:left="0" w:right="0"/>
                    <w:jc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活性炭箱个数</w:t>
                  </w:r>
                </w:p>
              </w:tc>
              <w:tc>
                <w:tcPr>
                  <w:tcW w:w="3249" w:type="pct"/>
                  <w:tcBorders>
                    <w:tl2br w:val="nil"/>
                    <w:tr2bl w:val="nil"/>
                  </w:tcBorders>
                  <w:vAlign w:val="center"/>
                </w:tcPr>
                <w:p w14:paraId="6D98B3FB">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bCs/>
                      <w:color w:val="000000" w:themeColor="text1"/>
                      <w:sz w:val="21"/>
                      <w:szCs w:val="21"/>
                      <w:highlight w:val="none"/>
                      <w14:textFill>
                        <w14:solidFill>
                          <w14:schemeClr w14:val="tx1"/>
                        </w14:solidFill>
                      </w14:textFill>
                    </w:rPr>
                    <w:t>个</w:t>
                  </w:r>
                </w:p>
              </w:tc>
            </w:tr>
            <w:tr w14:paraId="0E24637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13" w:hRule="atLeast"/>
              </w:trPr>
              <w:tc>
                <w:tcPr>
                  <w:tcW w:w="1750" w:type="pct"/>
                  <w:tcBorders>
                    <w:tl2br w:val="nil"/>
                    <w:tr2bl w:val="nil"/>
                  </w:tcBorders>
                  <w:vAlign w:val="center"/>
                </w:tcPr>
                <w:p w14:paraId="52906583">
                  <w:pPr>
                    <w:keepNext w:val="0"/>
                    <w:keepLines w:val="0"/>
                    <w:suppressLineNumbers w:val="0"/>
                    <w:spacing w:before="0" w:beforeAutospacing="0" w:after="0" w:afterAutospacing="0"/>
                    <w:ind w:left="0" w:right="0"/>
                    <w:jc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活性炭</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箱</w:t>
                  </w:r>
                  <w:r>
                    <w:rPr>
                      <w:rFonts w:hint="default" w:ascii="Times New Roman" w:hAnsi="Times New Roman" w:cs="Times New Roman"/>
                      <w:bCs/>
                      <w:color w:val="000000" w:themeColor="text1"/>
                      <w:sz w:val="21"/>
                      <w:szCs w:val="21"/>
                      <w:highlight w:val="none"/>
                      <w14:textFill>
                        <w14:solidFill>
                          <w14:schemeClr w14:val="tx1"/>
                        </w14:solidFill>
                      </w14:textFill>
                    </w:rPr>
                    <w:t>填充量</w:t>
                  </w:r>
                </w:p>
              </w:tc>
              <w:tc>
                <w:tcPr>
                  <w:tcW w:w="3249" w:type="pct"/>
                  <w:tcBorders>
                    <w:tl2br w:val="nil"/>
                    <w:tr2bl w:val="nil"/>
                  </w:tcBorders>
                  <w:vAlign w:val="center"/>
                </w:tcPr>
                <w:p w14:paraId="19289137">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0.415</w:t>
                  </w:r>
                  <w:r>
                    <w:rPr>
                      <w:rFonts w:hint="default" w:ascii="Times New Roman" w:hAnsi="Times New Roman" w:cs="Times New Roman"/>
                      <w:color w:val="000000" w:themeColor="text1"/>
                      <w:szCs w:val="21"/>
                      <w:highlight w:val="none"/>
                      <w:lang w:val="en-US" w:eastAsia="zh-CN"/>
                      <w14:textFill>
                        <w14:solidFill>
                          <w14:schemeClr w14:val="tx1"/>
                        </w14:solidFill>
                      </w14:textFill>
                    </w:rPr>
                    <w:t>t/个</w:t>
                  </w:r>
                  <w:r>
                    <w:rPr>
                      <w:rFonts w:hint="eastAsia" w:cs="Times New Roman"/>
                      <w:color w:val="000000" w:themeColor="text1"/>
                      <w:szCs w:val="21"/>
                      <w:highlight w:val="none"/>
                      <w:lang w:val="en-US" w:eastAsia="zh-CN"/>
                      <w14:textFill>
                        <w14:solidFill>
                          <w14:schemeClr w14:val="tx1"/>
                        </w14:solidFill>
                      </w14:textFill>
                    </w:rPr>
                    <w:t>炭箱</w:t>
                  </w:r>
                  <w:r>
                    <w:rPr>
                      <w:rFonts w:hint="default" w:ascii="Times New Roman" w:hAnsi="Times New Roman" w:cs="Times New Roman"/>
                      <w:color w:val="000000" w:themeColor="text1"/>
                      <w:szCs w:val="21"/>
                      <w:highlight w:val="none"/>
                      <w:lang w:val="en-US" w:eastAsia="zh-CN"/>
                      <w14:textFill>
                        <w14:solidFill>
                          <w14:schemeClr w14:val="tx1"/>
                        </w14:solidFill>
                      </w14:textFill>
                    </w:rPr>
                    <w:t>（</w:t>
                  </w:r>
                  <w:r>
                    <w:rPr>
                      <w:rFonts w:hint="eastAsia" w:cs="Times New Roman"/>
                      <w:color w:val="000000" w:themeColor="text1"/>
                      <w:szCs w:val="21"/>
                      <w:highlight w:val="none"/>
                      <w:lang w:val="en-US" w:eastAsia="zh-CN"/>
                      <w14:textFill>
                        <w14:solidFill>
                          <w14:schemeClr w14:val="tx1"/>
                        </w14:solidFill>
                      </w14:textFill>
                    </w:rPr>
                    <w:t>0.83</w:t>
                  </w:r>
                  <w:r>
                    <w:rPr>
                      <w:rFonts w:hint="default" w:ascii="Times New Roman" w:hAnsi="Times New Roman" w:cs="Times New Roman"/>
                      <w:color w:val="000000" w:themeColor="text1"/>
                      <w:szCs w:val="21"/>
                      <w:highlight w:val="none"/>
                      <w:lang w:val="en-US" w:eastAsia="zh-CN"/>
                      <w14:textFill>
                        <w14:solidFill>
                          <w14:schemeClr w14:val="tx1"/>
                        </w14:solidFill>
                      </w14:textFill>
                    </w:rPr>
                    <w:t>t/次）</w:t>
                  </w:r>
                </w:p>
              </w:tc>
            </w:tr>
            <w:tr w14:paraId="76DCEE2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78" w:hRule="atLeast"/>
              </w:trPr>
              <w:tc>
                <w:tcPr>
                  <w:tcW w:w="1750" w:type="pct"/>
                  <w:tcBorders>
                    <w:tl2br w:val="nil"/>
                    <w:tr2bl w:val="nil"/>
                  </w:tcBorders>
                  <w:vAlign w:val="center"/>
                </w:tcPr>
                <w:p w14:paraId="5C37ECD4">
                  <w:pPr>
                    <w:keepNext w:val="0"/>
                    <w:keepLines w:val="0"/>
                    <w:suppressLineNumbers w:val="0"/>
                    <w:spacing w:before="0" w:beforeAutospacing="0" w:after="0" w:afterAutospacing="0"/>
                    <w:ind w:left="0" w:right="0"/>
                    <w:jc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活性炭更换频次</w:t>
                  </w:r>
                </w:p>
              </w:tc>
              <w:tc>
                <w:tcPr>
                  <w:tcW w:w="3249" w:type="pct"/>
                  <w:tcBorders>
                    <w:tl2br w:val="nil"/>
                    <w:tr2bl w:val="nil"/>
                  </w:tcBorders>
                  <w:vAlign w:val="center"/>
                </w:tcPr>
                <w:p w14:paraId="1321CB25">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每</w:t>
                  </w:r>
                  <w:r>
                    <w:rPr>
                      <w:rFonts w:hint="eastAsia" w:cs="Times New Roman"/>
                      <w:bCs/>
                      <w:color w:val="000000" w:themeColor="text1"/>
                      <w:sz w:val="21"/>
                      <w:szCs w:val="21"/>
                      <w:highlight w:val="none"/>
                      <w:lang w:val="en-US" w:eastAsia="zh-CN"/>
                      <w14:textFill>
                        <w14:solidFill>
                          <w14:schemeClr w14:val="tx1"/>
                        </w14:solidFill>
                      </w14:textFill>
                    </w:rPr>
                    <w:t>半年</w:t>
                  </w: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更换一次</w:t>
                  </w:r>
                </w:p>
              </w:tc>
            </w:tr>
          </w:tbl>
          <w:p w14:paraId="532DB641">
            <w:pPr>
              <w:keepNext w:val="0"/>
              <w:keepLines w:val="0"/>
              <w:pageBreakBefore w:val="0"/>
              <w:widowControl w:val="0"/>
              <w:suppressLineNumbers w:val="0"/>
              <w:kinsoku/>
              <w:wordWrap/>
              <w:overflowPunct/>
              <w:topLinePunct w:val="0"/>
              <w:autoSpaceDE w:val="0"/>
              <w:autoSpaceDN w:val="0"/>
              <w:bidi w:val="0"/>
              <w:adjustRightInd/>
              <w:snapToGrid/>
              <w:spacing w:before="157" w:beforeLines="50" w:beforeAutospacing="0" w:after="0" w:afterAutospacing="0" w:line="360" w:lineRule="auto"/>
              <w:ind w:left="0" w:right="0"/>
              <w:textAlignment w:val="auto"/>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1.11</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w:t>
            </w:r>
            <w:r>
              <w:rPr>
                <w:rFonts w:hint="default" w:ascii="Times New Roman" w:hAnsi="Times New Roman" w:eastAsia="新宋体" w:cs="Times New Roman"/>
                <w:b/>
                <w:color w:val="000000" w:themeColor="text1"/>
                <w:sz w:val="24"/>
                <w:szCs w:val="24"/>
                <w:highlight w:val="none"/>
                <w:lang w:val="en-US" w:eastAsia="zh-CN" w:bidi="ar-SA"/>
                <w14:textFill>
                  <w14:solidFill>
                    <w14:schemeClr w14:val="tx1"/>
                  </w14:solidFill>
                </w14:textFill>
              </w:rPr>
              <w:t>排气筒高度设置的合理性</w:t>
            </w:r>
            <w:r>
              <w:rPr>
                <w:rFonts w:hint="eastAsia" w:eastAsia="新宋体" w:cs="Times New Roman"/>
                <w:b/>
                <w:color w:val="000000" w:themeColor="text1"/>
                <w:sz w:val="24"/>
                <w:szCs w:val="24"/>
                <w:highlight w:val="none"/>
                <w:lang w:val="en-US" w:eastAsia="zh-CN" w:bidi="ar-SA"/>
                <w14:textFill>
                  <w14:solidFill>
                    <w14:schemeClr w14:val="tx1"/>
                  </w14:solidFill>
                </w14:textFill>
              </w:rPr>
              <w:t>分析</w:t>
            </w:r>
          </w:p>
          <w:p w14:paraId="65097D37">
            <w:pPr>
              <w:pStyle w:val="11"/>
              <w:keepNext w:val="0"/>
              <w:keepLines w:val="0"/>
              <w:pageBreakBefore w:val="0"/>
              <w:widowControl w:val="0"/>
              <w:suppressLineNumbers w:val="0"/>
              <w:kinsoku/>
              <w:wordWrap w:val="0"/>
              <w:overflowPunct/>
              <w:topLinePunct w:val="0"/>
              <w:autoSpaceDE/>
              <w:autoSpaceDN/>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本项目前处理车间</w:t>
            </w:r>
            <w:r>
              <w:rPr>
                <w:rFonts w:hint="eastAsia" w:cs="Times New Roman"/>
                <w:bCs/>
                <w:color w:val="000000" w:themeColor="text1"/>
                <w:sz w:val="24"/>
                <w:szCs w:val="24"/>
                <w:highlight w:val="none"/>
                <w:lang w:val="en-US" w:eastAsia="zh-CN"/>
                <w14:textFill>
                  <w14:solidFill>
                    <w14:schemeClr w14:val="tx1"/>
                  </w14:solidFill>
                </w14:textFill>
              </w:rPr>
              <w:t>和</w:t>
            </w:r>
            <w:r>
              <w:rPr>
                <w:rFonts w:hint="eastAsia" w:ascii="Times New Roman" w:hAnsi="Times New Roman" w:cs="Times New Roman"/>
                <w:color w:val="000000" w:themeColor="text1"/>
                <w:kern w:val="0"/>
                <w:sz w:val="24"/>
                <w:szCs w:val="24"/>
                <w:highlight w:val="none"/>
                <w:u w:val="none"/>
                <w:lang w:val="en-US" w:eastAsia="zh-CN"/>
                <w14:textFill>
                  <w14:solidFill>
                    <w14:schemeClr w14:val="tx1"/>
                  </w14:solidFill>
                </w14:textFill>
              </w:rPr>
              <w:t>综合制剂车间</w:t>
            </w:r>
            <w:r>
              <w:rPr>
                <w:rFonts w:hint="eastAsia" w:cs="Times New Roman"/>
                <w:bCs/>
                <w:color w:val="000000" w:themeColor="text1"/>
                <w:sz w:val="24"/>
                <w:szCs w:val="24"/>
                <w:highlight w:val="none"/>
                <w:lang w:val="en-US" w:eastAsia="zh-CN"/>
                <w14:textFill>
                  <w14:solidFill>
                    <w14:schemeClr w14:val="tx1"/>
                  </w14:solidFill>
                </w14:textFill>
              </w:rPr>
              <w:t>高度约12</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m。本项目拟设置</w:t>
            </w:r>
            <w:r>
              <w:rPr>
                <w:rFonts w:hint="eastAsia" w:cs="Times New Roman"/>
                <w:bCs/>
                <w:color w:val="000000" w:themeColor="text1"/>
                <w:sz w:val="24"/>
                <w:szCs w:val="24"/>
                <w:highlight w:val="none"/>
                <w:lang w:val="en-US" w:eastAsia="zh-CN"/>
                <w14:textFill>
                  <w14:solidFill>
                    <w14:schemeClr w14:val="tx1"/>
                  </w14:solidFill>
                </w14:textFill>
              </w:rPr>
              <w:t>不低于15m</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高</w:t>
            </w:r>
            <w:r>
              <w:rPr>
                <w:rFonts w:hint="eastAsia" w:ascii="Times New Roman" w:hAnsi="Times New Roman" w:eastAsia="宋体" w:cs="Times New Roman"/>
                <w:bCs/>
                <w:color w:val="000000" w:themeColor="text1"/>
                <w:sz w:val="24"/>
                <w:szCs w:val="24"/>
                <w:highlight w:val="none"/>
                <w:lang w:val="en-US" w:eastAsia="zh-CN"/>
                <w14:textFill>
                  <w14:solidFill>
                    <w14:schemeClr w14:val="tx1"/>
                  </w14:solidFill>
                </w14:textFill>
              </w:rPr>
              <w:t>排气筒</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DA0</w:t>
            </w:r>
            <w:r>
              <w:rPr>
                <w:rFonts w:hint="eastAsia" w:ascii="Times New Roman" w:hAnsi="Times New Roman" w:eastAsia="宋体" w:cs="Times New Roman"/>
                <w:bCs/>
                <w:color w:val="000000" w:themeColor="text1"/>
                <w:sz w:val="24"/>
                <w:szCs w:val="24"/>
                <w:highlight w:val="none"/>
                <w:lang w:val="en-US" w:eastAsia="zh-CN"/>
                <w14:textFill>
                  <w14:solidFill>
                    <w14:schemeClr w14:val="tx1"/>
                  </w14:solidFill>
                </w14:textFill>
              </w:rPr>
              <w:t>0</w:t>
            </w:r>
            <w:r>
              <w:rPr>
                <w:rFonts w:hint="eastAsia" w:cs="Times New Roman"/>
                <w:bCs/>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DA0</w:t>
            </w:r>
            <w:r>
              <w:rPr>
                <w:rFonts w:hint="eastAsia" w:ascii="Times New Roman" w:hAnsi="Times New Roman" w:eastAsia="宋体" w:cs="Times New Roman"/>
                <w:bCs/>
                <w:color w:val="000000" w:themeColor="text1"/>
                <w:sz w:val="24"/>
                <w:szCs w:val="24"/>
                <w:highlight w:val="none"/>
                <w:lang w:val="en-US" w:eastAsia="zh-CN"/>
                <w14:textFill>
                  <w14:solidFill>
                    <w14:schemeClr w14:val="tx1"/>
                  </w14:solidFill>
                </w14:textFill>
              </w:rPr>
              <w:t>0</w:t>
            </w:r>
            <w:r>
              <w:rPr>
                <w:rFonts w:hint="eastAsia" w:cs="Times New Roman"/>
                <w:bCs/>
                <w:color w:val="000000" w:themeColor="text1"/>
                <w:sz w:val="24"/>
                <w:szCs w:val="24"/>
                <w:highlight w:val="none"/>
                <w:lang w:val="en-US" w:eastAsia="zh-CN"/>
                <w14:textFill>
                  <w14:solidFill>
                    <w14:schemeClr w14:val="tx1"/>
                  </w14:solidFill>
                </w14:textFill>
              </w:rPr>
              <w:t>5和</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DA0</w:t>
            </w:r>
            <w:r>
              <w:rPr>
                <w:rFonts w:hint="eastAsia" w:ascii="Times New Roman" w:hAnsi="Times New Roman" w:eastAsia="宋体" w:cs="Times New Roman"/>
                <w:bCs/>
                <w:color w:val="000000" w:themeColor="text1"/>
                <w:sz w:val="24"/>
                <w:szCs w:val="24"/>
                <w:highlight w:val="none"/>
                <w:lang w:val="en-US" w:eastAsia="zh-CN"/>
                <w14:textFill>
                  <w14:solidFill>
                    <w14:schemeClr w14:val="tx1"/>
                  </w14:solidFill>
                </w14:textFill>
              </w:rPr>
              <w:t>1</w:t>
            </w:r>
            <w:r>
              <w:rPr>
                <w:rFonts w:hint="eastAsia" w:cs="Times New Roman"/>
                <w:bCs/>
                <w:color w:val="000000" w:themeColor="text1"/>
                <w:sz w:val="24"/>
                <w:szCs w:val="24"/>
                <w:highlight w:val="none"/>
                <w:lang w:val="en-US" w:eastAsia="zh-CN"/>
                <w14:textFill>
                  <w14:solidFill>
                    <w14:schemeClr w14:val="tx1"/>
                  </w14:solidFill>
                </w14:textFill>
              </w:rPr>
              <w:t>6</w:t>
            </w:r>
            <w:r>
              <w:rPr>
                <w:rFonts w:hint="eastAsia" w:ascii="Times New Roman" w:hAnsi="Times New Roman" w:eastAsia="宋体" w:cs="Times New Roman"/>
                <w:bCs/>
                <w:color w:val="000000" w:themeColor="text1"/>
                <w:sz w:val="24"/>
                <w:szCs w:val="24"/>
                <w:highlight w:val="none"/>
                <w:lang w:val="en-US" w:eastAsia="zh-CN"/>
                <w14:textFill>
                  <w14:solidFill>
                    <w14:schemeClr w14:val="tx1"/>
                  </w14:solidFill>
                </w14:textFill>
              </w:rPr>
              <w:t>，</w:t>
            </w:r>
            <w:r>
              <w:rPr>
                <w:rFonts w:hint="eastAsia" w:cs="Times New Roman"/>
                <w:bCs/>
                <w:color w:val="000000" w:themeColor="text1"/>
                <w:sz w:val="24"/>
                <w:szCs w:val="24"/>
                <w:highlight w:val="none"/>
                <w:lang w:val="en-US" w:eastAsia="zh-CN"/>
                <w14:textFill>
                  <w14:solidFill>
                    <w14:schemeClr w14:val="tx1"/>
                  </w14:solidFill>
                </w14:textFill>
              </w:rPr>
              <w:t>并改造综合制剂车间现有制剂废气排气筒（DA006~DA013）不低于15m</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高</w:t>
            </w:r>
            <w:r>
              <w:rPr>
                <w:rFonts w:hint="eastAsia" w:cs="Times New Roman"/>
                <w:bCs/>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排</w:t>
            </w:r>
            <w:r>
              <w:rPr>
                <w:rFonts w:hint="eastAsia"/>
                <w:color w:val="000000" w:themeColor="text1"/>
                <w:sz w:val="24"/>
                <w:szCs w:val="24"/>
                <w:highlight w:val="none"/>
                <w:lang w:eastAsia="zh-CN"/>
                <w14:textFill>
                  <w14:solidFill>
                    <w14:schemeClr w14:val="tx1"/>
                  </w14:solidFill>
                </w14:textFill>
              </w:rPr>
              <w:t>放</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高度满足</w:t>
            </w:r>
            <w:r>
              <w:rPr>
                <w:rFonts w:hint="eastAsia" w:cs="Times New Roman"/>
                <w:color w:val="000000" w:themeColor="text1"/>
                <w:sz w:val="24"/>
                <w:szCs w:val="24"/>
                <w:highlight w:val="none"/>
                <w:lang w:val="en-US" w:eastAsia="zh-CN"/>
                <w14:textFill>
                  <w14:solidFill>
                    <w14:schemeClr w14:val="tx1"/>
                  </w14:solidFill>
                </w14:textFill>
              </w:rPr>
              <w:t>《制药工业大气污染物排放标准》（GB37823-2019）</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中排气筒高度</w:t>
            </w:r>
            <w:r>
              <w:rPr>
                <w:rFonts w:hint="eastAsia" w:cs="Times New Roman"/>
                <w:bCs/>
                <w:color w:val="000000" w:themeColor="text1"/>
                <w:sz w:val="24"/>
                <w:szCs w:val="24"/>
                <w:highlight w:val="none"/>
                <w:lang w:val="en-US" w:eastAsia="zh-CN"/>
                <w14:textFill>
                  <w14:solidFill>
                    <w14:schemeClr w14:val="tx1"/>
                  </w14:solidFill>
                </w14:textFill>
              </w:rPr>
              <w:t>不低于15m</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要求。因此，本项目排气筒高度设置是合理的。</w:t>
            </w:r>
          </w:p>
          <w:p w14:paraId="60FA202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综上所述，本项目运营期大气污染防治措施可行。</w:t>
            </w:r>
          </w:p>
          <w:p w14:paraId="024C8B4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宋体" w:hAnsi="宋体" w:cs="宋体"/>
                <w:iCs/>
                <w:color w:val="000000" w:themeColor="text1"/>
                <w:sz w:val="24"/>
                <w:szCs w:val="24"/>
                <w:highlight w:val="none"/>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t>根据2025年6月10日~11日的例行检测报告（报告编号：LNKR-2025(W)-06-644）可知现有项目制剂废气排放口最大</w:t>
            </w:r>
            <w:r>
              <w:rPr>
                <w:rFonts w:hint="eastAsia" w:cs="Times New Roman"/>
                <w:color w:val="000000" w:themeColor="text1"/>
                <w:sz w:val="24"/>
                <w:szCs w:val="24"/>
                <w:highlight w:val="none"/>
                <w:lang w:val="en-US" w:eastAsia="zh-CN" w:bidi="ar-SA"/>
                <w14:textFill>
                  <w14:solidFill>
                    <w14:schemeClr w14:val="tx1"/>
                  </w14:solidFill>
                </w14:textFill>
              </w:rPr>
              <w:t>排放速率，</w:t>
            </w:r>
            <w:r>
              <w:rPr>
                <w:rFonts w:hint="eastAsia" w:ascii="宋体" w:hAnsi="宋体" w:cs="宋体"/>
                <w:iCs/>
                <w:color w:val="000000" w:themeColor="text1"/>
                <w:sz w:val="24"/>
                <w:szCs w:val="24"/>
                <w:highlight w:val="none"/>
                <w14:textFill>
                  <w14:solidFill>
                    <w14:schemeClr w14:val="tx1"/>
                  </w14:solidFill>
                </w14:textFill>
              </w:rPr>
              <w:t>本项目废气排放口情况如下</w:t>
            </w:r>
            <w:r>
              <w:rPr>
                <w:rFonts w:hint="eastAsia" w:ascii="宋体" w:hAnsi="宋体" w:cs="宋体"/>
                <w:iCs/>
                <w:color w:val="000000" w:themeColor="text1"/>
                <w:sz w:val="24"/>
                <w:szCs w:val="24"/>
                <w:highlight w:val="none"/>
                <w:lang w:val="en-US" w:eastAsia="zh-CN"/>
                <w14:textFill>
                  <w14:solidFill>
                    <w14:schemeClr w14:val="tx1"/>
                  </w14:solidFill>
                </w14:textFill>
              </w:rPr>
              <w:t>表</w:t>
            </w:r>
            <w:r>
              <w:rPr>
                <w:rFonts w:hint="eastAsia" w:ascii="宋体" w:hAnsi="宋体" w:cs="宋体"/>
                <w:iCs/>
                <w:color w:val="000000" w:themeColor="text1"/>
                <w:sz w:val="24"/>
                <w:szCs w:val="24"/>
                <w:highlight w:val="none"/>
                <w14:textFill>
                  <w14:solidFill>
                    <w14:schemeClr w14:val="tx1"/>
                  </w14:solidFill>
                </w14:textFill>
              </w:rPr>
              <w:t>：</w:t>
            </w:r>
          </w:p>
          <w:p w14:paraId="7629A6BF">
            <w:pPr>
              <w:keepNext w:val="0"/>
              <w:keepLines w:val="0"/>
              <w:pageBreakBefore w:val="0"/>
              <w:widowControl w:val="0"/>
              <w:numPr>
                <w:ilvl w:val="0"/>
                <w:numId w:val="26"/>
              </w:numPr>
              <w:suppressLineNumbers w:val="0"/>
              <w:kinsoku/>
              <w:wordWrap/>
              <w:overflowPunct/>
              <w:topLinePunct w:val="0"/>
              <w:autoSpaceDE/>
              <w:autoSpaceDN/>
              <w:bidi w:val="0"/>
              <w:adjustRightInd/>
              <w:snapToGrid w:val="0"/>
              <w:spacing w:before="0" w:beforeAutospacing="0" w:after="0" w:afterLines="0" w:afterAutospacing="0" w:line="240" w:lineRule="auto"/>
              <w:ind w:left="0" w:leftChars="0" w:right="0" w:rightChars="0" w:firstLine="0" w:firstLineChars="0"/>
              <w:jc w:val="center"/>
              <w:textAlignment w:val="auto"/>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项目排放口基本信息表</w:t>
            </w:r>
          </w:p>
          <w:tbl>
            <w:tblPr>
              <w:tblStyle w:val="36"/>
              <w:tblW w:w="0" w:type="auto"/>
              <w:tblInd w:w="0" w:type="dxa"/>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20"/>
              <w:gridCol w:w="1371"/>
              <w:gridCol w:w="1276"/>
              <w:gridCol w:w="491"/>
              <w:gridCol w:w="514"/>
              <w:gridCol w:w="502"/>
              <w:gridCol w:w="636"/>
              <w:gridCol w:w="454"/>
              <w:gridCol w:w="657"/>
              <w:gridCol w:w="794"/>
              <w:gridCol w:w="454"/>
            </w:tblGrid>
            <w:tr w14:paraId="74024EC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20" w:type="dxa"/>
                  <w:vMerge w:val="restart"/>
                  <w:tcBorders>
                    <w:tl2br w:val="nil"/>
                    <w:tr2bl w:val="nil"/>
                  </w:tcBorders>
                  <w:noWrap w:val="0"/>
                  <w:vAlign w:val="center"/>
                </w:tcPr>
                <w:p w14:paraId="4B39BD50">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名称</w:t>
                  </w:r>
                </w:p>
              </w:tc>
              <w:tc>
                <w:tcPr>
                  <w:tcW w:w="2647" w:type="dxa"/>
                  <w:gridSpan w:val="2"/>
                  <w:tcBorders>
                    <w:tl2br w:val="nil"/>
                    <w:tr2bl w:val="nil"/>
                  </w:tcBorders>
                  <w:noWrap w:val="0"/>
                  <w:vAlign w:val="center"/>
                </w:tcPr>
                <w:p w14:paraId="5AB74833">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排气筒底部中</w:t>
                  </w:r>
                </w:p>
                <w:p w14:paraId="5DD2F6C1">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心坐标（°）</w:t>
                  </w:r>
                </w:p>
              </w:tc>
              <w:tc>
                <w:tcPr>
                  <w:tcW w:w="491" w:type="dxa"/>
                  <w:vMerge w:val="restart"/>
                  <w:tcBorders>
                    <w:tl2br w:val="nil"/>
                    <w:tr2bl w:val="nil"/>
                  </w:tcBorders>
                  <w:noWrap w:val="0"/>
                  <w:vAlign w:val="center"/>
                </w:tcPr>
                <w:p w14:paraId="11E36522">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排气筒高度/m</w:t>
                  </w:r>
                </w:p>
              </w:tc>
              <w:tc>
                <w:tcPr>
                  <w:tcW w:w="514" w:type="dxa"/>
                  <w:vMerge w:val="restart"/>
                  <w:tcBorders>
                    <w:tl2br w:val="nil"/>
                    <w:tr2bl w:val="nil"/>
                  </w:tcBorders>
                  <w:noWrap w:val="0"/>
                  <w:vAlign w:val="center"/>
                </w:tcPr>
                <w:p w14:paraId="6E9CCC68">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排气筒出口内</w:t>
                  </w:r>
                </w:p>
                <w:p w14:paraId="71917B49">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径/m</w:t>
                  </w:r>
                </w:p>
              </w:tc>
              <w:tc>
                <w:tcPr>
                  <w:tcW w:w="502" w:type="dxa"/>
                  <w:vMerge w:val="restart"/>
                  <w:tcBorders>
                    <w:tl2br w:val="nil"/>
                    <w:tr2bl w:val="nil"/>
                  </w:tcBorders>
                  <w:noWrap w:val="0"/>
                  <w:vAlign w:val="center"/>
                </w:tcPr>
                <w:p w14:paraId="75DBD2D0">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温度</w:t>
                  </w:r>
                </w:p>
                <w:p w14:paraId="58E40B2B">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w:t>
                  </w:r>
                </w:p>
              </w:tc>
              <w:tc>
                <w:tcPr>
                  <w:tcW w:w="636" w:type="dxa"/>
                  <w:vMerge w:val="restart"/>
                  <w:tcBorders>
                    <w:tl2br w:val="nil"/>
                    <w:tr2bl w:val="nil"/>
                  </w:tcBorders>
                  <w:noWrap w:val="0"/>
                  <w:vAlign w:val="center"/>
                </w:tcPr>
                <w:p w14:paraId="30627344">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年排</w:t>
                  </w:r>
                </w:p>
                <w:p w14:paraId="009CFD6B">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放小</w:t>
                  </w:r>
                </w:p>
                <w:p w14:paraId="292FF594">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时数</w:t>
                  </w:r>
                </w:p>
                <w:p w14:paraId="163788B4">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/h</w:t>
                  </w:r>
                </w:p>
              </w:tc>
              <w:tc>
                <w:tcPr>
                  <w:tcW w:w="454" w:type="dxa"/>
                  <w:vMerge w:val="restart"/>
                  <w:tcBorders>
                    <w:tl2br w:val="nil"/>
                    <w:tr2bl w:val="nil"/>
                  </w:tcBorders>
                  <w:noWrap w:val="0"/>
                  <w:vAlign w:val="center"/>
                </w:tcPr>
                <w:p w14:paraId="113B5962">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污染物名称</w:t>
                  </w:r>
                </w:p>
              </w:tc>
              <w:tc>
                <w:tcPr>
                  <w:tcW w:w="657" w:type="dxa"/>
                  <w:vMerge w:val="restart"/>
                  <w:tcBorders>
                    <w:tl2br w:val="nil"/>
                    <w:tr2bl w:val="nil"/>
                  </w:tcBorders>
                  <w:noWrap w:val="0"/>
                  <w:vAlign w:val="center"/>
                </w:tcPr>
                <w:p w14:paraId="35E1AC17">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现有项目最大</w:t>
                  </w:r>
                  <w:r>
                    <w:rPr>
                      <w:rFonts w:hint="default" w:ascii="Times New Roman" w:hAnsi="Times New Roman" w:cs="Times New Roman"/>
                      <w:b/>
                      <w:bCs/>
                      <w:color w:val="000000" w:themeColor="text1"/>
                      <w:kern w:val="0"/>
                      <w:sz w:val="21"/>
                      <w:szCs w:val="21"/>
                      <w:highlight w:val="none"/>
                      <w14:textFill>
                        <w14:solidFill>
                          <w14:schemeClr w14:val="tx1"/>
                        </w14:solidFill>
                      </w14:textFill>
                    </w:rPr>
                    <w:t>排放</w:t>
                  </w:r>
                </w:p>
                <w:p w14:paraId="4DFDFA9C">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速率</w:t>
                  </w:r>
                </w:p>
                <w:p w14:paraId="5958945D">
                  <w:pPr>
                    <w:keepNext w:val="0"/>
                    <w:keepLines w:val="0"/>
                    <w:widowControl/>
                    <w:suppressLineNumbers w:val="0"/>
                    <w:adjustRightInd w:val="0"/>
                    <w:snapToGrid w:val="0"/>
                    <w:spacing w:before="0" w:beforeAutospacing="0" w:after="0" w:afterAutospacing="0"/>
                    <w:ind w:left="0" w:right="0"/>
                    <w:jc w:val="center"/>
                    <w:rPr>
                      <w:rFonts w:hint="eastAsia"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kg/h</w:t>
                  </w:r>
                </w:p>
              </w:tc>
              <w:tc>
                <w:tcPr>
                  <w:tcW w:w="794" w:type="dxa"/>
                  <w:vMerge w:val="restart"/>
                  <w:tcBorders>
                    <w:tl2br w:val="nil"/>
                    <w:tr2bl w:val="nil"/>
                  </w:tcBorders>
                  <w:noWrap w:val="0"/>
                  <w:vAlign w:val="center"/>
                </w:tcPr>
                <w:p w14:paraId="5F53CF6B">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eastAsia" w:cs="Times New Roman"/>
                      <w:b/>
                      <w:bCs/>
                      <w:color w:val="000000" w:themeColor="text1"/>
                      <w:kern w:val="0"/>
                      <w:sz w:val="21"/>
                      <w:szCs w:val="21"/>
                      <w:highlight w:val="none"/>
                      <w:lang w:val="en-US" w:eastAsia="zh-CN"/>
                      <w14:textFill>
                        <w14:solidFill>
                          <w14:schemeClr w14:val="tx1"/>
                        </w14:solidFill>
                      </w14:textFill>
                    </w:rPr>
                    <w:t>本项目</w:t>
                  </w:r>
                  <w:r>
                    <w:rPr>
                      <w:rFonts w:hint="default" w:ascii="Times New Roman" w:hAnsi="Times New Roman" w:cs="Times New Roman"/>
                      <w:b/>
                      <w:bCs/>
                      <w:color w:val="000000" w:themeColor="text1"/>
                      <w:kern w:val="0"/>
                      <w:sz w:val="21"/>
                      <w:szCs w:val="21"/>
                      <w:highlight w:val="none"/>
                      <w14:textFill>
                        <w14:solidFill>
                          <w14:schemeClr w14:val="tx1"/>
                        </w14:solidFill>
                      </w14:textFill>
                    </w:rPr>
                    <w:t>排放速率</w:t>
                  </w:r>
                </w:p>
                <w:p w14:paraId="6CCA5FD9">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kern w:val="0"/>
                      <w:sz w:val="21"/>
                      <w:szCs w:val="21"/>
                      <w:highlight w:val="none"/>
                      <w14:textFill>
                        <w14:solidFill>
                          <w14:schemeClr w14:val="tx1"/>
                        </w14:solidFill>
                      </w14:textFill>
                    </w:rPr>
                    <w:t>kg/h</w:t>
                  </w:r>
                </w:p>
              </w:tc>
              <w:tc>
                <w:tcPr>
                  <w:tcW w:w="454" w:type="dxa"/>
                  <w:vMerge w:val="restart"/>
                  <w:tcBorders>
                    <w:tl2br w:val="nil"/>
                    <w:tr2bl w:val="nil"/>
                  </w:tcBorders>
                  <w:noWrap w:val="0"/>
                  <w:vAlign w:val="center"/>
                </w:tcPr>
                <w:p w14:paraId="4F540058">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kern w:val="0"/>
                      <w:sz w:val="21"/>
                      <w:szCs w:val="21"/>
                      <w:highlight w:val="none"/>
                      <w:lang w:val="en-US" w:eastAsia="zh-CN"/>
                      <w14:textFill>
                        <w14:solidFill>
                          <w14:schemeClr w14:val="tx1"/>
                        </w14:solidFill>
                      </w14:textFill>
                    </w:rPr>
                    <w:t>排放口类型</w:t>
                  </w:r>
                </w:p>
              </w:tc>
            </w:tr>
            <w:tr w14:paraId="52F7DCA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20" w:type="dxa"/>
                  <w:vMerge w:val="continue"/>
                  <w:tcBorders>
                    <w:tl2br w:val="nil"/>
                    <w:tr2bl w:val="nil"/>
                  </w:tcBorders>
                  <w:noWrap w:val="0"/>
                  <w:vAlign w:val="center"/>
                </w:tcPr>
                <w:p w14:paraId="59E8092C">
                  <w:pPr>
                    <w:pStyle w:val="25"/>
                    <w:keepNext w:val="0"/>
                    <w:keepLines w:val="0"/>
                    <w:suppressLineNumbers w:val="0"/>
                    <w:spacing w:before="0" w:beforeAutospacing="0" w:afterAutospacing="0"/>
                    <w:ind w:right="0"/>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1371" w:type="dxa"/>
                  <w:tcBorders>
                    <w:tl2br w:val="nil"/>
                    <w:tr2bl w:val="nil"/>
                  </w:tcBorders>
                  <w:noWrap w:val="0"/>
                  <w:vAlign w:val="center"/>
                </w:tcPr>
                <w:p w14:paraId="29C17489">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经度</w:t>
                  </w:r>
                </w:p>
              </w:tc>
              <w:tc>
                <w:tcPr>
                  <w:tcW w:w="1276" w:type="dxa"/>
                  <w:tcBorders>
                    <w:tl2br w:val="nil"/>
                    <w:tr2bl w:val="nil"/>
                  </w:tcBorders>
                  <w:noWrap w:val="0"/>
                  <w:vAlign w:val="center"/>
                </w:tcPr>
                <w:p w14:paraId="53C8224E">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纬度</w:t>
                  </w:r>
                </w:p>
              </w:tc>
              <w:tc>
                <w:tcPr>
                  <w:tcW w:w="491" w:type="dxa"/>
                  <w:vMerge w:val="continue"/>
                  <w:tcBorders>
                    <w:tl2br w:val="nil"/>
                    <w:tr2bl w:val="nil"/>
                  </w:tcBorders>
                  <w:noWrap w:val="0"/>
                  <w:vAlign w:val="center"/>
                </w:tcPr>
                <w:p w14:paraId="7D8FB6EC">
                  <w:pPr>
                    <w:pStyle w:val="25"/>
                    <w:keepNext w:val="0"/>
                    <w:keepLines w:val="0"/>
                    <w:suppressLineNumbers w:val="0"/>
                    <w:spacing w:before="0" w:beforeAutospacing="0" w:afterAutospacing="0"/>
                    <w:ind w:right="0"/>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514" w:type="dxa"/>
                  <w:vMerge w:val="continue"/>
                  <w:tcBorders>
                    <w:tl2br w:val="nil"/>
                    <w:tr2bl w:val="nil"/>
                  </w:tcBorders>
                  <w:noWrap w:val="0"/>
                  <w:vAlign w:val="center"/>
                </w:tcPr>
                <w:p w14:paraId="284797D7">
                  <w:pPr>
                    <w:pStyle w:val="25"/>
                    <w:keepNext w:val="0"/>
                    <w:keepLines w:val="0"/>
                    <w:suppressLineNumbers w:val="0"/>
                    <w:spacing w:before="0" w:beforeAutospacing="0" w:afterAutospacing="0"/>
                    <w:ind w:right="0"/>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502" w:type="dxa"/>
                  <w:vMerge w:val="continue"/>
                  <w:tcBorders>
                    <w:tl2br w:val="nil"/>
                    <w:tr2bl w:val="nil"/>
                  </w:tcBorders>
                  <w:noWrap w:val="0"/>
                  <w:vAlign w:val="center"/>
                </w:tcPr>
                <w:p w14:paraId="793D79A6">
                  <w:pPr>
                    <w:pStyle w:val="25"/>
                    <w:keepNext w:val="0"/>
                    <w:keepLines w:val="0"/>
                    <w:suppressLineNumbers w:val="0"/>
                    <w:spacing w:before="0" w:beforeAutospacing="0" w:afterAutospacing="0"/>
                    <w:ind w:right="0"/>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636" w:type="dxa"/>
                  <w:vMerge w:val="continue"/>
                  <w:tcBorders>
                    <w:tl2br w:val="nil"/>
                    <w:tr2bl w:val="nil"/>
                  </w:tcBorders>
                  <w:noWrap w:val="0"/>
                  <w:vAlign w:val="center"/>
                </w:tcPr>
                <w:p w14:paraId="451BADDD">
                  <w:pPr>
                    <w:pStyle w:val="25"/>
                    <w:keepNext w:val="0"/>
                    <w:keepLines w:val="0"/>
                    <w:suppressLineNumbers w:val="0"/>
                    <w:spacing w:before="0" w:beforeAutospacing="0" w:afterAutospacing="0"/>
                    <w:ind w:right="0"/>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454" w:type="dxa"/>
                  <w:vMerge w:val="continue"/>
                  <w:tcBorders>
                    <w:tl2br w:val="nil"/>
                    <w:tr2bl w:val="nil"/>
                  </w:tcBorders>
                  <w:noWrap w:val="0"/>
                  <w:vAlign w:val="center"/>
                </w:tcPr>
                <w:p w14:paraId="13A49A97">
                  <w:pPr>
                    <w:pStyle w:val="25"/>
                    <w:keepNext w:val="0"/>
                    <w:keepLines w:val="0"/>
                    <w:suppressLineNumbers w:val="0"/>
                    <w:spacing w:before="0" w:beforeAutospacing="0" w:afterAutospacing="0"/>
                    <w:ind w:right="0"/>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657" w:type="dxa"/>
                  <w:vMerge w:val="continue"/>
                  <w:tcBorders>
                    <w:tl2br w:val="nil"/>
                    <w:tr2bl w:val="nil"/>
                  </w:tcBorders>
                  <w:noWrap w:val="0"/>
                  <w:vAlign w:val="center"/>
                </w:tcPr>
                <w:p w14:paraId="409B8CEC">
                  <w:pPr>
                    <w:pStyle w:val="25"/>
                    <w:keepNext w:val="0"/>
                    <w:keepLines w:val="0"/>
                    <w:suppressLineNumbers w:val="0"/>
                    <w:spacing w:before="0" w:beforeAutospacing="0" w:afterAutospacing="0"/>
                    <w:ind w:right="0"/>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794" w:type="dxa"/>
                  <w:vMerge w:val="continue"/>
                  <w:tcBorders>
                    <w:tl2br w:val="nil"/>
                    <w:tr2bl w:val="nil"/>
                  </w:tcBorders>
                  <w:noWrap w:val="0"/>
                  <w:vAlign w:val="center"/>
                </w:tcPr>
                <w:p w14:paraId="3B77EAD3">
                  <w:pPr>
                    <w:pStyle w:val="25"/>
                    <w:keepNext w:val="0"/>
                    <w:keepLines w:val="0"/>
                    <w:suppressLineNumbers w:val="0"/>
                    <w:spacing w:before="0" w:beforeAutospacing="0" w:afterAutospacing="0"/>
                    <w:ind w:right="0"/>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454" w:type="dxa"/>
                  <w:vMerge w:val="continue"/>
                  <w:tcBorders>
                    <w:tl2br w:val="nil"/>
                    <w:tr2bl w:val="nil"/>
                  </w:tcBorders>
                  <w:noWrap w:val="0"/>
                  <w:vAlign w:val="center"/>
                </w:tcPr>
                <w:p w14:paraId="3E320FA1">
                  <w:pPr>
                    <w:pStyle w:val="25"/>
                    <w:keepNext w:val="0"/>
                    <w:keepLines w:val="0"/>
                    <w:suppressLineNumbers w:val="0"/>
                    <w:spacing w:before="0" w:beforeAutospacing="0" w:afterAutospacing="0"/>
                    <w:ind w:right="0"/>
                    <w:jc w:val="center"/>
                    <w:rPr>
                      <w:rFonts w:hint="default" w:ascii="Times New Roman" w:hAnsi="Times New Roman" w:cs="Times New Roman"/>
                      <w:color w:val="000000" w:themeColor="text1"/>
                      <w:sz w:val="21"/>
                      <w:szCs w:val="21"/>
                      <w:highlight w:val="none"/>
                      <w14:textFill>
                        <w14:solidFill>
                          <w14:schemeClr w14:val="tx1"/>
                        </w14:solidFill>
                      </w14:textFill>
                    </w:rPr>
                  </w:pPr>
                </w:p>
              </w:tc>
            </w:tr>
            <w:tr w14:paraId="1CF54BB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1320" w:type="dxa"/>
                  <w:vMerge w:val="restart"/>
                  <w:tcBorders>
                    <w:tl2br w:val="nil"/>
                    <w:tr2bl w:val="nil"/>
                  </w:tcBorders>
                  <w:noWrap w:val="0"/>
                  <w:vAlign w:val="center"/>
                </w:tcPr>
                <w:p w14:paraId="6297AB0A">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前处理炮制废气排放口</w:t>
                  </w:r>
                  <w:r>
                    <w:rPr>
                      <w:rFonts w:hint="eastAsia" w:eastAsia="宋体"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（DA0</w:t>
                  </w:r>
                  <w:r>
                    <w:rPr>
                      <w:rFonts w:hint="eastAsia" w:eastAsia="宋体" w:cs="Times New Roman"/>
                      <w:color w:val="000000" w:themeColor="text1"/>
                      <w:sz w:val="21"/>
                      <w:szCs w:val="21"/>
                      <w:highlight w:val="none"/>
                      <w:lang w:val="en-US" w:eastAsia="zh-CN"/>
                      <w14:textFill>
                        <w14:solidFill>
                          <w14:schemeClr w14:val="tx1"/>
                        </w14:solidFill>
                      </w14:textFill>
                    </w:rPr>
                    <w:t>16</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1371" w:type="dxa"/>
                  <w:vMerge w:val="restart"/>
                  <w:tcBorders>
                    <w:tl2br w:val="nil"/>
                    <w:tr2bl w:val="nil"/>
                  </w:tcBorders>
                  <w:noWrap w:val="0"/>
                  <w:vAlign w:val="center"/>
                </w:tcPr>
                <w:p w14:paraId="156D1899">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123.721075</w:t>
                  </w:r>
                </w:p>
              </w:tc>
              <w:tc>
                <w:tcPr>
                  <w:tcW w:w="1276" w:type="dxa"/>
                  <w:vMerge w:val="restart"/>
                  <w:tcBorders>
                    <w:tl2br w:val="nil"/>
                    <w:tr2bl w:val="nil"/>
                  </w:tcBorders>
                  <w:noWrap w:val="0"/>
                  <w:vAlign w:val="center"/>
                </w:tcPr>
                <w:p w14:paraId="695BE937">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41.464757</w:t>
                  </w:r>
                </w:p>
              </w:tc>
              <w:tc>
                <w:tcPr>
                  <w:tcW w:w="491" w:type="dxa"/>
                  <w:vMerge w:val="restart"/>
                  <w:tcBorders>
                    <w:tl2br w:val="nil"/>
                    <w:tr2bl w:val="nil"/>
                  </w:tcBorders>
                  <w:noWrap w:val="0"/>
                  <w:vAlign w:val="center"/>
                </w:tcPr>
                <w:p w14:paraId="38350380">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15</w:t>
                  </w:r>
                </w:p>
              </w:tc>
              <w:tc>
                <w:tcPr>
                  <w:tcW w:w="514" w:type="dxa"/>
                  <w:vMerge w:val="restart"/>
                  <w:tcBorders>
                    <w:tl2br w:val="nil"/>
                    <w:tr2bl w:val="nil"/>
                  </w:tcBorders>
                  <w:noWrap w:val="0"/>
                  <w:vAlign w:val="center"/>
                </w:tcPr>
                <w:p w14:paraId="51C4AC3D">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0.3</w:t>
                  </w:r>
                </w:p>
              </w:tc>
              <w:tc>
                <w:tcPr>
                  <w:tcW w:w="502" w:type="dxa"/>
                  <w:vMerge w:val="restart"/>
                  <w:tcBorders>
                    <w:tl2br w:val="nil"/>
                    <w:tr2bl w:val="nil"/>
                  </w:tcBorders>
                  <w:noWrap w:val="0"/>
                  <w:vAlign w:val="center"/>
                </w:tcPr>
                <w:p w14:paraId="5BBF9E67">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常温</w:t>
                  </w:r>
                </w:p>
              </w:tc>
              <w:tc>
                <w:tcPr>
                  <w:tcW w:w="636" w:type="dxa"/>
                  <w:vMerge w:val="restart"/>
                  <w:tcBorders>
                    <w:tl2br w:val="nil"/>
                    <w:tr2bl w:val="nil"/>
                  </w:tcBorders>
                  <w:noWrap w:val="0"/>
                  <w:vAlign w:val="center"/>
                </w:tcPr>
                <w:p w14:paraId="3E3D6B67">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3000</w:t>
                  </w:r>
                </w:p>
              </w:tc>
              <w:tc>
                <w:tcPr>
                  <w:tcW w:w="454" w:type="dxa"/>
                  <w:tcBorders>
                    <w:tl2br w:val="nil"/>
                    <w:tr2bl w:val="nil"/>
                  </w:tcBorders>
                  <w:noWrap w:val="0"/>
                  <w:vAlign w:val="center"/>
                </w:tcPr>
                <w:p w14:paraId="4E4525FB">
                  <w:pPr>
                    <w:pStyle w:val="25"/>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颗粒物</w:t>
                  </w:r>
                </w:p>
              </w:tc>
              <w:tc>
                <w:tcPr>
                  <w:tcW w:w="657" w:type="dxa"/>
                  <w:tcBorders>
                    <w:tl2br w:val="nil"/>
                    <w:tr2bl w:val="nil"/>
                  </w:tcBorders>
                  <w:noWrap w:val="0"/>
                  <w:vAlign w:val="center"/>
                </w:tcPr>
                <w:p w14:paraId="069BD66A">
                  <w:pPr>
                    <w:pStyle w:val="25"/>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kern w:val="2"/>
                      <w:sz w:val="21"/>
                      <w:szCs w:val="21"/>
                      <w:highlight w:val="none"/>
                      <w:lang w:val="en-US" w:eastAsia="zh-CN" w:bidi="ar"/>
                      <w14:textFill>
                        <w14:solidFill>
                          <w14:schemeClr w14:val="tx1"/>
                        </w14:solidFill>
                      </w14:textFill>
                    </w:rPr>
                    <w:t>/</w:t>
                  </w:r>
                </w:p>
              </w:tc>
              <w:tc>
                <w:tcPr>
                  <w:tcW w:w="794" w:type="dxa"/>
                  <w:tcBorders>
                    <w:tl2br w:val="nil"/>
                    <w:tr2bl w:val="nil"/>
                  </w:tcBorders>
                  <w:noWrap w:val="0"/>
                  <w:vAlign w:val="center"/>
                </w:tcPr>
                <w:p w14:paraId="169E8017">
                  <w:pPr>
                    <w:pStyle w:val="25"/>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0.0010</w:t>
                  </w:r>
                </w:p>
              </w:tc>
              <w:tc>
                <w:tcPr>
                  <w:tcW w:w="454" w:type="dxa"/>
                  <w:vMerge w:val="restart"/>
                  <w:tcBorders>
                    <w:tl2br w:val="nil"/>
                    <w:tr2bl w:val="nil"/>
                  </w:tcBorders>
                  <w:noWrap w:val="0"/>
                  <w:vAlign w:val="center"/>
                </w:tcPr>
                <w:p w14:paraId="52DED75B">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一般排放口</w:t>
                  </w:r>
                </w:p>
              </w:tc>
            </w:tr>
            <w:tr w14:paraId="4EFD6A9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74" w:hRule="atLeast"/>
              </w:trPr>
              <w:tc>
                <w:tcPr>
                  <w:tcW w:w="1320" w:type="dxa"/>
                  <w:vMerge w:val="continue"/>
                  <w:tcBorders>
                    <w:tl2br w:val="nil"/>
                    <w:tr2bl w:val="nil"/>
                  </w:tcBorders>
                  <w:noWrap w:val="0"/>
                  <w:vAlign w:val="center"/>
                </w:tcPr>
                <w:p w14:paraId="0180EDA1">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371" w:type="dxa"/>
                  <w:vMerge w:val="continue"/>
                  <w:tcBorders>
                    <w:tl2br w:val="nil"/>
                    <w:tr2bl w:val="nil"/>
                  </w:tcBorders>
                  <w:noWrap w:val="0"/>
                  <w:vAlign w:val="center"/>
                </w:tcPr>
                <w:p w14:paraId="32B33414">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276" w:type="dxa"/>
                  <w:vMerge w:val="continue"/>
                  <w:tcBorders>
                    <w:tl2br w:val="nil"/>
                    <w:tr2bl w:val="nil"/>
                  </w:tcBorders>
                  <w:noWrap w:val="0"/>
                  <w:vAlign w:val="center"/>
                </w:tcPr>
                <w:p w14:paraId="40773F73">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91" w:type="dxa"/>
                  <w:vMerge w:val="continue"/>
                  <w:tcBorders>
                    <w:tl2br w:val="nil"/>
                    <w:tr2bl w:val="nil"/>
                  </w:tcBorders>
                  <w:noWrap w:val="0"/>
                  <w:vAlign w:val="center"/>
                </w:tcPr>
                <w:p w14:paraId="7A454FF8">
                  <w:pPr>
                    <w:pStyle w:val="25"/>
                    <w:keepNext w:val="0"/>
                    <w:keepLines w:val="0"/>
                    <w:suppressLineNumbers w:val="0"/>
                    <w:adjustRightInd w:val="0"/>
                    <w:snapToGrid w:val="0"/>
                    <w:spacing w:before="0" w:beforeAutospacing="0" w:after="0" w:afterAutospacing="0" w:line="240" w:lineRule="auto"/>
                    <w:ind w:left="0" w:leftChars="0" w:right="0"/>
                    <w:jc w:val="center"/>
                    <w:rPr>
                      <w:rFonts w:hint="eastAsia" w:cs="Times New Roman"/>
                      <w:color w:val="000000" w:themeColor="text1"/>
                      <w:sz w:val="21"/>
                      <w:szCs w:val="21"/>
                      <w:highlight w:val="none"/>
                      <w:lang w:val="en-US" w:eastAsia="zh-CN"/>
                      <w14:textFill>
                        <w14:solidFill>
                          <w14:schemeClr w14:val="tx1"/>
                        </w14:solidFill>
                      </w14:textFill>
                    </w:rPr>
                  </w:pPr>
                </w:p>
              </w:tc>
              <w:tc>
                <w:tcPr>
                  <w:tcW w:w="514" w:type="dxa"/>
                  <w:vMerge w:val="continue"/>
                  <w:tcBorders>
                    <w:tl2br w:val="nil"/>
                    <w:tr2bl w:val="nil"/>
                  </w:tcBorders>
                  <w:noWrap w:val="0"/>
                  <w:vAlign w:val="center"/>
                </w:tcPr>
                <w:p w14:paraId="78CFD14A">
                  <w:pPr>
                    <w:pStyle w:val="25"/>
                    <w:keepNext w:val="0"/>
                    <w:keepLines w:val="0"/>
                    <w:suppressLineNumbers w:val="0"/>
                    <w:adjustRightInd w:val="0"/>
                    <w:snapToGrid w:val="0"/>
                    <w:spacing w:before="0" w:beforeAutospacing="0" w:after="0" w:afterAutospacing="0" w:line="240" w:lineRule="auto"/>
                    <w:ind w:left="0" w:leftChars="0" w:right="0"/>
                    <w:jc w:val="center"/>
                    <w:rPr>
                      <w:rFonts w:hint="eastAsia" w:cs="Times New Roman"/>
                      <w:color w:val="000000" w:themeColor="text1"/>
                      <w:sz w:val="21"/>
                      <w:szCs w:val="21"/>
                      <w:highlight w:val="none"/>
                      <w:lang w:val="en-US" w:eastAsia="zh-CN"/>
                      <w14:textFill>
                        <w14:solidFill>
                          <w14:schemeClr w14:val="tx1"/>
                        </w14:solidFill>
                      </w14:textFill>
                    </w:rPr>
                  </w:pPr>
                </w:p>
              </w:tc>
              <w:tc>
                <w:tcPr>
                  <w:tcW w:w="502" w:type="dxa"/>
                  <w:vMerge w:val="continue"/>
                  <w:tcBorders>
                    <w:tl2br w:val="nil"/>
                    <w:tr2bl w:val="nil"/>
                  </w:tcBorders>
                  <w:noWrap w:val="0"/>
                  <w:vAlign w:val="center"/>
                </w:tcPr>
                <w:p w14:paraId="5FC0428F">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tc>
              <w:tc>
                <w:tcPr>
                  <w:tcW w:w="636" w:type="dxa"/>
                  <w:vMerge w:val="continue"/>
                  <w:tcBorders>
                    <w:tl2br w:val="nil"/>
                    <w:tr2bl w:val="nil"/>
                  </w:tcBorders>
                  <w:noWrap w:val="0"/>
                  <w:vAlign w:val="center"/>
                </w:tcPr>
                <w:p w14:paraId="7056166B">
                  <w:pPr>
                    <w:pStyle w:val="25"/>
                    <w:keepNext w:val="0"/>
                    <w:keepLines w:val="0"/>
                    <w:suppressLineNumbers w:val="0"/>
                    <w:adjustRightInd w:val="0"/>
                    <w:snapToGrid w:val="0"/>
                    <w:spacing w:before="0" w:beforeAutospacing="0" w:after="0" w:afterAutospacing="0" w:line="240" w:lineRule="auto"/>
                    <w:ind w:left="0" w:leftChars="0" w:right="0"/>
                    <w:jc w:val="center"/>
                    <w:rPr>
                      <w:rFonts w:hint="eastAsia" w:cs="Times New Roman"/>
                      <w:color w:val="000000" w:themeColor="text1"/>
                      <w:sz w:val="21"/>
                      <w:szCs w:val="21"/>
                      <w:highlight w:val="none"/>
                      <w:lang w:val="en-US" w:eastAsia="zh-CN"/>
                      <w14:textFill>
                        <w14:solidFill>
                          <w14:schemeClr w14:val="tx1"/>
                        </w14:solidFill>
                      </w14:textFill>
                    </w:rPr>
                  </w:pPr>
                </w:p>
              </w:tc>
              <w:tc>
                <w:tcPr>
                  <w:tcW w:w="454" w:type="dxa"/>
                  <w:tcBorders>
                    <w:tl2br w:val="nil"/>
                    <w:tr2bl w:val="nil"/>
                  </w:tcBorders>
                  <w:noWrap w:val="0"/>
                  <w:vAlign w:val="center"/>
                </w:tcPr>
                <w:p w14:paraId="56EA18CE">
                  <w:pPr>
                    <w:pStyle w:val="25"/>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臭气浓度</w:t>
                  </w:r>
                </w:p>
              </w:tc>
              <w:tc>
                <w:tcPr>
                  <w:tcW w:w="657" w:type="dxa"/>
                  <w:tcBorders>
                    <w:tl2br w:val="nil"/>
                    <w:tr2bl w:val="nil"/>
                  </w:tcBorders>
                  <w:noWrap w:val="0"/>
                  <w:vAlign w:val="center"/>
                </w:tcPr>
                <w:p w14:paraId="79952C04">
                  <w:pPr>
                    <w:pStyle w:val="25"/>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kern w:val="2"/>
                      <w:sz w:val="21"/>
                      <w:szCs w:val="21"/>
                      <w:highlight w:val="none"/>
                      <w:lang w:val="en-US" w:eastAsia="zh-CN" w:bidi="ar"/>
                      <w14:textFill>
                        <w14:solidFill>
                          <w14:schemeClr w14:val="tx1"/>
                        </w14:solidFill>
                      </w14:textFill>
                    </w:rPr>
                    <w:t>/</w:t>
                  </w:r>
                </w:p>
              </w:tc>
              <w:tc>
                <w:tcPr>
                  <w:tcW w:w="794" w:type="dxa"/>
                  <w:tcBorders>
                    <w:tl2br w:val="nil"/>
                    <w:tr2bl w:val="nil"/>
                  </w:tcBorders>
                  <w:noWrap w:val="0"/>
                  <w:vAlign w:val="center"/>
                </w:tcPr>
                <w:p w14:paraId="5ADD0925">
                  <w:pPr>
                    <w:pStyle w:val="25"/>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default" w:cs="Times New Roman"/>
                      <w:color w:val="000000" w:themeColor="text1"/>
                      <w:kern w:val="2"/>
                      <w:sz w:val="21"/>
                      <w:szCs w:val="21"/>
                      <w:highlight w:val="none"/>
                      <w:lang w:val="en-US" w:eastAsia="zh-CN" w:bidi="ar"/>
                      <w14:textFill>
                        <w14:solidFill>
                          <w14:schemeClr w14:val="tx1"/>
                        </w14:solidFill>
                      </w14:textFill>
                    </w:rPr>
                  </w:pPr>
                  <w:r>
                    <w:rPr>
                      <w:rFonts w:hint="eastAsia" w:cs="Times New Roman"/>
                      <w:color w:val="000000" w:themeColor="text1"/>
                      <w:kern w:val="2"/>
                      <w:sz w:val="21"/>
                      <w:szCs w:val="21"/>
                      <w:highlight w:val="none"/>
                      <w:lang w:val="en-US" w:eastAsia="zh-CN" w:bidi="ar"/>
                      <w14:textFill>
                        <w14:solidFill>
                          <w14:schemeClr w14:val="tx1"/>
                        </w14:solidFill>
                      </w14:textFill>
                    </w:rPr>
                    <w:t>/</w:t>
                  </w:r>
                </w:p>
              </w:tc>
              <w:tc>
                <w:tcPr>
                  <w:tcW w:w="454" w:type="dxa"/>
                  <w:vMerge w:val="continue"/>
                  <w:tcBorders>
                    <w:tl2br w:val="nil"/>
                    <w:tr2bl w:val="nil"/>
                  </w:tcBorders>
                  <w:noWrap w:val="0"/>
                  <w:vAlign w:val="center"/>
                </w:tcPr>
                <w:p w14:paraId="3399705D">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tc>
            </w:tr>
            <w:tr w14:paraId="56D6F8A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84" w:hRule="atLeast"/>
              </w:trPr>
              <w:tc>
                <w:tcPr>
                  <w:tcW w:w="1320" w:type="dxa"/>
                  <w:tcBorders>
                    <w:tl2br w:val="nil"/>
                    <w:tr2bl w:val="nil"/>
                  </w:tcBorders>
                  <w:noWrap w:val="0"/>
                  <w:vAlign w:val="center"/>
                </w:tcPr>
                <w:p w14:paraId="1461109E">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前处理炮制废气排放口1</w:t>
                  </w:r>
                  <w:r>
                    <w:rPr>
                      <w:rFonts w:hint="default" w:ascii="Times New Roman" w:hAnsi="Times New Roman" w:eastAsia="宋体" w:cs="Times New Roman"/>
                      <w:color w:val="000000" w:themeColor="text1"/>
                      <w:sz w:val="21"/>
                      <w:szCs w:val="21"/>
                      <w:highlight w:val="none"/>
                      <w14:textFill>
                        <w14:solidFill>
                          <w14:schemeClr w14:val="tx1"/>
                        </w14:solidFill>
                      </w14:textFill>
                    </w:rPr>
                    <w:t>（DA0</w:t>
                  </w:r>
                  <w:r>
                    <w:rPr>
                      <w:rFonts w:hint="eastAsia" w:eastAsia="宋体" w:cs="Times New Roman"/>
                      <w:color w:val="000000" w:themeColor="text1"/>
                      <w:sz w:val="21"/>
                      <w:szCs w:val="21"/>
                      <w:highlight w:val="none"/>
                      <w:lang w:val="en-US" w:eastAsia="zh-CN"/>
                      <w14:textFill>
                        <w14:solidFill>
                          <w14:schemeClr w14:val="tx1"/>
                        </w14:solidFill>
                      </w14:textFill>
                    </w:rPr>
                    <w:t>02</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1371" w:type="dxa"/>
                  <w:tcBorders>
                    <w:tl2br w:val="nil"/>
                    <w:tr2bl w:val="nil"/>
                  </w:tcBorders>
                  <w:noWrap w:val="0"/>
                  <w:vAlign w:val="center"/>
                </w:tcPr>
                <w:p w14:paraId="5E2D5672">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123.720588</w:t>
                  </w:r>
                </w:p>
              </w:tc>
              <w:tc>
                <w:tcPr>
                  <w:tcW w:w="1276" w:type="dxa"/>
                  <w:tcBorders>
                    <w:tl2br w:val="nil"/>
                    <w:tr2bl w:val="nil"/>
                  </w:tcBorders>
                  <w:noWrap w:val="0"/>
                  <w:vAlign w:val="center"/>
                </w:tcPr>
                <w:p w14:paraId="549E5990">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41.464980</w:t>
                  </w:r>
                </w:p>
              </w:tc>
              <w:tc>
                <w:tcPr>
                  <w:tcW w:w="491" w:type="dxa"/>
                  <w:tcBorders>
                    <w:tl2br w:val="nil"/>
                    <w:tr2bl w:val="nil"/>
                  </w:tcBorders>
                  <w:noWrap w:val="0"/>
                  <w:vAlign w:val="center"/>
                </w:tcPr>
                <w:p w14:paraId="7CED85DF">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15</w:t>
                  </w:r>
                </w:p>
              </w:tc>
              <w:tc>
                <w:tcPr>
                  <w:tcW w:w="514" w:type="dxa"/>
                  <w:tcBorders>
                    <w:tl2br w:val="nil"/>
                    <w:tr2bl w:val="nil"/>
                  </w:tcBorders>
                  <w:noWrap w:val="0"/>
                  <w:vAlign w:val="center"/>
                </w:tcPr>
                <w:p w14:paraId="74B70021">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0.3</w:t>
                  </w:r>
                </w:p>
              </w:tc>
              <w:tc>
                <w:tcPr>
                  <w:tcW w:w="502" w:type="dxa"/>
                  <w:tcBorders>
                    <w:tl2br w:val="nil"/>
                    <w:tr2bl w:val="nil"/>
                  </w:tcBorders>
                  <w:noWrap w:val="0"/>
                  <w:vAlign w:val="center"/>
                </w:tcPr>
                <w:p w14:paraId="53F2A71D">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常温</w:t>
                  </w:r>
                </w:p>
              </w:tc>
              <w:tc>
                <w:tcPr>
                  <w:tcW w:w="636" w:type="dxa"/>
                  <w:tcBorders>
                    <w:tl2br w:val="nil"/>
                    <w:tr2bl w:val="nil"/>
                  </w:tcBorders>
                  <w:noWrap w:val="0"/>
                  <w:vAlign w:val="center"/>
                </w:tcPr>
                <w:p w14:paraId="78542523">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1000</w:t>
                  </w:r>
                </w:p>
              </w:tc>
              <w:tc>
                <w:tcPr>
                  <w:tcW w:w="454" w:type="dxa"/>
                  <w:tcBorders>
                    <w:tl2br w:val="nil"/>
                    <w:tr2bl w:val="nil"/>
                  </w:tcBorders>
                  <w:noWrap w:val="0"/>
                  <w:vAlign w:val="center"/>
                </w:tcPr>
                <w:p w14:paraId="26D9E57F">
                  <w:pPr>
                    <w:pStyle w:val="25"/>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eastAsia"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颗粒物</w:t>
                  </w:r>
                </w:p>
              </w:tc>
              <w:tc>
                <w:tcPr>
                  <w:tcW w:w="657" w:type="dxa"/>
                  <w:tcBorders>
                    <w:tl2br w:val="nil"/>
                    <w:tr2bl w:val="nil"/>
                  </w:tcBorders>
                  <w:noWrap w:val="0"/>
                  <w:vAlign w:val="center"/>
                </w:tcPr>
                <w:p w14:paraId="1013B1E4">
                  <w:pPr>
                    <w:pStyle w:val="25"/>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kern w:val="2"/>
                      <w:sz w:val="21"/>
                      <w:szCs w:val="21"/>
                      <w:highlight w:val="none"/>
                      <w:lang w:val="en-US" w:eastAsia="zh-CN" w:bidi="ar"/>
                      <w14:textFill>
                        <w14:solidFill>
                          <w14:schemeClr w14:val="tx1"/>
                        </w14:solidFill>
                      </w14:textFill>
                    </w:rPr>
                    <w:t>/</w:t>
                  </w:r>
                </w:p>
              </w:tc>
              <w:tc>
                <w:tcPr>
                  <w:tcW w:w="794" w:type="dxa"/>
                  <w:tcBorders>
                    <w:tl2br w:val="nil"/>
                    <w:tr2bl w:val="nil"/>
                  </w:tcBorders>
                  <w:noWrap w:val="0"/>
                  <w:vAlign w:val="center"/>
                </w:tcPr>
                <w:p w14:paraId="131F00BE">
                  <w:pPr>
                    <w:pStyle w:val="25"/>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default" w:cs="Times New Roman"/>
                      <w:color w:val="000000" w:themeColor="text1"/>
                      <w:kern w:val="2"/>
                      <w:sz w:val="21"/>
                      <w:szCs w:val="21"/>
                      <w:highlight w:val="none"/>
                      <w:lang w:val="en-US" w:eastAsia="zh-CN" w:bidi="ar"/>
                      <w14:textFill>
                        <w14:solidFill>
                          <w14:schemeClr w14:val="tx1"/>
                        </w14:solidFill>
                      </w14:textFill>
                    </w:rPr>
                  </w:pPr>
                  <w:r>
                    <w:rPr>
                      <w:rFonts w:hint="eastAsia" w:cs="Times New Roman"/>
                      <w:color w:val="000000" w:themeColor="text1"/>
                      <w:kern w:val="2"/>
                      <w:sz w:val="21"/>
                      <w:szCs w:val="21"/>
                      <w:highlight w:val="none"/>
                      <w:lang w:val="en-US" w:eastAsia="zh-CN" w:bidi="ar"/>
                      <w14:textFill>
                        <w14:solidFill>
                          <w14:schemeClr w14:val="tx1"/>
                        </w14:solidFill>
                      </w14:textFill>
                    </w:rPr>
                    <w:t>0.0003</w:t>
                  </w:r>
                </w:p>
              </w:tc>
              <w:tc>
                <w:tcPr>
                  <w:tcW w:w="454" w:type="dxa"/>
                  <w:tcBorders>
                    <w:tl2br w:val="nil"/>
                    <w:tr2bl w:val="nil"/>
                  </w:tcBorders>
                  <w:noWrap w:val="0"/>
                  <w:vAlign w:val="center"/>
                </w:tcPr>
                <w:p w14:paraId="48DE1701">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一般排放口</w:t>
                  </w:r>
                </w:p>
              </w:tc>
            </w:tr>
            <w:tr w14:paraId="048AC57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84" w:hRule="atLeast"/>
              </w:trPr>
              <w:tc>
                <w:tcPr>
                  <w:tcW w:w="1320" w:type="dxa"/>
                  <w:tcBorders>
                    <w:tl2br w:val="nil"/>
                    <w:tr2bl w:val="nil"/>
                  </w:tcBorders>
                  <w:noWrap w:val="0"/>
                  <w:vAlign w:val="center"/>
                </w:tcPr>
                <w:p w14:paraId="1E76AA8F">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创新制剂</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废气排放口</w:t>
                  </w:r>
                  <w:r>
                    <w:rPr>
                      <w:rFonts w:hint="default" w:ascii="Times New Roman" w:hAnsi="Times New Roman" w:eastAsia="宋体" w:cs="Times New Roman"/>
                      <w:color w:val="000000" w:themeColor="text1"/>
                      <w:sz w:val="21"/>
                      <w:szCs w:val="21"/>
                      <w:highlight w:val="none"/>
                      <w14:textFill>
                        <w14:solidFill>
                          <w14:schemeClr w14:val="tx1"/>
                        </w14:solidFill>
                      </w14:textFill>
                    </w:rPr>
                    <w:t>（DA00</w:t>
                  </w:r>
                  <w:r>
                    <w:rPr>
                      <w:rFonts w:hint="eastAsia"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1371" w:type="dxa"/>
                  <w:tcBorders>
                    <w:tl2br w:val="nil"/>
                    <w:tr2bl w:val="nil"/>
                  </w:tcBorders>
                  <w:noWrap w:val="0"/>
                  <w:vAlign w:val="center"/>
                </w:tcPr>
                <w:p w14:paraId="2EF45A9F">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123.720730</w:t>
                  </w:r>
                </w:p>
              </w:tc>
              <w:tc>
                <w:tcPr>
                  <w:tcW w:w="1276" w:type="dxa"/>
                  <w:tcBorders>
                    <w:tl2br w:val="nil"/>
                    <w:tr2bl w:val="nil"/>
                  </w:tcBorders>
                  <w:noWrap w:val="0"/>
                  <w:vAlign w:val="center"/>
                </w:tcPr>
                <w:p w14:paraId="1799B8D7">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41.463361</w:t>
                  </w:r>
                </w:p>
              </w:tc>
              <w:tc>
                <w:tcPr>
                  <w:tcW w:w="491" w:type="dxa"/>
                  <w:tcBorders>
                    <w:tl2br w:val="nil"/>
                    <w:tr2bl w:val="nil"/>
                  </w:tcBorders>
                  <w:noWrap w:val="0"/>
                  <w:vAlign w:val="center"/>
                </w:tcPr>
                <w:p w14:paraId="28948A58">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15</w:t>
                  </w:r>
                </w:p>
              </w:tc>
              <w:tc>
                <w:tcPr>
                  <w:tcW w:w="514" w:type="dxa"/>
                  <w:tcBorders>
                    <w:tl2br w:val="nil"/>
                    <w:tr2bl w:val="nil"/>
                  </w:tcBorders>
                  <w:noWrap w:val="0"/>
                  <w:vAlign w:val="center"/>
                </w:tcPr>
                <w:p w14:paraId="25ED13FF">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0.5</w:t>
                  </w:r>
                </w:p>
              </w:tc>
              <w:tc>
                <w:tcPr>
                  <w:tcW w:w="502" w:type="dxa"/>
                  <w:tcBorders>
                    <w:tl2br w:val="nil"/>
                    <w:tr2bl w:val="nil"/>
                  </w:tcBorders>
                  <w:noWrap w:val="0"/>
                  <w:vAlign w:val="center"/>
                </w:tcPr>
                <w:p w14:paraId="1E07E6D2">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常温</w:t>
                  </w:r>
                </w:p>
              </w:tc>
              <w:tc>
                <w:tcPr>
                  <w:tcW w:w="636" w:type="dxa"/>
                  <w:tcBorders>
                    <w:tl2br w:val="nil"/>
                    <w:tr2bl w:val="nil"/>
                  </w:tcBorders>
                  <w:noWrap w:val="0"/>
                  <w:vAlign w:val="center"/>
                </w:tcPr>
                <w:p w14:paraId="62EAC535">
                  <w:pPr>
                    <w:pStyle w:val="25"/>
                    <w:keepNext w:val="0"/>
                    <w:keepLines w:val="0"/>
                    <w:suppressLineNumbers w:val="0"/>
                    <w:adjustRightInd w:val="0"/>
                    <w:snapToGrid w:val="0"/>
                    <w:spacing w:before="0" w:beforeAutospacing="0" w:after="0" w:afterAutospacing="0" w:line="240" w:lineRule="auto"/>
                    <w:ind w:left="0" w:leftChars="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3000</w:t>
                  </w:r>
                </w:p>
              </w:tc>
              <w:tc>
                <w:tcPr>
                  <w:tcW w:w="454" w:type="dxa"/>
                  <w:tcBorders>
                    <w:tl2br w:val="nil"/>
                    <w:tr2bl w:val="nil"/>
                  </w:tcBorders>
                  <w:noWrap w:val="0"/>
                  <w:vAlign w:val="center"/>
                </w:tcPr>
                <w:p w14:paraId="13F859AA">
                  <w:pPr>
                    <w:pStyle w:val="25"/>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颗粒物</w:t>
                  </w:r>
                </w:p>
              </w:tc>
              <w:tc>
                <w:tcPr>
                  <w:tcW w:w="657" w:type="dxa"/>
                  <w:tcBorders>
                    <w:tl2br w:val="nil"/>
                    <w:tr2bl w:val="nil"/>
                  </w:tcBorders>
                  <w:noWrap w:val="0"/>
                  <w:vAlign w:val="center"/>
                </w:tcPr>
                <w:p w14:paraId="6CCF2992">
                  <w:pPr>
                    <w:pStyle w:val="25"/>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kern w:val="2"/>
                      <w:sz w:val="21"/>
                      <w:szCs w:val="21"/>
                      <w:highlight w:val="none"/>
                      <w:lang w:val="en-US" w:eastAsia="zh-CN" w:bidi="ar"/>
                      <w14:textFill>
                        <w14:solidFill>
                          <w14:schemeClr w14:val="tx1"/>
                        </w14:solidFill>
                      </w14:textFill>
                    </w:rPr>
                    <w:t>/</w:t>
                  </w:r>
                </w:p>
              </w:tc>
              <w:tc>
                <w:tcPr>
                  <w:tcW w:w="794" w:type="dxa"/>
                  <w:tcBorders>
                    <w:tl2br w:val="nil"/>
                    <w:tr2bl w:val="nil"/>
                  </w:tcBorders>
                  <w:noWrap w:val="0"/>
                  <w:vAlign w:val="center"/>
                </w:tcPr>
                <w:p w14:paraId="3E39F5D7">
                  <w:pPr>
                    <w:pStyle w:val="25"/>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0.0001</w:t>
                  </w:r>
                </w:p>
              </w:tc>
              <w:tc>
                <w:tcPr>
                  <w:tcW w:w="454" w:type="dxa"/>
                  <w:tcBorders>
                    <w:tl2br w:val="nil"/>
                    <w:tr2bl w:val="nil"/>
                  </w:tcBorders>
                  <w:noWrap w:val="0"/>
                  <w:vAlign w:val="center"/>
                </w:tcPr>
                <w:p w14:paraId="16B27389">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一般排放口</w:t>
                  </w:r>
                </w:p>
              </w:tc>
            </w:tr>
            <w:tr w14:paraId="525DBEA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84" w:hRule="atLeast"/>
              </w:trPr>
              <w:tc>
                <w:tcPr>
                  <w:tcW w:w="1320" w:type="dxa"/>
                  <w:tcBorders>
                    <w:tl2br w:val="nil"/>
                    <w:tr2bl w:val="nil"/>
                  </w:tcBorders>
                  <w:shd w:val="clear" w:color="auto" w:fill="auto"/>
                  <w:noWrap w:val="0"/>
                  <w:vAlign w:val="center"/>
                </w:tcPr>
                <w:p w14:paraId="4F815C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highlight w:val="none"/>
                      <w14:textFill>
                        <w14:solidFill>
                          <w14:schemeClr w14:val="tx1"/>
                        </w14:solidFill>
                      </w14:textFill>
                    </w:rPr>
                    <w:t>（DA00</w:t>
                  </w:r>
                  <w:r>
                    <w:rPr>
                      <w:rFonts w:hint="eastAsia" w:cs="Times New Roman"/>
                      <w:color w:val="000000" w:themeColor="text1"/>
                      <w:sz w:val="21"/>
                      <w:szCs w:val="21"/>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1371" w:type="dxa"/>
                  <w:tcBorders>
                    <w:tl2br w:val="nil"/>
                    <w:tr2bl w:val="nil"/>
                  </w:tcBorders>
                  <w:noWrap w:val="0"/>
                  <w:vAlign w:val="center"/>
                </w:tcPr>
                <w:p w14:paraId="06EE8934">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123.720738</w:t>
                  </w:r>
                </w:p>
              </w:tc>
              <w:tc>
                <w:tcPr>
                  <w:tcW w:w="1276" w:type="dxa"/>
                  <w:tcBorders>
                    <w:tl2br w:val="nil"/>
                    <w:tr2bl w:val="nil"/>
                  </w:tcBorders>
                  <w:noWrap w:val="0"/>
                  <w:vAlign w:val="center"/>
                </w:tcPr>
                <w:p w14:paraId="3E705325">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41.463269</w:t>
                  </w:r>
                </w:p>
              </w:tc>
              <w:tc>
                <w:tcPr>
                  <w:tcW w:w="491" w:type="dxa"/>
                  <w:tcBorders>
                    <w:tl2br w:val="nil"/>
                    <w:tr2bl w:val="nil"/>
                  </w:tcBorders>
                  <w:noWrap w:val="0"/>
                  <w:vAlign w:val="center"/>
                </w:tcPr>
                <w:p w14:paraId="6B52CA76">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15</w:t>
                  </w:r>
                </w:p>
              </w:tc>
              <w:tc>
                <w:tcPr>
                  <w:tcW w:w="514" w:type="dxa"/>
                  <w:tcBorders>
                    <w:tl2br w:val="nil"/>
                    <w:tr2bl w:val="nil"/>
                  </w:tcBorders>
                  <w:noWrap w:val="0"/>
                  <w:vAlign w:val="center"/>
                </w:tcPr>
                <w:p w14:paraId="210200D8">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0.5</w:t>
                  </w:r>
                </w:p>
              </w:tc>
              <w:tc>
                <w:tcPr>
                  <w:tcW w:w="502" w:type="dxa"/>
                  <w:tcBorders>
                    <w:tl2br w:val="nil"/>
                    <w:tr2bl w:val="nil"/>
                  </w:tcBorders>
                  <w:noWrap w:val="0"/>
                  <w:vAlign w:val="center"/>
                </w:tcPr>
                <w:p w14:paraId="70F94CFD">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常温</w:t>
                  </w:r>
                </w:p>
              </w:tc>
              <w:tc>
                <w:tcPr>
                  <w:tcW w:w="636" w:type="dxa"/>
                  <w:tcBorders>
                    <w:tl2br w:val="nil"/>
                    <w:tr2bl w:val="nil"/>
                  </w:tcBorders>
                  <w:noWrap w:val="0"/>
                  <w:vAlign w:val="center"/>
                </w:tcPr>
                <w:p w14:paraId="39FF1F6C">
                  <w:pPr>
                    <w:pStyle w:val="25"/>
                    <w:keepNext w:val="0"/>
                    <w:keepLines w:val="0"/>
                    <w:suppressLineNumbers w:val="0"/>
                    <w:adjustRightInd w:val="0"/>
                    <w:snapToGrid w:val="0"/>
                    <w:spacing w:before="0" w:beforeAutospacing="0" w:after="0" w:afterAutospacing="0" w:line="240" w:lineRule="auto"/>
                    <w:ind w:left="0" w:leftChars="0" w:right="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4000</w:t>
                  </w:r>
                </w:p>
              </w:tc>
              <w:tc>
                <w:tcPr>
                  <w:tcW w:w="454" w:type="dxa"/>
                  <w:tcBorders>
                    <w:tl2br w:val="nil"/>
                    <w:tr2bl w:val="nil"/>
                  </w:tcBorders>
                  <w:noWrap w:val="0"/>
                  <w:vAlign w:val="center"/>
                </w:tcPr>
                <w:p w14:paraId="4E3E4F8C">
                  <w:pPr>
                    <w:pStyle w:val="25"/>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颗粒物</w:t>
                  </w:r>
                </w:p>
              </w:tc>
              <w:tc>
                <w:tcPr>
                  <w:tcW w:w="657" w:type="dxa"/>
                  <w:tcBorders>
                    <w:tl2br w:val="nil"/>
                    <w:tr2bl w:val="nil"/>
                  </w:tcBorders>
                  <w:noWrap w:val="0"/>
                  <w:vAlign w:val="center"/>
                </w:tcPr>
                <w:p w14:paraId="0345F230">
                  <w:pPr>
                    <w:pStyle w:val="25"/>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0.0142</w:t>
                  </w:r>
                </w:p>
              </w:tc>
              <w:tc>
                <w:tcPr>
                  <w:tcW w:w="794" w:type="dxa"/>
                  <w:vMerge w:val="restart"/>
                  <w:tcBorders>
                    <w:tl2br w:val="nil"/>
                    <w:tr2bl w:val="nil"/>
                  </w:tcBorders>
                  <w:noWrap w:val="0"/>
                  <w:vAlign w:val="center"/>
                </w:tcPr>
                <w:p w14:paraId="78A2428D">
                  <w:pPr>
                    <w:pStyle w:val="25"/>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eastAsia="宋体"/>
                      <w:color w:val="000000" w:themeColor="text1"/>
                      <w:sz w:val="21"/>
                      <w:szCs w:val="21"/>
                      <w:highlight w:val="none"/>
                      <w:lang w:val="en-US" w:eastAsia="zh-CN"/>
                      <w14:textFill>
                        <w14:solidFill>
                          <w14:schemeClr w14:val="tx1"/>
                        </w14:solidFill>
                      </w14:textFill>
                    </w:rPr>
                    <w:t>0.0011</w:t>
                  </w:r>
                </w:p>
              </w:tc>
              <w:tc>
                <w:tcPr>
                  <w:tcW w:w="454" w:type="dxa"/>
                  <w:tcBorders>
                    <w:tl2br w:val="nil"/>
                    <w:tr2bl w:val="nil"/>
                  </w:tcBorders>
                  <w:noWrap w:val="0"/>
                  <w:vAlign w:val="center"/>
                </w:tcPr>
                <w:p w14:paraId="46BD55FA">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一般排放口</w:t>
                  </w:r>
                </w:p>
              </w:tc>
            </w:tr>
            <w:tr w14:paraId="22F302B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84" w:hRule="atLeast"/>
              </w:trPr>
              <w:tc>
                <w:tcPr>
                  <w:tcW w:w="1320" w:type="dxa"/>
                  <w:tcBorders>
                    <w:tl2br w:val="nil"/>
                    <w:tr2bl w:val="nil"/>
                  </w:tcBorders>
                  <w:shd w:val="clear" w:color="auto" w:fill="auto"/>
                  <w:noWrap w:val="0"/>
                  <w:vAlign w:val="center"/>
                </w:tcPr>
                <w:p w14:paraId="731F26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（DA00</w:t>
                  </w:r>
                  <w:r>
                    <w:rPr>
                      <w:rFonts w:hint="eastAsia" w:cs="Times New Roman"/>
                      <w:color w:val="000000" w:themeColor="text1"/>
                      <w:sz w:val="21"/>
                      <w:szCs w:val="21"/>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1371" w:type="dxa"/>
                  <w:tcBorders>
                    <w:tl2br w:val="nil"/>
                    <w:tr2bl w:val="nil"/>
                  </w:tcBorders>
                  <w:noWrap w:val="0"/>
                  <w:vAlign w:val="center"/>
                </w:tcPr>
                <w:p w14:paraId="099E7B22">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123.720761</w:t>
                  </w:r>
                </w:p>
              </w:tc>
              <w:tc>
                <w:tcPr>
                  <w:tcW w:w="1276" w:type="dxa"/>
                  <w:tcBorders>
                    <w:tl2br w:val="nil"/>
                    <w:tr2bl w:val="nil"/>
                  </w:tcBorders>
                  <w:noWrap w:val="0"/>
                  <w:vAlign w:val="center"/>
                </w:tcPr>
                <w:p w14:paraId="4B78D206">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41.463161</w:t>
                  </w:r>
                </w:p>
              </w:tc>
              <w:tc>
                <w:tcPr>
                  <w:tcW w:w="491" w:type="dxa"/>
                  <w:tcBorders>
                    <w:tl2br w:val="nil"/>
                    <w:tr2bl w:val="nil"/>
                  </w:tcBorders>
                  <w:noWrap w:val="0"/>
                  <w:vAlign w:val="center"/>
                </w:tcPr>
                <w:p w14:paraId="0E3B18E7">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15</w:t>
                  </w:r>
                </w:p>
              </w:tc>
              <w:tc>
                <w:tcPr>
                  <w:tcW w:w="514" w:type="dxa"/>
                  <w:tcBorders>
                    <w:tl2br w:val="nil"/>
                    <w:tr2bl w:val="nil"/>
                  </w:tcBorders>
                  <w:noWrap w:val="0"/>
                  <w:vAlign w:val="center"/>
                </w:tcPr>
                <w:p w14:paraId="2D4C79CE">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0.5</w:t>
                  </w:r>
                </w:p>
              </w:tc>
              <w:tc>
                <w:tcPr>
                  <w:tcW w:w="502" w:type="dxa"/>
                  <w:tcBorders>
                    <w:tl2br w:val="nil"/>
                    <w:tr2bl w:val="nil"/>
                  </w:tcBorders>
                  <w:noWrap w:val="0"/>
                  <w:vAlign w:val="center"/>
                </w:tcPr>
                <w:p w14:paraId="21521DC7">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常温</w:t>
                  </w:r>
                </w:p>
              </w:tc>
              <w:tc>
                <w:tcPr>
                  <w:tcW w:w="636" w:type="dxa"/>
                  <w:tcBorders>
                    <w:tl2br w:val="nil"/>
                    <w:tr2bl w:val="nil"/>
                  </w:tcBorders>
                  <w:noWrap w:val="0"/>
                  <w:vAlign w:val="center"/>
                </w:tcPr>
                <w:p w14:paraId="751A0D6E">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4000</w:t>
                  </w:r>
                </w:p>
              </w:tc>
              <w:tc>
                <w:tcPr>
                  <w:tcW w:w="454" w:type="dxa"/>
                  <w:tcBorders>
                    <w:tl2br w:val="nil"/>
                    <w:tr2bl w:val="nil"/>
                  </w:tcBorders>
                  <w:noWrap w:val="0"/>
                  <w:vAlign w:val="center"/>
                </w:tcPr>
                <w:p w14:paraId="0510F8FE">
                  <w:pPr>
                    <w:pStyle w:val="25"/>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颗粒物</w:t>
                  </w:r>
                </w:p>
              </w:tc>
              <w:tc>
                <w:tcPr>
                  <w:tcW w:w="657" w:type="dxa"/>
                  <w:tcBorders>
                    <w:tl2br w:val="nil"/>
                    <w:tr2bl w:val="nil"/>
                  </w:tcBorders>
                  <w:noWrap w:val="0"/>
                  <w:vAlign w:val="center"/>
                </w:tcPr>
                <w:p w14:paraId="374EA148">
                  <w:pPr>
                    <w:pStyle w:val="25"/>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0.0094</w:t>
                  </w:r>
                </w:p>
              </w:tc>
              <w:tc>
                <w:tcPr>
                  <w:tcW w:w="794" w:type="dxa"/>
                  <w:vMerge w:val="continue"/>
                  <w:tcBorders>
                    <w:tl2br w:val="nil"/>
                    <w:tr2bl w:val="nil"/>
                  </w:tcBorders>
                  <w:noWrap w:val="0"/>
                  <w:vAlign w:val="center"/>
                </w:tcPr>
                <w:p w14:paraId="13AC9E7A">
                  <w:pPr>
                    <w:pStyle w:val="25"/>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c>
                <w:tcPr>
                  <w:tcW w:w="454" w:type="dxa"/>
                  <w:tcBorders>
                    <w:tl2br w:val="nil"/>
                    <w:tr2bl w:val="nil"/>
                  </w:tcBorders>
                  <w:noWrap w:val="0"/>
                  <w:vAlign w:val="center"/>
                </w:tcPr>
                <w:p w14:paraId="480F3D36">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一般排放口</w:t>
                  </w:r>
                </w:p>
              </w:tc>
            </w:tr>
            <w:tr w14:paraId="3B48057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84" w:hRule="atLeast"/>
              </w:trPr>
              <w:tc>
                <w:tcPr>
                  <w:tcW w:w="1320" w:type="dxa"/>
                  <w:tcBorders>
                    <w:tl2br w:val="nil"/>
                    <w:tr2bl w:val="nil"/>
                  </w:tcBorders>
                  <w:shd w:val="clear" w:color="auto" w:fill="auto"/>
                  <w:noWrap w:val="0"/>
                  <w:vAlign w:val="center"/>
                </w:tcPr>
                <w:p w14:paraId="62BC74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14:textFill>
                        <w14:solidFill>
                          <w14:schemeClr w14:val="tx1"/>
                        </w14:solidFill>
                      </w14:textFill>
                    </w:rPr>
                    <w:t>（DA00</w:t>
                  </w:r>
                  <w:r>
                    <w:rPr>
                      <w:rFonts w:hint="eastAsia" w:cs="Times New Roman"/>
                      <w:color w:val="000000" w:themeColor="text1"/>
                      <w:sz w:val="21"/>
                      <w:szCs w:val="21"/>
                      <w:highlight w:val="none"/>
                      <w:lang w:val="en-US" w:eastAsia="zh-CN"/>
                      <w14:textFill>
                        <w14:solidFill>
                          <w14:schemeClr w14:val="tx1"/>
                        </w14:solidFill>
                      </w14:textFill>
                    </w:rPr>
                    <w:t>8</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1371" w:type="dxa"/>
                  <w:tcBorders>
                    <w:tl2br w:val="nil"/>
                    <w:tr2bl w:val="nil"/>
                  </w:tcBorders>
                  <w:noWrap w:val="0"/>
                  <w:vAlign w:val="center"/>
                </w:tcPr>
                <w:p w14:paraId="26F7C50B">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123.720761</w:t>
                  </w:r>
                </w:p>
              </w:tc>
              <w:tc>
                <w:tcPr>
                  <w:tcW w:w="1276" w:type="dxa"/>
                  <w:tcBorders>
                    <w:tl2br w:val="nil"/>
                    <w:tr2bl w:val="nil"/>
                  </w:tcBorders>
                  <w:noWrap w:val="0"/>
                  <w:vAlign w:val="center"/>
                </w:tcPr>
                <w:p w14:paraId="6BBE2A84">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41.463138</w:t>
                  </w:r>
                </w:p>
              </w:tc>
              <w:tc>
                <w:tcPr>
                  <w:tcW w:w="491" w:type="dxa"/>
                  <w:tcBorders>
                    <w:tl2br w:val="nil"/>
                    <w:tr2bl w:val="nil"/>
                  </w:tcBorders>
                  <w:noWrap w:val="0"/>
                  <w:vAlign w:val="center"/>
                </w:tcPr>
                <w:p w14:paraId="09BB4178">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15</w:t>
                  </w:r>
                </w:p>
              </w:tc>
              <w:tc>
                <w:tcPr>
                  <w:tcW w:w="514" w:type="dxa"/>
                  <w:tcBorders>
                    <w:tl2br w:val="nil"/>
                    <w:tr2bl w:val="nil"/>
                  </w:tcBorders>
                  <w:noWrap w:val="0"/>
                  <w:vAlign w:val="center"/>
                </w:tcPr>
                <w:p w14:paraId="29B38E56">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0.5</w:t>
                  </w:r>
                </w:p>
              </w:tc>
              <w:tc>
                <w:tcPr>
                  <w:tcW w:w="502" w:type="dxa"/>
                  <w:tcBorders>
                    <w:tl2br w:val="nil"/>
                    <w:tr2bl w:val="nil"/>
                  </w:tcBorders>
                  <w:noWrap w:val="0"/>
                  <w:vAlign w:val="center"/>
                </w:tcPr>
                <w:p w14:paraId="0551CD22">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常温</w:t>
                  </w:r>
                </w:p>
              </w:tc>
              <w:tc>
                <w:tcPr>
                  <w:tcW w:w="636" w:type="dxa"/>
                  <w:tcBorders>
                    <w:tl2br w:val="nil"/>
                    <w:tr2bl w:val="nil"/>
                  </w:tcBorders>
                  <w:noWrap w:val="0"/>
                  <w:vAlign w:val="center"/>
                </w:tcPr>
                <w:p w14:paraId="5B4B36D3">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4000</w:t>
                  </w:r>
                </w:p>
              </w:tc>
              <w:tc>
                <w:tcPr>
                  <w:tcW w:w="454" w:type="dxa"/>
                  <w:tcBorders>
                    <w:tl2br w:val="nil"/>
                    <w:tr2bl w:val="nil"/>
                  </w:tcBorders>
                  <w:noWrap w:val="0"/>
                  <w:vAlign w:val="center"/>
                </w:tcPr>
                <w:p w14:paraId="192F5C06">
                  <w:pPr>
                    <w:pStyle w:val="25"/>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颗粒物</w:t>
                  </w:r>
                </w:p>
              </w:tc>
              <w:tc>
                <w:tcPr>
                  <w:tcW w:w="657" w:type="dxa"/>
                  <w:tcBorders>
                    <w:tl2br w:val="nil"/>
                    <w:tr2bl w:val="nil"/>
                  </w:tcBorders>
                  <w:noWrap w:val="0"/>
                  <w:vAlign w:val="center"/>
                </w:tcPr>
                <w:p w14:paraId="045EE0C1">
                  <w:pPr>
                    <w:pStyle w:val="25"/>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0.0081</w:t>
                  </w:r>
                </w:p>
              </w:tc>
              <w:tc>
                <w:tcPr>
                  <w:tcW w:w="794" w:type="dxa"/>
                  <w:vMerge w:val="continue"/>
                  <w:tcBorders>
                    <w:tl2br w:val="nil"/>
                    <w:tr2bl w:val="nil"/>
                  </w:tcBorders>
                  <w:noWrap w:val="0"/>
                  <w:vAlign w:val="center"/>
                </w:tcPr>
                <w:p w14:paraId="055225EC">
                  <w:pPr>
                    <w:pStyle w:val="25"/>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c>
                <w:tcPr>
                  <w:tcW w:w="454" w:type="dxa"/>
                  <w:tcBorders>
                    <w:tl2br w:val="nil"/>
                    <w:tr2bl w:val="nil"/>
                  </w:tcBorders>
                  <w:noWrap w:val="0"/>
                  <w:vAlign w:val="center"/>
                </w:tcPr>
                <w:p w14:paraId="3C003634">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一般排放口</w:t>
                  </w:r>
                </w:p>
              </w:tc>
            </w:tr>
            <w:tr w14:paraId="687F798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84" w:hRule="atLeast"/>
              </w:trPr>
              <w:tc>
                <w:tcPr>
                  <w:tcW w:w="1320" w:type="dxa"/>
                  <w:tcBorders>
                    <w:tl2br w:val="nil"/>
                    <w:tr2bl w:val="nil"/>
                  </w:tcBorders>
                  <w:shd w:val="clear" w:color="auto" w:fill="auto"/>
                  <w:noWrap w:val="0"/>
                  <w:vAlign w:val="center"/>
                </w:tcPr>
                <w:p w14:paraId="01E111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1"/>
                      <w:szCs w:val="21"/>
                      <w:highlight w:val="none"/>
                      <w14:textFill>
                        <w14:solidFill>
                          <w14:schemeClr w14:val="tx1"/>
                        </w14:solidFill>
                      </w14:textFill>
                    </w:rPr>
                    <w:t>（DA00</w:t>
                  </w:r>
                  <w:r>
                    <w:rPr>
                      <w:rFonts w:hint="eastAsia" w:cs="Times New Roman"/>
                      <w:color w:val="000000" w:themeColor="text1"/>
                      <w:sz w:val="21"/>
                      <w:szCs w:val="21"/>
                      <w:highlight w:val="none"/>
                      <w:lang w:val="en-US" w:eastAsia="zh-CN"/>
                      <w14:textFill>
                        <w14:solidFill>
                          <w14:schemeClr w14:val="tx1"/>
                        </w14:solidFill>
                      </w14:textFill>
                    </w:rPr>
                    <w:t>9</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1371" w:type="dxa"/>
                  <w:tcBorders>
                    <w:tl2br w:val="nil"/>
                    <w:tr2bl w:val="nil"/>
                  </w:tcBorders>
                  <w:noWrap w:val="0"/>
                  <w:vAlign w:val="center"/>
                </w:tcPr>
                <w:p w14:paraId="21DDB1C9">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123.720769</w:t>
                  </w:r>
                </w:p>
              </w:tc>
              <w:tc>
                <w:tcPr>
                  <w:tcW w:w="1276" w:type="dxa"/>
                  <w:tcBorders>
                    <w:tl2br w:val="nil"/>
                    <w:tr2bl w:val="nil"/>
                  </w:tcBorders>
                  <w:noWrap w:val="0"/>
                  <w:vAlign w:val="center"/>
                </w:tcPr>
                <w:p w14:paraId="02931F23">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41.463069</w:t>
                  </w:r>
                </w:p>
              </w:tc>
              <w:tc>
                <w:tcPr>
                  <w:tcW w:w="491" w:type="dxa"/>
                  <w:tcBorders>
                    <w:tl2br w:val="nil"/>
                    <w:tr2bl w:val="nil"/>
                  </w:tcBorders>
                  <w:noWrap w:val="0"/>
                  <w:vAlign w:val="center"/>
                </w:tcPr>
                <w:p w14:paraId="64913F24">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15</w:t>
                  </w:r>
                </w:p>
              </w:tc>
              <w:tc>
                <w:tcPr>
                  <w:tcW w:w="514" w:type="dxa"/>
                  <w:tcBorders>
                    <w:tl2br w:val="nil"/>
                    <w:tr2bl w:val="nil"/>
                  </w:tcBorders>
                  <w:noWrap w:val="0"/>
                  <w:vAlign w:val="center"/>
                </w:tcPr>
                <w:p w14:paraId="4C80968A">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0.5</w:t>
                  </w:r>
                </w:p>
              </w:tc>
              <w:tc>
                <w:tcPr>
                  <w:tcW w:w="502" w:type="dxa"/>
                  <w:tcBorders>
                    <w:tl2br w:val="nil"/>
                    <w:tr2bl w:val="nil"/>
                  </w:tcBorders>
                  <w:noWrap w:val="0"/>
                  <w:vAlign w:val="center"/>
                </w:tcPr>
                <w:p w14:paraId="5AD0D990">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常温</w:t>
                  </w:r>
                </w:p>
              </w:tc>
              <w:tc>
                <w:tcPr>
                  <w:tcW w:w="636" w:type="dxa"/>
                  <w:tcBorders>
                    <w:tl2br w:val="nil"/>
                    <w:tr2bl w:val="nil"/>
                  </w:tcBorders>
                  <w:noWrap w:val="0"/>
                  <w:vAlign w:val="center"/>
                </w:tcPr>
                <w:p w14:paraId="56B9925D">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4000</w:t>
                  </w:r>
                </w:p>
              </w:tc>
              <w:tc>
                <w:tcPr>
                  <w:tcW w:w="454" w:type="dxa"/>
                  <w:tcBorders>
                    <w:tl2br w:val="nil"/>
                    <w:tr2bl w:val="nil"/>
                  </w:tcBorders>
                  <w:noWrap w:val="0"/>
                  <w:vAlign w:val="center"/>
                </w:tcPr>
                <w:p w14:paraId="19CEE7A0">
                  <w:pPr>
                    <w:pStyle w:val="25"/>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颗粒物</w:t>
                  </w:r>
                </w:p>
              </w:tc>
              <w:tc>
                <w:tcPr>
                  <w:tcW w:w="657" w:type="dxa"/>
                  <w:tcBorders>
                    <w:tl2br w:val="nil"/>
                    <w:tr2bl w:val="nil"/>
                  </w:tcBorders>
                  <w:noWrap w:val="0"/>
                  <w:vAlign w:val="center"/>
                </w:tcPr>
                <w:p w14:paraId="357669EA">
                  <w:pPr>
                    <w:pStyle w:val="25"/>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0.0182</w:t>
                  </w:r>
                </w:p>
              </w:tc>
              <w:tc>
                <w:tcPr>
                  <w:tcW w:w="794" w:type="dxa"/>
                  <w:vMerge w:val="continue"/>
                  <w:tcBorders>
                    <w:tl2br w:val="nil"/>
                    <w:tr2bl w:val="nil"/>
                  </w:tcBorders>
                  <w:noWrap w:val="0"/>
                  <w:vAlign w:val="center"/>
                </w:tcPr>
                <w:p w14:paraId="0EE52577">
                  <w:pPr>
                    <w:pStyle w:val="25"/>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c>
                <w:tcPr>
                  <w:tcW w:w="454" w:type="dxa"/>
                  <w:tcBorders>
                    <w:tl2br w:val="nil"/>
                    <w:tr2bl w:val="nil"/>
                  </w:tcBorders>
                  <w:noWrap w:val="0"/>
                  <w:vAlign w:val="center"/>
                </w:tcPr>
                <w:p w14:paraId="35BF2ED3">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一般排放口</w:t>
                  </w:r>
                </w:p>
              </w:tc>
            </w:tr>
            <w:tr w14:paraId="7E1F1EA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84" w:hRule="atLeast"/>
              </w:trPr>
              <w:tc>
                <w:tcPr>
                  <w:tcW w:w="1320" w:type="dxa"/>
                  <w:tcBorders>
                    <w:tl2br w:val="nil"/>
                    <w:tr2bl w:val="nil"/>
                  </w:tcBorders>
                  <w:shd w:val="clear" w:color="auto" w:fill="auto"/>
                  <w:noWrap w:val="0"/>
                  <w:vAlign w:val="center"/>
                </w:tcPr>
                <w:p w14:paraId="65A2B8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highlight w:val="none"/>
                      <w14:textFill>
                        <w14:solidFill>
                          <w14:schemeClr w14:val="tx1"/>
                        </w14:solidFill>
                      </w14:textFill>
                    </w:rPr>
                    <w:t>（DA0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10</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1371" w:type="dxa"/>
                  <w:tcBorders>
                    <w:tl2br w:val="nil"/>
                    <w:tr2bl w:val="nil"/>
                  </w:tcBorders>
                  <w:noWrap w:val="0"/>
                  <w:vAlign w:val="center"/>
                </w:tcPr>
                <w:p w14:paraId="4360506A">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123.720769</w:t>
                  </w:r>
                </w:p>
              </w:tc>
              <w:tc>
                <w:tcPr>
                  <w:tcW w:w="1276" w:type="dxa"/>
                  <w:tcBorders>
                    <w:tl2br w:val="nil"/>
                    <w:tr2bl w:val="nil"/>
                  </w:tcBorders>
                  <w:noWrap w:val="0"/>
                  <w:vAlign w:val="center"/>
                </w:tcPr>
                <w:p w14:paraId="2ADC8C86">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41.463000</w:t>
                  </w:r>
                </w:p>
              </w:tc>
              <w:tc>
                <w:tcPr>
                  <w:tcW w:w="491" w:type="dxa"/>
                  <w:tcBorders>
                    <w:tl2br w:val="nil"/>
                    <w:tr2bl w:val="nil"/>
                  </w:tcBorders>
                  <w:noWrap w:val="0"/>
                  <w:vAlign w:val="center"/>
                </w:tcPr>
                <w:p w14:paraId="7075E64F">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15</w:t>
                  </w:r>
                </w:p>
              </w:tc>
              <w:tc>
                <w:tcPr>
                  <w:tcW w:w="514" w:type="dxa"/>
                  <w:tcBorders>
                    <w:tl2br w:val="nil"/>
                    <w:tr2bl w:val="nil"/>
                  </w:tcBorders>
                  <w:noWrap w:val="0"/>
                  <w:vAlign w:val="center"/>
                </w:tcPr>
                <w:p w14:paraId="5B1BDC8B">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0.5</w:t>
                  </w:r>
                </w:p>
              </w:tc>
              <w:tc>
                <w:tcPr>
                  <w:tcW w:w="502" w:type="dxa"/>
                  <w:tcBorders>
                    <w:tl2br w:val="nil"/>
                    <w:tr2bl w:val="nil"/>
                  </w:tcBorders>
                  <w:noWrap w:val="0"/>
                  <w:vAlign w:val="center"/>
                </w:tcPr>
                <w:p w14:paraId="2ACE0206">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常温</w:t>
                  </w:r>
                </w:p>
              </w:tc>
              <w:tc>
                <w:tcPr>
                  <w:tcW w:w="636" w:type="dxa"/>
                  <w:tcBorders>
                    <w:tl2br w:val="nil"/>
                    <w:tr2bl w:val="nil"/>
                  </w:tcBorders>
                  <w:noWrap w:val="0"/>
                  <w:vAlign w:val="center"/>
                </w:tcPr>
                <w:p w14:paraId="4026E80E">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4000</w:t>
                  </w:r>
                </w:p>
              </w:tc>
              <w:tc>
                <w:tcPr>
                  <w:tcW w:w="454" w:type="dxa"/>
                  <w:tcBorders>
                    <w:tl2br w:val="nil"/>
                    <w:tr2bl w:val="nil"/>
                  </w:tcBorders>
                  <w:noWrap w:val="0"/>
                  <w:vAlign w:val="center"/>
                </w:tcPr>
                <w:p w14:paraId="78B29568">
                  <w:pPr>
                    <w:pStyle w:val="25"/>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颗粒物</w:t>
                  </w:r>
                </w:p>
              </w:tc>
              <w:tc>
                <w:tcPr>
                  <w:tcW w:w="657" w:type="dxa"/>
                  <w:tcBorders>
                    <w:tl2br w:val="nil"/>
                    <w:tr2bl w:val="nil"/>
                  </w:tcBorders>
                  <w:noWrap w:val="0"/>
                  <w:vAlign w:val="center"/>
                </w:tcPr>
                <w:p w14:paraId="3758710B">
                  <w:pPr>
                    <w:pStyle w:val="25"/>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0.0183</w:t>
                  </w:r>
                </w:p>
              </w:tc>
              <w:tc>
                <w:tcPr>
                  <w:tcW w:w="794" w:type="dxa"/>
                  <w:vMerge w:val="continue"/>
                  <w:tcBorders>
                    <w:tl2br w:val="nil"/>
                    <w:tr2bl w:val="nil"/>
                  </w:tcBorders>
                  <w:noWrap w:val="0"/>
                  <w:vAlign w:val="center"/>
                </w:tcPr>
                <w:p w14:paraId="46ECF8CE">
                  <w:pPr>
                    <w:pStyle w:val="25"/>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c>
                <w:tcPr>
                  <w:tcW w:w="454" w:type="dxa"/>
                  <w:tcBorders>
                    <w:tl2br w:val="nil"/>
                    <w:tr2bl w:val="nil"/>
                  </w:tcBorders>
                  <w:noWrap w:val="0"/>
                  <w:vAlign w:val="center"/>
                </w:tcPr>
                <w:p w14:paraId="455F58B5">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一般排放口</w:t>
                  </w:r>
                </w:p>
              </w:tc>
            </w:tr>
            <w:tr w14:paraId="55C1FC3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84" w:hRule="atLeast"/>
              </w:trPr>
              <w:tc>
                <w:tcPr>
                  <w:tcW w:w="1320" w:type="dxa"/>
                  <w:tcBorders>
                    <w:tl2br w:val="nil"/>
                    <w:tr2bl w:val="nil"/>
                  </w:tcBorders>
                  <w:shd w:val="clear" w:color="auto" w:fill="auto"/>
                  <w:noWrap w:val="0"/>
                  <w:vAlign w:val="center"/>
                </w:tcPr>
                <w:p w14:paraId="58D9B8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1"/>
                      <w:szCs w:val="21"/>
                      <w:highlight w:val="none"/>
                      <w14:textFill>
                        <w14:solidFill>
                          <w14:schemeClr w14:val="tx1"/>
                        </w14:solidFill>
                      </w14:textFill>
                    </w:rPr>
                    <w:t>（DA0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11</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1371" w:type="dxa"/>
                  <w:tcBorders>
                    <w:tl2br w:val="nil"/>
                    <w:tr2bl w:val="nil"/>
                  </w:tcBorders>
                  <w:noWrap w:val="0"/>
                  <w:vAlign w:val="center"/>
                </w:tcPr>
                <w:p w14:paraId="492A6D5E">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123.720780</w:t>
                  </w:r>
                </w:p>
              </w:tc>
              <w:tc>
                <w:tcPr>
                  <w:tcW w:w="1276" w:type="dxa"/>
                  <w:tcBorders>
                    <w:tl2br w:val="nil"/>
                    <w:tr2bl w:val="nil"/>
                  </w:tcBorders>
                  <w:noWrap w:val="0"/>
                  <w:vAlign w:val="center"/>
                </w:tcPr>
                <w:p w14:paraId="14874130">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41.462938</w:t>
                  </w:r>
                </w:p>
              </w:tc>
              <w:tc>
                <w:tcPr>
                  <w:tcW w:w="491" w:type="dxa"/>
                  <w:tcBorders>
                    <w:tl2br w:val="nil"/>
                    <w:tr2bl w:val="nil"/>
                  </w:tcBorders>
                  <w:noWrap w:val="0"/>
                  <w:vAlign w:val="center"/>
                </w:tcPr>
                <w:p w14:paraId="4EF8E258">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15</w:t>
                  </w:r>
                </w:p>
              </w:tc>
              <w:tc>
                <w:tcPr>
                  <w:tcW w:w="514" w:type="dxa"/>
                  <w:tcBorders>
                    <w:tl2br w:val="nil"/>
                    <w:tr2bl w:val="nil"/>
                  </w:tcBorders>
                  <w:noWrap w:val="0"/>
                  <w:vAlign w:val="center"/>
                </w:tcPr>
                <w:p w14:paraId="4F99A516">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0.5</w:t>
                  </w:r>
                </w:p>
              </w:tc>
              <w:tc>
                <w:tcPr>
                  <w:tcW w:w="502" w:type="dxa"/>
                  <w:tcBorders>
                    <w:tl2br w:val="nil"/>
                    <w:tr2bl w:val="nil"/>
                  </w:tcBorders>
                  <w:noWrap w:val="0"/>
                  <w:vAlign w:val="center"/>
                </w:tcPr>
                <w:p w14:paraId="177DCE4F">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常温</w:t>
                  </w:r>
                </w:p>
              </w:tc>
              <w:tc>
                <w:tcPr>
                  <w:tcW w:w="636" w:type="dxa"/>
                  <w:tcBorders>
                    <w:tl2br w:val="nil"/>
                    <w:tr2bl w:val="nil"/>
                  </w:tcBorders>
                  <w:noWrap w:val="0"/>
                  <w:vAlign w:val="center"/>
                </w:tcPr>
                <w:p w14:paraId="77EA591E">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4000</w:t>
                  </w:r>
                </w:p>
              </w:tc>
              <w:tc>
                <w:tcPr>
                  <w:tcW w:w="454" w:type="dxa"/>
                  <w:tcBorders>
                    <w:tl2br w:val="nil"/>
                    <w:tr2bl w:val="nil"/>
                  </w:tcBorders>
                  <w:noWrap w:val="0"/>
                  <w:vAlign w:val="center"/>
                </w:tcPr>
                <w:p w14:paraId="731A85B6">
                  <w:pPr>
                    <w:pStyle w:val="25"/>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颗粒物</w:t>
                  </w:r>
                </w:p>
              </w:tc>
              <w:tc>
                <w:tcPr>
                  <w:tcW w:w="657" w:type="dxa"/>
                  <w:tcBorders>
                    <w:tl2br w:val="nil"/>
                    <w:tr2bl w:val="nil"/>
                  </w:tcBorders>
                  <w:noWrap w:val="0"/>
                  <w:vAlign w:val="center"/>
                </w:tcPr>
                <w:p w14:paraId="1C29D514">
                  <w:pPr>
                    <w:pStyle w:val="25"/>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0.0091</w:t>
                  </w:r>
                </w:p>
              </w:tc>
              <w:tc>
                <w:tcPr>
                  <w:tcW w:w="794" w:type="dxa"/>
                  <w:vMerge w:val="continue"/>
                  <w:tcBorders>
                    <w:tl2br w:val="nil"/>
                    <w:tr2bl w:val="nil"/>
                  </w:tcBorders>
                  <w:noWrap w:val="0"/>
                  <w:vAlign w:val="center"/>
                </w:tcPr>
                <w:p w14:paraId="52959A22">
                  <w:pPr>
                    <w:pStyle w:val="25"/>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c>
                <w:tcPr>
                  <w:tcW w:w="454" w:type="dxa"/>
                  <w:tcBorders>
                    <w:tl2br w:val="nil"/>
                    <w:tr2bl w:val="nil"/>
                  </w:tcBorders>
                  <w:noWrap w:val="0"/>
                  <w:vAlign w:val="center"/>
                </w:tcPr>
                <w:p w14:paraId="62401066">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一般排放口</w:t>
                  </w:r>
                </w:p>
              </w:tc>
            </w:tr>
            <w:tr w14:paraId="63E0D58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84" w:hRule="atLeast"/>
              </w:trPr>
              <w:tc>
                <w:tcPr>
                  <w:tcW w:w="1320" w:type="dxa"/>
                  <w:tcBorders>
                    <w:tl2br w:val="nil"/>
                    <w:tr2bl w:val="nil"/>
                  </w:tcBorders>
                  <w:shd w:val="clear" w:color="auto" w:fill="auto"/>
                  <w:noWrap w:val="0"/>
                  <w:vAlign w:val="center"/>
                </w:tcPr>
                <w:p w14:paraId="5DE85A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z w:val="21"/>
                      <w:szCs w:val="21"/>
                      <w:highlight w:val="none"/>
                      <w14:textFill>
                        <w14:solidFill>
                          <w14:schemeClr w14:val="tx1"/>
                        </w14:solidFill>
                      </w14:textFill>
                    </w:rPr>
                    <w:t>（DA0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12</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1371" w:type="dxa"/>
                  <w:tcBorders>
                    <w:tl2br w:val="nil"/>
                    <w:tr2bl w:val="nil"/>
                  </w:tcBorders>
                  <w:noWrap w:val="0"/>
                  <w:vAlign w:val="center"/>
                </w:tcPr>
                <w:p w14:paraId="4E52FB1C">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123.720788</w:t>
                  </w:r>
                </w:p>
              </w:tc>
              <w:tc>
                <w:tcPr>
                  <w:tcW w:w="1276" w:type="dxa"/>
                  <w:tcBorders>
                    <w:tl2br w:val="nil"/>
                    <w:tr2bl w:val="nil"/>
                  </w:tcBorders>
                  <w:noWrap w:val="0"/>
                  <w:vAlign w:val="center"/>
                </w:tcPr>
                <w:p w14:paraId="0DF233AE">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41.462880</w:t>
                  </w:r>
                </w:p>
              </w:tc>
              <w:tc>
                <w:tcPr>
                  <w:tcW w:w="491" w:type="dxa"/>
                  <w:tcBorders>
                    <w:tl2br w:val="nil"/>
                    <w:tr2bl w:val="nil"/>
                  </w:tcBorders>
                  <w:noWrap w:val="0"/>
                  <w:vAlign w:val="center"/>
                </w:tcPr>
                <w:p w14:paraId="414AFEFA">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15</w:t>
                  </w:r>
                </w:p>
              </w:tc>
              <w:tc>
                <w:tcPr>
                  <w:tcW w:w="514" w:type="dxa"/>
                  <w:tcBorders>
                    <w:tl2br w:val="nil"/>
                    <w:tr2bl w:val="nil"/>
                  </w:tcBorders>
                  <w:noWrap w:val="0"/>
                  <w:vAlign w:val="center"/>
                </w:tcPr>
                <w:p w14:paraId="10B2B8BB">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0.5</w:t>
                  </w:r>
                </w:p>
              </w:tc>
              <w:tc>
                <w:tcPr>
                  <w:tcW w:w="502" w:type="dxa"/>
                  <w:tcBorders>
                    <w:tl2br w:val="nil"/>
                    <w:tr2bl w:val="nil"/>
                  </w:tcBorders>
                  <w:noWrap w:val="0"/>
                  <w:vAlign w:val="center"/>
                </w:tcPr>
                <w:p w14:paraId="5FFAC225">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常温</w:t>
                  </w:r>
                </w:p>
              </w:tc>
              <w:tc>
                <w:tcPr>
                  <w:tcW w:w="636" w:type="dxa"/>
                  <w:tcBorders>
                    <w:tl2br w:val="nil"/>
                    <w:tr2bl w:val="nil"/>
                  </w:tcBorders>
                  <w:noWrap w:val="0"/>
                  <w:vAlign w:val="center"/>
                </w:tcPr>
                <w:p w14:paraId="014BB203">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4000</w:t>
                  </w:r>
                </w:p>
              </w:tc>
              <w:tc>
                <w:tcPr>
                  <w:tcW w:w="454" w:type="dxa"/>
                  <w:tcBorders>
                    <w:tl2br w:val="nil"/>
                    <w:tr2bl w:val="nil"/>
                  </w:tcBorders>
                  <w:noWrap w:val="0"/>
                  <w:vAlign w:val="center"/>
                </w:tcPr>
                <w:p w14:paraId="7AB04B43">
                  <w:pPr>
                    <w:pStyle w:val="25"/>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颗粒物</w:t>
                  </w:r>
                </w:p>
              </w:tc>
              <w:tc>
                <w:tcPr>
                  <w:tcW w:w="657" w:type="dxa"/>
                  <w:tcBorders>
                    <w:tl2br w:val="nil"/>
                    <w:tr2bl w:val="nil"/>
                  </w:tcBorders>
                  <w:noWrap w:val="0"/>
                  <w:vAlign w:val="center"/>
                </w:tcPr>
                <w:p w14:paraId="371C2C0E">
                  <w:pPr>
                    <w:pStyle w:val="25"/>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0.0277</w:t>
                  </w:r>
                </w:p>
              </w:tc>
              <w:tc>
                <w:tcPr>
                  <w:tcW w:w="794" w:type="dxa"/>
                  <w:vMerge w:val="continue"/>
                  <w:tcBorders>
                    <w:tl2br w:val="nil"/>
                    <w:tr2bl w:val="nil"/>
                  </w:tcBorders>
                  <w:noWrap w:val="0"/>
                  <w:vAlign w:val="center"/>
                </w:tcPr>
                <w:p w14:paraId="2E546B70">
                  <w:pPr>
                    <w:pStyle w:val="25"/>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c>
                <w:tcPr>
                  <w:tcW w:w="454" w:type="dxa"/>
                  <w:tcBorders>
                    <w:tl2br w:val="nil"/>
                    <w:tr2bl w:val="nil"/>
                  </w:tcBorders>
                  <w:noWrap w:val="0"/>
                  <w:vAlign w:val="center"/>
                </w:tcPr>
                <w:p w14:paraId="14EDA422">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一般排放口</w:t>
                  </w:r>
                </w:p>
              </w:tc>
            </w:tr>
            <w:tr w14:paraId="5CF03F7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84" w:hRule="atLeast"/>
              </w:trPr>
              <w:tc>
                <w:tcPr>
                  <w:tcW w:w="1320" w:type="dxa"/>
                  <w:tcBorders>
                    <w:tl2br w:val="nil"/>
                    <w:tr2bl w:val="nil"/>
                  </w:tcBorders>
                  <w:shd w:val="clear" w:color="auto" w:fill="auto"/>
                  <w:noWrap w:val="0"/>
                  <w:vAlign w:val="center"/>
                </w:tcPr>
                <w:p w14:paraId="7EA15C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8</w:t>
                  </w:r>
                  <w:r>
                    <w:rPr>
                      <w:rFonts w:hint="default" w:ascii="Times New Roman" w:hAnsi="Times New Roman" w:eastAsia="宋体" w:cs="Times New Roman"/>
                      <w:color w:val="000000" w:themeColor="text1"/>
                      <w:sz w:val="21"/>
                      <w:szCs w:val="21"/>
                      <w:highlight w:val="none"/>
                      <w14:textFill>
                        <w14:solidFill>
                          <w14:schemeClr w14:val="tx1"/>
                        </w14:solidFill>
                      </w14:textFill>
                    </w:rPr>
                    <w:t>（DA0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13</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1371" w:type="dxa"/>
                  <w:tcBorders>
                    <w:tl2br w:val="nil"/>
                    <w:tr2bl w:val="nil"/>
                  </w:tcBorders>
                  <w:noWrap w:val="0"/>
                  <w:vAlign w:val="center"/>
                </w:tcPr>
                <w:p w14:paraId="471FF9EE">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123.721300</w:t>
                  </w:r>
                </w:p>
              </w:tc>
              <w:tc>
                <w:tcPr>
                  <w:tcW w:w="1276" w:type="dxa"/>
                  <w:tcBorders>
                    <w:tl2br w:val="nil"/>
                    <w:tr2bl w:val="nil"/>
                  </w:tcBorders>
                  <w:noWrap w:val="0"/>
                  <w:vAlign w:val="center"/>
                </w:tcPr>
                <w:p w14:paraId="56C9036C">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41.463400</w:t>
                  </w:r>
                </w:p>
              </w:tc>
              <w:tc>
                <w:tcPr>
                  <w:tcW w:w="491" w:type="dxa"/>
                  <w:tcBorders>
                    <w:tl2br w:val="nil"/>
                    <w:tr2bl w:val="nil"/>
                  </w:tcBorders>
                  <w:noWrap w:val="0"/>
                  <w:vAlign w:val="center"/>
                </w:tcPr>
                <w:p w14:paraId="372796E3">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15</w:t>
                  </w:r>
                </w:p>
              </w:tc>
              <w:tc>
                <w:tcPr>
                  <w:tcW w:w="514" w:type="dxa"/>
                  <w:tcBorders>
                    <w:tl2br w:val="nil"/>
                    <w:tr2bl w:val="nil"/>
                  </w:tcBorders>
                  <w:noWrap w:val="0"/>
                  <w:vAlign w:val="center"/>
                </w:tcPr>
                <w:p w14:paraId="680E9927">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0.5</w:t>
                  </w:r>
                </w:p>
              </w:tc>
              <w:tc>
                <w:tcPr>
                  <w:tcW w:w="502" w:type="dxa"/>
                  <w:tcBorders>
                    <w:tl2br w:val="nil"/>
                    <w:tr2bl w:val="nil"/>
                  </w:tcBorders>
                  <w:noWrap w:val="0"/>
                  <w:vAlign w:val="center"/>
                </w:tcPr>
                <w:p w14:paraId="45E316CB">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常温</w:t>
                  </w:r>
                </w:p>
              </w:tc>
              <w:tc>
                <w:tcPr>
                  <w:tcW w:w="636" w:type="dxa"/>
                  <w:tcBorders>
                    <w:tl2br w:val="nil"/>
                    <w:tr2bl w:val="nil"/>
                  </w:tcBorders>
                  <w:noWrap w:val="0"/>
                  <w:vAlign w:val="center"/>
                </w:tcPr>
                <w:p w14:paraId="4C97C773">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4000</w:t>
                  </w:r>
                </w:p>
              </w:tc>
              <w:tc>
                <w:tcPr>
                  <w:tcW w:w="454" w:type="dxa"/>
                  <w:tcBorders>
                    <w:tl2br w:val="nil"/>
                    <w:tr2bl w:val="nil"/>
                  </w:tcBorders>
                  <w:noWrap w:val="0"/>
                  <w:vAlign w:val="center"/>
                </w:tcPr>
                <w:p w14:paraId="630B6EA4">
                  <w:pPr>
                    <w:pStyle w:val="25"/>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颗粒物</w:t>
                  </w:r>
                </w:p>
              </w:tc>
              <w:tc>
                <w:tcPr>
                  <w:tcW w:w="657" w:type="dxa"/>
                  <w:tcBorders>
                    <w:tl2br w:val="nil"/>
                    <w:tr2bl w:val="nil"/>
                  </w:tcBorders>
                  <w:noWrap w:val="0"/>
                  <w:vAlign w:val="center"/>
                </w:tcPr>
                <w:p w14:paraId="6A43AC41">
                  <w:pPr>
                    <w:pStyle w:val="25"/>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0.0099</w:t>
                  </w:r>
                </w:p>
              </w:tc>
              <w:tc>
                <w:tcPr>
                  <w:tcW w:w="794" w:type="dxa"/>
                  <w:vMerge w:val="continue"/>
                  <w:tcBorders>
                    <w:tl2br w:val="nil"/>
                    <w:tr2bl w:val="nil"/>
                  </w:tcBorders>
                  <w:noWrap w:val="0"/>
                  <w:vAlign w:val="center"/>
                </w:tcPr>
                <w:p w14:paraId="082B2628">
                  <w:pPr>
                    <w:pStyle w:val="25"/>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c>
                <w:tcPr>
                  <w:tcW w:w="454" w:type="dxa"/>
                  <w:tcBorders>
                    <w:tl2br w:val="nil"/>
                    <w:tr2bl w:val="nil"/>
                  </w:tcBorders>
                  <w:noWrap w:val="0"/>
                  <w:vAlign w:val="center"/>
                </w:tcPr>
                <w:p w14:paraId="7BADD60A">
                  <w:pPr>
                    <w:pStyle w:val="25"/>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一般排放口</w:t>
                  </w:r>
                </w:p>
              </w:tc>
            </w:tr>
          </w:tbl>
          <w:p w14:paraId="75BD8E47">
            <w:pPr>
              <w:keepNext w:val="0"/>
              <w:keepLines w:val="0"/>
              <w:pageBreakBefore w:val="0"/>
              <w:widowControl w:val="0"/>
              <w:suppressLineNumbers w:val="0"/>
              <w:kinsoku/>
              <w:wordWrap/>
              <w:overflowPunct/>
              <w:topLinePunct w:val="0"/>
              <w:autoSpaceDE w:val="0"/>
              <w:autoSpaceDN w:val="0"/>
              <w:bidi w:val="0"/>
              <w:adjustRightInd/>
              <w:snapToGrid/>
              <w:spacing w:before="313" w:beforeLines="100" w:beforeAutospacing="0" w:after="0" w:afterAutospacing="0" w:line="360" w:lineRule="auto"/>
              <w:ind w:left="0" w:right="0"/>
              <w:textAlignment w:val="auto"/>
              <w:rPr>
                <w:rFonts w:hint="eastAsia" w:ascii="宋体" w:hAnsi="宋体" w:eastAsia="宋体" w:cs="宋体"/>
                <w:color w:val="000000" w:themeColor="text1"/>
                <w:spacing w:val="-7"/>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1.12</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w:t>
            </w:r>
            <w:r>
              <w:rPr>
                <w:rFonts w:hint="default" w:ascii="Times New Roman" w:hAnsi="Times New Roman" w:eastAsia="新宋体" w:cs="Times New Roman"/>
                <w:b/>
                <w:color w:val="000000" w:themeColor="text1"/>
                <w:sz w:val="24"/>
                <w:szCs w:val="24"/>
                <w:highlight w:val="none"/>
                <w:lang w:val="en-US" w:eastAsia="zh-CN" w:bidi="ar-SA"/>
                <w14:textFill>
                  <w14:solidFill>
                    <w14:schemeClr w14:val="tx1"/>
                  </w14:solidFill>
                </w14:textFill>
              </w:rPr>
              <w:t>非正常工况</w:t>
            </w:r>
            <w:r>
              <w:rPr>
                <w:rFonts w:hint="eastAsia" w:ascii="Times New Roman" w:hAnsi="Times New Roman" w:eastAsia="新宋体" w:cs="Times New Roman"/>
                <w:b/>
                <w:color w:val="000000" w:themeColor="text1"/>
                <w:sz w:val="24"/>
                <w:szCs w:val="24"/>
                <w:highlight w:val="none"/>
                <w:lang w:val="en-US" w:eastAsia="zh-CN" w:bidi="ar-SA"/>
                <w14:textFill>
                  <w14:solidFill>
                    <w14:schemeClr w14:val="tx1"/>
                  </w14:solidFill>
                </w14:textFill>
              </w:rPr>
              <w:t>分析</w:t>
            </w:r>
          </w:p>
          <w:p w14:paraId="1591B5B9">
            <w:pPr>
              <w:keepNext w:val="0"/>
              <w:keepLines w:val="0"/>
              <w:pageBreakBefore w:val="0"/>
              <w:widowControl/>
              <w:suppressLineNumbers w:val="0"/>
              <w:kinsoku/>
              <w:wordWrap/>
              <w:overflowPunct/>
              <w:topLinePunct w:val="0"/>
              <w:autoSpaceDE/>
              <w:autoSpaceDN/>
              <w:bidi w:val="0"/>
              <w:adjustRightInd w:val="0"/>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lang w:bidi="ar"/>
                <w14:textFill>
                  <w14:solidFill>
                    <w14:schemeClr w14:val="tx1"/>
                  </w14:solidFill>
                </w14:textFill>
              </w:rPr>
              <w:t>根据本项目特点，本项目运营期非正常工况按环保设施损坏，无法正常运行</w:t>
            </w:r>
            <w:r>
              <w:rPr>
                <w:rFonts w:hint="eastAsia" w:ascii="Times New Roman" w:hAnsi="Times New Roman" w:cs="Times New Roman"/>
                <w:color w:val="000000" w:themeColor="text1"/>
                <w:kern w:val="0"/>
                <w:sz w:val="24"/>
                <w:szCs w:val="24"/>
                <w:highlight w:val="none"/>
                <w:lang w:val="en-US" w:eastAsia="zh-CN" w:bidi="ar"/>
                <w14:textFill>
                  <w14:solidFill>
                    <w14:schemeClr w14:val="tx1"/>
                  </w14:solidFill>
                </w14:textFill>
              </w:rPr>
              <w:t>的</w:t>
            </w:r>
            <w:r>
              <w:rPr>
                <w:rFonts w:hint="default" w:ascii="Times New Roman" w:hAnsi="Times New Roman" w:cs="Times New Roman"/>
                <w:color w:val="000000" w:themeColor="text1"/>
                <w:kern w:val="0"/>
                <w:sz w:val="24"/>
                <w:szCs w:val="24"/>
                <w:highlight w:val="none"/>
                <w:lang w:bidi="ar"/>
                <w14:textFill>
                  <w14:solidFill>
                    <w14:schemeClr w14:val="tx1"/>
                  </w14:solidFill>
                </w14:textFill>
              </w:rPr>
              <w:t>最不利情况考虑</w:t>
            </w:r>
            <w:r>
              <w:rPr>
                <w:rFonts w:hint="eastAsia" w:ascii="Times New Roman" w:hAnsi="Times New Roman" w:cs="Times New Roman"/>
                <w:color w:val="000000" w:themeColor="text1"/>
                <w:kern w:val="0"/>
                <w:sz w:val="24"/>
                <w:szCs w:val="24"/>
                <w:highlight w:val="none"/>
                <w:lang w:eastAsia="zh-CN" w:bidi="ar"/>
                <w14:textFill>
                  <w14:solidFill>
                    <w14:schemeClr w14:val="tx1"/>
                  </w14:solidFill>
                </w14:textFill>
              </w:rPr>
              <w:t>，</w:t>
            </w:r>
            <w:r>
              <w:rPr>
                <w:rFonts w:hint="eastAsia" w:ascii="Times New Roman" w:hAnsi="Times New Roman" w:cs="Times New Roman"/>
                <w:color w:val="000000" w:themeColor="text1"/>
                <w:kern w:val="0"/>
                <w:sz w:val="24"/>
                <w:szCs w:val="24"/>
                <w:highlight w:val="none"/>
                <w:lang w:val="en-US" w:eastAsia="zh-CN" w:bidi="ar"/>
                <w14:textFill>
                  <w14:solidFill>
                    <w14:schemeClr w14:val="tx1"/>
                  </w14:solidFill>
                </w14:textFill>
              </w:rPr>
              <w:t>此状况下</w:t>
            </w:r>
            <w:r>
              <w:rPr>
                <w:rFonts w:hint="default" w:ascii="Times New Roman" w:hAnsi="Times New Roman" w:cs="Times New Roman"/>
                <w:color w:val="000000" w:themeColor="text1"/>
                <w:kern w:val="0"/>
                <w:sz w:val="24"/>
                <w:szCs w:val="24"/>
                <w:highlight w:val="none"/>
                <w:lang w:bidi="ar"/>
                <w14:textFill>
                  <w14:solidFill>
                    <w14:schemeClr w14:val="tx1"/>
                  </w14:solidFill>
                </w14:textFill>
              </w:rPr>
              <w:t>所有环保设施处理效率为0%</w:t>
            </w:r>
            <w:r>
              <w:rPr>
                <w:rFonts w:hint="eastAsia" w:ascii="Times New Roman" w:hAnsi="Times New Roman" w:cs="Times New Roman"/>
                <w:color w:val="000000" w:themeColor="text1"/>
                <w:kern w:val="0"/>
                <w:sz w:val="24"/>
                <w:szCs w:val="24"/>
                <w:highlight w:val="none"/>
                <w:lang w:eastAsia="zh-CN" w:bidi="ar"/>
                <w14:textFill>
                  <w14:solidFill>
                    <w14:schemeClr w14:val="tx1"/>
                  </w14:solidFill>
                </w14:textFill>
              </w:rPr>
              <w:t>。</w:t>
            </w:r>
            <w:r>
              <w:rPr>
                <w:rFonts w:hint="default" w:ascii="Times New Roman" w:hAnsi="Times New Roman" w:cs="Times New Roman"/>
                <w:color w:val="000000" w:themeColor="text1"/>
                <w:kern w:val="0"/>
                <w:sz w:val="24"/>
                <w:szCs w:val="24"/>
                <w:highlight w:val="none"/>
                <w:lang w:bidi="ar"/>
                <w14:textFill>
                  <w14:solidFill>
                    <w14:schemeClr w14:val="tx1"/>
                  </w14:solidFill>
                </w14:textFill>
              </w:rPr>
              <w:t>计算非正常工况污染物排放量，详见下表。</w:t>
            </w:r>
          </w:p>
          <w:p w14:paraId="0E6DBB45">
            <w:pPr>
              <w:keepNext w:val="0"/>
              <w:keepLines w:val="0"/>
              <w:pageBreakBefore w:val="0"/>
              <w:widowControl w:val="0"/>
              <w:numPr>
                <w:ilvl w:val="0"/>
                <w:numId w:val="26"/>
              </w:numPr>
              <w:suppressLineNumbers w:val="0"/>
              <w:kinsoku/>
              <w:wordWrap/>
              <w:overflowPunct/>
              <w:topLinePunct w:val="0"/>
              <w:autoSpaceDE/>
              <w:autoSpaceDN/>
              <w:bidi w:val="0"/>
              <w:adjustRightInd/>
              <w:snapToGrid w:val="0"/>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非正常排放量核算表</w:t>
            </w:r>
          </w:p>
          <w:tbl>
            <w:tblPr>
              <w:tblStyle w:val="35"/>
              <w:tblW w:w="5000"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97"/>
              <w:gridCol w:w="528"/>
              <w:gridCol w:w="625"/>
              <w:gridCol w:w="848"/>
              <w:gridCol w:w="1031"/>
              <w:gridCol w:w="966"/>
              <w:gridCol w:w="796"/>
              <w:gridCol w:w="870"/>
              <w:gridCol w:w="1606"/>
            </w:tblGrid>
            <w:tr w14:paraId="20BBD83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693" w:hRule="atLeast"/>
                <w:jc w:val="center"/>
              </w:trPr>
              <w:tc>
                <w:tcPr>
                  <w:tcW w:w="1111" w:type="dxa"/>
                  <w:tcBorders>
                    <w:tl2br w:val="nil"/>
                    <w:tr2bl w:val="nil"/>
                  </w:tcBorders>
                  <w:noWrap w:val="0"/>
                  <w:tcMar>
                    <w:top w:w="0" w:type="dxa"/>
                    <w:left w:w="28" w:type="dxa"/>
                    <w:bottom w:w="0" w:type="dxa"/>
                    <w:right w:w="28" w:type="dxa"/>
                  </w:tcMar>
                  <w:vAlign w:val="center"/>
                </w:tcPr>
                <w:p w14:paraId="5E0F492F">
                  <w:pPr>
                    <w:keepNext w:val="0"/>
                    <w:keepLines w:val="0"/>
                    <w:suppressLineNumbers w:val="0"/>
                    <w:adjustRightInd w:val="0"/>
                    <w:spacing w:before="0" w:beforeAutospacing="0" w:after="0" w:afterAutospacing="0" w:line="240" w:lineRule="auto"/>
                    <w:ind w:left="0" w:right="0" w:firstLine="0" w:firstLineChars="0"/>
                    <w:jc w:val="center"/>
                    <w:rPr>
                      <w:rFonts w:hint="default" w:ascii="Times New Roman" w:hAnsi="Times New Roman" w:cs="Times New Roman"/>
                      <w:b/>
                      <w:bCs/>
                      <w:color w:val="000000" w:themeColor="text1"/>
                      <w:sz w:val="21"/>
                      <w:szCs w:val="21"/>
                      <w:highlight w:val="none"/>
                      <w:lang w:bidi="ar-SA"/>
                      <w14:textFill>
                        <w14:solidFill>
                          <w14:schemeClr w14:val="tx1"/>
                        </w14:solidFill>
                      </w14:textFill>
                    </w:rPr>
                  </w:pPr>
                  <w:r>
                    <w:rPr>
                      <w:rFonts w:hint="default" w:ascii="Times New Roman" w:hAnsi="Times New Roman" w:cs="Times New Roman"/>
                      <w:b/>
                      <w:bCs/>
                      <w:color w:val="000000" w:themeColor="text1"/>
                      <w:sz w:val="21"/>
                      <w:szCs w:val="21"/>
                      <w:highlight w:val="none"/>
                      <w:lang w:bidi="ar-SA"/>
                      <w14:textFill>
                        <w14:solidFill>
                          <w14:schemeClr w14:val="tx1"/>
                        </w14:solidFill>
                      </w14:textFill>
                    </w:rPr>
                    <w:t>项目</w:t>
                  </w:r>
                </w:p>
              </w:tc>
              <w:tc>
                <w:tcPr>
                  <w:tcW w:w="534" w:type="dxa"/>
                  <w:tcBorders>
                    <w:tl2br w:val="nil"/>
                    <w:tr2bl w:val="nil"/>
                  </w:tcBorders>
                  <w:noWrap w:val="0"/>
                  <w:tcMar>
                    <w:top w:w="0" w:type="dxa"/>
                    <w:left w:w="28" w:type="dxa"/>
                    <w:bottom w:w="0" w:type="dxa"/>
                    <w:right w:w="28" w:type="dxa"/>
                  </w:tcMar>
                  <w:vAlign w:val="center"/>
                </w:tcPr>
                <w:p w14:paraId="417330BC">
                  <w:pPr>
                    <w:keepNext w:val="0"/>
                    <w:keepLines w:val="0"/>
                    <w:suppressLineNumbers w:val="0"/>
                    <w:adjustRightInd w:val="0"/>
                    <w:spacing w:before="0" w:beforeAutospacing="0" w:after="0" w:afterAutospacing="0" w:line="240" w:lineRule="auto"/>
                    <w:ind w:left="0" w:right="0" w:firstLine="0" w:firstLineChars="0"/>
                    <w:jc w:val="center"/>
                    <w:rPr>
                      <w:rFonts w:hint="default" w:ascii="Times New Roman" w:hAnsi="Times New Roman" w:cs="Times New Roman"/>
                      <w:b/>
                      <w:bCs/>
                      <w:color w:val="000000" w:themeColor="text1"/>
                      <w:sz w:val="21"/>
                      <w:szCs w:val="21"/>
                      <w:highlight w:val="none"/>
                      <w:lang w:bidi="ar-SA"/>
                      <w14:textFill>
                        <w14:solidFill>
                          <w14:schemeClr w14:val="tx1"/>
                        </w14:solidFill>
                      </w14:textFill>
                    </w:rPr>
                  </w:pPr>
                  <w:r>
                    <w:rPr>
                      <w:rFonts w:hint="default" w:ascii="Times New Roman" w:hAnsi="Times New Roman" w:cs="Times New Roman"/>
                      <w:b/>
                      <w:bCs/>
                      <w:color w:val="000000" w:themeColor="text1"/>
                      <w:sz w:val="21"/>
                      <w:szCs w:val="21"/>
                      <w:highlight w:val="none"/>
                      <w:lang w:bidi="ar-SA"/>
                      <w14:textFill>
                        <w14:solidFill>
                          <w14:schemeClr w14:val="tx1"/>
                        </w14:solidFill>
                      </w14:textFill>
                    </w:rPr>
                    <w:t>污染源</w:t>
                  </w:r>
                </w:p>
              </w:tc>
              <w:tc>
                <w:tcPr>
                  <w:tcW w:w="632" w:type="dxa"/>
                  <w:tcBorders>
                    <w:tl2br w:val="nil"/>
                    <w:tr2bl w:val="nil"/>
                  </w:tcBorders>
                  <w:noWrap w:val="0"/>
                  <w:tcMar>
                    <w:top w:w="0" w:type="dxa"/>
                    <w:left w:w="28" w:type="dxa"/>
                    <w:bottom w:w="0" w:type="dxa"/>
                    <w:right w:w="28" w:type="dxa"/>
                  </w:tcMar>
                  <w:vAlign w:val="center"/>
                </w:tcPr>
                <w:p w14:paraId="790AF86C">
                  <w:pPr>
                    <w:keepNext w:val="0"/>
                    <w:keepLines w:val="0"/>
                    <w:suppressLineNumbers w:val="0"/>
                    <w:adjustRightInd w:val="0"/>
                    <w:spacing w:before="0" w:beforeAutospacing="0" w:after="0" w:afterAutospacing="0" w:line="240" w:lineRule="auto"/>
                    <w:ind w:left="0" w:right="0" w:firstLine="0" w:firstLineChars="0"/>
                    <w:jc w:val="center"/>
                    <w:rPr>
                      <w:rFonts w:hint="eastAsia" w:ascii="Times New Roman" w:hAnsi="Times New Roman" w:eastAsia="宋体" w:cs="Times New Roman"/>
                      <w:b/>
                      <w:bCs/>
                      <w:color w:val="000000" w:themeColor="text1"/>
                      <w:sz w:val="21"/>
                      <w:szCs w:val="21"/>
                      <w:highlight w:val="none"/>
                      <w:lang w:eastAsia="zh-CN" w:bidi="ar-SA"/>
                      <w14:textFill>
                        <w14:solidFill>
                          <w14:schemeClr w14:val="tx1"/>
                        </w14:solidFill>
                      </w14:textFill>
                    </w:rPr>
                  </w:pPr>
                  <w:r>
                    <w:rPr>
                      <w:rFonts w:hint="eastAsia" w:ascii="Times New Roman" w:hAnsi="Times New Roman" w:cs="Times New Roman"/>
                      <w:b/>
                      <w:bCs/>
                      <w:color w:val="000000" w:themeColor="text1"/>
                      <w:sz w:val="21"/>
                      <w:szCs w:val="21"/>
                      <w:highlight w:val="none"/>
                      <w:lang w:val="en-US" w:eastAsia="zh-CN" w:bidi="ar-SA"/>
                      <w14:textFill>
                        <w14:solidFill>
                          <w14:schemeClr w14:val="tx1"/>
                        </w14:solidFill>
                      </w14:textFill>
                    </w:rPr>
                    <w:t>污染物</w:t>
                  </w:r>
                </w:p>
              </w:tc>
              <w:tc>
                <w:tcPr>
                  <w:tcW w:w="858" w:type="dxa"/>
                  <w:tcBorders>
                    <w:tl2br w:val="nil"/>
                    <w:tr2bl w:val="nil"/>
                  </w:tcBorders>
                  <w:noWrap w:val="0"/>
                  <w:tcMar>
                    <w:top w:w="0" w:type="dxa"/>
                    <w:left w:w="28" w:type="dxa"/>
                    <w:bottom w:w="0" w:type="dxa"/>
                    <w:right w:w="28" w:type="dxa"/>
                  </w:tcMar>
                  <w:vAlign w:val="center"/>
                </w:tcPr>
                <w:p w14:paraId="0A47AA5E">
                  <w:pPr>
                    <w:keepNext w:val="0"/>
                    <w:keepLines w:val="0"/>
                    <w:suppressLineNumbers w:val="0"/>
                    <w:adjustRightIn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pPr>
                  <w:r>
                    <w:rPr>
                      <w:rFonts w:hint="eastAsia" w:ascii="Times New Roman" w:hAnsi="Times New Roman" w:cs="Times New Roman"/>
                      <w:b/>
                      <w:bCs/>
                      <w:color w:val="000000" w:themeColor="text1"/>
                      <w:sz w:val="21"/>
                      <w:szCs w:val="21"/>
                      <w:highlight w:val="none"/>
                      <w:lang w:val="en-US" w:eastAsia="zh-CN" w:bidi="ar-SA"/>
                      <w14:textFill>
                        <w14:solidFill>
                          <w14:schemeClr w14:val="tx1"/>
                        </w14:solidFill>
                      </w14:textFill>
                    </w:rPr>
                    <w:t>非正常排放原因</w:t>
                  </w:r>
                </w:p>
              </w:tc>
              <w:tc>
                <w:tcPr>
                  <w:tcW w:w="1044" w:type="dxa"/>
                  <w:tcBorders>
                    <w:tl2br w:val="nil"/>
                    <w:tr2bl w:val="nil"/>
                  </w:tcBorders>
                  <w:noWrap w:val="0"/>
                  <w:tcMar>
                    <w:top w:w="0" w:type="dxa"/>
                    <w:left w:w="28" w:type="dxa"/>
                    <w:bottom w:w="0" w:type="dxa"/>
                    <w:right w:w="28" w:type="dxa"/>
                  </w:tcMar>
                  <w:vAlign w:val="center"/>
                </w:tcPr>
                <w:p w14:paraId="2EFC2C6A">
                  <w:pPr>
                    <w:keepNext w:val="0"/>
                    <w:keepLines w:val="0"/>
                    <w:suppressLineNumbers w:val="0"/>
                    <w:adjustRightInd w:val="0"/>
                    <w:spacing w:before="0" w:beforeAutospacing="0" w:after="0" w:afterAutospacing="0" w:line="240" w:lineRule="auto"/>
                    <w:ind w:left="0" w:right="0" w:firstLine="0" w:firstLineChars="0"/>
                    <w:jc w:val="center"/>
                    <w:rPr>
                      <w:rFonts w:hint="eastAsia"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b/>
                      <w:bCs/>
                      <w:color w:val="000000" w:themeColor="text1"/>
                      <w:sz w:val="21"/>
                      <w:szCs w:val="21"/>
                      <w:highlight w:val="none"/>
                      <w:lang w:val="en-US" w:eastAsia="zh-CN" w:bidi="ar-SA"/>
                      <w14:textFill>
                        <w14:solidFill>
                          <w14:schemeClr w14:val="tx1"/>
                        </w14:solidFill>
                      </w14:textFill>
                    </w:rPr>
                    <w:t>排放浓度</w:t>
                  </w:r>
                  <w:r>
                    <w:rPr>
                      <w:rFonts w:hint="default" w:ascii="Times New Roman" w:hAnsi="Times New Roman" w:cs="Times New Roman"/>
                      <w:color w:val="000000" w:themeColor="text1"/>
                      <w:sz w:val="21"/>
                      <w:szCs w:val="21"/>
                      <w:highlight w:val="none"/>
                      <w:lang w:bidi="ar-SA"/>
                      <w14:textFill>
                        <w14:solidFill>
                          <w14:schemeClr w14:val="tx1"/>
                        </w14:solidFill>
                      </w14:textFill>
                    </w:rPr>
                    <w:t>mg/m</w:t>
                  </w:r>
                  <w:r>
                    <w:rPr>
                      <w:rFonts w:hint="default" w:ascii="Times New Roman" w:hAnsi="Times New Roman" w:cs="Times New Roman"/>
                      <w:color w:val="000000" w:themeColor="text1"/>
                      <w:sz w:val="21"/>
                      <w:szCs w:val="21"/>
                      <w:highlight w:val="none"/>
                      <w:vertAlign w:val="superscript"/>
                      <w:lang w:bidi="ar-SA"/>
                      <w14:textFill>
                        <w14:solidFill>
                          <w14:schemeClr w14:val="tx1"/>
                        </w14:solidFill>
                      </w14:textFill>
                    </w:rPr>
                    <w:t>3</w:t>
                  </w:r>
                </w:p>
              </w:tc>
              <w:tc>
                <w:tcPr>
                  <w:tcW w:w="978" w:type="dxa"/>
                  <w:tcBorders>
                    <w:tl2br w:val="nil"/>
                    <w:tr2bl w:val="nil"/>
                  </w:tcBorders>
                  <w:noWrap w:val="0"/>
                  <w:tcMar>
                    <w:top w:w="0" w:type="dxa"/>
                    <w:left w:w="28" w:type="dxa"/>
                    <w:bottom w:w="0" w:type="dxa"/>
                    <w:right w:w="28" w:type="dxa"/>
                  </w:tcMar>
                  <w:vAlign w:val="center"/>
                </w:tcPr>
                <w:p w14:paraId="3125497D">
                  <w:pPr>
                    <w:keepNext w:val="0"/>
                    <w:keepLines w:val="0"/>
                    <w:suppressLineNumbers w:val="0"/>
                    <w:adjustRightInd w:val="0"/>
                    <w:spacing w:before="0" w:beforeAutospacing="0" w:after="0" w:afterAutospacing="0" w:line="240" w:lineRule="auto"/>
                    <w:ind w:left="0" w:right="0" w:firstLine="0" w:firstLineChars="0"/>
                    <w:jc w:val="center"/>
                    <w:rPr>
                      <w:rFonts w:hint="eastAsia"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
                      <w:bCs/>
                      <w:color w:val="000000" w:themeColor="text1"/>
                      <w:sz w:val="21"/>
                      <w:szCs w:val="21"/>
                      <w:highlight w:val="none"/>
                      <w:lang w:bidi="ar-SA"/>
                      <w14:textFill>
                        <w14:solidFill>
                          <w14:schemeClr w14:val="tx1"/>
                        </w14:solidFill>
                      </w14:textFill>
                    </w:rPr>
                    <w:t>排放</w:t>
                  </w:r>
                  <w:r>
                    <w:rPr>
                      <w:rFonts w:hint="eastAsia" w:ascii="Times New Roman" w:hAnsi="Times New Roman" w:cs="Times New Roman"/>
                      <w:b/>
                      <w:bCs/>
                      <w:color w:val="000000" w:themeColor="text1"/>
                      <w:sz w:val="21"/>
                      <w:szCs w:val="21"/>
                      <w:highlight w:val="none"/>
                      <w:lang w:val="en-US" w:eastAsia="zh-CN" w:bidi="ar-SA"/>
                      <w14:textFill>
                        <w14:solidFill>
                          <w14:schemeClr w14:val="tx1"/>
                        </w14:solidFill>
                      </w14:textFill>
                    </w:rPr>
                    <w:t>速率</w:t>
                  </w:r>
                  <w:r>
                    <w:rPr>
                      <w:rFonts w:hint="eastAsia" w:ascii="Times New Roman" w:hAnsi="Times New Roman" w:cs="Times New Roman"/>
                      <w:b w:val="0"/>
                      <w:bCs w:val="0"/>
                      <w:color w:val="000000" w:themeColor="text1"/>
                      <w:sz w:val="21"/>
                      <w:szCs w:val="21"/>
                      <w:highlight w:val="none"/>
                      <w:lang w:val="en-US" w:eastAsia="zh-CN" w:bidi="ar-SA"/>
                      <w14:textFill>
                        <w14:solidFill>
                          <w14:schemeClr w14:val="tx1"/>
                        </w14:solidFill>
                      </w14:textFill>
                    </w:rPr>
                    <w:t>kg</w:t>
                  </w:r>
                  <w:r>
                    <w:rPr>
                      <w:rFonts w:hint="default" w:ascii="Times New Roman" w:hAnsi="Times New Roman" w:cs="Times New Roman"/>
                      <w:color w:val="000000" w:themeColor="text1"/>
                      <w:sz w:val="21"/>
                      <w:szCs w:val="21"/>
                      <w:highlight w:val="none"/>
                      <w:lang w:bidi="ar-SA"/>
                      <w14:textFill>
                        <w14:solidFill>
                          <w14:schemeClr w14:val="tx1"/>
                        </w14:solidFill>
                      </w14:textFill>
                    </w:rPr>
                    <w:t>/h</w:t>
                  </w:r>
                </w:p>
              </w:tc>
              <w:tc>
                <w:tcPr>
                  <w:tcW w:w="806" w:type="dxa"/>
                  <w:tcBorders>
                    <w:tl2br w:val="nil"/>
                    <w:tr2bl w:val="nil"/>
                  </w:tcBorders>
                  <w:noWrap w:val="0"/>
                  <w:tcMar>
                    <w:top w:w="0" w:type="dxa"/>
                    <w:left w:w="28" w:type="dxa"/>
                    <w:bottom w:w="0" w:type="dxa"/>
                    <w:right w:w="28" w:type="dxa"/>
                  </w:tcMar>
                  <w:vAlign w:val="center"/>
                </w:tcPr>
                <w:p w14:paraId="4AF9F4E3">
                  <w:pPr>
                    <w:keepNext w:val="0"/>
                    <w:keepLines w:val="0"/>
                    <w:suppressLineNumbers w:val="0"/>
                    <w:adjustRightInd w:val="0"/>
                    <w:spacing w:before="0" w:beforeAutospacing="0" w:after="0" w:afterAutospacing="0" w:line="240" w:lineRule="auto"/>
                    <w:ind w:left="0" w:right="0" w:firstLine="0" w:firstLineChars="0"/>
                    <w:jc w:val="center"/>
                    <w:rPr>
                      <w:rFonts w:hint="eastAsia"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t>发生频次</w:t>
                  </w:r>
                </w:p>
              </w:tc>
              <w:tc>
                <w:tcPr>
                  <w:tcW w:w="881" w:type="dxa"/>
                  <w:tcBorders>
                    <w:tl2br w:val="nil"/>
                    <w:tr2bl w:val="nil"/>
                  </w:tcBorders>
                  <w:noWrap w:val="0"/>
                  <w:tcMar>
                    <w:top w:w="0" w:type="dxa"/>
                    <w:left w:w="28" w:type="dxa"/>
                    <w:bottom w:w="0" w:type="dxa"/>
                    <w:right w:w="28" w:type="dxa"/>
                  </w:tcMar>
                  <w:vAlign w:val="center"/>
                </w:tcPr>
                <w:p w14:paraId="253A5B8F">
                  <w:pPr>
                    <w:keepNext w:val="0"/>
                    <w:keepLines w:val="0"/>
                    <w:suppressLineNumbers w:val="0"/>
                    <w:adjustRightIn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t>持续时间</w:t>
                  </w:r>
                </w:p>
              </w:tc>
              <w:tc>
                <w:tcPr>
                  <w:tcW w:w="1625" w:type="dxa"/>
                  <w:tcBorders>
                    <w:tl2br w:val="nil"/>
                    <w:tr2bl w:val="nil"/>
                  </w:tcBorders>
                  <w:noWrap w:val="0"/>
                  <w:tcMar>
                    <w:top w:w="0" w:type="dxa"/>
                    <w:left w:w="28" w:type="dxa"/>
                    <w:bottom w:w="0" w:type="dxa"/>
                    <w:right w:w="28" w:type="dxa"/>
                  </w:tcMar>
                  <w:vAlign w:val="center"/>
                </w:tcPr>
                <w:p w14:paraId="229E1DEA">
                  <w:pPr>
                    <w:keepNext w:val="0"/>
                    <w:keepLines w:val="0"/>
                    <w:suppressLineNumbers w:val="0"/>
                    <w:adjustRightInd w:val="0"/>
                    <w:spacing w:before="0" w:beforeAutospacing="0" w:after="0" w:afterAutospacing="0" w:line="240" w:lineRule="auto"/>
                    <w:ind w:left="0" w:right="0" w:firstLine="0" w:firstLineChars="0"/>
                    <w:jc w:val="center"/>
                    <w:rPr>
                      <w:rFonts w:hint="eastAsia"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t>控制措施</w:t>
                  </w:r>
                </w:p>
              </w:tc>
            </w:tr>
            <w:tr w14:paraId="38C1E29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17" w:hRule="atLeast"/>
                <w:jc w:val="center"/>
              </w:trPr>
              <w:tc>
                <w:tcPr>
                  <w:tcW w:w="1111" w:type="dxa"/>
                  <w:tcBorders>
                    <w:tl2br w:val="nil"/>
                    <w:tr2bl w:val="nil"/>
                  </w:tcBorders>
                  <w:noWrap w:val="0"/>
                  <w:tcMar>
                    <w:top w:w="0" w:type="dxa"/>
                    <w:left w:w="28" w:type="dxa"/>
                    <w:bottom w:w="0" w:type="dxa"/>
                    <w:right w:w="28" w:type="dxa"/>
                  </w:tcMar>
                  <w:vAlign w:val="center"/>
                </w:tcPr>
                <w:p w14:paraId="47083953">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前处理炮制废气排放口</w:t>
                  </w:r>
                  <w:r>
                    <w:rPr>
                      <w:rFonts w:hint="eastAsia" w:eastAsia="宋体"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（DA0</w:t>
                  </w:r>
                  <w:r>
                    <w:rPr>
                      <w:rFonts w:hint="eastAsia" w:eastAsia="宋体" w:cs="Times New Roman"/>
                      <w:color w:val="000000" w:themeColor="text1"/>
                      <w:sz w:val="21"/>
                      <w:szCs w:val="21"/>
                      <w:highlight w:val="none"/>
                      <w:lang w:val="en-US" w:eastAsia="zh-CN"/>
                      <w14:textFill>
                        <w14:solidFill>
                          <w14:schemeClr w14:val="tx1"/>
                        </w14:solidFill>
                      </w14:textFill>
                    </w:rPr>
                    <w:t>16</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534" w:type="dxa"/>
                  <w:vMerge w:val="restart"/>
                  <w:tcBorders>
                    <w:tl2br w:val="nil"/>
                    <w:tr2bl w:val="nil"/>
                  </w:tcBorders>
                  <w:noWrap w:val="0"/>
                  <w:tcMar>
                    <w:top w:w="0" w:type="dxa"/>
                    <w:left w:w="28" w:type="dxa"/>
                    <w:bottom w:w="0" w:type="dxa"/>
                    <w:right w:w="28" w:type="dxa"/>
                  </w:tcMar>
                  <w:vAlign w:val="center"/>
                </w:tcPr>
                <w:p w14:paraId="698D0274">
                  <w:pPr>
                    <w:keepNext w:val="0"/>
                    <w:keepLines w:val="0"/>
                    <w:suppressLineNumbers w:val="0"/>
                    <w:adjustRightInd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t>生产线</w:t>
                  </w:r>
                </w:p>
              </w:tc>
              <w:tc>
                <w:tcPr>
                  <w:tcW w:w="632" w:type="dxa"/>
                  <w:tcBorders>
                    <w:tl2br w:val="nil"/>
                    <w:tr2bl w:val="nil"/>
                  </w:tcBorders>
                  <w:noWrap w:val="0"/>
                  <w:tcMar>
                    <w:top w:w="0" w:type="dxa"/>
                    <w:left w:w="28" w:type="dxa"/>
                    <w:bottom w:w="0" w:type="dxa"/>
                    <w:right w:w="28" w:type="dxa"/>
                  </w:tcMar>
                  <w:vAlign w:val="center"/>
                </w:tcPr>
                <w:p w14:paraId="352D94CF">
                  <w:pPr>
                    <w:keepNext w:val="0"/>
                    <w:keepLines w:val="0"/>
                    <w:suppressLineNumbers w:val="0"/>
                    <w:adjustRightInd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t>颗粒物</w:t>
                  </w:r>
                </w:p>
              </w:tc>
              <w:tc>
                <w:tcPr>
                  <w:tcW w:w="858" w:type="dxa"/>
                  <w:vMerge w:val="restart"/>
                  <w:tcBorders>
                    <w:tl2br w:val="nil"/>
                    <w:tr2bl w:val="nil"/>
                  </w:tcBorders>
                  <w:noWrap w:val="0"/>
                  <w:tcMar>
                    <w:top w:w="0" w:type="dxa"/>
                    <w:left w:w="28" w:type="dxa"/>
                    <w:bottom w:w="0" w:type="dxa"/>
                    <w:right w:w="28" w:type="dxa"/>
                  </w:tcMar>
                  <w:vAlign w:val="center"/>
                </w:tcPr>
                <w:p w14:paraId="388966B2">
                  <w:pPr>
                    <w:keepNext w:val="0"/>
                    <w:keepLines w:val="0"/>
                    <w:suppressLineNumbers w:val="0"/>
                    <w:adjustRightInd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t>净化措施故障</w:t>
                  </w:r>
                </w:p>
              </w:tc>
              <w:tc>
                <w:tcPr>
                  <w:tcW w:w="1044" w:type="dxa"/>
                  <w:tcBorders>
                    <w:tl2br w:val="nil"/>
                    <w:tr2bl w:val="nil"/>
                  </w:tcBorders>
                  <w:noWrap w:val="0"/>
                  <w:tcMar>
                    <w:top w:w="0" w:type="dxa"/>
                    <w:left w:w="28" w:type="dxa"/>
                    <w:bottom w:w="0" w:type="dxa"/>
                    <w:right w:w="28" w:type="dxa"/>
                  </w:tcMar>
                  <w:vAlign w:val="center"/>
                </w:tcPr>
                <w:p w14:paraId="4C5CC64D">
                  <w:pPr>
                    <w:keepNext w:val="0"/>
                    <w:keepLines w:val="0"/>
                    <w:widowControl/>
                    <w:suppressLineNumbers w:val="0"/>
                    <w:bidi w:val="0"/>
                    <w:spacing w:before="0" w:beforeAutospacing="0" w:after="0" w:afterAutospacing="0" w:line="240" w:lineRule="auto"/>
                    <w:ind w:left="0" w:right="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226.05</w:t>
                  </w:r>
                </w:p>
              </w:tc>
              <w:tc>
                <w:tcPr>
                  <w:tcW w:w="978" w:type="dxa"/>
                  <w:tcBorders>
                    <w:tl2br w:val="nil"/>
                    <w:tr2bl w:val="nil"/>
                  </w:tcBorders>
                  <w:noWrap w:val="0"/>
                  <w:tcMar>
                    <w:top w:w="0" w:type="dxa"/>
                    <w:left w:w="28" w:type="dxa"/>
                    <w:bottom w:w="0" w:type="dxa"/>
                    <w:right w:w="28" w:type="dxa"/>
                  </w:tcMar>
                  <w:vAlign w:val="center"/>
                </w:tcPr>
                <w:p w14:paraId="672E78A9">
                  <w:pPr>
                    <w:keepNext w:val="0"/>
                    <w:keepLines w:val="0"/>
                    <w:widowControl/>
                    <w:suppressLineNumbers w:val="0"/>
                    <w:bidi w:val="0"/>
                    <w:spacing w:before="0" w:beforeAutospacing="0" w:after="0" w:afterAutospacing="0" w:line="240" w:lineRule="auto"/>
                    <w:ind w:left="0" w:right="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0.1278</w:t>
                  </w:r>
                </w:p>
              </w:tc>
              <w:tc>
                <w:tcPr>
                  <w:tcW w:w="806" w:type="dxa"/>
                  <w:vMerge w:val="restart"/>
                  <w:tcBorders>
                    <w:tl2br w:val="nil"/>
                    <w:tr2bl w:val="nil"/>
                  </w:tcBorders>
                  <w:noWrap w:val="0"/>
                  <w:tcMar>
                    <w:top w:w="0" w:type="dxa"/>
                    <w:left w:w="28" w:type="dxa"/>
                    <w:bottom w:w="0" w:type="dxa"/>
                    <w:right w:w="28" w:type="dxa"/>
                  </w:tcMar>
                  <w:vAlign w:val="center"/>
                </w:tcPr>
                <w:p w14:paraId="3A9F95A1">
                  <w:pPr>
                    <w:keepNext w:val="0"/>
                    <w:keepLines w:val="0"/>
                    <w:widowControl w:val="0"/>
                    <w:suppressLineNumbers w:val="0"/>
                    <w:bidi w:val="0"/>
                    <w:adjustRightInd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不超过 1次/年</w:t>
                  </w:r>
                </w:p>
              </w:tc>
              <w:tc>
                <w:tcPr>
                  <w:tcW w:w="881" w:type="dxa"/>
                  <w:vMerge w:val="restart"/>
                  <w:tcBorders>
                    <w:tl2br w:val="nil"/>
                    <w:tr2bl w:val="nil"/>
                  </w:tcBorders>
                  <w:noWrap w:val="0"/>
                  <w:tcMar>
                    <w:top w:w="0" w:type="dxa"/>
                    <w:left w:w="28" w:type="dxa"/>
                    <w:bottom w:w="0" w:type="dxa"/>
                    <w:right w:w="28" w:type="dxa"/>
                  </w:tcMar>
                  <w:vAlign w:val="center"/>
                </w:tcPr>
                <w:p w14:paraId="70B6299E">
                  <w:pPr>
                    <w:keepNext w:val="0"/>
                    <w:keepLines w:val="0"/>
                    <w:widowControl w:val="0"/>
                    <w:suppressLineNumbers w:val="0"/>
                    <w:bidi w:val="0"/>
                    <w:adjustRightInd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最多不超过 0.5h/次</w:t>
                  </w:r>
                </w:p>
              </w:tc>
              <w:tc>
                <w:tcPr>
                  <w:tcW w:w="1625" w:type="dxa"/>
                  <w:vMerge w:val="restart"/>
                  <w:tcBorders>
                    <w:tl2br w:val="nil"/>
                    <w:tr2bl w:val="nil"/>
                  </w:tcBorders>
                  <w:noWrap w:val="0"/>
                  <w:tcMar>
                    <w:top w:w="0" w:type="dxa"/>
                    <w:left w:w="28" w:type="dxa"/>
                    <w:bottom w:w="0" w:type="dxa"/>
                    <w:right w:w="28" w:type="dxa"/>
                  </w:tcMar>
                  <w:vAlign w:val="center"/>
                </w:tcPr>
                <w:p w14:paraId="57BB5EE8">
                  <w:pPr>
                    <w:keepNext w:val="0"/>
                    <w:keepLines w:val="0"/>
                    <w:widowControl w:val="0"/>
                    <w:suppressLineNumbers w:val="0"/>
                    <w:bidi w:val="0"/>
                    <w:adjustRightInd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加强废气处理设施检修，一旦出现非正常工作情况时即可停止生产设备运行</w:t>
                  </w:r>
                </w:p>
              </w:tc>
            </w:tr>
            <w:tr w14:paraId="65070FE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17" w:hRule="atLeast"/>
                <w:jc w:val="center"/>
              </w:trPr>
              <w:tc>
                <w:tcPr>
                  <w:tcW w:w="1111" w:type="dxa"/>
                  <w:tcBorders>
                    <w:tl2br w:val="nil"/>
                    <w:tr2bl w:val="nil"/>
                  </w:tcBorders>
                  <w:noWrap w:val="0"/>
                  <w:tcMar>
                    <w:top w:w="0" w:type="dxa"/>
                    <w:left w:w="28" w:type="dxa"/>
                    <w:bottom w:w="0" w:type="dxa"/>
                    <w:right w:w="28" w:type="dxa"/>
                  </w:tcMar>
                  <w:vAlign w:val="center"/>
                </w:tcPr>
                <w:p w14:paraId="17DBF8C4">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前处理炮制废气排放口1</w:t>
                  </w:r>
                  <w:r>
                    <w:rPr>
                      <w:rFonts w:hint="default" w:ascii="Times New Roman" w:hAnsi="Times New Roman" w:eastAsia="宋体" w:cs="Times New Roman"/>
                      <w:color w:val="000000" w:themeColor="text1"/>
                      <w:sz w:val="21"/>
                      <w:szCs w:val="21"/>
                      <w:highlight w:val="none"/>
                      <w14:textFill>
                        <w14:solidFill>
                          <w14:schemeClr w14:val="tx1"/>
                        </w14:solidFill>
                      </w14:textFill>
                    </w:rPr>
                    <w:t>（DA0</w:t>
                  </w:r>
                  <w:r>
                    <w:rPr>
                      <w:rFonts w:hint="eastAsia" w:eastAsia="宋体" w:cs="Times New Roman"/>
                      <w:color w:val="000000" w:themeColor="text1"/>
                      <w:sz w:val="21"/>
                      <w:szCs w:val="21"/>
                      <w:highlight w:val="none"/>
                      <w:lang w:val="en-US" w:eastAsia="zh-CN"/>
                      <w14:textFill>
                        <w14:solidFill>
                          <w14:schemeClr w14:val="tx1"/>
                        </w14:solidFill>
                      </w14:textFill>
                    </w:rPr>
                    <w:t>02</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534" w:type="dxa"/>
                  <w:vMerge w:val="continue"/>
                  <w:tcBorders>
                    <w:tl2br w:val="nil"/>
                    <w:tr2bl w:val="nil"/>
                  </w:tcBorders>
                  <w:noWrap w:val="0"/>
                  <w:tcMar>
                    <w:top w:w="0" w:type="dxa"/>
                    <w:left w:w="28" w:type="dxa"/>
                    <w:bottom w:w="0" w:type="dxa"/>
                    <w:right w:w="28" w:type="dxa"/>
                  </w:tcMar>
                  <w:vAlign w:val="center"/>
                </w:tcPr>
                <w:p w14:paraId="06B44248">
                  <w:pPr>
                    <w:keepNext w:val="0"/>
                    <w:keepLines w:val="0"/>
                    <w:suppressLineNumbers w:val="0"/>
                    <w:adjustRightInd w:val="0"/>
                    <w:spacing w:before="0" w:beforeAutospacing="0" w:after="0" w:afterAutospacing="0" w:line="240" w:lineRule="auto"/>
                    <w:ind w:left="0" w:right="0" w:firstLine="0" w:firstLineChars="0"/>
                    <w:jc w:val="cente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pPr>
                </w:p>
              </w:tc>
              <w:tc>
                <w:tcPr>
                  <w:tcW w:w="632" w:type="dxa"/>
                  <w:tcBorders>
                    <w:tl2br w:val="nil"/>
                    <w:tr2bl w:val="nil"/>
                  </w:tcBorders>
                  <w:noWrap w:val="0"/>
                  <w:tcMar>
                    <w:top w:w="0" w:type="dxa"/>
                    <w:left w:w="28" w:type="dxa"/>
                    <w:bottom w:w="0" w:type="dxa"/>
                    <w:right w:w="28" w:type="dxa"/>
                  </w:tcMar>
                  <w:vAlign w:val="center"/>
                </w:tcPr>
                <w:p w14:paraId="2DF76186">
                  <w:pPr>
                    <w:keepNext w:val="0"/>
                    <w:keepLines w:val="0"/>
                    <w:suppressLineNumbers w:val="0"/>
                    <w:adjustRightInd w:val="0"/>
                    <w:spacing w:before="0" w:beforeAutospacing="0" w:after="0" w:afterAutospacing="0" w:line="240" w:lineRule="auto"/>
                    <w:ind w:left="0" w:right="0" w:firstLine="0" w:firstLineChars="0"/>
                    <w:jc w:val="cente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t>颗粒物</w:t>
                  </w:r>
                </w:p>
              </w:tc>
              <w:tc>
                <w:tcPr>
                  <w:tcW w:w="858" w:type="dxa"/>
                  <w:vMerge w:val="continue"/>
                  <w:tcBorders>
                    <w:tl2br w:val="nil"/>
                    <w:tr2bl w:val="nil"/>
                  </w:tcBorders>
                  <w:noWrap w:val="0"/>
                  <w:tcMar>
                    <w:top w:w="0" w:type="dxa"/>
                    <w:left w:w="28" w:type="dxa"/>
                    <w:bottom w:w="0" w:type="dxa"/>
                    <w:right w:w="28" w:type="dxa"/>
                  </w:tcMar>
                  <w:vAlign w:val="center"/>
                </w:tcPr>
                <w:p w14:paraId="2595AC43">
                  <w:pPr>
                    <w:keepNext w:val="0"/>
                    <w:keepLines w:val="0"/>
                    <w:suppressLineNumbers w:val="0"/>
                    <w:adjustRightInd w:val="0"/>
                    <w:spacing w:before="0" w:beforeAutospacing="0" w:after="0" w:afterAutospacing="0" w:line="240" w:lineRule="auto"/>
                    <w:ind w:left="0" w:right="0" w:firstLine="0" w:firstLineChars="0"/>
                    <w:jc w:val="cente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pPr>
                </w:p>
              </w:tc>
              <w:tc>
                <w:tcPr>
                  <w:tcW w:w="1044" w:type="dxa"/>
                  <w:tcBorders>
                    <w:tl2br w:val="nil"/>
                    <w:tr2bl w:val="nil"/>
                  </w:tcBorders>
                  <w:noWrap w:val="0"/>
                  <w:tcMar>
                    <w:top w:w="0" w:type="dxa"/>
                    <w:left w:w="28" w:type="dxa"/>
                    <w:bottom w:w="0" w:type="dxa"/>
                    <w:right w:w="28" w:type="dxa"/>
                  </w:tcMar>
                  <w:vAlign w:val="center"/>
                </w:tcPr>
                <w:p w14:paraId="329034F6">
                  <w:pPr>
                    <w:keepNext w:val="0"/>
                    <w:keepLines w:val="0"/>
                    <w:widowControl/>
                    <w:suppressLineNumbers w:val="0"/>
                    <w:bidi w:val="0"/>
                    <w:spacing w:before="0" w:beforeAutospacing="0" w:after="0" w:afterAutospacing="0" w:line="240" w:lineRule="auto"/>
                    <w:ind w:left="0" w:right="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9.86</w:t>
                  </w:r>
                </w:p>
              </w:tc>
              <w:tc>
                <w:tcPr>
                  <w:tcW w:w="978" w:type="dxa"/>
                  <w:tcBorders>
                    <w:tl2br w:val="nil"/>
                    <w:tr2bl w:val="nil"/>
                  </w:tcBorders>
                  <w:noWrap w:val="0"/>
                  <w:tcMar>
                    <w:top w:w="0" w:type="dxa"/>
                    <w:left w:w="28" w:type="dxa"/>
                    <w:bottom w:w="0" w:type="dxa"/>
                    <w:right w:w="28" w:type="dxa"/>
                  </w:tcMar>
                  <w:vAlign w:val="center"/>
                </w:tcPr>
                <w:p w14:paraId="100F96D1">
                  <w:pPr>
                    <w:keepNext w:val="0"/>
                    <w:keepLines w:val="0"/>
                    <w:widowControl/>
                    <w:suppressLineNumbers w:val="0"/>
                    <w:bidi w:val="0"/>
                    <w:spacing w:before="0" w:beforeAutospacing="0" w:after="0" w:afterAutospacing="0" w:line="240" w:lineRule="auto"/>
                    <w:ind w:left="0" w:right="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0.0345</w:t>
                  </w:r>
                </w:p>
              </w:tc>
              <w:tc>
                <w:tcPr>
                  <w:tcW w:w="806" w:type="dxa"/>
                  <w:vMerge w:val="continue"/>
                  <w:tcBorders>
                    <w:tl2br w:val="nil"/>
                    <w:tr2bl w:val="nil"/>
                  </w:tcBorders>
                  <w:noWrap w:val="0"/>
                  <w:tcMar>
                    <w:top w:w="0" w:type="dxa"/>
                    <w:left w:w="28" w:type="dxa"/>
                    <w:bottom w:w="0" w:type="dxa"/>
                    <w:right w:w="28" w:type="dxa"/>
                  </w:tcMar>
                  <w:vAlign w:val="center"/>
                </w:tcPr>
                <w:p w14:paraId="58E66C07">
                  <w:pPr>
                    <w:keepNext w:val="0"/>
                    <w:keepLines w:val="0"/>
                    <w:widowControl w:val="0"/>
                    <w:suppressLineNumbers w:val="0"/>
                    <w:bidi w:val="0"/>
                    <w:adjustRightInd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881" w:type="dxa"/>
                  <w:vMerge w:val="continue"/>
                  <w:tcBorders>
                    <w:tl2br w:val="nil"/>
                    <w:tr2bl w:val="nil"/>
                  </w:tcBorders>
                  <w:noWrap w:val="0"/>
                  <w:tcMar>
                    <w:top w:w="0" w:type="dxa"/>
                    <w:left w:w="28" w:type="dxa"/>
                    <w:bottom w:w="0" w:type="dxa"/>
                    <w:right w:w="28" w:type="dxa"/>
                  </w:tcMar>
                  <w:vAlign w:val="center"/>
                </w:tcPr>
                <w:p w14:paraId="51E70D00">
                  <w:pPr>
                    <w:keepNext w:val="0"/>
                    <w:keepLines w:val="0"/>
                    <w:widowControl w:val="0"/>
                    <w:suppressLineNumbers w:val="0"/>
                    <w:bidi w:val="0"/>
                    <w:adjustRightInd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625" w:type="dxa"/>
                  <w:vMerge w:val="continue"/>
                  <w:tcBorders>
                    <w:tl2br w:val="nil"/>
                    <w:tr2bl w:val="nil"/>
                  </w:tcBorders>
                  <w:noWrap w:val="0"/>
                  <w:tcMar>
                    <w:top w:w="0" w:type="dxa"/>
                    <w:left w:w="28" w:type="dxa"/>
                    <w:bottom w:w="0" w:type="dxa"/>
                    <w:right w:w="28" w:type="dxa"/>
                  </w:tcMar>
                  <w:vAlign w:val="center"/>
                </w:tcPr>
                <w:p w14:paraId="19A39CB8">
                  <w:pPr>
                    <w:keepNext w:val="0"/>
                    <w:keepLines w:val="0"/>
                    <w:widowControl w:val="0"/>
                    <w:suppressLineNumbers w:val="0"/>
                    <w:bidi w:val="0"/>
                    <w:adjustRightInd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r>
            <w:tr w14:paraId="2B1E691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17" w:hRule="atLeast"/>
                <w:jc w:val="center"/>
              </w:trPr>
              <w:tc>
                <w:tcPr>
                  <w:tcW w:w="1111" w:type="dxa"/>
                  <w:tcBorders>
                    <w:tl2br w:val="nil"/>
                    <w:tr2bl w:val="nil"/>
                  </w:tcBorders>
                  <w:noWrap w:val="0"/>
                  <w:tcMar>
                    <w:top w:w="0" w:type="dxa"/>
                    <w:left w:w="28" w:type="dxa"/>
                    <w:bottom w:w="0" w:type="dxa"/>
                    <w:right w:w="28" w:type="dxa"/>
                  </w:tcMar>
                  <w:vAlign w:val="center"/>
                </w:tcPr>
                <w:p w14:paraId="323424F1">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创新制剂</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废气排放口</w:t>
                  </w:r>
                  <w:r>
                    <w:rPr>
                      <w:rFonts w:hint="default" w:ascii="Times New Roman" w:hAnsi="Times New Roman" w:eastAsia="宋体" w:cs="Times New Roman"/>
                      <w:color w:val="000000" w:themeColor="text1"/>
                      <w:sz w:val="21"/>
                      <w:szCs w:val="21"/>
                      <w:highlight w:val="none"/>
                      <w14:textFill>
                        <w14:solidFill>
                          <w14:schemeClr w14:val="tx1"/>
                        </w14:solidFill>
                      </w14:textFill>
                    </w:rPr>
                    <w:t>（DA00</w:t>
                  </w:r>
                  <w:r>
                    <w:rPr>
                      <w:rFonts w:hint="eastAsia"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534" w:type="dxa"/>
                  <w:vMerge w:val="continue"/>
                  <w:tcBorders>
                    <w:tl2br w:val="nil"/>
                    <w:tr2bl w:val="nil"/>
                  </w:tcBorders>
                  <w:noWrap w:val="0"/>
                  <w:tcMar>
                    <w:top w:w="0" w:type="dxa"/>
                    <w:left w:w="28" w:type="dxa"/>
                    <w:bottom w:w="0" w:type="dxa"/>
                    <w:right w:w="28" w:type="dxa"/>
                  </w:tcMar>
                  <w:vAlign w:val="center"/>
                </w:tcPr>
                <w:p w14:paraId="10AD1A50">
                  <w:pPr>
                    <w:keepNext w:val="0"/>
                    <w:keepLines w:val="0"/>
                    <w:suppressLineNumbers w:val="0"/>
                    <w:adjustRightInd w:val="0"/>
                    <w:spacing w:before="0" w:beforeAutospacing="0" w:after="0" w:afterAutospacing="0" w:line="240" w:lineRule="auto"/>
                    <w:ind w:left="0" w:right="0" w:firstLine="0" w:firstLineChars="0"/>
                    <w:jc w:val="cente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pPr>
                </w:p>
              </w:tc>
              <w:tc>
                <w:tcPr>
                  <w:tcW w:w="632" w:type="dxa"/>
                  <w:tcBorders>
                    <w:tl2br w:val="nil"/>
                    <w:tr2bl w:val="nil"/>
                  </w:tcBorders>
                  <w:noWrap w:val="0"/>
                  <w:tcMar>
                    <w:top w:w="0" w:type="dxa"/>
                    <w:left w:w="28" w:type="dxa"/>
                    <w:bottom w:w="0" w:type="dxa"/>
                    <w:right w:w="28" w:type="dxa"/>
                  </w:tcMar>
                  <w:vAlign w:val="center"/>
                </w:tcPr>
                <w:p w14:paraId="68093569">
                  <w:pPr>
                    <w:keepNext w:val="0"/>
                    <w:keepLines w:val="0"/>
                    <w:suppressLineNumbers w:val="0"/>
                    <w:adjustRightInd w:val="0"/>
                    <w:spacing w:before="0" w:beforeAutospacing="0" w:after="0" w:afterAutospacing="0" w:line="240" w:lineRule="auto"/>
                    <w:ind w:left="0" w:right="0" w:firstLine="0" w:firstLineChars="0"/>
                    <w:jc w:val="cente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t>颗粒物</w:t>
                  </w:r>
                </w:p>
              </w:tc>
              <w:tc>
                <w:tcPr>
                  <w:tcW w:w="858" w:type="dxa"/>
                  <w:vMerge w:val="continue"/>
                  <w:tcBorders>
                    <w:tl2br w:val="nil"/>
                    <w:tr2bl w:val="nil"/>
                  </w:tcBorders>
                  <w:noWrap w:val="0"/>
                  <w:tcMar>
                    <w:top w:w="0" w:type="dxa"/>
                    <w:left w:w="28" w:type="dxa"/>
                    <w:bottom w:w="0" w:type="dxa"/>
                    <w:right w:w="28" w:type="dxa"/>
                  </w:tcMar>
                  <w:vAlign w:val="center"/>
                </w:tcPr>
                <w:p w14:paraId="1A3DA1E3">
                  <w:pPr>
                    <w:keepNext w:val="0"/>
                    <w:keepLines w:val="0"/>
                    <w:suppressLineNumbers w:val="0"/>
                    <w:adjustRightInd w:val="0"/>
                    <w:spacing w:before="0" w:beforeAutospacing="0" w:after="0" w:afterAutospacing="0" w:line="240" w:lineRule="auto"/>
                    <w:ind w:left="0" w:right="0" w:firstLine="0" w:firstLineChars="0"/>
                    <w:jc w:val="cente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pPr>
                </w:p>
              </w:tc>
              <w:tc>
                <w:tcPr>
                  <w:tcW w:w="1044" w:type="dxa"/>
                  <w:tcBorders>
                    <w:tl2br w:val="nil"/>
                    <w:tr2bl w:val="nil"/>
                  </w:tcBorders>
                  <w:noWrap w:val="0"/>
                  <w:tcMar>
                    <w:top w:w="0" w:type="dxa"/>
                    <w:left w:w="28" w:type="dxa"/>
                    <w:bottom w:w="0" w:type="dxa"/>
                    <w:right w:w="28" w:type="dxa"/>
                  </w:tcMar>
                  <w:vAlign w:val="center"/>
                </w:tcPr>
                <w:p w14:paraId="6E56C478">
                  <w:pPr>
                    <w:keepNext w:val="0"/>
                    <w:keepLines w:val="0"/>
                    <w:widowControl/>
                    <w:suppressLineNumbers w:val="0"/>
                    <w:bidi w:val="0"/>
                    <w:spacing w:before="0" w:beforeAutospacing="0" w:after="0" w:afterAutospacing="0" w:line="240" w:lineRule="auto"/>
                    <w:ind w:left="0" w:right="0"/>
                    <w:jc w:val="center"/>
                    <w:rPr>
                      <w:rFonts w:hint="default"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111.11</w:t>
                  </w:r>
                </w:p>
              </w:tc>
              <w:tc>
                <w:tcPr>
                  <w:tcW w:w="978" w:type="dxa"/>
                  <w:tcBorders>
                    <w:tl2br w:val="nil"/>
                    <w:tr2bl w:val="nil"/>
                  </w:tcBorders>
                  <w:noWrap w:val="0"/>
                  <w:tcMar>
                    <w:top w:w="0" w:type="dxa"/>
                    <w:left w:w="28" w:type="dxa"/>
                    <w:bottom w:w="0" w:type="dxa"/>
                    <w:right w:w="28" w:type="dxa"/>
                  </w:tcMar>
                  <w:vAlign w:val="center"/>
                </w:tcPr>
                <w:p w14:paraId="7CD8E0C5">
                  <w:pPr>
                    <w:keepNext w:val="0"/>
                    <w:keepLines w:val="0"/>
                    <w:widowControl/>
                    <w:suppressLineNumbers w:val="0"/>
                    <w:bidi w:val="0"/>
                    <w:spacing w:before="0" w:beforeAutospacing="0" w:after="0" w:afterAutospacing="0" w:line="240" w:lineRule="auto"/>
                    <w:ind w:left="0" w:right="0"/>
                    <w:jc w:val="center"/>
                    <w:rPr>
                      <w:rFonts w:hint="default"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0.0140</w:t>
                  </w:r>
                </w:p>
              </w:tc>
              <w:tc>
                <w:tcPr>
                  <w:tcW w:w="806" w:type="dxa"/>
                  <w:vMerge w:val="continue"/>
                  <w:tcBorders>
                    <w:tl2br w:val="nil"/>
                    <w:tr2bl w:val="nil"/>
                  </w:tcBorders>
                  <w:noWrap w:val="0"/>
                  <w:tcMar>
                    <w:top w:w="0" w:type="dxa"/>
                    <w:left w:w="28" w:type="dxa"/>
                    <w:bottom w:w="0" w:type="dxa"/>
                    <w:right w:w="28" w:type="dxa"/>
                  </w:tcMar>
                  <w:vAlign w:val="center"/>
                </w:tcPr>
                <w:p w14:paraId="66D2438A">
                  <w:pPr>
                    <w:keepNext w:val="0"/>
                    <w:keepLines w:val="0"/>
                    <w:widowControl w:val="0"/>
                    <w:suppressLineNumbers w:val="0"/>
                    <w:bidi w:val="0"/>
                    <w:adjustRightInd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881" w:type="dxa"/>
                  <w:vMerge w:val="continue"/>
                  <w:tcBorders>
                    <w:tl2br w:val="nil"/>
                    <w:tr2bl w:val="nil"/>
                  </w:tcBorders>
                  <w:noWrap w:val="0"/>
                  <w:tcMar>
                    <w:top w:w="0" w:type="dxa"/>
                    <w:left w:w="28" w:type="dxa"/>
                    <w:bottom w:w="0" w:type="dxa"/>
                    <w:right w:w="28" w:type="dxa"/>
                  </w:tcMar>
                  <w:vAlign w:val="center"/>
                </w:tcPr>
                <w:p w14:paraId="11C66454">
                  <w:pPr>
                    <w:keepNext w:val="0"/>
                    <w:keepLines w:val="0"/>
                    <w:widowControl w:val="0"/>
                    <w:suppressLineNumbers w:val="0"/>
                    <w:bidi w:val="0"/>
                    <w:adjustRightInd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625" w:type="dxa"/>
                  <w:vMerge w:val="continue"/>
                  <w:tcBorders>
                    <w:tl2br w:val="nil"/>
                    <w:tr2bl w:val="nil"/>
                  </w:tcBorders>
                  <w:noWrap w:val="0"/>
                  <w:tcMar>
                    <w:top w:w="0" w:type="dxa"/>
                    <w:left w:w="28" w:type="dxa"/>
                    <w:bottom w:w="0" w:type="dxa"/>
                    <w:right w:w="28" w:type="dxa"/>
                  </w:tcMar>
                  <w:vAlign w:val="center"/>
                </w:tcPr>
                <w:p w14:paraId="1D686E0D">
                  <w:pPr>
                    <w:keepNext w:val="0"/>
                    <w:keepLines w:val="0"/>
                    <w:widowControl w:val="0"/>
                    <w:suppressLineNumbers w:val="0"/>
                    <w:bidi w:val="0"/>
                    <w:adjustRightInd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r>
            <w:tr w14:paraId="2F22D44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17" w:hRule="atLeast"/>
                <w:jc w:val="center"/>
              </w:trPr>
              <w:tc>
                <w:tcPr>
                  <w:tcW w:w="1111" w:type="dxa"/>
                  <w:tcBorders>
                    <w:tl2br w:val="nil"/>
                    <w:tr2bl w:val="nil"/>
                  </w:tcBorders>
                  <w:shd w:val="clear" w:color="auto" w:fill="auto"/>
                  <w:noWrap w:val="0"/>
                  <w:tcMar>
                    <w:top w:w="0" w:type="dxa"/>
                    <w:left w:w="28" w:type="dxa"/>
                    <w:bottom w:w="0" w:type="dxa"/>
                    <w:right w:w="28" w:type="dxa"/>
                  </w:tcMar>
                  <w:vAlign w:val="center"/>
                </w:tcPr>
                <w:p w14:paraId="043B31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highlight w:val="none"/>
                      <w14:textFill>
                        <w14:solidFill>
                          <w14:schemeClr w14:val="tx1"/>
                        </w14:solidFill>
                      </w14:textFill>
                    </w:rPr>
                    <w:t>（DA00</w:t>
                  </w:r>
                  <w:r>
                    <w:rPr>
                      <w:rFonts w:hint="eastAsia" w:cs="Times New Roman"/>
                      <w:color w:val="000000" w:themeColor="text1"/>
                      <w:sz w:val="21"/>
                      <w:szCs w:val="21"/>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534" w:type="dxa"/>
                  <w:vMerge w:val="continue"/>
                  <w:tcBorders>
                    <w:tl2br w:val="nil"/>
                    <w:tr2bl w:val="nil"/>
                  </w:tcBorders>
                  <w:noWrap w:val="0"/>
                  <w:tcMar>
                    <w:top w:w="0" w:type="dxa"/>
                    <w:left w:w="28" w:type="dxa"/>
                    <w:bottom w:w="0" w:type="dxa"/>
                    <w:right w:w="28" w:type="dxa"/>
                  </w:tcMar>
                  <w:vAlign w:val="center"/>
                </w:tcPr>
                <w:p w14:paraId="1638E1C9">
                  <w:pPr>
                    <w:keepNext w:val="0"/>
                    <w:keepLines w:val="0"/>
                    <w:suppressLineNumbers w:val="0"/>
                    <w:adjustRightInd w:val="0"/>
                    <w:spacing w:before="0" w:beforeAutospacing="0" w:after="0" w:afterAutospacing="0" w:line="240" w:lineRule="auto"/>
                    <w:ind w:left="0" w:right="0" w:firstLine="0" w:firstLineChars="0"/>
                    <w:jc w:val="cente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pPr>
                </w:p>
              </w:tc>
              <w:tc>
                <w:tcPr>
                  <w:tcW w:w="632" w:type="dxa"/>
                  <w:tcBorders>
                    <w:tl2br w:val="nil"/>
                    <w:tr2bl w:val="nil"/>
                  </w:tcBorders>
                  <w:noWrap w:val="0"/>
                  <w:tcMar>
                    <w:top w:w="0" w:type="dxa"/>
                    <w:left w:w="28" w:type="dxa"/>
                    <w:bottom w:w="0" w:type="dxa"/>
                    <w:right w:w="28" w:type="dxa"/>
                  </w:tcMar>
                  <w:vAlign w:val="center"/>
                </w:tcPr>
                <w:p w14:paraId="22485FC7">
                  <w:pPr>
                    <w:keepNext w:val="0"/>
                    <w:keepLines w:val="0"/>
                    <w:suppressLineNumbers w:val="0"/>
                    <w:adjustRightInd w:val="0"/>
                    <w:spacing w:before="0" w:beforeAutospacing="0" w:after="0" w:afterAutospacing="0" w:line="240" w:lineRule="auto"/>
                    <w:ind w:left="0" w:leftChars="0" w:right="0" w:rightChars="0" w:firstLine="0" w:firstLineChars="0"/>
                    <w:jc w:val="cente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t>颗粒物</w:t>
                  </w:r>
                </w:p>
              </w:tc>
              <w:tc>
                <w:tcPr>
                  <w:tcW w:w="858" w:type="dxa"/>
                  <w:vMerge w:val="continue"/>
                  <w:tcBorders>
                    <w:tl2br w:val="nil"/>
                    <w:tr2bl w:val="nil"/>
                  </w:tcBorders>
                  <w:noWrap w:val="0"/>
                  <w:tcMar>
                    <w:top w:w="0" w:type="dxa"/>
                    <w:left w:w="28" w:type="dxa"/>
                    <w:bottom w:w="0" w:type="dxa"/>
                    <w:right w:w="28" w:type="dxa"/>
                  </w:tcMar>
                  <w:vAlign w:val="center"/>
                </w:tcPr>
                <w:p w14:paraId="6796DC2C">
                  <w:pPr>
                    <w:keepNext w:val="0"/>
                    <w:keepLines w:val="0"/>
                    <w:suppressLineNumbers w:val="0"/>
                    <w:adjustRightInd w:val="0"/>
                    <w:spacing w:before="0" w:beforeAutospacing="0" w:after="0" w:afterAutospacing="0" w:line="240" w:lineRule="auto"/>
                    <w:ind w:left="0" w:right="0" w:firstLine="0" w:firstLineChars="0"/>
                    <w:jc w:val="cente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pPr>
                </w:p>
              </w:tc>
              <w:tc>
                <w:tcPr>
                  <w:tcW w:w="1044" w:type="dxa"/>
                  <w:tcBorders>
                    <w:tl2br w:val="nil"/>
                    <w:tr2bl w:val="nil"/>
                  </w:tcBorders>
                  <w:noWrap w:val="0"/>
                  <w:tcMar>
                    <w:top w:w="0" w:type="dxa"/>
                    <w:left w:w="28" w:type="dxa"/>
                    <w:bottom w:w="0" w:type="dxa"/>
                    <w:right w:w="28" w:type="dxa"/>
                  </w:tcMar>
                  <w:vAlign w:val="center"/>
                </w:tcPr>
                <w:p w14:paraId="234ED726">
                  <w:pPr>
                    <w:keepNext w:val="0"/>
                    <w:keepLines w:val="0"/>
                    <w:widowControl/>
                    <w:suppressLineNumbers w:val="0"/>
                    <w:bidi w:val="0"/>
                    <w:spacing w:before="0" w:beforeAutospacing="0" w:after="0" w:afterAutospacing="0" w:line="240" w:lineRule="auto"/>
                    <w:ind w:left="0" w:right="0"/>
                    <w:jc w:val="center"/>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844.44</w:t>
                  </w:r>
                </w:p>
              </w:tc>
              <w:tc>
                <w:tcPr>
                  <w:tcW w:w="978" w:type="dxa"/>
                  <w:tcBorders>
                    <w:tl2br w:val="nil"/>
                    <w:tr2bl w:val="nil"/>
                  </w:tcBorders>
                  <w:noWrap w:val="0"/>
                  <w:tcMar>
                    <w:top w:w="0" w:type="dxa"/>
                    <w:left w:w="28" w:type="dxa"/>
                    <w:bottom w:w="0" w:type="dxa"/>
                    <w:right w:w="28" w:type="dxa"/>
                  </w:tcMar>
                  <w:vAlign w:val="center"/>
                </w:tcPr>
                <w:p w14:paraId="47D4D6DB">
                  <w:pPr>
                    <w:keepNext w:val="0"/>
                    <w:keepLines w:val="0"/>
                    <w:widowControl/>
                    <w:suppressLineNumbers w:val="0"/>
                    <w:bidi w:val="0"/>
                    <w:spacing w:before="0" w:beforeAutospacing="0" w:after="0" w:afterAutospacing="0" w:line="240" w:lineRule="auto"/>
                    <w:ind w:left="0" w:right="0"/>
                    <w:jc w:val="center"/>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3.1556</w:t>
                  </w:r>
                </w:p>
              </w:tc>
              <w:tc>
                <w:tcPr>
                  <w:tcW w:w="806" w:type="dxa"/>
                  <w:vMerge w:val="continue"/>
                  <w:tcBorders>
                    <w:tl2br w:val="nil"/>
                    <w:tr2bl w:val="nil"/>
                  </w:tcBorders>
                  <w:noWrap w:val="0"/>
                  <w:tcMar>
                    <w:top w:w="0" w:type="dxa"/>
                    <w:left w:w="28" w:type="dxa"/>
                    <w:bottom w:w="0" w:type="dxa"/>
                    <w:right w:w="28" w:type="dxa"/>
                  </w:tcMar>
                  <w:vAlign w:val="center"/>
                </w:tcPr>
                <w:p w14:paraId="5343BD7C">
                  <w:pPr>
                    <w:keepNext w:val="0"/>
                    <w:keepLines w:val="0"/>
                    <w:widowControl w:val="0"/>
                    <w:suppressLineNumbers w:val="0"/>
                    <w:bidi w:val="0"/>
                    <w:adjustRightInd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881" w:type="dxa"/>
                  <w:vMerge w:val="continue"/>
                  <w:tcBorders>
                    <w:tl2br w:val="nil"/>
                    <w:tr2bl w:val="nil"/>
                  </w:tcBorders>
                  <w:noWrap w:val="0"/>
                  <w:tcMar>
                    <w:top w:w="0" w:type="dxa"/>
                    <w:left w:w="28" w:type="dxa"/>
                    <w:bottom w:w="0" w:type="dxa"/>
                    <w:right w:w="28" w:type="dxa"/>
                  </w:tcMar>
                  <w:vAlign w:val="center"/>
                </w:tcPr>
                <w:p w14:paraId="284DC71A">
                  <w:pPr>
                    <w:keepNext w:val="0"/>
                    <w:keepLines w:val="0"/>
                    <w:widowControl w:val="0"/>
                    <w:suppressLineNumbers w:val="0"/>
                    <w:bidi w:val="0"/>
                    <w:adjustRightInd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625" w:type="dxa"/>
                  <w:vMerge w:val="continue"/>
                  <w:tcBorders>
                    <w:tl2br w:val="nil"/>
                    <w:tr2bl w:val="nil"/>
                  </w:tcBorders>
                  <w:noWrap w:val="0"/>
                  <w:tcMar>
                    <w:top w:w="0" w:type="dxa"/>
                    <w:left w:w="28" w:type="dxa"/>
                    <w:bottom w:w="0" w:type="dxa"/>
                    <w:right w:w="28" w:type="dxa"/>
                  </w:tcMar>
                  <w:vAlign w:val="center"/>
                </w:tcPr>
                <w:p w14:paraId="095EC656">
                  <w:pPr>
                    <w:keepNext w:val="0"/>
                    <w:keepLines w:val="0"/>
                    <w:widowControl w:val="0"/>
                    <w:suppressLineNumbers w:val="0"/>
                    <w:bidi w:val="0"/>
                    <w:adjustRightInd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r>
            <w:tr w14:paraId="07978F6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17" w:hRule="atLeast"/>
                <w:jc w:val="center"/>
              </w:trPr>
              <w:tc>
                <w:tcPr>
                  <w:tcW w:w="1111" w:type="dxa"/>
                  <w:tcBorders>
                    <w:tl2br w:val="nil"/>
                    <w:tr2bl w:val="nil"/>
                  </w:tcBorders>
                  <w:shd w:val="clear" w:color="auto" w:fill="auto"/>
                  <w:noWrap w:val="0"/>
                  <w:tcMar>
                    <w:top w:w="0" w:type="dxa"/>
                    <w:left w:w="28" w:type="dxa"/>
                    <w:bottom w:w="0" w:type="dxa"/>
                    <w:right w:w="28" w:type="dxa"/>
                  </w:tcMar>
                  <w:vAlign w:val="center"/>
                </w:tcPr>
                <w:p w14:paraId="1D3C2C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（DA00</w:t>
                  </w:r>
                  <w:r>
                    <w:rPr>
                      <w:rFonts w:hint="eastAsia" w:cs="Times New Roman"/>
                      <w:color w:val="000000" w:themeColor="text1"/>
                      <w:sz w:val="21"/>
                      <w:szCs w:val="21"/>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534" w:type="dxa"/>
                  <w:vMerge w:val="continue"/>
                  <w:tcBorders>
                    <w:tl2br w:val="nil"/>
                    <w:tr2bl w:val="nil"/>
                  </w:tcBorders>
                  <w:noWrap w:val="0"/>
                  <w:tcMar>
                    <w:top w:w="0" w:type="dxa"/>
                    <w:left w:w="28" w:type="dxa"/>
                    <w:bottom w:w="0" w:type="dxa"/>
                    <w:right w:w="28" w:type="dxa"/>
                  </w:tcMar>
                  <w:vAlign w:val="center"/>
                </w:tcPr>
                <w:p w14:paraId="75D55856">
                  <w:pPr>
                    <w:keepNext w:val="0"/>
                    <w:keepLines w:val="0"/>
                    <w:suppressLineNumbers w:val="0"/>
                    <w:adjustRightInd w:val="0"/>
                    <w:spacing w:before="0" w:beforeAutospacing="0" w:after="0" w:afterAutospacing="0" w:line="240" w:lineRule="auto"/>
                    <w:ind w:left="0" w:right="0" w:firstLine="0" w:firstLineChars="0"/>
                    <w:jc w:val="cente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pPr>
                </w:p>
              </w:tc>
              <w:tc>
                <w:tcPr>
                  <w:tcW w:w="632" w:type="dxa"/>
                  <w:tcBorders>
                    <w:tl2br w:val="nil"/>
                    <w:tr2bl w:val="nil"/>
                  </w:tcBorders>
                  <w:noWrap w:val="0"/>
                  <w:tcMar>
                    <w:top w:w="0" w:type="dxa"/>
                    <w:left w:w="28" w:type="dxa"/>
                    <w:bottom w:w="0" w:type="dxa"/>
                    <w:right w:w="28" w:type="dxa"/>
                  </w:tcMar>
                  <w:vAlign w:val="center"/>
                </w:tcPr>
                <w:p w14:paraId="220E0425">
                  <w:pPr>
                    <w:keepNext w:val="0"/>
                    <w:keepLines w:val="0"/>
                    <w:suppressLineNumbers w:val="0"/>
                    <w:adjustRightInd w:val="0"/>
                    <w:spacing w:before="0" w:beforeAutospacing="0" w:after="0" w:afterAutospacing="0" w:line="240" w:lineRule="auto"/>
                    <w:ind w:left="0" w:leftChars="0" w:right="0" w:rightChars="0" w:firstLine="0" w:firstLineChars="0"/>
                    <w:jc w:val="cente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t>颗粒物</w:t>
                  </w:r>
                </w:p>
              </w:tc>
              <w:tc>
                <w:tcPr>
                  <w:tcW w:w="858" w:type="dxa"/>
                  <w:vMerge w:val="continue"/>
                  <w:tcBorders>
                    <w:tl2br w:val="nil"/>
                    <w:tr2bl w:val="nil"/>
                  </w:tcBorders>
                  <w:noWrap w:val="0"/>
                  <w:tcMar>
                    <w:top w:w="0" w:type="dxa"/>
                    <w:left w:w="28" w:type="dxa"/>
                    <w:bottom w:w="0" w:type="dxa"/>
                    <w:right w:w="28" w:type="dxa"/>
                  </w:tcMar>
                  <w:vAlign w:val="center"/>
                </w:tcPr>
                <w:p w14:paraId="00B9CC99">
                  <w:pPr>
                    <w:keepNext w:val="0"/>
                    <w:keepLines w:val="0"/>
                    <w:suppressLineNumbers w:val="0"/>
                    <w:adjustRightInd w:val="0"/>
                    <w:spacing w:before="0" w:beforeAutospacing="0" w:after="0" w:afterAutospacing="0" w:line="240" w:lineRule="auto"/>
                    <w:ind w:left="0" w:right="0" w:firstLine="0" w:firstLineChars="0"/>
                    <w:jc w:val="cente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pPr>
                </w:p>
              </w:tc>
              <w:tc>
                <w:tcPr>
                  <w:tcW w:w="1044" w:type="dxa"/>
                  <w:tcBorders>
                    <w:tl2br w:val="nil"/>
                    <w:tr2bl w:val="nil"/>
                  </w:tcBorders>
                  <w:noWrap w:val="0"/>
                  <w:tcMar>
                    <w:top w:w="0" w:type="dxa"/>
                    <w:left w:w="28" w:type="dxa"/>
                    <w:bottom w:w="0" w:type="dxa"/>
                    <w:right w:w="28" w:type="dxa"/>
                  </w:tcMar>
                  <w:vAlign w:val="center"/>
                </w:tcPr>
                <w:p w14:paraId="2AF0CF4D">
                  <w:pPr>
                    <w:keepNext w:val="0"/>
                    <w:keepLines w:val="0"/>
                    <w:widowControl/>
                    <w:suppressLineNumbers w:val="0"/>
                    <w:bidi w:val="0"/>
                    <w:spacing w:before="0" w:beforeAutospacing="0" w:after="0" w:afterAutospacing="0" w:line="240" w:lineRule="auto"/>
                    <w:ind w:left="0" w:right="0"/>
                    <w:jc w:val="center"/>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555.56</w:t>
                  </w:r>
                </w:p>
              </w:tc>
              <w:tc>
                <w:tcPr>
                  <w:tcW w:w="978" w:type="dxa"/>
                  <w:tcBorders>
                    <w:tl2br w:val="nil"/>
                    <w:tr2bl w:val="nil"/>
                  </w:tcBorders>
                  <w:noWrap w:val="0"/>
                  <w:tcMar>
                    <w:top w:w="0" w:type="dxa"/>
                    <w:left w:w="28" w:type="dxa"/>
                    <w:bottom w:w="0" w:type="dxa"/>
                    <w:right w:w="28" w:type="dxa"/>
                  </w:tcMar>
                  <w:vAlign w:val="center"/>
                </w:tcPr>
                <w:p w14:paraId="31B170CF">
                  <w:pPr>
                    <w:keepNext w:val="0"/>
                    <w:keepLines w:val="0"/>
                    <w:widowControl/>
                    <w:suppressLineNumbers w:val="0"/>
                    <w:bidi w:val="0"/>
                    <w:spacing w:before="0" w:beforeAutospacing="0" w:after="0" w:afterAutospacing="0" w:line="240" w:lineRule="auto"/>
                    <w:ind w:left="0" w:right="0"/>
                    <w:jc w:val="center"/>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2.0889</w:t>
                  </w:r>
                </w:p>
              </w:tc>
              <w:tc>
                <w:tcPr>
                  <w:tcW w:w="806" w:type="dxa"/>
                  <w:vMerge w:val="continue"/>
                  <w:tcBorders>
                    <w:tl2br w:val="nil"/>
                    <w:tr2bl w:val="nil"/>
                  </w:tcBorders>
                  <w:noWrap w:val="0"/>
                  <w:tcMar>
                    <w:top w:w="0" w:type="dxa"/>
                    <w:left w:w="28" w:type="dxa"/>
                    <w:bottom w:w="0" w:type="dxa"/>
                    <w:right w:w="28" w:type="dxa"/>
                  </w:tcMar>
                  <w:vAlign w:val="center"/>
                </w:tcPr>
                <w:p w14:paraId="516DDCA0">
                  <w:pPr>
                    <w:keepNext w:val="0"/>
                    <w:keepLines w:val="0"/>
                    <w:widowControl w:val="0"/>
                    <w:suppressLineNumbers w:val="0"/>
                    <w:bidi w:val="0"/>
                    <w:adjustRightInd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881" w:type="dxa"/>
                  <w:vMerge w:val="continue"/>
                  <w:tcBorders>
                    <w:tl2br w:val="nil"/>
                    <w:tr2bl w:val="nil"/>
                  </w:tcBorders>
                  <w:noWrap w:val="0"/>
                  <w:tcMar>
                    <w:top w:w="0" w:type="dxa"/>
                    <w:left w:w="28" w:type="dxa"/>
                    <w:bottom w:w="0" w:type="dxa"/>
                    <w:right w:w="28" w:type="dxa"/>
                  </w:tcMar>
                  <w:vAlign w:val="center"/>
                </w:tcPr>
                <w:p w14:paraId="33DCDAB8">
                  <w:pPr>
                    <w:keepNext w:val="0"/>
                    <w:keepLines w:val="0"/>
                    <w:widowControl w:val="0"/>
                    <w:suppressLineNumbers w:val="0"/>
                    <w:bidi w:val="0"/>
                    <w:adjustRightInd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625" w:type="dxa"/>
                  <w:vMerge w:val="continue"/>
                  <w:tcBorders>
                    <w:tl2br w:val="nil"/>
                    <w:tr2bl w:val="nil"/>
                  </w:tcBorders>
                  <w:noWrap w:val="0"/>
                  <w:tcMar>
                    <w:top w:w="0" w:type="dxa"/>
                    <w:left w:w="28" w:type="dxa"/>
                    <w:bottom w:w="0" w:type="dxa"/>
                    <w:right w:w="28" w:type="dxa"/>
                  </w:tcMar>
                  <w:vAlign w:val="center"/>
                </w:tcPr>
                <w:p w14:paraId="62269514">
                  <w:pPr>
                    <w:keepNext w:val="0"/>
                    <w:keepLines w:val="0"/>
                    <w:widowControl w:val="0"/>
                    <w:suppressLineNumbers w:val="0"/>
                    <w:bidi w:val="0"/>
                    <w:adjustRightInd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r>
            <w:tr w14:paraId="195E14D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17" w:hRule="atLeast"/>
                <w:jc w:val="center"/>
              </w:trPr>
              <w:tc>
                <w:tcPr>
                  <w:tcW w:w="1111" w:type="dxa"/>
                  <w:tcBorders>
                    <w:tl2br w:val="nil"/>
                    <w:tr2bl w:val="nil"/>
                  </w:tcBorders>
                  <w:shd w:val="clear" w:color="auto" w:fill="auto"/>
                  <w:noWrap w:val="0"/>
                  <w:tcMar>
                    <w:top w:w="0" w:type="dxa"/>
                    <w:left w:w="28" w:type="dxa"/>
                    <w:bottom w:w="0" w:type="dxa"/>
                    <w:right w:w="28" w:type="dxa"/>
                  </w:tcMar>
                  <w:vAlign w:val="center"/>
                </w:tcPr>
                <w:p w14:paraId="1EB026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14:textFill>
                        <w14:solidFill>
                          <w14:schemeClr w14:val="tx1"/>
                        </w14:solidFill>
                      </w14:textFill>
                    </w:rPr>
                    <w:t>（DA00</w:t>
                  </w:r>
                  <w:r>
                    <w:rPr>
                      <w:rFonts w:hint="eastAsia" w:cs="Times New Roman"/>
                      <w:color w:val="000000" w:themeColor="text1"/>
                      <w:sz w:val="21"/>
                      <w:szCs w:val="21"/>
                      <w:highlight w:val="none"/>
                      <w:lang w:val="en-US" w:eastAsia="zh-CN"/>
                      <w14:textFill>
                        <w14:solidFill>
                          <w14:schemeClr w14:val="tx1"/>
                        </w14:solidFill>
                      </w14:textFill>
                    </w:rPr>
                    <w:t>8</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534" w:type="dxa"/>
                  <w:vMerge w:val="continue"/>
                  <w:tcBorders>
                    <w:tl2br w:val="nil"/>
                    <w:tr2bl w:val="nil"/>
                  </w:tcBorders>
                  <w:noWrap w:val="0"/>
                  <w:tcMar>
                    <w:top w:w="0" w:type="dxa"/>
                    <w:left w:w="28" w:type="dxa"/>
                    <w:bottom w:w="0" w:type="dxa"/>
                    <w:right w:w="28" w:type="dxa"/>
                  </w:tcMar>
                  <w:vAlign w:val="center"/>
                </w:tcPr>
                <w:p w14:paraId="7FEE00F9">
                  <w:pPr>
                    <w:keepNext w:val="0"/>
                    <w:keepLines w:val="0"/>
                    <w:suppressLineNumbers w:val="0"/>
                    <w:adjustRightInd w:val="0"/>
                    <w:spacing w:before="0" w:beforeAutospacing="0" w:after="0" w:afterAutospacing="0" w:line="240" w:lineRule="auto"/>
                    <w:ind w:left="0" w:right="0" w:firstLine="0" w:firstLineChars="0"/>
                    <w:jc w:val="cente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pPr>
                </w:p>
              </w:tc>
              <w:tc>
                <w:tcPr>
                  <w:tcW w:w="632" w:type="dxa"/>
                  <w:tcBorders>
                    <w:tl2br w:val="nil"/>
                    <w:tr2bl w:val="nil"/>
                  </w:tcBorders>
                  <w:noWrap w:val="0"/>
                  <w:tcMar>
                    <w:top w:w="0" w:type="dxa"/>
                    <w:left w:w="28" w:type="dxa"/>
                    <w:bottom w:w="0" w:type="dxa"/>
                    <w:right w:w="28" w:type="dxa"/>
                  </w:tcMar>
                  <w:vAlign w:val="center"/>
                </w:tcPr>
                <w:p w14:paraId="4082951B">
                  <w:pPr>
                    <w:keepNext w:val="0"/>
                    <w:keepLines w:val="0"/>
                    <w:suppressLineNumbers w:val="0"/>
                    <w:adjustRightInd w:val="0"/>
                    <w:spacing w:before="0" w:beforeAutospacing="0" w:after="0" w:afterAutospacing="0" w:line="240" w:lineRule="auto"/>
                    <w:ind w:left="0" w:leftChars="0" w:right="0" w:rightChars="0" w:firstLine="0" w:firstLineChars="0"/>
                    <w:jc w:val="cente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t>颗粒物</w:t>
                  </w:r>
                </w:p>
              </w:tc>
              <w:tc>
                <w:tcPr>
                  <w:tcW w:w="858" w:type="dxa"/>
                  <w:vMerge w:val="continue"/>
                  <w:tcBorders>
                    <w:tl2br w:val="nil"/>
                    <w:tr2bl w:val="nil"/>
                  </w:tcBorders>
                  <w:noWrap w:val="0"/>
                  <w:tcMar>
                    <w:top w:w="0" w:type="dxa"/>
                    <w:left w:w="28" w:type="dxa"/>
                    <w:bottom w:w="0" w:type="dxa"/>
                    <w:right w:w="28" w:type="dxa"/>
                  </w:tcMar>
                  <w:vAlign w:val="center"/>
                </w:tcPr>
                <w:p w14:paraId="03D4E965">
                  <w:pPr>
                    <w:keepNext w:val="0"/>
                    <w:keepLines w:val="0"/>
                    <w:suppressLineNumbers w:val="0"/>
                    <w:adjustRightInd w:val="0"/>
                    <w:spacing w:before="0" w:beforeAutospacing="0" w:after="0" w:afterAutospacing="0" w:line="240" w:lineRule="auto"/>
                    <w:ind w:left="0" w:right="0" w:firstLine="0" w:firstLineChars="0"/>
                    <w:jc w:val="cente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pPr>
                </w:p>
              </w:tc>
              <w:tc>
                <w:tcPr>
                  <w:tcW w:w="1044" w:type="dxa"/>
                  <w:tcBorders>
                    <w:tl2br w:val="nil"/>
                    <w:tr2bl w:val="nil"/>
                  </w:tcBorders>
                  <w:noWrap w:val="0"/>
                  <w:tcMar>
                    <w:top w:w="0" w:type="dxa"/>
                    <w:left w:w="28" w:type="dxa"/>
                    <w:bottom w:w="0" w:type="dxa"/>
                    <w:right w:w="28" w:type="dxa"/>
                  </w:tcMar>
                  <w:vAlign w:val="center"/>
                </w:tcPr>
                <w:p w14:paraId="2F980ABA">
                  <w:pPr>
                    <w:keepNext w:val="0"/>
                    <w:keepLines w:val="0"/>
                    <w:widowControl/>
                    <w:suppressLineNumbers w:val="0"/>
                    <w:bidi w:val="0"/>
                    <w:spacing w:before="0" w:beforeAutospacing="0" w:after="0" w:afterAutospacing="0" w:line="240" w:lineRule="auto"/>
                    <w:ind w:left="0" w:right="0"/>
                    <w:jc w:val="center"/>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511.11</w:t>
                  </w:r>
                </w:p>
              </w:tc>
              <w:tc>
                <w:tcPr>
                  <w:tcW w:w="978" w:type="dxa"/>
                  <w:tcBorders>
                    <w:tl2br w:val="nil"/>
                    <w:tr2bl w:val="nil"/>
                  </w:tcBorders>
                  <w:noWrap w:val="0"/>
                  <w:tcMar>
                    <w:top w:w="0" w:type="dxa"/>
                    <w:left w:w="28" w:type="dxa"/>
                    <w:bottom w:w="0" w:type="dxa"/>
                    <w:right w:w="28" w:type="dxa"/>
                  </w:tcMar>
                  <w:vAlign w:val="center"/>
                </w:tcPr>
                <w:p w14:paraId="3C313332">
                  <w:pPr>
                    <w:keepNext w:val="0"/>
                    <w:keepLines w:val="0"/>
                    <w:widowControl/>
                    <w:suppressLineNumbers w:val="0"/>
                    <w:bidi w:val="0"/>
                    <w:spacing w:before="0" w:beforeAutospacing="0" w:after="0" w:afterAutospacing="0" w:line="240" w:lineRule="auto"/>
                    <w:ind w:left="0" w:right="0"/>
                    <w:jc w:val="center"/>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1.80</w:t>
                  </w:r>
                </w:p>
              </w:tc>
              <w:tc>
                <w:tcPr>
                  <w:tcW w:w="806" w:type="dxa"/>
                  <w:vMerge w:val="continue"/>
                  <w:tcBorders>
                    <w:tl2br w:val="nil"/>
                    <w:tr2bl w:val="nil"/>
                  </w:tcBorders>
                  <w:noWrap w:val="0"/>
                  <w:tcMar>
                    <w:top w:w="0" w:type="dxa"/>
                    <w:left w:w="28" w:type="dxa"/>
                    <w:bottom w:w="0" w:type="dxa"/>
                    <w:right w:w="28" w:type="dxa"/>
                  </w:tcMar>
                  <w:vAlign w:val="center"/>
                </w:tcPr>
                <w:p w14:paraId="258C2A0F">
                  <w:pPr>
                    <w:keepNext w:val="0"/>
                    <w:keepLines w:val="0"/>
                    <w:widowControl w:val="0"/>
                    <w:suppressLineNumbers w:val="0"/>
                    <w:bidi w:val="0"/>
                    <w:adjustRightInd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881" w:type="dxa"/>
                  <w:vMerge w:val="continue"/>
                  <w:tcBorders>
                    <w:tl2br w:val="nil"/>
                    <w:tr2bl w:val="nil"/>
                  </w:tcBorders>
                  <w:noWrap w:val="0"/>
                  <w:tcMar>
                    <w:top w:w="0" w:type="dxa"/>
                    <w:left w:w="28" w:type="dxa"/>
                    <w:bottom w:w="0" w:type="dxa"/>
                    <w:right w:w="28" w:type="dxa"/>
                  </w:tcMar>
                  <w:vAlign w:val="center"/>
                </w:tcPr>
                <w:p w14:paraId="30969DE9">
                  <w:pPr>
                    <w:keepNext w:val="0"/>
                    <w:keepLines w:val="0"/>
                    <w:widowControl w:val="0"/>
                    <w:suppressLineNumbers w:val="0"/>
                    <w:bidi w:val="0"/>
                    <w:adjustRightInd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625" w:type="dxa"/>
                  <w:vMerge w:val="continue"/>
                  <w:tcBorders>
                    <w:tl2br w:val="nil"/>
                    <w:tr2bl w:val="nil"/>
                  </w:tcBorders>
                  <w:noWrap w:val="0"/>
                  <w:tcMar>
                    <w:top w:w="0" w:type="dxa"/>
                    <w:left w:w="28" w:type="dxa"/>
                    <w:bottom w:w="0" w:type="dxa"/>
                    <w:right w:w="28" w:type="dxa"/>
                  </w:tcMar>
                  <w:vAlign w:val="center"/>
                </w:tcPr>
                <w:p w14:paraId="0BF43D00">
                  <w:pPr>
                    <w:keepNext w:val="0"/>
                    <w:keepLines w:val="0"/>
                    <w:widowControl w:val="0"/>
                    <w:suppressLineNumbers w:val="0"/>
                    <w:bidi w:val="0"/>
                    <w:adjustRightInd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r>
            <w:tr w14:paraId="0761146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17" w:hRule="atLeast"/>
                <w:jc w:val="center"/>
              </w:trPr>
              <w:tc>
                <w:tcPr>
                  <w:tcW w:w="1111" w:type="dxa"/>
                  <w:tcBorders>
                    <w:tl2br w:val="nil"/>
                    <w:tr2bl w:val="nil"/>
                  </w:tcBorders>
                  <w:shd w:val="clear" w:color="auto" w:fill="auto"/>
                  <w:noWrap w:val="0"/>
                  <w:tcMar>
                    <w:top w:w="0" w:type="dxa"/>
                    <w:left w:w="28" w:type="dxa"/>
                    <w:bottom w:w="0" w:type="dxa"/>
                    <w:right w:w="28" w:type="dxa"/>
                  </w:tcMar>
                  <w:vAlign w:val="center"/>
                </w:tcPr>
                <w:p w14:paraId="300D84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1"/>
                      <w:szCs w:val="21"/>
                      <w:highlight w:val="none"/>
                      <w14:textFill>
                        <w14:solidFill>
                          <w14:schemeClr w14:val="tx1"/>
                        </w14:solidFill>
                      </w14:textFill>
                    </w:rPr>
                    <w:t>（DA00</w:t>
                  </w:r>
                  <w:r>
                    <w:rPr>
                      <w:rFonts w:hint="eastAsia" w:cs="Times New Roman"/>
                      <w:color w:val="000000" w:themeColor="text1"/>
                      <w:sz w:val="21"/>
                      <w:szCs w:val="21"/>
                      <w:highlight w:val="none"/>
                      <w:lang w:val="en-US" w:eastAsia="zh-CN"/>
                      <w14:textFill>
                        <w14:solidFill>
                          <w14:schemeClr w14:val="tx1"/>
                        </w14:solidFill>
                      </w14:textFill>
                    </w:rPr>
                    <w:t>9</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534" w:type="dxa"/>
                  <w:vMerge w:val="continue"/>
                  <w:tcBorders>
                    <w:tl2br w:val="nil"/>
                    <w:tr2bl w:val="nil"/>
                  </w:tcBorders>
                  <w:noWrap w:val="0"/>
                  <w:tcMar>
                    <w:top w:w="0" w:type="dxa"/>
                    <w:left w:w="28" w:type="dxa"/>
                    <w:bottom w:w="0" w:type="dxa"/>
                    <w:right w:w="28" w:type="dxa"/>
                  </w:tcMar>
                  <w:vAlign w:val="center"/>
                </w:tcPr>
                <w:p w14:paraId="435076D4">
                  <w:pPr>
                    <w:keepNext w:val="0"/>
                    <w:keepLines w:val="0"/>
                    <w:suppressLineNumbers w:val="0"/>
                    <w:adjustRightInd w:val="0"/>
                    <w:spacing w:before="0" w:beforeAutospacing="0" w:after="0" w:afterAutospacing="0" w:line="240" w:lineRule="auto"/>
                    <w:ind w:left="0" w:right="0" w:firstLine="0" w:firstLineChars="0"/>
                    <w:jc w:val="cente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pPr>
                </w:p>
              </w:tc>
              <w:tc>
                <w:tcPr>
                  <w:tcW w:w="632" w:type="dxa"/>
                  <w:tcBorders>
                    <w:tl2br w:val="nil"/>
                    <w:tr2bl w:val="nil"/>
                  </w:tcBorders>
                  <w:noWrap w:val="0"/>
                  <w:tcMar>
                    <w:top w:w="0" w:type="dxa"/>
                    <w:left w:w="28" w:type="dxa"/>
                    <w:bottom w:w="0" w:type="dxa"/>
                    <w:right w:w="28" w:type="dxa"/>
                  </w:tcMar>
                  <w:vAlign w:val="center"/>
                </w:tcPr>
                <w:p w14:paraId="7CB6842B">
                  <w:pPr>
                    <w:keepNext w:val="0"/>
                    <w:keepLines w:val="0"/>
                    <w:suppressLineNumbers w:val="0"/>
                    <w:adjustRightInd w:val="0"/>
                    <w:spacing w:before="0" w:beforeAutospacing="0" w:after="0" w:afterAutospacing="0" w:line="240" w:lineRule="auto"/>
                    <w:ind w:left="0" w:leftChars="0" w:right="0" w:rightChars="0" w:firstLine="0" w:firstLineChars="0"/>
                    <w:jc w:val="cente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t>颗粒物</w:t>
                  </w:r>
                </w:p>
              </w:tc>
              <w:tc>
                <w:tcPr>
                  <w:tcW w:w="858" w:type="dxa"/>
                  <w:vMerge w:val="continue"/>
                  <w:tcBorders>
                    <w:tl2br w:val="nil"/>
                    <w:tr2bl w:val="nil"/>
                  </w:tcBorders>
                  <w:noWrap w:val="0"/>
                  <w:tcMar>
                    <w:top w:w="0" w:type="dxa"/>
                    <w:left w:w="28" w:type="dxa"/>
                    <w:bottom w:w="0" w:type="dxa"/>
                    <w:right w:w="28" w:type="dxa"/>
                  </w:tcMar>
                  <w:vAlign w:val="center"/>
                </w:tcPr>
                <w:p w14:paraId="09C1FD60">
                  <w:pPr>
                    <w:keepNext w:val="0"/>
                    <w:keepLines w:val="0"/>
                    <w:suppressLineNumbers w:val="0"/>
                    <w:adjustRightInd w:val="0"/>
                    <w:spacing w:before="0" w:beforeAutospacing="0" w:after="0" w:afterAutospacing="0" w:line="240" w:lineRule="auto"/>
                    <w:ind w:left="0" w:right="0" w:firstLine="0" w:firstLineChars="0"/>
                    <w:jc w:val="cente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pPr>
                </w:p>
              </w:tc>
              <w:tc>
                <w:tcPr>
                  <w:tcW w:w="1044" w:type="dxa"/>
                  <w:tcBorders>
                    <w:tl2br w:val="nil"/>
                    <w:tr2bl w:val="nil"/>
                  </w:tcBorders>
                  <w:noWrap w:val="0"/>
                  <w:tcMar>
                    <w:top w:w="0" w:type="dxa"/>
                    <w:left w:w="28" w:type="dxa"/>
                    <w:bottom w:w="0" w:type="dxa"/>
                    <w:right w:w="28" w:type="dxa"/>
                  </w:tcMar>
                  <w:vAlign w:val="center"/>
                </w:tcPr>
                <w:p w14:paraId="015C5177">
                  <w:pPr>
                    <w:keepNext w:val="0"/>
                    <w:keepLines w:val="0"/>
                    <w:widowControl/>
                    <w:suppressLineNumbers w:val="0"/>
                    <w:bidi w:val="0"/>
                    <w:spacing w:before="0" w:beforeAutospacing="0" w:after="0" w:afterAutospacing="0" w:line="240" w:lineRule="auto"/>
                    <w:ind w:left="0" w:right="0"/>
                    <w:jc w:val="center"/>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 xml:space="preserve">1066.6 </w:t>
                  </w:r>
                </w:p>
              </w:tc>
              <w:tc>
                <w:tcPr>
                  <w:tcW w:w="978" w:type="dxa"/>
                  <w:tcBorders>
                    <w:tl2br w:val="nil"/>
                    <w:tr2bl w:val="nil"/>
                  </w:tcBorders>
                  <w:noWrap w:val="0"/>
                  <w:tcMar>
                    <w:top w:w="0" w:type="dxa"/>
                    <w:left w:w="28" w:type="dxa"/>
                    <w:bottom w:w="0" w:type="dxa"/>
                    <w:right w:w="28" w:type="dxa"/>
                  </w:tcMar>
                  <w:vAlign w:val="center"/>
                </w:tcPr>
                <w:p w14:paraId="645AFA5A">
                  <w:pPr>
                    <w:keepNext w:val="0"/>
                    <w:keepLines w:val="0"/>
                    <w:widowControl/>
                    <w:suppressLineNumbers w:val="0"/>
                    <w:bidi w:val="0"/>
                    <w:spacing w:before="0" w:beforeAutospacing="0" w:after="0" w:afterAutospacing="0" w:line="240" w:lineRule="auto"/>
                    <w:ind w:left="0" w:right="0"/>
                    <w:jc w:val="center"/>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4.0444</w:t>
                  </w:r>
                </w:p>
              </w:tc>
              <w:tc>
                <w:tcPr>
                  <w:tcW w:w="806" w:type="dxa"/>
                  <w:vMerge w:val="continue"/>
                  <w:tcBorders>
                    <w:tl2br w:val="nil"/>
                    <w:tr2bl w:val="nil"/>
                  </w:tcBorders>
                  <w:noWrap w:val="0"/>
                  <w:tcMar>
                    <w:top w:w="0" w:type="dxa"/>
                    <w:left w:w="28" w:type="dxa"/>
                    <w:bottom w:w="0" w:type="dxa"/>
                    <w:right w:w="28" w:type="dxa"/>
                  </w:tcMar>
                  <w:vAlign w:val="center"/>
                </w:tcPr>
                <w:p w14:paraId="4DF0FE9C">
                  <w:pPr>
                    <w:keepNext w:val="0"/>
                    <w:keepLines w:val="0"/>
                    <w:widowControl w:val="0"/>
                    <w:suppressLineNumbers w:val="0"/>
                    <w:bidi w:val="0"/>
                    <w:adjustRightInd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881" w:type="dxa"/>
                  <w:vMerge w:val="continue"/>
                  <w:tcBorders>
                    <w:tl2br w:val="nil"/>
                    <w:tr2bl w:val="nil"/>
                  </w:tcBorders>
                  <w:noWrap w:val="0"/>
                  <w:tcMar>
                    <w:top w:w="0" w:type="dxa"/>
                    <w:left w:w="28" w:type="dxa"/>
                    <w:bottom w:w="0" w:type="dxa"/>
                    <w:right w:w="28" w:type="dxa"/>
                  </w:tcMar>
                  <w:vAlign w:val="center"/>
                </w:tcPr>
                <w:p w14:paraId="6FDF9CC5">
                  <w:pPr>
                    <w:keepNext w:val="0"/>
                    <w:keepLines w:val="0"/>
                    <w:widowControl w:val="0"/>
                    <w:suppressLineNumbers w:val="0"/>
                    <w:bidi w:val="0"/>
                    <w:adjustRightInd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625" w:type="dxa"/>
                  <w:vMerge w:val="continue"/>
                  <w:tcBorders>
                    <w:tl2br w:val="nil"/>
                    <w:tr2bl w:val="nil"/>
                  </w:tcBorders>
                  <w:noWrap w:val="0"/>
                  <w:tcMar>
                    <w:top w:w="0" w:type="dxa"/>
                    <w:left w:w="28" w:type="dxa"/>
                    <w:bottom w:w="0" w:type="dxa"/>
                    <w:right w:w="28" w:type="dxa"/>
                  </w:tcMar>
                  <w:vAlign w:val="center"/>
                </w:tcPr>
                <w:p w14:paraId="5E191F33">
                  <w:pPr>
                    <w:keepNext w:val="0"/>
                    <w:keepLines w:val="0"/>
                    <w:widowControl w:val="0"/>
                    <w:suppressLineNumbers w:val="0"/>
                    <w:bidi w:val="0"/>
                    <w:adjustRightInd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r>
            <w:tr w14:paraId="65CC26A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17" w:hRule="atLeast"/>
                <w:jc w:val="center"/>
              </w:trPr>
              <w:tc>
                <w:tcPr>
                  <w:tcW w:w="1111" w:type="dxa"/>
                  <w:tcBorders>
                    <w:tl2br w:val="nil"/>
                    <w:tr2bl w:val="nil"/>
                  </w:tcBorders>
                  <w:shd w:val="clear" w:color="auto" w:fill="auto"/>
                  <w:noWrap w:val="0"/>
                  <w:tcMar>
                    <w:top w:w="0" w:type="dxa"/>
                    <w:left w:w="28" w:type="dxa"/>
                    <w:bottom w:w="0" w:type="dxa"/>
                    <w:right w:w="28" w:type="dxa"/>
                  </w:tcMar>
                  <w:vAlign w:val="center"/>
                </w:tcPr>
                <w:p w14:paraId="0BD126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highlight w:val="none"/>
                      <w14:textFill>
                        <w14:solidFill>
                          <w14:schemeClr w14:val="tx1"/>
                        </w14:solidFill>
                      </w14:textFill>
                    </w:rPr>
                    <w:t>（DA0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10</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534" w:type="dxa"/>
                  <w:vMerge w:val="continue"/>
                  <w:tcBorders>
                    <w:tl2br w:val="nil"/>
                    <w:tr2bl w:val="nil"/>
                  </w:tcBorders>
                  <w:noWrap w:val="0"/>
                  <w:tcMar>
                    <w:top w:w="0" w:type="dxa"/>
                    <w:left w:w="28" w:type="dxa"/>
                    <w:bottom w:w="0" w:type="dxa"/>
                    <w:right w:w="28" w:type="dxa"/>
                  </w:tcMar>
                  <w:vAlign w:val="center"/>
                </w:tcPr>
                <w:p w14:paraId="77280870">
                  <w:pPr>
                    <w:keepNext w:val="0"/>
                    <w:keepLines w:val="0"/>
                    <w:suppressLineNumbers w:val="0"/>
                    <w:adjustRightInd w:val="0"/>
                    <w:spacing w:before="0" w:beforeAutospacing="0" w:after="0" w:afterAutospacing="0" w:line="240" w:lineRule="auto"/>
                    <w:ind w:left="0" w:right="0" w:firstLine="0" w:firstLineChars="0"/>
                    <w:jc w:val="cente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pPr>
                </w:p>
              </w:tc>
              <w:tc>
                <w:tcPr>
                  <w:tcW w:w="632" w:type="dxa"/>
                  <w:tcBorders>
                    <w:tl2br w:val="nil"/>
                    <w:tr2bl w:val="nil"/>
                  </w:tcBorders>
                  <w:noWrap w:val="0"/>
                  <w:tcMar>
                    <w:top w:w="0" w:type="dxa"/>
                    <w:left w:w="28" w:type="dxa"/>
                    <w:bottom w:w="0" w:type="dxa"/>
                    <w:right w:w="28" w:type="dxa"/>
                  </w:tcMar>
                  <w:vAlign w:val="center"/>
                </w:tcPr>
                <w:p w14:paraId="63C62C17">
                  <w:pPr>
                    <w:keepNext w:val="0"/>
                    <w:keepLines w:val="0"/>
                    <w:suppressLineNumbers w:val="0"/>
                    <w:adjustRightInd w:val="0"/>
                    <w:spacing w:before="0" w:beforeAutospacing="0" w:after="0" w:afterAutospacing="0" w:line="240" w:lineRule="auto"/>
                    <w:ind w:left="0" w:leftChars="0" w:right="0" w:rightChars="0" w:firstLine="0" w:firstLineChars="0"/>
                    <w:jc w:val="cente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t>颗粒物</w:t>
                  </w:r>
                </w:p>
              </w:tc>
              <w:tc>
                <w:tcPr>
                  <w:tcW w:w="858" w:type="dxa"/>
                  <w:vMerge w:val="continue"/>
                  <w:tcBorders>
                    <w:tl2br w:val="nil"/>
                    <w:tr2bl w:val="nil"/>
                  </w:tcBorders>
                  <w:noWrap w:val="0"/>
                  <w:tcMar>
                    <w:top w:w="0" w:type="dxa"/>
                    <w:left w:w="28" w:type="dxa"/>
                    <w:bottom w:w="0" w:type="dxa"/>
                    <w:right w:w="28" w:type="dxa"/>
                  </w:tcMar>
                  <w:vAlign w:val="center"/>
                </w:tcPr>
                <w:p w14:paraId="38652353">
                  <w:pPr>
                    <w:keepNext w:val="0"/>
                    <w:keepLines w:val="0"/>
                    <w:suppressLineNumbers w:val="0"/>
                    <w:adjustRightInd w:val="0"/>
                    <w:spacing w:before="0" w:beforeAutospacing="0" w:after="0" w:afterAutospacing="0" w:line="240" w:lineRule="auto"/>
                    <w:ind w:left="0" w:right="0" w:firstLine="0" w:firstLineChars="0"/>
                    <w:jc w:val="cente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pPr>
                </w:p>
              </w:tc>
              <w:tc>
                <w:tcPr>
                  <w:tcW w:w="1044" w:type="dxa"/>
                  <w:tcBorders>
                    <w:tl2br w:val="nil"/>
                    <w:tr2bl w:val="nil"/>
                  </w:tcBorders>
                  <w:noWrap w:val="0"/>
                  <w:tcMar>
                    <w:top w:w="0" w:type="dxa"/>
                    <w:left w:w="28" w:type="dxa"/>
                    <w:bottom w:w="0" w:type="dxa"/>
                    <w:right w:w="28" w:type="dxa"/>
                  </w:tcMar>
                  <w:vAlign w:val="center"/>
                </w:tcPr>
                <w:p w14:paraId="1C37D32E">
                  <w:pPr>
                    <w:keepNext w:val="0"/>
                    <w:keepLines w:val="0"/>
                    <w:widowControl/>
                    <w:suppressLineNumbers w:val="0"/>
                    <w:bidi w:val="0"/>
                    <w:spacing w:before="0" w:beforeAutospacing="0" w:after="0" w:afterAutospacing="0" w:line="240" w:lineRule="auto"/>
                    <w:ind w:left="0" w:right="0"/>
                    <w:jc w:val="center"/>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1200.0</w:t>
                  </w:r>
                </w:p>
              </w:tc>
              <w:tc>
                <w:tcPr>
                  <w:tcW w:w="978" w:type="dxa"/>
                  <w:tcBorders>
                    <w:tl2br w:val="nil"/>
                    <w:tr2bl w:val="nil"/>
                  </w:tcBorders>
                  <w:noWrap w:val="0"/>
                  <w:tcMar>
                    <w:top w:w="0" w:type="dxa"/>
                    <w:left w:w="28" w:type="dxa"/>
                    <w:bottom w:w="0" w:type="dxa"/>
                    <w:right w:w="28" w:type="dxa"/>
                  </w:tcMar>
                  <w:vAlign w:val="center"/>
                </w:tcPr>
                <w:p w14:paraId="5F5BF9A1">
                  <w:pPr>
                    <w:keepNext w:val="0"/>
                    <w:keepLines w:val="0"/>
                    <w:widowControl/>
                    <w:suppressLineNumbers w:val="0"/>
                    <w:bidi w:val="0"/>
                    <w:spacing w:before="0" w:beforeAutospacing="0" w:after="0" w:afterAutospacing="0" w:line="240" w:lineRule="auto"/>
                    <w:ind w:left="0" w:right="0"/>
                    <w:jc w:val="center"/>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4.0667</w:t>
                  </w:r>
                </w:p>
              </w:tc>
              <w:tc>
                <w:tcPr>
                  <w:tcW w:w="806" w:type="dxa"/>
                  <w:vMerge w:val="continue"/>
                  <w:tcBorders>
                    <w:tl2br w:val="nil"/>
                    <w:tr2bl w:val="nil"/>
                  </w:tcBorders>
                  <w:noWrap w:val="0"/>
                  <w:tcMar>
                    <w:top w:w="0" w:type="dxa"/>
                    <w:left w:w="28" w:type="dxa"/>
                    <w:bottom w:w="0" w:type="dxa"/>
                    <w:right w:w="28" w:type="dxa"/>
                  </w:tcMar>
                  <w:vAlign w:val="center"/>
                </w:tcPr>
                <w:p w14:paraId="1DD4BA8F">
                  <w:pPr>
                    <w:keepNext w:val="0"/>
                    <w:keepLines w:val="0"/>
                    <w:widowControl w:val="0"/>
                    <w:suppressLineNumbers w:val="0"/>
                    <w:bidi w:val="0"/>
                    <w:adjustRightInd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881" w:type="dxa"/>
                  <w:vMerge w:val="continue"/>
                  <w:tcBorders>
                    <w:tl2br w:val="nil"/>
                    <w:tr2bl w:val="nil"/>
                  </w:tcBorders>
                  <w:noWrap w:val="0"/>
                  <w:tcMar>
                    <w:top w:w="0" w:type="dxa"/>
                    <w:left w:w="28" w:type="dxa"/>
                    <w:bottom w:w="0" w:type="dxa"/>
                    <w:right w:w="28" w:type="dxa"/>
                  </w:tcMar>
                  <w:vAlign w:val="center"/>
                </w:tcPr>
                <w:p w14:paraId="75C85EAB">
                  <w:pPr>
                    <w:keepNext w:val="0"/>
                    <w:keepLines w:val="0"/>
                    <w:widowControl w:val="0"/>
                    <w:suppressLineNumbers w:val="0"/>
                    <w:bidi w:val="0"/>
                    <w:adjustRightInd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625" w:type="dxa"/>
                  <w:vMerge w:val="continue"/>
                  <w:tcBorders>
                    <w:tl2br w:val="nil"/>
                    <w:tr2bl w:val="nil"/>
                  </w:tcBorders>
                  <w:noWrap w:val="0"/>
                  <w:tcMar>
                    <w:top w:w="0" w:type="dxa"/>
                    <w:left w:w="28" w:type="dxa"/>
                    <w:bottom w:w="0" w:type="dxa"/>
                    <w:right w:w="28" w:type="dxa"/>
                  </w:tcMar>
                  <w:vAlign w:val="center"/>
                </w:tcPr>
                <w:p w14:paraId="3D64946D">
                  <w:pPr>
                    <w:keepNext w:val="0"/>
                    <w:keepLines w:val="0"/>
                    <w:widowControl w:val="0"/>
                    <w:suppressLineNumbers w:val="0"/>
                    <w:bidi w:val="0"/>
                    <w:adjustRightInd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r>
            <w:tr w14:paraId="161897E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17" w:hRule="atLeast"/>
                <w:jc w:val="center"/>
              </w:trPr>
              <w:tc>
                <w:tcPr>
                  <w:tcW w:w="1111" w:type="dxa"/>
                  <w:tcBorders>
                    <w:tl2br w:val="nil"/>
                    <w:tr2bl w:val="nil"/>
                  </w:tcBorders>
                  <w:shd w:val="clear" w:color="auto" w:fill="auto"/>
                  <w:noWrap w:val="0"/>
                  <w:tcMar>
                    <w:top w:w="0" w:type="dxa"/>
                    <w:left w:w="28" w:type="dxa"/>
                    <w:bottom w:w="0" w:type="dxa"/>
                    <w:right w:w="28" w:type="dxa"/>
                  </w:tcMar>
                  <w:vAlign w:val="center"/>
                </w:tcPr>
                <w:p w14:paraId="294FB9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1"/>
                      <w:szCs w:val="21"/>
                      <w:highlight w:val="none"/>
                      <w14:textFill>
                        <w14:solidFill>
                          <w14:schemeClr w14:val="tx1"/>
                        </w14:solidFill>
                      </w14:textFill>
                    </w:rPr>
                    <w:t>（DA0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11</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534" w:type="dxa"/>
                  <w:vMerge w:val="continue"/>
                  <w:tcBorders>
                    <w:tl2br w:val="nil"/>
                    <w:tr2bl w:val="nil"/>
                  </w:tcBorders>
                  <w:noWrap w:val="0"/>
                  <w:tcMar>
                    <w:top w:w="0" w:type="dxa"/>
                    <w:left w:w="28" w:type="dxa"/>
                    <w:bottom w:w="0" w:type="dxa"/>
                    <w:right w:w="28" w:type="dxa"/>
                  </w:tcMar>
                  <w:vAlign w:val="center"/>
                </w:tcPr>
                <w:p w14:paraId="4E3EFD06">
                  <w:pPr>
                    <w:keepNext w:val="0"/>
                    <w:keepLines w:val="0"/>
                    <w:suppressLineNumbers w:val="0"/>
                    <w:adjustRightInd w:val="0"/>
                    <w:spacing w:before="0" w:beforeAutospacing="0" w:after="0" w:afterAutospacing="0" w:line="240" w:lineRule="auto"/>
                    <w:ind w:left="0" w:right="0" w:firstLine="0" w:firstLineChars="0"/>
                    <w:jc w:val="cente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pPr>
                </w:p>
              </w:tc>
              <w:tc>
                <w:tcPr>
                  <w:tcW w:w="632" w:type="dxa"/>
                  <w:tcBorders>
                    <w:tl2br w:val="nil"/>
                    <w:tr2bl w:val="nil"/>
                  </w:tcBorders>
                  <w:noWrap w:val="0"/>
                  <w:tcMar>
                    <w:top w:w="0" w:type="dxa"/>
                    <w:left w:w="28" w:type="dxa"/>
                    <w:bottom w:w="0" w:type="dxa"/>
                    <w:right w:w="28" w:type="dxa"/>
                  </w:tcMar>
                  <w:vAlign w:val="center"/>
                </w:tcPr>
                <w:p w14:paraId="0D382E2E">
                  <w:pPr>
                    <w:keepNext w:val="0"/>
                    <w:keepLines w:val="0"/>
                    <w:suppressLineNumbers w:val="0"/>
                    <w:adjustRightInd w:val="0"/>
                    <w:spacing w:before="0" w:beforeAutospacing="0" w:after="0" w:afterAutospacing="0" w:line="240" w:lineRule="auto"/>
                    <w:ind w:left="0" w:leftChars="0" w:right="0" w:rightChars="0" w:firstLine="0" w:firstLineChars="0"/>
                    <w:jc w:val="cente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t>颗粒物</w:t>
                  </w:r>
                </w:p>
              </w:tc>
              <w:tc>
                <w:tcPr>
                  <w:tcW w:w="858" w:type="dxa"/>
                  <w:vMerge w:val="continue"/>
                  <w:tcBorders>
                    <w:tl2br w:val="nil"/>
                    <w:tr2bl w:val="nil"/>
                  </w:tcBorders>
                  <w:noWrap w:val="0"/>
                  <w:tcMar>
                    <w:top w:w="0" w:type="dxa"/>
                    <w:left w:w="28" w:type="dxa"/>
                    <w:bottom w:w="0" w:type="dxa"/>
                    <w:right w:w="28" w:type="dxa"/>
                  </w:tcMar>
                  <w:vAlign w:val="center"/>
                </w:tcPr>
                <w:p w14:paraId="78AC293E">
                  <w:pPr>
                    <w:keepNext w:val="0"/>
                    <w:keepLines w:val="0"/>
                    <w:suppressLineNumbers w:val="0"/>
                    <w:adjustRightInd w:val="0"/>
                    <w:spacing w:before="0" w:beforeAutospacing="0" w:after="0" w:afterAutospacing="0" w:line="240" w:lineRule="auto"/>
                    <w:ind w:left="0" w:right="0" w:firstLine="0" w:firstLineChars="0"/>
                    <w:jc w:val="cente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pPr>
                </w:p>
              </w:tc>
              <w:tc>
                <w:tcPr>
                  <w:tcW w:w="1044" w:type="dxa"/>
                  <w:tcBorders>
                    <w:tl2br w:val="nil"/>
                    <w:tr2bl w:val="nil"/>
                  </w:tcBorders>
                  <w:noWrap w:val="0"/>
                  <w:tcMar>
                    <w:top w:w="0" w:type="dxa"/>
                    <w:left w:w="28" w:type="dxa"/>
                    <w:bottom w:w="0" w:type="dxa"/>
                    <w:right w:w="28" w:type="dxa"/>
                  </w:tcMar>
                  <w:vAlign w:val="center"/>
                </w:tcPr>
                <w:p w14:paraId="327B2EEC">
                  <w:pPr>
                    <w:keepNext w:val="0"/>
                    <w:keepLines w:val="0"/>
                    <w:widowControl/>
                    <w:suppressLineNumbers w:val="0"/>
                    <w:bidi w:val="0"/>
                    <w:spacing w:before="0" w:beforeAutospacing="0" w:after="0" w:afterAutospacing="0" w:line="240" w:lineRule="auto"/>
                    <w:ind w:left="0" w:right="0"/>
                    <w:jc w:val="center"/>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577.78</w:t>
                  </w:r>
                </w:p>
              </w:tc>
              <w:tc>
                <w:tcPr>
                  <w:tcW w:w="978" w:type="dxa"/>
                  <w:tcBorders>
                    <w:tl2br w:val="nil"/>
                    <w:tr2bl w:val="nil"/>
                  </w:tcBorders>
                  <w:noWrap w:val="0"/>
                  <w:tcMar>
                    <w:top w:w="0" w:type="dxa"/>
                    <w:left w:w="28" w:type="dxa"/>
                    <w:bottom w:w="0" w:type="dxa"/>
                    <w:right w:w="28" w:type="dxa"/>
                  </w:tcMar>
                  <w:vAlign w:val="center"/>
                </w:tcPr>
                <w:p w14:paraId="4B722C48">
                  <w:pPr>
                    <w:keepNext w:val="0"/>
                    <w:keepLines w:val="0"/>
                    <w:widowControl/>
                    <w:suppressLineNumbers w:val="0"/>
                    <w:bidi w:val="0"/>
                    <w:spacing w:before="0" w:beforeAutospacing="0" w:after="0" w:afterAutospacing="0" w:line="240" w:lineRule="auto"/>
                    <w:ind w:left="0" w:right="0"/>
                    <w:jc w:val="center"/>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2.0222</w:t>
                  </w:r>
                </w:p>
              </w:tc>
              <w:tc>
                <w:tcPr>
                  <w:tcW w:w="806" w:type="dxa"/>
                  <w:vMerge w:val="continue"/>
                  <w:tcBorders>
                    <w:tl2br w:val="nil"/>
                    <w:tr2bl w:val="nil"/>
                  </w:tcBorders>
                  <w:noWrap w:val="0"/>
                  <w:tcMar>
                    <w:top w:w="0" w:type="dxa"/>
                    <w:left w:w="28" w:type="dxa"/>
                    <w:bottom w:w="0" w:type="dxa"/>
                    <w:right w:w="28" w:type="dxa"/>
                  </w:tcMar>
                  <w:vAlign w:val="center"/>
                </w:tcPr>
                <w:p w14:paraId="60DDB6DC">
                  <w:pPr>
                    <w:keepNext w:val="0"/>
                    <w:keepLines w:val="0"/>
                    <w:widowControl w:val="0"/>
                    <w:suppressLineNumbers w:val="0"/>
                    <w:bidi w:val="0"/>
                    <w:adjustRightInd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881" w:type="dxa"/>
                  <w:vMerge w:val="continue"/>
                  <w:tcBorders>
                    <w:tl2br w:val="nil"/>
                    <w:tr2bl w:val="nil"/>
                  </w:tcBorders>
                  <w:noWrap w:val="0"/>
                  <w:tcMar>
                    <w:top w:w="0" w:type="dxa"/>
                    <w:left w:w="28" w:type="dxa"/>
                    <w:bottom w:w="0" w:type="dxa"/>
                    <w:right w:w="28" w:type="dxa"/>
                  </w:tcMar>
                  <w:vAlign w:val="center"/>
                </w:tcPr>
                <w:p w14:paraId="31CB5725">
                  <w:pPr>
                    <w:keepNext w:val="0"/>
                    <w:keepLines w:val="0"/>
                    <w:widowControl w:val="0"/>
                    <w:suppressLineNumbers w:val="0"/>
                    <w:bidi w:val="0"/>
                    <w:adjustRightInd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625" w:type="dxa"/>
                  <w:vMerge w:val="continue"/>
                  <w:tcBorders>
                    <w:tl2br w:val="nil"/>
                    <w:tr2bl w:val="nil"/>
                  </w:tcBorders>
                  <w:noWrap w:val="0"/>
                  <w:tcMar>
                    <w:top w:w="0" w:type="dxa"/>
                    <w:left w:w="28" w:type="dxa"/>
                    <w:bottom w:w="0" w:type="dxa"/>
                    <w:right w:w="28" w:type="dxa"/>
                  </w:tcMar>
                  <w:vAlign w:val="center"/>
                </w:tcPr>
                <w:p w14:paraId="7FC19CB9">
                  <w:pPr>
                    <w:keepNext w:val="0"/>
                    <w:keepLines w:val="0"/>
                    <w:widowControl w:val="0"/>
                    <w:suppressLineNumbers w:val="0"/>
                    <w:bidi w:val="0"/>
                    <w:adjustRightInd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r>
            <w:tr w14:paraId="65F2B79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17" w:hRule="atLeast"/>
                <w:jc w:val="center"/>
              </w:trPr>
              <w:tc>
                <w:tcPr>
                  <w:tcW w:w="1111" w:type="dxa"/>
                  <w:tcBorders>
                    <w:tl2br w:val="nil"/>
                    <w:tr2bl w:val="nil"/>
                  </w:tcBorders>
                  <w:shd w:val="clear" w:color="auto" w:fill="auto"/>
                  <w:noWrap w:val="0"/>
                  <w:tcMar>
                    <w:top w:w="0" w:type="dxa"/>
                    <w:left w:w="28" w:type="dxa"/>
                    <w:bottom w:w="0" w:type="dxa"/>
                    <w:right w:w="28" w:type="dxa"/>
                  </w:tcMar>
                  <w:vAlign w:val="center"/>
                </w:tcPr>
                <w:p w14:paraId="73103C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z w:val="21"/>
                      <w:szCs w:val="21"/>
                      <w:highlight w:val="none"/>
                      <w14:textFill>
                        <w14:solidFill>
                          <w14:schemeClr w14:val="tx1"/>
                        </w14:solidFill>
                      </w14:textFill>
                    </w:rPr>
                    <w:t>（DA0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12</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534" w:type="dxa"/>
                  <w:vMerge w:val="continue"/>
                  <w:tcBorders>
                    <w:tl2br w:val="nil"/>
                    <w:tr2bl w:val="nil"/>
                  </w:tcBorders>
                  <w:noWrap w:val="0"/>
                  <w:tcMar>
                    <w:top w:w="0" w:type="dxa"/>
                    <w:left w:w="28" w:type="dxa"/>
                    <w:bottom w:w="0" w:type="dxa"/>
                    <w:right w:w="28" w:type="dxa"/>
                  </w:tcMar>
                  <w:vAlign w:val="center"/>
                </w:tcPr>
                <w:p w14:paraId="6997A2AB">
                  <w:pPr>
                    <w:keepNext w:val="0"/>
                    <w:keepLines w:val="0"/>
                    <w:suppressLineNumbers w:val="0"/>
                    <w:adjustRightInd w:val="0"/>
                    <w:spacing w:before="0" w:beforeAutospacing="0" w:after="0" w:afterAutospacing="0" w:line="240" w:lineRule="auto"/>
                    <w:ind w:left="0" w:right="0" w:firstLine="0" w:firstLineChars="0"/>
                    <w:jc w:val="cente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pPr>
                </w:p>
              </w:tc>
              <w:tc>
                <w:tcPr>
                  <w:tcW w:w="632" w:type="dxa"/>
                  <w:tcBorders>
                    <w:tl2br w:val="nil"/>
                    <w:tr2bl w:val="nil"/>
                  </w:tcBorders>
                  <w:noWrap w:val="0"/>
                  <w:tcMar>
                    <w:top w:w="0" w:type="dxa"/>
                    <w:left w:w="28" w:type="dxa"/>
                    <w:bottom w:w="0" w:type="dxa"/>
                    <w:right w:w="28" w:type="dxa"/>
                  </w:tcMar>
                  <w:vAlign w:val="center"/>
                </w:tcPr>
                <w:p w14:paraId="4CA51CF5">
                  <w:pPr>
                    <w:keepNext w:val="0"/>
                    <w:keepLines w:val="0"/>
                    <w:suppressLineNumbers w:val="0"/>
                    <w:adjustRightInd w:val="0"/>
                    <w:spacing w:before="0" w:beforeAutospacing="0" w:after="0" w:afterAutospacing="0" w:line="240" w:lineRule="auto"/>
                    <w:ind w:left="0" w:leftChars="0" w:right="0" w:rightChars="0" w:firstLine="0" w:firstLineChars="0"/>
                    <w:jc w:val="cente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t>颗粒物</w:t>
                  </w:r>
                </w:p>
              </w:tc>
              <w:tc>
                <w:tcPr>
                  <w:tcW w:w="858" w:type="dxa"/>
                  <w:vMerge w:val="continue"/>
                  <w:tcBorders>
                    <w:tl2br w:val="nil"/>
                    <w:tr2bl w:val="nil"/>
                  </w:tcBorders>
                  <w:noWrap w:val="0"/>
                  <w:tcMar>
                    <w:top w:w="0" w:type="dxa"/>
                    <w:left w:w="28" w:type="dxa"/>
                    <w:bottom w:w="0" w:type="dxa"/>
                    <w:right w:w="28" w:type="dxa"/>
                  </w:tcMar>
                  <w:vAlign w:val="center"/>
                </w:tcPr>
                <w:p w14:paraId="05E3FC77">
                  <w:pPr>
                    <w:keepNext w:val="0"/>
                    <w:keepLines w:val="0"/>
                    <w:suppressLineNumbers w:val="0"/>
                    <w:adjustRightInd w:val="0"/>
                    <w:spacing w:before="0" w:beforeAutospacing="0" w:after="0" w:afterAutospacing="0" w:line="240" w:lineRule="auto"/>
                    <w:ind w:left="0" w:right="0" w:firstLine="0" w:firstLineChars="0"/>
                    <w:jc w:val="cente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pPr>
                </w:p>
              </w:tc>
              <w:tc>
                <w:tcPr>
                  <w:tcW w:w="1044" w:type="dxa"/>
                  <w:tcBorders>
                    <w:tl2br w:val="nil"/>
                    <w:tr2bl w:val="nil"/>
                  </w:tcBorders>
                  <w:noWrap w:val="0"/>
                  <w:tcMar>
                    <w:top w:w="0" w:type="dxa"/>
                    <w:left w:w="28" w:type="dxa"/>
                    <w:bottom w:w="0" w:type="dxa"/>
                    <w:right w:w="28" w:type="dxa"/>
                  </w:tcMar>
                  <w:vAlign w:val="center"/>
                </w:tcPr>
                <w:p w14:paraId="2ABD347B">
                  <w:pPr>
                    <w:keepNext w:val="0"/>
                    <w:keepLines w:val="0"/>
                    <w:widowControl/>
                    <w:suppressLineNumbers w:val="0"/>
                    <w:bidi w:val="0"/>
                    <w:spacing w:before="0" w:beforeAutospacing="0" w:after="0" w:afterAutospacing="0" w:line="240" w:lineRule="auto"/>
                    <w:ind w:left="0" w:right="0"/>
                    <w:jc w:val="center"/>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1644.44</w:t>
                  </w:r>
                </w:p>
              </w:tc>
              <w:tc>
                <w:tcPr>
                  <w:tcW w:w="978" w:type="dxa"/>
                  <w:tcBorders>
                    <w:tl2br w:val="nil"/>
                    <w:tr2bl w:val="nil"/>
                  </w:tcBorders>
                  <w:noWrap w:val="0"/>
                  <w:tcMar>
                    <w:top w:w="0" w:type="dxa"/>
                    <w:left w:w="28" w:type="dxa"/>
                    <w:bottom w:w="0" w:type="dxa"/>
                    <w:right w:w="28" w:type="dxa"/>
                  </w:tcMar>
                  <w:vAlign w:val="center"/>
                </w:tcPr>
                <w:p w14:paraId="7F7530E6">
                  <w:pPr>
                    <w:keepNext w:val="0"/>
                    <w:keepLines w:val="0"/>
                    <w:widowControl/>
                    <w:suppressLineNumbers w:val="0"/>
                    <w:bidi w:val="0"/>
                    <w:spacing w:before="0" w:beforeAutospacing="0" w:after="0" w:afterAutospacing="0" w:line="240" w:lineRule="auto"/>
                    <w:ind w:left="0" w:right="0"/>
                    <w:jc w:val="center"/>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 xml:space="preserve">6.1556 </w:t>
                  </w:r>
                </w:p>
              </w:tc>
              <w:tc>
                <w:tcPr>
                  <w:tcW w:w="806" w:type="dxa"/>
                  <w:vMerge w:val="continue"/>
                  <w:tcBorders>
                    <w:tl2br w:val="nil"/>
                    <w:tr2bl w:val="nil"/>
                  </w:tcBorders>
                  <w:noWrap w:val="0"/>
                  <w:tcMar>
                    <w:top w:w="0" w:type="dxa"/>
                    <w:left w:w="28" w:type="dxa"/>
                    <w:bottom w:w="0" w:type="dxa"/>
                    <w:right w:w="28" w:type="dxa"/>
                  </w:tcMar>
                  <w:vAlign w:val="center"/>
                </w:tcPr>
                <w:p w14:paraId="0584B35A">
                  <w:pPr>
                    <w:keepNext w:val="0"/>
                    <w:keepLines w:val="0"/>
                    <w:widowControl w:val="0"/>
                    <w:suppressLineNumbers w:val="0"/>
                    <w:bidi w:val="0"/>
                    <w:adjustRightInd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881" w:type="dxa"/>
                  <w:vMerge w:val="continue"/>
                  <w:tcBorders>
                    <w:tl2br w:val="nil"/>
                    <w:tr2bl w:val="nil"/>
                  </w:tcBorders>
                  <w:noWrap w:val="0"/>
                  <w:tcMar>
                    <w:top w:w="0" w:type="dxa"/>
                    <w:left w:w="28" w:type="dxa"/>
                    <w:bottom w:w="0" w:type="dxa"/>
                    <w:right w:w="28" w:type="dxa"/>
                  </w:tcMar>
                  <w:vAlign w:val="center"/>
                </w:tcPr>
                <w:p w14:paraId="32B6A15F">
                  <w:pPr>
                    <w:keepNext w:val="0"/>
                    <w:keepLines w:val="0"/>
                    <w:widowControl w:val="0"/>
                    <w:suppressLineNumbers w:val="0"/>
                    <w:bidi w:val="0"/>
                    <w:adjustRightInd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625" w:type="dxa"/>
                  <w:vMerge w:val="continue"/>
                  <w:tcBorders>
                    <w:tl2br w:val="nil"/>
                    <w:tr2bl w:val="nil"/>
                  </w:tcBorders>
                  <w:noWrap w:val="0"/>
                  <w:tcMar>
                    <w:top w:w="0" w:type="dxa"/>
                    <w:left w:w="28" w:type="dxa"/>
                    <w:bottom w:w="0" w:type="dxa"/>
                    <w:right w:w="28" w:type="dxa"/>
                  </w:tcMar>
                  <w:vAlign w:val="center"/>
                </w:tcPr>
                <w:p w14:paraId="75111860">
                  <w:pPr>
                    <w:keepNext w:val="0"/>
                    <w:keepLines w:val="0"/>
                    <w:widowControl w:val="0"/>
                    <w:suppressLineNumbers w:val="0"/>
                    <w:bidi w:val="0"/>
                    <w:adjustRightInd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r>
            <w:tr w14:paraId="6254021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17" w:hRule="atLeast"/>
                <w:jc w:val="center"/>
              </w:trPr>
              <w:tc>
                <w:tcPr>
                  <w:tcW w:w="1111" w:type="dxa"/>
                  <w:tcBorders>
                    <w:tl2br w:val="nil"/>
                    <w:tr2bl w:val="nil"/>
                  </w:tcBorders>
                  <w:shd w:val="clear" w:color="auto" w:fill="auto"/>
                  <w:noWrap w:val="0"/>
                  <w:tcMar>
                    <w:top w:w="0" w:type="dxa"/>
                    <w:left w:w="28" w:type="dxa"/>
                    <w:bottom w:w="0" w:type="dxa"/>
                    <w:right w:w="28" w:type="dxa"/>
                  </w:tcMar>
                  <w:vAlign w:val="center"/>
                </w:tcPr>
                <w:p w14:paraId="55C0A4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8</w:t>
                  </w:r>
                  <w:r>
                    <w:rPr>
                      <w:rFonts w:hint="default" w:ascii="Times New Roman" w:hAnsi="Times New Roman" w:eastAsia="宋体" w:cs="Times New Roman"/>
                      <w:color w:val="000000" w:themeColor="text1"/>
                      <w:sz w:val="21"/>
                      <w:szCs w:val="21"/>
                      <w:highlight w:val="none"/>
                      <w14:textFill>
                        <w14:solidFill>
                          <w14:schemeClr w14:val="tx1"/>
                        </w14:solidFill>
                      </w14:textFill>
                    </w:rPr>
                    <w:t>（DA0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13</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534" w:type="dxa"/>
                  <w:vMerge w:val="continue"/>
                  <w:tcBorders>
                    <w:tl2br w:val="nil"/>
                    <w:tr2bl w:val="nil"/>
                  </w:tcBorders>
                  <w:noWrap w:val="0"/>
                  <w:tcMar>
                    <w:top w:w="0" w:type="dxa"/>
                    <w:left w:w="28" w:type="dxa"/>
                    <w:bottom w:w="0" w:type="dxa"/>
                    <w:right w:w="28" w:type="dxa"/>
                  </w:tcMar>
                  <w:vAlign w:val="center"/>
                </w:tcPr>
                <w:p w14:paraId="0A0E543E">
                  <w:pPr>
                    <w:keepNext w:val="0"/>
                    <w:keepLines w:val="0"/>
                    <w:suppressLineNumbers w:val="0"/>
                    <w:adjustRightInd w:val="0"/>
                    <w:spacing w:before="0" w:beforeAutospacing="0" w:after="0" w:afterAutospacing="0" w:line="240" w:lineRule="auto"/>
                    <w:ind w:left="0" w:right="0" w:firstLine="0" w:firstLineChars="0"/>
                    <w:jc w:val="cente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pPr>
                </w:p>
              </w:tc>
              <w:tc>
                <w:tcPr>
                  <w:tcW w:w="632" w:type="dxa"/>
                  <w:tcBorders>
                    <w:tl2br w:val="nil"/>
                    <w:tr2bl w:val="nil"/>
                  </w:tcBorders>
                  <w:noWrap w:val="0"/>
                  <w:tcMar>
                    <w:top w:w="0" w:type="dxa"/>
                    <w:left w:w="28" w:type="dxa"/>
                    <w:bottom w:w="0" w:type="dxa"/>
                    <w:right w:w="28" w:type="dxa"/>
                  </w:tcMar>
                  <w:vAlign w:val="center"/>
                </w:tcPr>
                <w:p w14:paraId="4ADE5785">
                  <w:pPr>
                    <w:keepNext w:val="0"/>
                    <w:keepLines w:val="0"/>
                    <w:suppressLineNumbers w:val="0"/>
                    <w:adjustRightInd w:val="0"/>
                    <w:spacing w:before="0" w:beforeAutospacing="0" w:after="0" w:afterAutospacing="0" w:line="240" w:lineRule="auto"/>
                    <w:ind w:left="0" w:leftChars="0" w:right="0" w:rightChars="0" w:firstLine="0" w:firstLineChars="0"/>
                    <w:jc w:val="cente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t>颗粒物</w:t>
                  </w:r>
                </w:p>
              </w:tc>
              <w:tc>
                <w:tcPr>
                  <w:tcW w:w="858" w:type="dxa"/>
                  <w:vMerge w:val="continue"/>
                  <w:tcBorders>
                    <w:tl2br w:val="nil"/>
                    <w:tr2bl w:val="nil"/>
                  </w:tcBorders>
                  <w:noWrap w:val="0"/>
                  <w:tcMar>
                    <w:top w:w="0" w:type="dxa"/>
                    <w:left w:w="28" w:type="dxa"/>
                    <w:bottom w:w="0" w:type="dxa"/>
                    <w:right w:w="28" w:type="dxa"/>
                  </w:tcMar>
                  <w:vAlign w:val="center"/>
                </w:tcPr>
                <w:p w14:paraId="084B3483">
                  <w:pPr>
                    <w:keepNext w:val="0"/>
                    <w:keepLines w:val="0"/>
                    <w:suppressLineNumbers w:val="0"/>
                    <w:adjustRightInd w:val="0"/>
                    <w:spacing w:before="0" w:beforeAutospacing="0" w:after="0" w:afterAutospacing="0" w:line="240" w:lineRule="auto"/>
                    <w:ind w:left="0" w:right="0" w:firstLine="0" w:firstLineChars="0"/>
                    <w:jc w:val="center"/>
                    <w:rPr>
                      <w:rFonts w:hint="eastAsia" w:ascii="Times New Roman" w:hAnsi="Times New Roman" w:cs="Times New Roman"/>
                      <w:color w:val="000000" w:themeColor="text1"/>
                      <w:sz w:val="21"/>
                      <w:szCs w:val="21"/>
                      <w:highlight w:val="none"/>
                      <w:lang w:val="en-US" w:eastAsia="zh-CN" w:bidi="ar-SA"/>
                      <w14:textFill>
                        <w14:solidFill>
                          <w14:schemeClr w14:val="tx1"/>
                        </w14:solidFill>
                      </w14:textFill>
                    </w:rPr>
                  </w:pPr>
                </w:p>
              </w:tc>
              <w:tc>
                <w:tcPr>
                  <w:tcW w:w="1044" w:type="dxa"/>
                  <w:tcBorders>
                    <w:tl2br w:val="nil"/>
                    <w:tr2bl w:val="nil"/>
                  </w:tcBorders>
                  <w:noWrap w:val="0"/>
                  <w:tcMar>
                    <w:top w:w="0" w:type="dxa"/>
                    <w:left w:w="28" w:type="dxa"/>
                    <w:bottom w:w="0" w:type="dxa"/>
                    <w:right w:w="28" w:type="dxa"/>
                  </w:tcMar>
                  <w:vAlign w:val="center"/>
                </w:tcPr>
                <w:p w14:paraId="6EC6B0FC">
                  <w:pPr>
                    <w:keepNext w:val="0"/>
                    <w:keepLines w:val="0"/>
                    <w:widowControl/>
                    <w:suppressLineNumbers w:val="0"/>
                    <w:bidi w:val="0"/>
                    <w:spacing w:before="0" w:beforeAutospacing="0" w:after="0" w:afterAutospacing="0" w:line="240" w:lineRule="auto"/>
                    <w:ind w:left="0" w:right="0"/>
                    <w:jc w:val="center"/>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555.56</w:t>
                  </w:r>
                </w:p>
              </w:tc>
              <w:tc>
                <w:tcPr>
                  <w:tcW w:w="978" w:type="dxa"/>
                  <w:tcBorders>
                    <w:tl2br w:val="nil"/>
                    <w:tr2bl w:val="nil"/>
                  </w:tcBorders>
                  <w:noWrap w:val="0"/>
                  <w:tcMar>
                    <w:top w:w="0" w:type="dxa"/>
                    <w:left w:w="28" w:type="dxa"/>
                    <w:bottom w:w="0" w:type="dxa"/>
                    <w:right w:w="28" w:type="dxa"/>
                  </w:tcMar>
                  <w:vAlign w:val="center"/>
                </w:tcPr>
                <w:p w14:paraId="7638EC21">
                  <w:pPr>
                    <w:keepNext w:val="0"/>
                    <w:keepLines w:val="0"/>
                    <w:widowControl/>
                    <w:suppressLineNumbers w:val="0"/>
                    <w:bidi w:val="0"/>
                    <w:spacing w:before="0" w:beforeAutospacing="0" w:after="0" w:afterAutospacing="0" w:line="240" w:lineRule="auto"/>
                    <w:ind w:left="0" w:right="0"/>
                    <w:jc w:val="center"/>
                    <w:rPr>
                      <w:rFonts w:hint="eastAsia"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2.20</w:t>
                  </w:r>
                </w:p>
              </w:tc>
              <w:tc>
                <w:tcPr>
                  <w:tcW w:w="806" w:type="dxa"/>
                  <w:vMerge w:val="continue"/>
                  <w:tcBorders>
                    <w:tl2br w:val="nil"/>
                    <w:tr2bl w:val="nil"/>
                  </w:tcBorders>
                  <w:noWrap w:val="0"/>
                  <w:tcMar>
                    <w:top w:w="0" w:type="dxa"/>
                    <w:left w:w="28" w:type="dxa"/>
                    <w:bottom w:w="0" w:type="dxa"/>
                    <w:right w:w="28" w:type="dxa"/>
                  </w:tcMar>
                  <w:vAlign w:val="center"/>
                </w:tcPr>
                <w:p w14:paraId="43E3C4EF">
                  <w:pPr>
                    <w:keepNext w:val="0"/>
                    <w:keepLines w:val="0"/>
                    <w:widowControl w:val="0"/>
                    <w:suppressLineNumbers w:val="0"/>
                    <w:bidi w:val="0"/>
                    <w:adjustRightInd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881" w:type="dxa"/>
                  <w:vMerge w:val="continue"/>
                  <w:tcBorders>
                    <w:tl2br w:val="nil"/>
                    <w:tr2bl w:val="nil"/>
                  </w:tcBorders>
                  <w:noWrap w:val="0"/>
                  <w:tcMar>
                    <w:top w:w="0" w:type="dxa"/>
                    <w:left w:w="28" w:type="dxa"/>
                    <w:bottom w:w="0" w:type="dxa"/>
                    <w:right w:w="28" w:type="dxa"/>
                  </w:tcMar>
                  <w:vAlign w:val="center"/>
                </w:tcPr>
                <w:p w14:paraId="2E5A3DAC">
                  <w:pPr>
                    <w:keepNext w:val="0"/>
                    <w:keepLines w:val="0"/>
                    <w:widowControl w:val="0"/>
                    <w:suppressLineNumbers w:val="0"/>
                    <w:bidi w:val="0"/>
                    <w:adjustRightInd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625" w:type="dxa"/>
                  <w:vMerge w:val="continue"/>
                  <w:tcBorders>
                    <w:tl2br w:val="nil"/>
                    <w:tr2bl w:val="nil"/>
                  </w:tcBorders>
                  <w:noWrap w:val="0"/>
                  <w:tcMar>
                    <w:top w:w="0" w:type="dxa"/>
                    <w:left w:w="28" w:type="dxa"/>
                    <w:bottom w:w="0" w:type="dxa"/>
                    <w:right w:w="28" w:type="dxa"/>
                  </w:tcMar>
                  <w:vAlign w:val="center"/>
                </w:tcPr>
                <w:p w14:paraId="66679BFC">
                  <w:pPr>
                    <w:keepNext w:val="0"/>
                    <w:keepLines w:val="0"/>
                    <w:widowControl w:val="0"/>
                    <w:suppressLineNumbers w:val="0"/>
                    <w:bidi w:val="0"/>
                    <w:adjustRightInd w:val="0"/>
                    <w:spacing w:before="0" w:beforeAutospacing="0" w:after="0" w:afterAutospacing="0" w:line="240" w:lineRule="auto"/>
                    <w:ind w:left="0" w:right="0"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r>
          </w:tbl>
          <w:p w14:paraId="4B8F1090">
            <w:pPr>
              <w:pStyle w:val="11"/>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cs="Times New Roman"/>
                <w:bCs/>
                <w:color w:val="000000" w:themeColor="text1"/>
                <w:sz w:val="24"/>
                <w:szCs w:val="24"/>
                <w:highlight w:val="none"/>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在非正常工况时，应停止所有生产，待环保设施修复后再恢复生产。为防止生产废气非正常工况排放，企业必须加强废气处理设施的管理，定期检修，确保废气处理设施正常运行。</w:t>
            </w:r>
            <w:r>
              <w:rPr>
                <w:rFonts w:hint="default" w:ascii="Times New Roman" w:hAnsi="Times New Roman" w:cs="Times New Roman"/>
                <w:bCs/>
                <w:color w:val="000000" w:themeColor="text1"/>
                <w:sz w:val="24"/>
                <w:szCs w:val="24"/>
                <w:highlight w:val="none"/>
                <w14:textFill>
                  <w14:solidFill>
                    <w14:schemeClr w14:val="tx1"/>
                  </w14:solidFill>
                </w14:textFill>
              </w:rPr>
              <w:t>本项目非正常工况持续时间较短，年发生频次较低，污染物排放量较少，因此对周围影响</w:t>
            </w:r>
            <w:r>
              <w:rPr>
                <w:rFonts w:hint="eastAsia" w:ascii="Times New Roman" w:hAnsi="Times New Roman" w:cs="Times New Roman"/>
                <w:bCs/>
                <w:color w:val="000000" w:themeColor="text1"/>
                <w:sz w:val="24"/>
                <w:szCs w:val="24"/>
                <w:highlight w:val="none"/>
                <w:lang w:eastAsia="zh-CN"/>
                <w14:textFill>
                  <w14:solidFill>
                    <w14:schemeClr w14:val="tx1"/>
                  </w14:solidFill>
                </w14:textFill>
              </w:rPr>
              <w:t>较小</w:t>
            </w:r>
            <w:r>
              <w:rPr>
                <w:rFonts w:hint="default" w:ascii="Times New Roman" w:hAnsi="Times New Roman" w:cs="Times New Roman"/>
                <w:bCs/>
                <w:color w:val="000000" w:themeColor="text1"/>
                <w:sz w:val="24"/>
                <w:szCs w:val="24"/>
                <w:highlight w:val="none"/>
                <w14:textFill>
                  <w14:solidFill>
                    <w14:schemeClr w14:val="tx1"/>
                  </w14:solidFill>
                </w14:textFill>
              </w:rPr>
              <w:t>。</w:t>
            </w:r>
          </w:p>
          <w:p w14:paraId="45BA55EA">
            <w:pPr>
              <w:keepNext w:val="0"/>
              <w:keepLines w:val="0"/>
              <w:suppressLineNumbers w:val="0"/>
              <w:autoSpaceDE w:val="0"/>
              <w:autoSpaceDN w:val="0"/>
              <w:spacing w:before="0" w:beforeAutospacing="0" w:after="0" w:afterAutospacing="0" w:line="360" w:lineRule="auto"/>
              <w:ind w:left="0" w:right="0"/>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1.13</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w:t>
            </w:r>
            <w:r>
              <w:rPr>
                <w:rFonts w:hint="eastAsia" w:ascii="Times New Roman" w:hAnsi="Times New Roman" w:eastAsia="新宋体" w:cs="Times New Roman"/>
                <w:b/>
                <w:color w:val="000000" w:themeColor="text1"/>
                <w:sz w:val="24"/>
                <w:szCs w:val="24"/>
                <w:highlight w:val="none"/>
                <w:lang w:val="en-US" w:eastAsia="zh-CN" w:bidi="ar-SA"/>
                <w14:textFill>
                  <w14:solidFill>
                    <w14:schemeClr w14:val="tx1"/>
                  </w14:solidFill>
                </w14:textFill>
              </w:rPr>
              <w:t>大气监测计划</w:t>
            </w:r>
          </w:p>
          <w:p w14:paraId="1DE7B8C3">
            <w:pPr>
              <w:pStyle w:val="11"/>
              <w:keepNext w:val="0"/>
              <w:keepLines w:val="0"/>
              <w:suppressLineNumbers w:val="0"/>
              <w:spacing w:before="0" w:beforeAutospacing="0" w:after="0" w:afterAutospacing="0" w:line="360" w:lineRule="auto"/>
              <w:ind w:left="0" w:right="0" w:firstLine="480"/>
              <w:jc w:val="both"/>
              <w:rPr>
                <w:rFonts w:hint="default"/>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根据《</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fldChar w:fldCharType="begin"/>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instrText xml:space="preserve"> HYPERLINK "https://www.mee.gov.cn/ywgz/fgbz/bz/bzwb/jcffbz/202205/W020220517430324464462.pdf" </w:instrTex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fldChar w:fldCharType="separate"/>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排污单位自行监测技术指南 中药、生物药品制品、化学药品制剂制造业》（HJ1256—2022）</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fldChar w:fldCharType="end"/>
            </w:r>
            <w:r>
              <w:rPr>
                <w:rFonts w:hint="default"/>
                <w:color w:val="000000" w:themeColor="text1"/>
                <w:sz w:val="24"/>
                <w:szCs w:val="24"/>
                <w:highlight w:val="none"/>
                <w:lang w:val="en-US" w:eastAsia="zh-CN"/>
                <w14:textFill>
                  <w14:solidFill>
                    <w14:schemeClr w14:val="tx1"/>
                  </w14:solidFill>
                </w14:textFill>
              </w:rPr>
              <w:t>要求，本项目大气污染源监测计划见下表：</w:t>
            </w:r>
          </w:p>
          <w:p w14:paraId="7C72BAD2">
            <w:pPr>
              <w:keepNext w:val="0"/>
              <w:keepLines w:val="0"/>
              <w:pageBreakBefore w:val="0"/>
              <w:widowControl w:val="0"/>
              <w:numPr>
                <w:ilvl w:val="0"/>
                <w:numId w:val="26"/>
              </w:numPr>
              <w:suppressLineNumbers w:val="0"/>
              <w:kinsoku/>
              <w:wordWrap/>
              <w:overflowPunct/>
              <w:topLinePunct w:val="0"/>
              <w:autoSpaceDE/>
              <w:autoSpaceDN/>
              <w:bidi w:val="0"/>
              <w:adjustRightInd/>
              <w:snapToGrid w:val="0"/>
              <w:spacing w:before="0" w:beforeAutospacing="0" w:after="0" w:afterLines="0" w:afterAutospacing="0" w:line="240" w:lineRule="auto"/>
              <w:ind w:left="0" w:leftChars="0" w:right="0" w:rightChars="0" w:firstLine="0" w:firstLineChars="0"/>
              <w:jc w:val="center"/>
              <w:textAlignment w:val="auto"/>
              <w:rPr>
                <w:rFonts w:hint="eastAsia" w:ascii="Times New Roman" w:hAnsi="Times New Roman" w:eastAsia="宋体" w:cs="Times New Roman"/>
                <w:b/>
                <w:bCs/>
                <w:color w:val="000000" w:themeColor="text1"/>
                <w:sz w:val="21"/>
                <w:szCs w:val="21"/>
                <w:highlight w:val="none"/>
                <w:lang w:val="en-GB"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GB" w:eastAsia="zh-CN"/>
                <w14:textFill>
                  <w14:solidFill>
                    <w14:schemeClr w14:val="tx1"/>
                  </w14:solidFill>
                </w14:textFill>
              </w:rPr>
              <w:t xml:space="preserve"> </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eastAsia" w:ascii="Times New Roman" w:hAnsi="Times New Roman" w:eastAsia="宋体" w:cs="Times New Roman"/>
                <w:b/>
                <w:bCs/>
                <w:color w:val="000000" w:themeColor="text1"/>
                <w:sz w:val="21"/>
                <w:szCs w:val="21"/>
                <w:highlight w:val="none"/>
                <w:lang w:val="en-GB" w:eastAsia="zh-CN"/>
                <w14:textFill>
                  <w14:solidFill>
                    <w14:schemeClr w14:val="tx1"/>
                  </w14:solidFill>
                </w14:textFill>
              </w:rPr>
              <w:t>项目大气污染源监测计划表</w:t>
            </w:r>
          </w:p>
          <w:tbl>
            <w:tblPr>
              <w:tblStyle w:val="35"/>
              <w:tblW w:w="5000"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10"/>
              <w:gridCol w:w="931"/>
              <w:gridCol w:w="1971"/>
              <w:gridCol w:w="1303"/>
              <w:gridCol w:w="1304"/>
              <w:gridCol w:w="2448"/>
            </w:tblGrid>
            <w:tr w14:paraId="09130D5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801" w:type="pct"/>
                  <w:gridSpan w:val="2"/>
                  <w:tcBorders>
                    <w:tl2br w:val="nil"/>
                    <w:tr2bl w:val="nil"/>
                  </w:tcBorders>
                  <w:noWrap w:val="0"/>
                  <w:tcMar>
                    <w:top w:w="0" w:type="dxa"/>
                    <w:left w:w="57" w:type="dxa"/>
                    <w:bottom w:w="0" w:type="dxa"/>
                    <w:right w:w="57" w:type="dxa"/>
                  </w:tcMar>
                  <w:vAlign w:val="center"/>
                </w:tcPr>
                <w:p w14:paraId="311ECD0B">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b/>
                      <w:bCs/>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14:textFill>
                        <w14:solidFill>
                          <w14:schemeClr w14:val="tx1"/>
                        </w14:solidFill>
                      </w14:textFill>
                    </w:rPr>
                    <w:t>类别</w:t>
                  </w:r>
                </w:p>
              </w:tc>
              <w:tc>
                <w:tcPr>
                  <w:tcW w:w="1177" w:type="pct"/>
                  <w:tcBorders>
                    <w:tl2br w:val="nil"/>
                    <w:tr2bl w:val="nil"/>
                  </w:tcBorders>
                  <w:noWrap w:val="0"/>
                  <w:tcMar>
                    <w:top w:w="0" w:type="dxa"/>
                    <w:left w:w="57" w:type="dxa"/>
                    <w:bottom w:w="0" w:type="dxa"/>
                    <w:right w:w="57" w:type="dxa"/>
                  </w:tcMar>
                  <w:vAlign w:val="center"/>
                </w:tcPr>
                <w:p w14:paraId="023A890E">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b/>
                      <w:bCs/>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14:textFill>
                        <w14:solidFill>
                          <w14:schemeClr w14:val="tx1"/>
                        </w14:solidFill>
                      </w14:textFill>
                    </w:rPr>
                    <w:t>监测点位</w:t>
                  </w:r>
                </w:p>
              </w:tc>
              <w:tc>
                <w:tcPr>
                  <w:tcW w:w="778" w:type="pct"/>
                  <w:tcBorders>
                    <w:tl2br w:val="nil"/>
                    <w:tr2bl w:val="nil"/>
                  </w:tcBorders>
                  <w:noWrap w:val="0"/>
                  <w:tcMar>
                    <w:top w:w="0" w:type="dxa"/>
                    <w:left w:w="57" w:type="dxa"/>
                    <w:bottom w:w="0" w:type="dxa"/>
                    <w:right w:w="57" w:type="dxa"/>
                  </w:tcMar>
                  <w:vAlign w:val="center"/>
                </w:tcPr>
                <w:p w14:paraId="520B5949">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b/>
                      <w:bCs/>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14:textFill>
                        <w14:solidFill>
                          <w14:schemeClr w14:val="tx1"/>
                        </w14:solidFill>
                      </w14:textFill>
                    </w:rPr>
                    <w:t>监测指标</w:t>
                  </w:r>
                </w:p>
              </w:tc>
              <w:tc>
                <w:tcPr>
                  <w:tcW w:w="779" w:type="pct"/>
                  <w:tcBorders>
                    <w:tl2br w:val="nil"/>
                    <w:tr2bl w:val="nil"/>
                  </w:tcBorders>
                  <w:noWrap w:val="0"/>
                  <w:tcMar>
                    <w:top w:w="0" w:type="dxa"/>
                    <w:left w:w="57" w:type="dxa"/>
                    <w:bottom w:w="0" w:type="dxa"/>
                    <w:right w:w="57" w:type="dxa"/>
                  </w:tcMar>
                  <w:vAlign w:val="center"/>
                </w:tcPr>
                <w:p w14:paraId="0C40BB1B">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b/>
                      <w:bCs/>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14:textFill>
                        <w14:solidFill>
                          <w14:schemeClr w14:val="tx1"/>
                        </w14:solidFill>
                      </w14:textFill>
                    </w:rPr>
                    <w:t>监测频次</w:t>
                  </w:r>
                </w:p>
              </w:tc>
              <w:tc>
                <w:tcPr>
                  <w:tcW w:w="1462" w:type="pct"/>
                  <w:tcBorders>
                    <w:tl2br w:val="nil"/>
                    <w:tr2bl w:val="nil"/>
                  </w:tcBorders>
                  <w:noWrap w:val="0"/>
                  <w:tcMar>
                    <w:top w:w="0" w:type="dxa"/>
                    <w:left w:w="57" w:type="dxa"/>
                    <w:bottom w:w="0" w:type="dxa"/>
                    <w:right w:w="57" w:type="dxa"/>
                  </w:tcMar>
                  <w:vAlign w:val="center"/>
                </w:tcPr>
                <w:p w14:paraId="4DAB96D4">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b/>
                      <w:bCs/>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b/>
                      <w:bCs/>
                      <w:color w:val="000000" w:themeColor="text1"/>
                      <w:kern w:val="0"/>
                      <w:sz w:val="21"/>
                      <w:szCs w:val="21"/>
                      <w:highlight w:val="none"/>
                      <w14:textFill>
                        <w14:solidFill>
                          <w14:schemeClr w14:val="tx1"/>
                        </w14:solidFill>
                      </w14:textFill>
                    </w:rPr>
                    <w:t>执行排放标准</w:t>
                  </w:r>
                </w:p>
              </w:tc>
            </w:tr>
            <w:tr w14:paraId="250CD5E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245" w:type="pct"/>
                  <w:vMerge w:val="restart"/>
                  <w:tcBorders>
                    <w:tl2br w:val="nil"/>
                    <w:tr2bl w:val="nil"/>
                  </w:tcBorders>
                  <w:noWrap w:val="0"/>
                  <w:tcMar>
                    <w:top w:w="0" w:type="dxa"/>
                    <w:left w:w="57" w:type="dxa"/>
                    <w:bottom w:w="0" w:type="dxa"/>
                    <w:right w:w="57" w:type="dxa"/>
                  </w:tcMar>
                  <w:vAlign w:val="center"/>
                </w:tcPr>
                <w:p w14:paraId="6FF5502F">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废气</w:t>
                  </w:r>
                </w:p>
              </w:tc>
              <w:tc>
                <w:tcPr>
                  <w:tcW w:w="556" w:type="pct"/>
                  <w:vMerge w:val="restart"/>
                  <w:tcBorders>
                    <w:tl2br w:val="nil"/>
                    <w:tr2bl w:val="nil"/>
                  </w:tcBorders>
                  <w:noWrap w:val="0"/>
                  <w:tcMar>
                    <w:top w:w="0" w:type="dxa"/>
                    <w:left w:w="57" w:type="dxa"/>
                    <w:bottom w:w="0" w:type="dxa"/>
                    <w:right w:w="57" w:type="dxa"/>
                  </w:tcMar>
                  <w:vAlign w:val="center"/>
                </w:tcPr>
                <w:p w14:paraId="71D8793E">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有组织废气</w:t>
                  </w:r>
                </w:p>
              </w:tc>
              <w:tc>
                <w:tcPr>
                  <w:tcW w:w="1177" w:type="pct"/>
                  <w:vMerge w:val="restart"/>
                  <w:tcBorders>
                    <w:tl2br w:val="nil"/>
                    <w:tr2bl w:val="nil"/>
                  </w:tcBorders>
                  <w:noWrap w:val="0"/>
                  <w:tcMar>
                    <w:top w:w="0" w:type="dxa"/>
                    <w:left w:w="57" w:type="dxa"/>
                    <w:bottom w:w="0" w:type="dxa"/>
                    <w:right w:w="57" w:type="dxa"/>
                  </w:tcMar>
                  <w:vAlign w:val="center"/>
                </w:tcPr>
                <w:p w14:paraId="19210D18">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前处理炮制废气排放口</w:t>
                  </w:r>
                  <w:r>
                    <w:rPr>
                      <w:rFonts w:hint="eastAsia" w:eastAsia="宋体"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（DA0</w:t>
                  </w:r>
                  <w:r>
                    <w:rPr>
                      <w:rFonts w:hint="eastAsia" w:eastAsia="宋体" w:cs="Times New Roman"/>
                      <w:color w:val="000000" w:themeColor="text1"/>
                      <w:sz w:val="21"/>
                      <w:szCs w:val="21"/>
                      <w:highlight w:val="none"/>
                      <w:lang w:val="en-US" w:eastAsia="zh-CN"/>
                      <w14:textFill>
                        <w14:solidFill>
                          <w14:schemeClr w14:val="tx1"/>
                        </w14:solidFill>
                      </w14:textFill>
                    </w:rPr>
                    <w:t>16</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778" w:type="pct"/>
                  <w:tcBorders>
                    <w:tl2br w:val="nil"/>
                    <w:tr2bl w:val="nil"/>
                  </w:tcBorders>
                  <w:shd w:val="clear" w:color="auto" w:fill="auto"/>
                  <w:noWrap w:val="0"/>
                  <w:tcMar>
                    <w:top w:w="0" w:type="dxa"/>
                    <w:left w:w="57" w:type="dxa"/>
                    <w:bottom w:w="0" w:type="dxa"/>
                    <w:right w:w="57" w:type="dxa"/>
                  </w:tcMar>
                  <w:vAlign w:val="center"/>
                </w:tcPr>
                <w:p w14:paraId="136A8586">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臭气浓度</w:t>
                  </w:r>
                </w:p>
              </w:tc>
              <w:tc>
                <w:tcPr>
                  <w:tcW w:w="779" w:type="pct"/>
                  <w:tcBorders>
                    <w:tl2br w:val="nil"/>
                    <w:tr2bl w:val="nil"/>
                  </w:tcBorders>
                  <w:shd w:val="clear" w:color="auto" w:fill="auto"/>
                  <w:noWrap w:val="0"/>
                  <w:tcMar>
                    <w:top w:w="0" w:type="dxa"/>
                    <w:left w:w="57" w:type="dxa"/>
                    <w:bottom w:w="0" w:type="dxa"/>
                    <w:right w:w="57" w:type="dxa"/>
                  </w:tcMar>
                  <w:vAlign w:val="center"/>
                </w:tcPr>
                <w:p w14:paraId="26334E33">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1次/</w:t>
                  </w:r>
                  <w:r>
                    <w:rPr>
                      <w:rFonts w:hint="eastAsia" w:cs="Times New Roman"/>
                      <w:color w:val="000000" w:themeColor="text1"/>
                      <w:kern w:val="0"/>
                      <w:sz w:val="21"/>
                      <w:szCs w:val="21"/>
                      <w:highlight w:val="none"/>
                      <w:lang w:val="en-US" w:eastAsia="zh-CN"/>
                      <w14:textFill>
                        <w14:solidFill>
                          <w14:schemeClr w14:val="tx1"/>
                        </w14:solidFill>
                      </w14:textFill>
                    </w:rPr>
                    <w:t>半</w:t>
                  </w: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年</w:t>
                  </w:r>
                </w:p>
              </w:tc>
              <w:tc>
                <w:tcPr>
                  <w:tcW w:w="1462" w:type="pct"/>
                  <w:tcBorders>
                    <w:tl2br w:val="nil"/>
                    <w:tr2bl w:val="nil"/>
                  </w:tcBorders>
                  <w:shd w:val="clear" w:color="auto" w:fill="auto"/>
                  <w:noWrap w:val="0"/>
                  <w:tcMar>
                    <w:top w:w="0" w:type="dxa"/>
                    <w:left w:w="57" w:type="dxa"/>
                    <w:bottom w:w="0" w:type="dxa"/>
                    <w:right w:w="57" w:type="dxa"/>
                  </w:tcMar>
                  <w:vAlign w:val="center"/>
                </w:tcPr>
                <w:p w14:paraId="445D3E9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instrText xml:space="preserve"> HYPERLINK "http://www.mee.gov.cn/image20010518/5303.pdf" </w:instrTex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fldChar w:fldCharType="separate"/>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恶臭污染物排放标准</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fldChar w:fldCharType="end"/>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》（GB 14554-93）</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表2</w:t>
                  </w:r>
                </w:p>
              </w:tc>
            </w:tr>
            <w:tr w14:paraId="24259DB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245" w:type="pct"/>
                  <w:vMerge w:val="continue"/>
                  <w:tcBorders>
                    <w:tl2br w:val="nil"/>
                    <w:tr2bl w:val="nil"/>
                  </w:tcBorders>
                  <w:noWrap w:val="0"/>
                  <w:tcMar>
                    <w:top w:w="0" w:type="dxa"/>
                    <w:left w:w="57" w:type="dxa"/>
                    <w:bottom w:w="0" w:type="dxa"/>
                    <w:right w:w="57" w:type="dxa"/>
                  </w:tcMar>
                  <w:vAlign w:val="center"/>
                </w:tcPr>
                <w:p w14:paraId="6275B7A6">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556" w:type="pct"/>
                  <w:vMerge w:val="continue"/>
                  <w:tcBorders>
                    <w:tl2br w:val="nil"/>
                    <w:tr2bl w:val="nil"/>
                  </w:tcBorders>
                  <w:noWrap w:val="0"/>
                  <w:tcMar>
                    <w:top w:w="0" w:type="dxa"/>
                    <w:left w:w="57" w:type="dxa"/>
                    <w:bottom w:w="0" w:type="dxa"/>
                    <w:right w:w="57" w:type="dxa"/>
                  </w:tcMar>
                  <w:vAlign w:val="center"/>
                </w:tcPr>
                <w:p w14:paraId="120FBCFC">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1177" w:type="pct"/>
                  <w:vMerge w:val="continue"/>
                  <w:tcBorders>
                    <w:tl2br w:val="nil"/>
                    <w:tr2bl w:val="nil"/>
                  </w:tcBorders>
                  <w:noWrap w:val="0"/>
                  <w:tcMar>
                    <w:top w:w="0" w:type="dxa"/>
                    <w:left w:w="57" w:type="dxa"/>
                    <w:bottom w:w="0" w:type="dxa"/>
                    <w:right w:w="57" w:type="dxa"/>
                  </w:tcMar>
                  <w:vAlign w:val="center"/>
                </w:tcPr>
                <w:p w14:paraId="31113CFB">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778" w:type="pct"/>
                  <w:tcBorders>
                    <w:tl2br w:val="nil"/>
                    <w:tr2bl w:val="nil"/>
                  </w:tcBorders>
                  <w:shd w:val="clear" w:color="auto" w:fill="auto"/>
                  <w:noWrap w:val="0"/>
                  <w:tcMar>
                    <w:top w:w="0" w:type="dxa"/>
                    <w:left w:w="57" w:type="dxa"/>
                    <w:bottom w:w="0" w:type="dxa"/>
                    <w:right w:w="57" w:type="dxa"/>
                  </w:tcMar>
                  <w:vAlign w:val="center"/>
                </w:tcPr>
                <w:p w14:paraId="3D6D5037">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颗粒物</w:t>
                  </w:r>
                </w:p>
              </w:tc>
              <w:tc>
                <w:tcPr>
                  <w:tcW w:w="779" w:type="pct"/>
                  <w:tcBorders>
                    <w:tl2br w:val="nil"/>
                    <w:tr2bl w:val="nil"/>
                  </w:tcBorders>
                  <w:shd w:val="clear" w:color="auto" w:fill="auto"/>
                  <w:noWrap w:val="0"/>
                  <w:tcMar>
                    <w:top w:w="0" w:type="dxa"/>
                    <w:left w:w="57" w:type="dxa"/>
                    <w:bottom w:w="0" w:type="dxa"/>
                    <w:right w:w="57" w:type="dxa"/>
                  </w:tcMar>
                  <w:vAlign w:val="center"/>
                </w:tcPr>
                <w:p w14:paraId="306E419D">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1次/</w:t>
                  </w:r>
                  <w:r>
                    <w:rPr>
                      <w:rFonts w:hint="eastAsia" w:cs="Times New Roman"/>
                      <w:color w:val="000000" w:themeColor="text1"/>
                      <w:kern w:val="0"/>
                      <w:sz w:val="21"/>
                      <w:szCs w:val="21"/>
                      <w:highlight w:val="none"/>
                      <w:lang w:val="en-US" w:eastAsia="zh-CN"/>
                      <w14:textFill>
                        <w14:solidFill>
                          <w14:schemeClr w14:val="tx1"/>
                        </w14:solidFill>
                      </w14:textFill>
                    </w:rPr>
                    <w:t>半</w:t>
                  </w: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年</w:t>
                  </w:r>
                </w:p>
              </w:tc>
              <w:tc>
                <w:tcPr>
                  <w:tcW w:w="1462" w:type="pct"/>
                  <w:vMerge w:val="restart"/>
                  <w:tcBorders>
                    <w:tl2br w:val="nil"/>
                    <w:tr2bl w:val="nil"/>
                  </w:tcBorders>
                  <w:shd w:val="clear" w:color="auto" w:fill="auto"/>
                  <w:noWrap w:val="0"/>
                  <w:tcMar>
                    <w:top w:w="0" w:type="dxa"/>
                    <w:left w:w="57" w:type="dxa"/>
                    <w:bottom w:w="0" w:type="dxa"/>
                    <w:right w:w="57" w:type="dxa"/>
                  </w:tcMar>
                  <w:vAlign w:val="center"/>
                </w:tcPr>
                <w:p w14:paraId="7245280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《制药工业大气污染物排放标准》（GB</w:t>
                  </w:r>
                  <w: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 xml:space="preserve"> </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37823-2019）表</w:t>
                  </w:r>
                  <w: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1</w:t>
                  </w:r>
                </w:p>
              </w:tc>
            </w:tr>
            <w:tr w14:paraId="1CB31CE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245" w:type="pct"/>
                  <w:vMerge w:val="continue"/>
                  <w:tcBorders>
                    <w:tl2br w:val="nil"/>
                    <w:tr2bl w:val="nil"/>
                  </w:tcBorders>
                  <w:noWrap w:val="0"/>
                  <w:tcMar>
                    <w:top w:w="0" w:type="dxa"/>
                    <w:left w:w="57" w:type="dxa"/>
                    <w:bottom w:w="0" w:type="dxa"/>
                    <w:right w:w="57" w:type="dxa"/>
                  </w:tcMar>
                  <w:vAlign w:val="center"/>
                </w:tcPr>
                <w:p w14:paraId="7576860F">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556" w:type="pct"/>
                  <w:vMerge w:val="continue"/>
                  <w:tcBorders>
                    <w:tl2br w:val="nil"/>
                    <w:tr2bl w:val="nil"/>
                  </w:tcBorders>
                  <w:noWrap w:val="0"/>
                  <w:tcMar>
                    <w:top w:w="0" w:type="dxa"/>
                    <w:left w:w="57" w:type="dxa"/>
                    <w:bottom w:w="0" w:type="dxa"/>
                    <w:right w:w="57" w:type="dxa"/>
                  </w:tcMar>
                  <w:vAlign w:val="center"/>
                </w:tcPr>
                <w:p w14:paraId="785714C8">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1177" w:type="pct"/>
                  <w:tcBorders>
                    <w:tl2br w:val="nil"/>
                    <w:tr2bl w:val="nil"/>
                  </w:tcBorders>
                  <w:noWrap w:val="0"/>
                  <w:tcMar>
                    <w:top w:w="0" w:type="dxa"/>
                    <w:left w:w="57" w:type="dxa"/>
                    <w:bottom w:w="0" w:type="dxa"/>
                    <w:right w:w="57" w:type="dxa"/>
                  </w:tcMar>
                  <w:vAlign w:val="center"/>
                </w:tcPr>
                <w:p w14:paraId="021E7247">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前处理炮制废气排放口1</w:t>
                  </w:r>
                  <w:r>
                    <w:rPr>
                      <w:rFonts w:hint="default" w:ascii="Times New Roman" w:hAnsi="Times New Roman" w:eastAsia="宋体" w:cs="Times New Roman"/>
                      <w:color w:val="000000" w:themeColor="text1"/>
                      <w:sz w:val="21"/>
                      <w:szCs w:val="21"/>
                      <w:highlight w:val="none"/>
                      <w14:textFill>
                        <w14:solidFill>
                          <w14:schemeClr w14:val="tx1"/>
                        </w14:solidFill>
                      </w14:textFill>
                    </w:rPr>
                    <w:t>（DA0</w:t>
                  </w:r>
                  <w:r>
                    <w:rPr>
                      <w:rFonts w:hint="eastAsia" w:eastAsia="宋体" w:cs="Times New Roman"/>
                      <w:color w:val="000000" w:themeColor="text1"/>
                      <w:sz w:val="21"/>
                      <w:szCs w:val="21"/>
                      <w:highlight w:val="none"/>
                      <w:lang w:val="en-US" w:eastAsia="zh-CN"/>
                      <w14:textFill>
                        <w14:solidFill>
                          <w14:schemeClr w14:val="tx1"/>
                        </w14:solidFill>
                      </w14:textFill>
                    </w:rPr>
                    <w:t>02</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778" w:type="pct"/>
                  <w:tcBorders>
                    <w:tl2br w:val="nil"/>
                    <w:tr2bl w:val="nil"/>
                  </w:tcBorders>
                  <w:noWrap w:val="0"/>
                  <w:tcMar>
                    <w:top w:w="0" w:type="dxa"/>
                    <w:left w:w="57" w:type="dxa"/>
                    <w:bottom w:w="0" w:type="dxa"/>
                    <w:right w:w="57" w:type="dxa"/>
                  </w:tcMar>
                  <w:vAlign w:val="center"/>
                </w:tcPr>
                <w:p w14:paraId="40214B15">
                  <w:pPr>
                    <w:keepNext w:val="0"/>
                    <w:keepLines w:val="0"/>
                    <w:widowControl/>
                    <w:suppressLineNumbers w:val="0"/>
                    <w:spacing w:before="0" w:beforeAutospacing="0" w:after="0" w:afterAutospacing="0"/>
                    <w:ind w:left="0" w:leftChars="0" w:right="0" w:rightChars="0"/>
                    <w:jc w:val="center"/>
                    <w:rPr>
                      <w:rFonts w:hint="eastAsia"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颗粒物</w:t>
                  </w:r>
                </w:p>
              </w:tc>
              <w:tc>
                <w:tcPr>
                  <w:tcW w:w="779" w:type="pct"/>
                  <w:tcBorders>
                    <w:tl2br w:val="nil"/>
                    <w:tr2bl w:val="nil"/>
                  </w:tcBorders>
                  <w:noWrap w:val="0"/>
                  <w:tcMar>
                    <w:top w:w="0" w:type="dxa"/>
                    <w:left w:w="57" w:type="dxa"/>
                    <w:bottom w:w="0" w:type="dxa"/>
                    <w:right w:w="57" w:type="dxa"/>
                  </w:tcMar>
                  <w:vAlign w:val="center"/>
                </w:tcPr>
                <w:p w14:paraId="715928D4">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1次/</w:t>
                  </w:r>
                  <w:r>
                    <w:rPr>
                      <w:rFonts w:hint="eastAsia" w:cs="Times New Roman"/>
                      <w:color w:val="000000" w:themeColor="text1"/>
                      <w:kern w:val="0"/>
                      <w:sz w:val="21"/>
                      <w:szCs w:val="21"/>
                      <w:highlight w:val="none"/>
                      <w:lang w:val="en-US" w:eastAsia="zh-CN"/>
                      <w14:textFill>
                        <w14:solidFill>
                          <w14:schemeClr w14:val="tx1"/>
                        </w14:solidFill>
                      </w14:textFill>
                    </w:rPr>
                    <w:t>半</w:t>
                  </w: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年</w:t>
                  </w:r>
                </w:p>
              </w:tc>
              <w:tc>
                <w:tcPr>
                  <w:tcW w:w="1462" w:type="pct"/>
                  <w:vMerge w:val="continue"/>
                  <w:tcBorders>
                    <w:tl2br w:val="nil"/>
                    <w:tr2bl w:val="nil"/>
                  </w:tcBorders>
                  <w:noWrap w:val="0"/>
                  <w:tcMar>
                    <w:top w:w="0" w:type="dxa"/>
                    <w:left w:w="57" w:type="dxa"/>
                    <w:bottom w:w="0" w:type="dxa"/>
                    <w:right w:w="57" w:type="dxa"/>
                  </w:tcMar>
                  <w:vAlign w:val="center"/>
                </w:tcPr>
                <w:p w14:paraId="5AD9096C">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lang w:eastAsia="zh-CN"/>
                      <w14:textFill>
                        <w14:solidFill>
                          <w14:schemeClr w14:val="tx1"/>
                        </w14:solidFill>
                      </w14:textFill>
                    </w:rPr>
                  </w:pPr>
                </w:p>
              </w:tc>
            </w:tr>
            <w:tr w14:paraId="246171C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245" w:type="pct"/>
                  <w:vMerge w:val="continue"/>
                  <w:tcBorders>
                    <w:tl2br w:val="nil"/>
                    <w:tr2bl w:val="nil"/>
                  </w:tcBorders>
                  <w:noWrap w:val="0"/>
                  <w:tcMar>
                    <w:top w:w="0" w:type="dxa"/>
                    <w:left w:w="57" w:type="dxa"/>
                    <w:bottom w:w="0" w:type="dxa"/>
                    <w:right w:w="57" w:type="dxa"/>
                  </w:tcMar>
                  <w:vAlign w:val="center"/>
                </w:tcPr>
                <w:p w14:paraId="68DE652B">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556" w:type="pct"/>
                  <w:vMerge w:val="continue"/>
                  <w:tcBorders>
                    <w:tl2br w:val="nil"/>
                    <w:tr2bl w:val="nil"/>
                  </w:tcBorders>
                  <w:noWrap w:val="0"/>
                  <w:tcMar>
                    <w:top w:w="0" w:type="dxa"/>
                    <w:left w:w="57" w:type="dxa"/>
                    <w:bottom w:w="0" w:type="dxa"/>
                    <w:right w:w="57" w:type="dxa"/>
                  </w:tcMar>
                  <w:vAlign w:val="center"/>
                </w:tcPr>
                <w:p w14:paraId="059A3A8A">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1177" w:type="pct"/>
                  <w:tcBorders>
                    <w:tl2br w:val="nil"/>
                    <w:tr2bl w:val="nil"/>
                  </w:tcBorders>
                  <w:noWrap w:val="0"/>
                  <w:tcMar>
                    <w:top w:w="0" w:type="dxa"/>
                    <w:left w:w="57" w:type="dxa"/>
                    <w:bottom w:w="0" w:type="dxa"/>
                    <w:right w:w="57" w:type="dxa"/>
                  </w:tcMar>
                  <w:vAlign w:val="center"/>
                </w:tcPr>
                <w:p w14:paraId="4657A451">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创新制剂</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废气排放口</w:t>
                  </w:r>
                  <w:r>
                    <w:rPr>
                      <w:rFonts w:hint="default" w:ascii="Times New Roman" w:hAnsi="Times New Roman" w:eastAsia="宋体" w:cs="Times New Roman"/>
                      <w:color w:val="000000" w:themeColor="text1"/>
                      <w:sz w:val="21"/>
                      <w:szCs w:val="21"/>
                      <w:highlight w:val="none"/>
                      <w14:textFill>
                        <w14:solidFill>
                          <w14:schemeClr w14:val="tx1"/>
                        </w14:solidFill>
                      </w14:textFill>
                    </w:rPr>
                    <w:t>（DA00</w:t>
                  </w:r>
                  <w:r>
                    <w:rPr>
                      <w:rFonts w:hint="eastAsia"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778" w:type="pct"/>
                  <w:tcBorders>
                    <w:tl2br w:val="nil"/>
                    <w:tr2bl w:val="nil"/>
                  </w:tcBorders>
                  <w:noWrap w:val="0"/>
                  <w:tcMar>
                    <w:top w:w="0" w:type="dxa"/>
                    <w:left w:w="57" w:type="dxa"/>
                    <w:bottom w:w="0" w:type="dxa"/>
                    <w:right w:w="57" w:type="dxa"/>
                  </w:tcMar>
                  <w:vAlign w:val="center"/>
                </w:tcPr>
                <w:p w14:paraId="1CD640DB">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颗粒物</w:t>
                  </w:r>
                </w:p>
              </w:tc>
              <w:tc>
                <w:tcPr>
                  <w:tcW w:w="779" w:type="pct"/>
                  <w:tcBorders>
                    <w:tl2br w:val="nil"/>
                    <w:tr2bl w:val="nil"/>
                  </w:tcBorders>
                  <w:noWrap w:val="0"/>
                  <w:tcMar>
                    <w:top w:w="0" w:type="dxa"/>
                    <w:left w:w="57" w:type="dxa"/>
                    <w:bottom w:w="0" w:type="dxa"/>
                    <w:right w:w="57" w:type="dxa"/>
                  </w:tcMar>
                  <w:vAlign w:val="center"/>
                </w:tcPr>
                <w:p w14:paraId="02654F76">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1次/</w:t>
                  </w:r>
                  <w:r>
                    <w:rPr>
                      <w:rFonts w:hint="eastAsia" w:cs="Times New Roman"/>
                      <w:color w:val="000000" w:themeColor="text1"/>
                      <w:kern w:val="0"/>
                      <w:sz w:val="21"/>
                      <w:szCs w:val="21"/>
                      <w:highlight w:val="none"/>
                      <w:lang w:val="en-US" w:eastAsia="zh-CN"/>
                      <w14:textFill>
                        <w14:solidFill>
                          <w14:schemeClr w14:val="tx1"/>
                        </w14:solidFill>
                      </w14:textFill>
                    </w:rPr>
                    <w:t>半</w:t>
                  </w: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年</w:t>
                  </w:r>
                </w:p>
              </w:tc>
              <w:tc>
                <w:tcPr>
                  <w:tcW w:w="1462" w:type="pct"/>
                  <w:vMerge w:val="continue"/>
                  <w:tcBorders>
                    <w:tl2br w:val="nil"/>
                    <w:tr2bl w:val="nil"/>
                  </w:tcBorders>
                  <w:noWrap w:val="0"/>
                  <w:tcMar>
                    <w:top w:w="0" w:type="dxa"/>
                    <w:left w:w="57" w:type="dxa"/>
                    <w:bottom w:w="0" w:type="dxa"/>
                    <w:right w:w="57" w:type="dxa"/>
                  </w:tcMar>
                  <w:vAlign w:val="center"/>
                </w:tcPr>
                <w:p w14:paraId="74F6FD11">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r>
            <w:tr w14:paraId="34DF401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245" w:type="pct"/>
                  <w:vMerge w:val="continue"/>
                  <w:tcBorders>
                    <w:tl2br w:val="nil"/>
                    <w:tr2bl w:val="nil"/>
                  </w:tcBorders>
                  <w:noWrap w:val="0"/>
                  <w:tcMar>
                    <w:top w:w="0" w:type="dxa"/>
                    <w:left w:w="57" w:type="dxa"/>
                    <w:bottom w:w="0" w:type="dxa"/>
                    <w:right w:w="57" w:type="dxa"/>
                  </w:tcMar>
                  <w:vAlign w:val="center"/>
                </w:tcPr>
                <w:p w14:paraId="569B2D74">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556" w:type="pct"/>
                  <w:vMerge w:val="continue"/>
                  <w:tcBorders>
                    <w:tl2br w:val="nil"/>
                    <w:tr2bl w:val="nil"/>
                  </w:tcBorders>
                  <w:noWrap w:val="0"/>
                  <w:tcMar>
                    <w:top w:w="0" w:type="dxa"/>
                    <w:left w:w="57" w:type="dxa"/>
                    <w:bottom w:w="0" w:type="dxa"/>
                    <w:right w:w="57" w:type="dxa"/>
                  </w:tcMar>
                  <w:vAlign w:val="center"/>
                </w:tcPr>
                <w:p w14:paraId="16C3E579">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1177" w:type="pct"/>
                  <w:tcBorders>
                    <w:tl2br w:val="nil"/>
                    <w:tr2bl w:val="nil"/>
                  </w:tcBorders>
                  <w:noWrap w:val="0"/>
                  <w:tcMar>
                    <w:top w:w="0" w:type="dxa"/>
                    <w:left w:w="57" w:type="dxa"/>
                    <w:bottom w:w="0" w:type="dxa"/>
                    <w:right w:w="57" w:type="dxa"/>
                  </w:tcMar>
                  <w:vAlign w:val="center"/>
                </w:tcPr>
                <w:p w14:paraId="1042D3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highlight w:val="none"/>
                      <w14:textFill>
                        <w14:solidFill>
                          <w14:schemeClr w14:val="tx1"/>
                        </w14:solidFill>
                      </w14:textFill>
                    </w:rPr>
                    <w:t>（DA00</w:t>
                  </w:r>
                  <w:r>
                    <w:rPr>
                      <w:rFonts w:hint="eastAsia" w:cs="Times New Roman"/>
                      <w:color w:val="000000" w:themeColor="text1"/>
                      <w:sz w:val="21"/>
                      <w:szCs w:val="21"/>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778" w:type="pct"/>
                  <w:tcBorders>
                    <w:tl2br w:val="nil"/>
                    <w:tr2bl w:val="nil"/>
                  </w:tcBorders>
                  <w:noWrap w:val="0"/>
                  <w:tcMar>
                    <w:top w:w="0" w:type="dxa"/>
                    <w:left w:w="57" w:type="dxa"/>
                    <w:bottom w:w="0" w:type="dxa"/>
                    <w:right w:w="57" w:type="dxa"/>
                  </w:tcMar>
                  <w:vAlign w:val="center"/>
                </w:tcPr>
                <w:p w14:paraId="01A773C8">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颗粒物</w:t>
                  </w:r>
                </w:p>
              </w:tc>
              <w:tc>
                <w:tcPr>
                  <w:tcW w:w="779" w:type="pct"/>
                  <w:tcBorders>
                    <w:tl2br w:val="nil"/>
                    <w:tr2bl w:val="nil"/>
                  </w:tcBorders>
                  <w:noWrap w:val="0"/>
                  <w:tcMar>
                    <w:top w:w="0" w:type="dxa"/>
                    <w:left w:w="57" w:type="dxa"/>
                    <w:bottom w:w="0" w:type="dxa"/>
                    <w:right w:w="57" w:type="dxa"/>
                  </w:tcMar>
                  <w:vAlign w:val="center"/>
                </w:tcPr>
                <w:p w14:paraId="0FE4981B">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1次/</w:t>
                  </w:r>
                  <w:r>
                    <w:rPr>
                      <w:rFonts w:hint="eastAsia" w:cs="Times New Roman"/>
                      <w:color w:val="000000" w:themeColor="text1"/>
                      <w:kern w:val="0"/>
                      <w:sz w:val="21"/>
                      <w:szCs w:val="21"/>
                      <w:highlight w:val="none"/>
                      <w:lang w:val="en-US" w:eastAsia="zh-CN"/>
                      <w14:textFill>
                        <w14:solidFill>
                          <w14:schemeClr w14:val="tx1"/>
                        </w14:solidFill>
                      </w14:textFill>
                    </w:rPr>
                    <w:t>半</w:t>
                  </w: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年</w:t>
                  </w:r>
                </w:p>
              </w:tc>
              <w:tc>
                <w:tcPr>
                  <w:tcW w:w="1462" w:type="pct"/>
                  <w:vMerge w:val="continue"/>
                  <w:tcBorders>
                    <w:tl2br w:val="nil"/>
                    <w:tr2bl w:val="nil"/>
                  </w:tcBorders>
                  <w:noWrap w:val="0"/>
                  <w:tcMar>
                    <w:top w:w="0" w:type="dxa"/>
                    <w:left w:w="57" w:type="dxa"/>
                    <w:bottom w:w="0" w:type="dxa"/>
                    <w:right w:w="57" w:type="dxa"/>
                  </w:tcMar>
                  <w:vAlign w:val="center"/>
                </w:tcPr>
                <w:p w14:paraId="02169177">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r>
            <w:tr w14:paraId="2D4D680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245" w:type="pct"/>
                  <w:vMerge w:val="continue"/>
                  <w:tcBorders>
                    <w:tl2br w:val="nil"/>
                    <w:tr2bl w:val="nil"/>
                  </w:tcBorders>
                  <w:noWrap w:val="0"/>
                  <w:tcMar>
                    <w:top w:w="0" w:type="dxa"/>
                    <w:left w:w="57" w:type="dxa"/>
                    <w:bottom w:w="0" w:type="dxa"/>
                    <w:right w:w="57" w:type="dxa"/>
                  </w:tcMar>
                  <w:vAlign w:val="center"/>
                </w:tcPr>
                <w:p w14:paraId="61209539">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556" w:type="pct"/>
                  <w:vMerge w:val="continue"/>
                  <w:tcBorders>
                    <w:tl2br w:val="nil"/>
                    <w:tr2bl w:val="nil"/>
                  </w:tcBorders>
                  <w:noWrap w:val="0"/>
                  <w:tcMar>
                    <w:top w:w="0" w:type="dxa"/>
                    <w:left w:w="57" w:type="dxa"/>
                    <w:bottom w:w="0" w:type="dxa"/>
                    <w:right w:w="57" w:type="dxa"/>
                  </w:tcMar>
                  <w:vAlign w:val="center"/>
                </w:tcPr>
                <w:p w14:paraId="57E3EC99">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1177" w:type="pct"/>
                  <w:tcBorders>
                    <w:tl2br w:val="nil"/>
                    <w:tr2bl w:val="nil"/>
                  </w:tcBorders>
                  <w:noWrap w:val="0"/>
                  <w:tcMar>
                    <w:top w:w="0" w:type="dxa"/>
                    <w:left w:w="57" w:type="dxa"/>
                    <w:bottom w:w="0" w:type="dxa"/>
                    <w:right w:w="57" w:type="dxa"/>
                  </w:tcMar>
                  <w:vAlign w:val="center"/>
                </w:tcPr>
                <w:p w14:paraId="49C2E5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（DA00</w:t>
                  </w:r>
                  <w:r>
                    <w:rPr>
                      <w:rFonts w:hint="eastAsia" w:cs="Times New Roman"/>
                      <w:color w:val="000000" w:themeColor="text1"/>
                      <w:sz w:val="21"/>
                      <w:szCs w:val="21"/>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778" w:type="pct"/>
                  <w:tcBorders>
                    <w:tl2br w:val="nil"/>
                    <w:tr2bl w:val="nil"/>
                  </w:tcBorders>
                  <w:noWrap w:val="0"/>
                  <w:tcMar>
                    <w:top w:w="0" w:type="dxa"/>
                    <w:left w:w="57" w:type="dxa"/>
                    <w:bottom w:w="0" w:type="dxa"/>
                    <w:right w:w="57" w:type="dxa"/>
                  </w:tcMar>
                  <w:vAlign w:val="center"/>
                </w:tcPr>
                <w:p w14:paraId="4B8A699C">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颗粒物</w:t>
                  </w:r>
                </w:p>
              </w:tc>
              <w:tc>
                <w:tcPr>
                  <w:tcW w:w="779" w:type="pct"/>
                  <w:tcBorders>
                    <w:tl2br w:val="nil"/>
                    <w:tr2bl w:val="nil"/>
                  </w:tcBorders>
                  <w:noWrap w:val="0"/>
                  <w:tcMar>
                    <w:top w:w="0" w:type="dxa"/>
                    <w:left w:w="57" w:type="dxa"/>
                    <w:bottom w:w="0" w:type="dxa"/>
                    <w:right w:w="57" w:type="dxa"/>
                  </w:tcMar>
                  <w:vAlign w:val="center"/>
                </w:tcPr>
                <w:p w14:paraId="31A9CBB0">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1次/</w:t>
                  </w:r>
                  <w:r>
                    <w:rPr>
                      <w:rFonts w:hint="eastAsia" w:cs="Times New Roman"/>
                      <w:color w:val="000000" w:themeColor="text1"/>
                      <w:kern w:val="0"/>
                      <w:sz w:val="21"/>
                      <w:szCs w:val="21"/>
                      <w:highlight w:val="none"/>
                      <w:lang w:val="en-US" w:eastAsia="zh-CN"/>
                      <w14:textFill>
                        <w14:solidFill>
                          <w14:schemeClr w14:val="tx1"/>
                        </w14:solidFill>
                      </w14:textFill>
                    </w:rPr>
                    <w:t>半</w:t>
                  </w: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年</w:t>
                  </w:r>
                </w:p>
              </w:tc>
              <w:tc>
                <w:tcPr>
                  <w:tcW w:w="1462" w:type="pct"/>
                  <w:vMerge w:val="continue"/>
                  <w:tcBorders>
                    <w:tl2br w:val="nil"/>
                    <w:tr2bl w:val="nil"/>
                  </w:tcBorders>
                  <w:noWrap w:val="0"/>
                  <w:tcMar>
                    <w:top w:w="0" w:type="dxa"/>
                    <w:left w:w="57" w:type="dxa"/>
                    <w:bottom w:w="0" w:type="dxa"/>
                    <w:right w:w="57" w:type="dxa"/>
                  </w:tcMar>
                  <w:vAlign w:val="center"/>
                </w:tcPr>
                <w:p w14:paraId="677102B3">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r>
            <w:tr w14:paraId="39CC4A6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245" w:type="pct"/>
                  <w:vMerge w:val="continue"/>
                  <w:tcBorders>
                    <w:tl2br w:val="nil"/>
                    <w:tr2bl w:val="nil"/>
                  </w:tcBorders>
                  <w:noWrap w:val="0"/>
                  <w:tcMar>
                    <w:top w:w="0" w:type="dxa"/>
                    <w:left w:w="57" w:type="dxa"/>
                    <w:bottom w:w="0" w:type="dxa"/>
                    <w:right w:w="57" w:type="dxa"/>
                  </w:tcMar>
                  <w:vAlign w:val="center"/>
                </w:tcPr>
                <w:p w14:paraId="187F1516">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556" w:type="pct"/>
                  <w:vMerge w:val="continue"/>
                  <w:tcBorders>
                    <w:tl2br w:val="nil"/>
                    <w:tr2bl w:val="nil"/>
                  </w:tcBorders>
                  <w:noWrap w:val="0"/>
                  <w:tcMar>
                    <w:top w:w="0" w:type="dxa"/>
                    <w:left w:w="57" w:type="dxa"/>
                    <w:bottom w:w="0" w:type="dxa"/>
                    <w:right w:w="57" w:type="dxa"/>
                  </w:tcMar>
                  <w:vAlign w:val="center"/>
                </w:tcPr>
                <w:p w14:paraId="3C566255">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1177" w:type="pct"/>
                  <w:tcBorders>
                    <w:tl2br w:val="nil"/>
                    <w:tr2bl w:val="nil"/>
                  </w:tcBorders>
                  <w:noWrap w:val="0"/>
                  <w:tcMar>
                    <w:top w:w="0" w:type="dxa"/>
                    <w:left w:w="57" w:type="dxa"/>
                    <w:bottom w:w="0" w:type="dxa"/>
                    <w:right w:w="57" w:type="dxa"/>
                  </w:tcMar>
                  <w:vAlign w:val="center"/>
                </w:tcPr>
                <w:p w14:paraId="3396C2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14:textFill>
                        <w14:solidFill>
                          <w14:schemeClr w14:val="tx1"/>
                        </w14:solidFill>
                      </w14:textFill>
                    </w:rPr>
                    <w:t>（DA00</w:t>
                  </w:r>
                  <w:r>
                    <w:rPr>
                      <w:rFonts w:hint="eastAsia" w:cs="Times New Roman"/>
                      <w:color w:val="000000" w:themeColor="text1"/>
                      <w:sz w:val="21"/>
                      <w:szCs w:val="21"/>
                      <w:highlight w:val="none"/>
                      <w:lang w:val="en-US" w:eastAsia="zh-CN"/>
                      <w14:textFill>
                        <w14:solidFill>
                          <w14:schemeClr w14:val="tx1"/>
                        </w14:solidFill>
                      </w14:textFill>
                    </w:rPr>
                    <w:t>8</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778" w:type="pct"/>
                  <w:tcBorders>
                    <w:tl2br w:val="nil"/>
                    <w:tr2bl w:val="nil"/>
                  </w:tcBorders>
                  <w:noWrap w:val="0"/>
                  <w:tcMar>
                    <w:top w:w="0" w:type="dxa"/>
                    <w:left w:w="57" w:type="dxa"/>
                    <w:bottom w:w="0" w:type="dxa"/>
                    <w:right w:w="57" w:type="dxa"/>
                  </w:tcMar>
                  <w:vAlign w:val="center"/>
                </w:tcPr>
                <w:p w14:paraId="474EB98E">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颗粒物</w:t>
                  </w:r>
                </w:p>
              </w:tc>
              <w:tc>
                <w:tcPr>
                  <w:tcW w:w="779" w:type="pct"/>
                  <w:tcBorders>
                    <w:tl2br w:val="nil"/>
                    <w:tr2bl w:val="nil"/>
                  </w:tcBorders>
                  <w:noWrap w:val="0"/>
                  <w:tcMar>
                    <w:top w:w="0" w:type="dxa"/>
                    <w:left w:w="57" w:type="dxa"/>
                    <w:bottom w:w="0" w:type="dxa"/>
                    <w:right w:w="57" w:type="dxa"/>
                  </w:tcMar>
                  <w:vAlign w:val="center"/>
                </w:tcPr>
                <w:p w14:paraId="704942B6">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1次/</w:t>
                  </w:r>
                  <w:r>
                    <w:rPr>
                      <w:rFonts w:hint="eastAsia" w:cs="Times New Roman"/>
                      <w:color w:val="000000" w:themeColor="text1"/>
                      <w:kern w:val="0"/>
                      <w:sz w:val="21"/>
                      <w:szCs w:val="21"/>
                      <w:highlight w:val="none"/>
                      <w:lang w:val="en-US" w:eastAsia="zh-CN"/>
                      <w14:textFill>
                        <w14:solidFill>
                          <w14:schemeClr w14:val="tx1"/>
                        </w14:solidFill>
                      </w14:textFill>
                    </w:rPr>
                    <w:t>半</w:t>
                  </w: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年</w:t>
                  </w:r>
                </w:p>
              </w:tc>
              <w:tc>
                <w:tcPr>
                  <w:tcW w:w="1462" w:type="pct"/>
                  <w:vMerge w:val="continue"/>
                  <w:tcBorders>
                    <w:tl2br w:val="nil"/>
                    <w:tr2bl w:val="nil"/>
                  </w:tcBorders>
                  <w:noWrap w:val="0"/>
                  <w:tcMar>
                    <w:top w:w="0" w:type="dxa"/>
                    <w:left w:w="57" w:type="dxa"/>
                    <w:bottom w:w="0" w:type="dxa"/>
                    <w:right w:w="57" w:type="dxa"/>
                  </w:tcMar>
                  <w:vAlign w:val="center"/>
                </w:tcPr>
                <w:p w14:paraId="2C703497">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r>
            <w:tr w14:paraId="74DD600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245" w:type="pct"/>
                  <w:vMerge w:val="continue"/>
                  <w:tcBorders>
                    <w:tl2br w:val="nil"/>
                    <w:tr2bl w:val="nil"/>
                  </w:tcBorders>
                  <w:noWrap w:val="0"/>
                  <w:tcMar>
                    <w:top w:w="0" w:type="dxa"/>
                    <w:left w:w="57" w:type="dxa"/>
                    <w:bottom w:w="0" w:type="dxa"/>
                    <w:right w:w="57" w:type="dxa"/>
                  </w:tcMar>
                  <w:vAlign w:val="center"/>
                </w:tcPr>
                <w:p w14:paraId="46470540">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556" w:type="pct"/>
                  <w:vMerge w:val="continue"/>
                  <w:tcBorders>
                    <w:tl2br w:val="nil"/>
                    <w:tr2bl w:val="nil"/>
                  </w:tcBorders>
                  <w:noWrap w:val="0"/>
                  <w:tcMar>
                    <w:top w:w="0" w:type="dxa"/>
                    <w:left w:w="57" w:type="dxa"/>
                    <w:bottom w:w="0" w:type="dxa"/>
                    <w:right w:w="57" w:type="dxa"/>
                  </w:tcMar>
                  <w:vAlign w:val="center"/>
                </w:tcPr>
                <w:p w14:paraId="446A7E75">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1177" w:type="pct"/>
                  <w:tcBorders>
                    <w:tl2br w:val="nil"/>
                    <w:tr2bl w:val="nil"/>
                  </w:tcBorders>
                  <w:noWrap w:val="0"/>
                  <w:tcMar>
                    <w:top w:w="0" w:type="dxa"/>
                    <w:left w:w="57" w:type="dxa"/>
                    <w:bottom w:w="0" w:type="dxa"/>
                    <w:right w:w="57" w:type="dxa"/>
                  </w:tcMar>
                  <w:vAlign w:val="center"/>
                </w:tcPr>
                <w:p w14:paraId="382D2D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1"/>
                      <w:szCs w:val="21"/>
                      <w:highlight w:val="none"/>
                      <w14:textFill>
                        <w14:solidFill>
                          <w14:schemeClr w14:val="tx1"/>
                        </w14:solidFill>
                      </w14:textFill>
                    </w:rPr>
                    <w:t>（DA00</w:t>
                  </w:r>
                  <w:r>
                    <w:rPr>
                      <w:rFonts w:hint="eastAsia" w:cs="Times New Roman"/>
                      <w:color w:val="000000" w:themeColor="text1"/>
                      <w:sz w:val="21"/>
                      <w:szCs w:val="21"/>
                      <w:highlight w:val="none"/>
                      <w:lang w:val="en-US" w:eastAsia="zh-CN"/>
                      <w14:textFill>
                        <w14:solidFill>
                          <w14:schemeClr w14:val="tx1"/>
                        </w14:solidFill>
                      </w14:textFill>
                    </w:rPr>
                    <w:t>9</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778" w:type="pct"/>
                  <w:tcBorders>
                    <w:tl2br w:val="nil"/>
                    <w:tr2bl w:val="nil"/>
                  </w:tcBorders>
                  <w:noWrap w:val="0"/>
                  <w:tcMar>
                    <w:top w:w="0" w:type="dxa"/>
                    <w:left w:w="57" w:type="dxa"/>
                    <w:bottom w:w="0" w:type="dxa"/>
                    <w:right w:w="57" w:type="dxa"/>
                  </w:tcMar>
                  <w:vAlign w:val="center"/>
                </w:tcPr>
                <w:p w14:paraId="6FAB9989">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颗粒物</w:t>
                  </w:r>
                </w:p>
              </w:tc>
              <w:tc>
                <w:tcPr>
                  <w:tcW w:w="779" w:type="pct"/>
                  <w:tcBorders>
                    <w:tl2br w:val="nil"/>
                    <w:tr2bl w:val="nil"/>
                  </w:tcBorders>
                  <w:noWrap w:val="0"/>
                  <w:tcMar>
                    <w:top w:w="0" w:type="dxa"/>
                    <w:left w:w="57" w:type="dxa"/>
                    <w:bottom w:w="0" w:type="dxa"/>
                    <w:right w:w="57" w:type="dxa"/>
                  </w:tcMar>
                  <w:vAlign w:val="center"/>
                </w:tcPr>
                <w:p w14:paraId="1E9902DC">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1次/</w:t>
                  </w:r>
                  <w:r>
                    <w:rPr>
                      <w:rFonts w:hint="eastAsia" w:cs="Times New Roman"/>
                      <w:color w:val="000000" w:themeColor="text1"/>
                      <w:kern w:val="0"/>
                      <w:sz w:val="21"/>
                      <w:szCs w:val="21"/>
                      <w:highlight w:val="none"/>
                      <w:lang w:val="en-US" w:eastAsia="zh-CN"/>
                      <w14:textFill>
                        <w14:solidFill>
                          <w14:schemeClr w14:val="tx1"/>
                        </w14:solidFill>
                      </w14:textFill>
                    </w:rPr>
                    <w:t>半</w:t>
                  </w: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年</w:t>
                  </w:r>
                </w:p>
              </w:tc>
              <w:tc>
                <w:tcPr>
                  <w:tcW w:w="1462" w:type="pct"/>
                  <w:vMerge w:val="continue"/>
                  <w:tcBorders>
                    <w:tl2br w:val="nil"/>
                    <w:tr2bl w:val="nil"/>
                  </w:tcBorders>
                  <w:noWrap w:val="0"/>
                  <w:tcMar>
                    <w:top w:w="0" w:type="dxa"/>
                    <w:left w:w="57" w:type="dxa"/>
                    <w:bottom w:w="0" w:type="dxa"/>
                    <w:right w:w="57" w:type="dxa"/>
                  </w:tcMar>
                  <w:vAlign w:val="center"/>
                </w:tcPr>
                <w:p w14:paraId="5630FDA2">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r>
            <w:tr w14:paraId="51D14E5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245" w:type="pct"/>
                  <w:vMerge w:val="continue"/>
                  <w:tcBorders>
                    <w:tl2br w:val="nil"/>
                    <w:tr2bl w:val="nil"/>
                  </w:tcBorders>
                  <w:noWrap w:val="0"/>
                  <w:tcMar>
                    <w:top w:w="0" w:type="dxa"/>
                    <w:left w:w="57" w:type="dxa"/>
                    <w:bottom w:w="0" w:type="dxa"/>
                    <w:right w:w="57" w:type="dxa"/>
                  </w:tcMar>
                  <w:vAlign w:val="center"/>
                </w:tcPr>
                <w:p w14:paraId="5B9CEE70">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556" w:type="pct"/>
                  <w:vMerge w:val="continue"/>
                  <w:tcBorders>
                    <w:tl2br w:val="nil"/>
                    <w:tr2bl w:val="nil"/>
                  </w:tcBorders>
                  <w:noWrap w:val="0"/>
                  <w:tcMar>
                    <w:top w:w="0" w:type="dxa"/>
                    <w:left w:w="57" w:type="dxa"/>
                    <w:bottom w:w="0" w:type="dxa"/>
                    <w:right w:w="57" w:type="dxa"/>
                  </w:tcMar>
                  <w:vAlign w:val="center"/>
                </w:tcPr>
                <w:p w14:paraId="643C2F99">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1177" w:type="pct"/>
                  <w:tcBorders>
                    <w:tl2br w:val="nil"/>
                    <w:tr2bl w:val="nil"/>
                  </w:tcBorders>
                  <w:noWrap w:val="0"/>
                  <w:tcMar>
                    <w:top w:w="0" w:type="dxa"/>
                    <w:left w:w="57" w:type="dxa"/>
                    <w:bottom w:w="0" w:type="dxa"/>
                    <w:right w:w="57" w:type="dxa"/>
                  </w:tcMar>
                  <w:vAlign w:val="center"/>
                </w:tcPr>
                <w:p w14:paraId="2310C5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highlight w:val="none"/>
                      <w14:textFill>
                        <w14:solidFill>
                          <w14:schemeClr w14:val="tx1"/>
                        </w14:solidFill>
                      </w14:textFill>
                    </w:rPr>
                    <w:t>（DA0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10</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778" w:type="pct"/>
                  <w:tcBorders>
                    <w:tl2br w:val="nil"/>
                    <w:tr2bl w:val="nil"/>
                  </w:tcBorders>
                  <w:noWrap w:val="0"/>
                  <w:tcMar>
                    <w:top w:w="0" w:type="dxa"/>
                    <w:left w:w="57" w:type="dxa"/>
                    <w:bottom w:w="0" w:type="dxa"/>
                    <w:right w:w="57" w:type="dxa"/>
                  </w:tcMar>
                  <w:vAlign w:val="center"/>
                </w:tcPr>
                <w:p w14:paraId="60AC998F">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颗粒物</w:t>
                  </w:r>
                </w:p>
              </w:tc>
              <w:tc>
                <w:tcPr>
                  <w:tcW w:w="779" w:type="pct"/>
                  <w:tcBorders>
                    <w:tl2br w:val="nil"/>
                    <w:tr2bl w:val="nil"/>
                  </w:tcBorders>
                  <w:noWrap w:val="0"/>
                  <w:tcMar>
                    <w:top w:w="0" w:type="dxa"/>
                    <w:left w:w="57" w:type="dxa"/>
                    <w:bottom w:w="0" w:type="dxa"/>
                    <w:right w:w="57" w:type="dxa"/>
                  </w:tcMar>
                  <w:vAlign w:val="center"/>
                </w:tcPr>
                <w:p w14:paraId="0DDF328A">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1次/</w:t>
                  </w:r>
                  <w:r>
                    <w:rPr>
                      <w:rFonts w:hint="eastAsia" w:cs="Times New Roman"/>
                      <w:color w:val="000000" w:themeColor="text1"/>
                      <w:kern w:val="0"/>
                      <w:sz w:val="21"/>
                      <w:szCs w:val="21"/>
                      <w:highlight w:val="none"/>
                      <w:lang w:val="en-US" w:eastAsia="zh-CN"/>
                      <w14:textFill>
                        <w14:solidFill>
                          <w14:schemeClr w14:val="tx1"/>
                        </w14:solidFill>
                      </w14:textFill>
                    </w:rPr>
                    <w:t>半</w:t>
                  </w: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年</w:t>
                  </w:r>
                </w:p>
              </w:tc>
              <w:tc>
                <w:tcPr>
                  <w:tcW w:w="1462" w:type="pct"/>
                  <w:vMerge w:val="continue"/>
                  <w:tcBorders>
                    <w:tl2br w:val="nil"/>
                    <w:tr2bl w:val="nil"/>
                  </w:tcBorders>
                  <w:noWrap w:val="0"/>
                  <w:tcMar>
                    <w:top w:w="0" w:type="dxa"/>
                    <w:left w:w="57" w:type="dxa"/>
                    <w:bottom w:w="0" w:type="dxa"/>
                    <w:right w:w="57" w:type="dxa"/>
                  </w:tcMar>
                  <w:vAlign w:val="center"/>
                </w:tcPr>
                <w:p w14:paraId="61859314">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r>
            <w:tr w14:paraId="71ED004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245" w:type="pct"/>
                  <w:vMerge w:val="continue"/>
                  <w:tcBorders>
                    <w:tl2br w:val="nil"/>
                    <w:tr2bl w:val="nil"/>
                  </w:tcBorders>
                  <w:noWrap w:val="0"/>
                  <w:tcMar>
                    <w:top w:w="0" w:type="dxa"/>
                    <w:left w:w="57" w:type="dxa"/>
                    <w:bottom w:w="0" w:type="dxa"/>
                    <w:right w:w="57" w:type="dxa"/>
                  </w:tcMar>
                  <w:vAlign w:val="center"/>
                </w:tcPr>
                <w:p w14:paraId="30343C63">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556" w:type="pct"/>
                  <w:vMerge w:val="continue"/>
                  <w:tcBorders>
                    <w:tl2br w:val="nil"/>
                    <w:tr2bl w:val="nil"/>
                  </w:tcBorders>
                  <w:noWrap w:val="0"/>
                  <w:tcMar>
                    <w:top w:w="0" w:type="dxa"/>
                    <w:left w:w="57" w:type="dxa"/>
                    <w:bottom w:w="0" w:type="dxa"/>
                    <w:right w:w="57" w:type="dxa"/>
                  </w:tcMar>
                  <w:vAlign w:val="center"/>
                </w:tcPr>
                <w:p w14:paraId="4944B591">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1177" w:type="pct"/>
                  <w:tcBorders>
                    <w:tl2br w:val="nil"/>
                    <w:tr2bl w:val="nil"/>
                  </w:tcBorders>
                  <w:noWrap w:val="0"/>
                  <w:tcMar>
                    <w:top w:w="0" w:type="dxa"/>
                    <w:left w:w="57" w:type="dxa"/>
                    <w:bottom w:w="0" w:type="dxa"/>
                    <w:right w:w="57" w:type="dxa"/>
                  </w:tcMar>
                  <w:vAlign w:val="center"/>
                </w:tcPr>
                <w:p w14:paraId="464037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1"/>
                      <w:szCs w:val="21"/>
                      <w:highlight w:val="none"/>
                      <w14:textFill>
                        <w14:solidFill>
                          <w14:schemeClr w14:val="tx1"/>
                        </w14:solidFill>
                      </w14:textFill>
                    </w:rPr>
                    <w:t>（DA0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11</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778" w:type="pct"/>
                  <w:tcBorders>
                    <w:tl2br w:val="nil"/>
                    <w:tr2bl w:val="nil"/>
                  </w:tcBorders>
                  <w:noWrap w:val="0"/>
                  <w:tcMar>
                    <w:top w:w="0" w:type="dxa"/>
                    <w:left w:w="57" w:type="dxa"/>
                    <w:bottom w:w="0" w:type="dxa"/>
                    <w:right w:w="57" w:type="dxa"/>
                  </w:tcMar>
                  <w:vAlign w:val="center"/>
                </w:tcPr>
                <w:p w14:paraId="15063D8C">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颗粒物</w:t>
                  </w:r>
                </w:p>
              </w:tc>
              <w:tc>
                <w:tcPr>
                  <w:tcW w:w="779" w:type="pct"/>
                  <w:tcBorders>
                    <w:tl2br w:val="nil"/>
                    <w:tr2bl w:val="nil"/>
                  </w:tcBorders>
                  <w:noWrap w:val="0"/>
                  <w:tcMar>
                    <w:top w:w="0" w:type="dxa"/>
                    <w:left w:w="57" w:type="dxa"/>
                    <w:bottom w:w="0" w:type="dxa"/>
                    <w:right w:w="57" w:type="dxa"/>
                  </w:tcMar>
                  <w:vAlign w:val="center"/>
                </w:tcPr>
                <w:p w14:paraId="24C77DDA">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1次/</w:t>
                  </w:r>
                  <w:r>
                    <w:rPr>
                      <w:rFonts w:hint="eastAsia" w:cs="Times New Roman"/>
                      <w:color w:val="000000" w:themeColor="text1"/>
                      <w:kern w:val="0"/>
                      <w:sz w:val="21"/>
                      <w:szCs w:val="21"/>
                      <w:highlight w:val="none"/>
                      <w:lang w:val="en-US" w:eastAsia="zh-CN"/>
                      <w14:textFill>
                        <w14:solidFill>
                          <w14:schemeClr w14:val="tx1"/>
                        </w14:solidFill>
                      </w14:textFill>
                    </w:rPr>
                    <w:t>半</w:t>
                  </w: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年</w:t>
                  </w:r>
                </w:p>
              </w:tc>
              <w:tc>
                <w:tcPr>
                  <w:tcW w:w="1462" w:type="pct"/>
                  <w:vMerge w:val="continue"/>
                  <w:tcBorders>
                    <w:tl2br w:val="nil"/>
                    <w:tr2bl w:val="nil"/>
                  </w:tcBorders>
                  <w:noWrap w:val="0"/>
                  <w:tcMar>
                    <w:top w:w="0" w:type="dxa"/>
                    <w:left w:w="57" w:type="dxa"/>
                    <w:bottom w:w="0" w:type="dxa"/>
                    <w:right w:w="57" w:type="dxa"/>
                  </w:tcMar>
                  <w:vAlign w:val="center"/>
                </w:tcPr>
                <w:p w14:paraId="4D09D119">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r>
            <w:tr w14:paraId="4D7327F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245" w:type="pct"/>
                  <w:vMerge w:val="continue"/>
                  <w:tcBorders>
                    <w:tl2br w:val="nil"/>
                    <w:tr2bl w:val="nil"/>
                  </w:tcBorders>
                  <w:noWrap w:val="0"/>
                  <w:tcMar>
                    <w:top w:w="0" w:type="dxa"/>
                    <w:left w:w="57" w:type="dxa"/>
                    <w:bottom w:w="0" w:type="dxa"/>
                    <w:right w:w="57" w:type="dxa"/>
                  </w:tcMar>
                  <w:vAlign w:val="center"/>
                </w:tcPr>
                <w:p w14:paraId="4C255C2A">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556" w:type="pct"/>
                  <w:vMerge w:val="continue"/>
                  <w:tcBorders>
                    <w:tl2br w:val="nil"/>
                    <w:tr2bl w:val="nil"/>
                  </w:tcBorders>
                  <w:noWrap w:val="0"/>
                  <w:tcMar>
                    <w:top w:w="0" w:type="dxa"/>
                    <w:left w:w="57" w:type="dxa"/>
                    <w:bottom w:w="0" w:type="dxa"/>
                    <w:right w:w="57" w:type="dxa"/>
                  </w:tcMar>
                  <w:vAlign w:val="center"/>
                </w:tcPr>
                <w:p w14:paraId="58C7F5E6">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1177" w:type="pct"/>
                  <w:tcBorders>
                    <w:tl2br w:val="nil"/>
                    <w:tr2bl w:val="nil"/>
                  </w:tcBorders>
                  <w:noWrap w:val="0"/>
                  <w:tcMar>
                    <w:top w:w="0" w:type="dxa"/>
                    <w:left w:w="57" w:type="dxa"/>
                    <w:bottom w:w="0" w:type="dxa"/>
                    <w:right w:w="57" w:type="dxa"/>
                  </w:tcMar>
                  <w:vAlign w:val="center"/>
                </w:tcPr>
                <w:p w14:paraId="1F4A00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z w:val="21"/>
                      <w:szCs w:val="21"/>
                      <w:highlight w:val="none"/>
                      <w14:textFill>
                        <w14:solidFill>
                          <w14:schemeClr w14:val="tx1"/>
                        </w14:solidFill>
                      </w14:textFill>
                    </w:rPr>
                    <w:t>（DA0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12</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778" w:type="pct"/>
                  <w:tcBorders>
                    <w:tl2br w:val="nil"/>
                    <w:tr2bl w:val="nil"/>
                  </w:tcBorders>
                  <w:noWrap w:val="0"/>
                  <w:tcMar>
                    <w:top w:w="0" w:type="dxa"/>
                    <w:left w:w="57" w:type="dxa"/>
                    <w:bottom w:w="0" w:type="dxa"/>
                    <w:right w:w="57" w:type="dxa"/>
                  </w:tcMar>
                  <w:vAlign w:val="center"/>
                </w:tcPr>
                <w:p w14:paraId="47539CBD">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颗粒物</w:t>
                  </w:r>
                </w:p>
              </w:tc>
              <w:tc>
                <w:tcPr>
                  <w:tcW w:w="779" w:type="pct"/>
                  <w:tcBorders>
                    <w:tl2br w:val="nil"/>
                    <w:tr2bl w:val="nil"/>
                  </w:tcBorders>
                  <w:noWrap w:val="0"/>
                  <w:tcMar>
                    <w:top w:w="0" w:type="dxa"/>
                    <w:left w:w="57" w:type="dxa"/>
                    <w:bottom w:w="0" w:type="dxa"/>
                    <w:right w:w="57" w:type="dxa"/>
                  </w:tcMar>
                  <w:vAlign w:val="center"/>
                </w:tcPr>
                <w:p w14:paraId="3D928E46">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1次/</w:t>
                  </w:r>
                  <w:r>
                    <w:rPr>
                      <w:rFonts w:hint="eastAsia" w:cs="Times New Roman"/>
                      <w:color w:val="000000" w:themeColor="text1"/>
                      <w:kern w:val="0"/>
                      <w:sz w:val="21"/>
                      <w:szCs w:val="21"/>
                      <w:highlight w:val="none"/>
                      <w:lang w:val="en-US" w:eastAsia="zh-CN"/>
                      <w14:textFill>
                        <w14:solidFill>
                          <w14:schemeClr w14:val="tx1"/>
                        </w14:solidFill>
                      </w14:textFill>
                    </w:rPr>
                    <w:t>半</w:t>
                  </w: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年</w:t>
                  </w:r>
                </w:p>
              </w:tc>
              <w:tc>
                <w:tcPr>
                  <w:tcW w:w="1462" w:type="pct"/>
                  <w:vMerge w:val="continue"/>
                  <w:tcBorders>
                    <w:tl2br w:val="nil"/>
                    <w:tr2bl w:val="nil"/>
                  </w:tcBorders>
                  <w:noWrap w:val="0"/>
                  <w:tcMar>
                    <w:top w:w="0" w:type="dxa"/>
                    <w:left w:w="57" w:type="dxa"/>
                    <w:bottom w:w="0" w:type="dxa"/>
                    <w:right w:w="57" w:type="dxa"/>
                  </w:tcMar>
                  <w:vAlign w:val="center"/>
                </w:tcPr>
                <w:p w14:paraId="13033491">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r>
            <w:tr w14:paraId="4516370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245" w:type="pct"/>
                  <w:vMerge w:val="continue"/>
                  <w:tcBorders>
                    <w:tl2br w:val="nil"/>
                    <w:tr2bl w:val="nil"/>
                  </w:tcBorders>
                  <w:noWrap w:val="0"/>
                  <w:tcMar>
                    <w:top w:w="0" w:type="dxa"/>
                    <w:left w:w="57" w:type="dxa"/>
                    <w:bottom w:w="0" w:type="dxa"/>
                    <w:right w:w="57" w:type="dxa"/>
                  </w:tcMar>
                  <w:vAlign w:val="center"/>
                </w:tcPr>
                <w:p w14:paraId="40359092">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556" w:type="pct"/>
                  <w:vMerge w:val="continue"/>
                  <w:tcBorders>
                    <w:tl2br w:val="nil"/>
                    <w:tr2bl w:val="nil"/>
                  </w:tcBorders>
                  <w:noWrap w:val="0"/>
                  <w:tcMar>
                    <w:top w:w="0" w:type="dxa"/>
                    <w:left w:w="57" w:type="dxa"/>
                    <w:bottom w:w="0" w:type="dxa"/>
                    <w:right w:w="57" w:type="dxa"/>
                  </w:tcMar>
                  <w:vAlign w:val="center"/>
                </w:tcPr>
                <w:p w14:paraId="4F48629B">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1177" w:type="pct"/>
                  <w:tcBorders>
                    <w:tl2br w:val="nil"/>
                    <w:tr2bl w:val="nil"/>
                  </w:tcBorders>
                  <w:noWrap w:val="0"/>
                  <w:tcMar>
                    <w:top w:w="0" w:type="dxa"/>
                    <w:left w:w="57" w:type="dxa"/>
                    <w:bottom w:w="0" w:type="dxa"/>
                    <w:right w:w="57" w:type="dxa"/>
                  </w:tcMar>
                  <w:vAlign w:val="center"/>
                </w:tcPr>
                <w:p w14:paraId="0D1F79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8</w:t>
                  </w:r>
                  <w:r>
                    <w:rPr>
                      <w:rFonts w:hint="default" w:ascii="Times New Roman" w:hAnsi="Times New Roman" w:eastAsia="宋体" w:cs="Times New Roman"/>
                      <w:color w:val="000000" w:themeColor="text1"/>
                      <w:sz w:val="21"/>
                      <w:szCs w:val="21"/>
                      <w:highlight w:val="none"/>
                      <w14:textFill>
                        <w14:solidFill>
                          <w14:schemeClr w14:val="tx1"/>
                        </w14:solidFill>
                      </w14:textFill>
                    </w:rPr>
                    <w:t>（DA0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13</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778" w:type="pct"/>
                  <w:tcBorders>
                    <w:tl2br w:val="nil"/>
                    <w:tr2bl w:val="nil"/>
                  </w:tcBorders>
                  <w:noWrap w:val="0"/>
                  <w:tcMar>
                    <w:top w:w="0" w:type="dxa"/>
                    <w:left w:w="57" w:type="dxa"/>
                    <w:bottom w:w="0" w:type="dxa"/>
                    <w:right w:w="57" w:type="dxa"/>
                  </w:tcMar>
                  <w:vAlign w:val="center"/>
                </w:tcPr>
                <w:p w14:paraId="2A23B011">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颗粒物</w:t>
                  </w:r>
                </w:p>
              </w:tc>
              <w:tc>
                <w:tcPr>
                  <w:tcW w:w="779" w:type="pct"/>
                  <w:tcBorders>
                    <w:tl2br w:val="nil"/>
                    <w:tr2bl w:val="nil"/>
                  </w:tcBorders>
                  <w:noWrap w:val="0"/>
                  <w:tcMar>
                    <w:top w:w="0" w:type="dxa"/>
                    <w:left w:w="57" w:type="dxa"/>
                    <w:bottom w:w="0" w:type="dxa"/>
                    <w:right w:w="57" w:type="dxa"/>
                  </w:tcMar>
                  <w:vAlign w:val="center"/>
                </w:tcPr>
                <w:p w14:paraId="51283900">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1次/</w:t>
                  </w:r>
                  <w:r>
                    <w:rPr>
                      <w:rFonts w:hint="eastAsia" w:cs="Times New Roman"/>
                      <w:color w:val="000000" w:themeColor="text1"/>
                      <w:kern w:val="0"/>
                      <w:sz w:val="21"/>
                      <w:szCs w:val="21"/>
                      <w:highlight w:val="none"/>
                      <w:lang w:val="en-US" w:eastAsia="zh-CN"/>
                      <w14:textFill>
                        <w14:solidFill>
                          <w14:schemeClr w14:val="tx1"/>
                        </w14:solidFill>
                      </w14:textFill>
                    </w:rPr>
                    <w:t>半</w:t>
                  </w: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年</w:t>
                  </w:r>
                </w:p>
              </w:tc>
              <w:tc>
                <w:tcPr>
                  <w:tcW w:w="1462" w:type="pct"/>
                  <w:vMerge w:val="continue"/>
                  <w:tcBorders>
                    <w:tl2br w:val="nil"/>
                    <w:tr2bl w:val="nil"/>
                  </w:tcBorders>
                  <w:noWrap w:val="0"/>
                  <w:tcMar>
                    <w:top w:w="0" w:type="dxa"/>
                    <w:left w:w="57" w:type="dxa"/>
                    <w:bottom w:w="0" w:type="dxa"/>
                    <w:right w:w="57" w:type="dxa"/>
                  </w:tcMar>
                  <w:vAlign w:val="center"/>
                </w:tcPr>
                <w:p w14:paraId="2FCB2A28">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r>
            <w:tr w14:paraId="37A016C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245" w:type="pct"/>
                  <w:vMerge w:val="continue"/>
                  <w:tcBorders>
                    <w:tl2br w:val="nil"/>
                    <w:tr2bl w:val="nil"/>
                  </w:tcBorders>
                  <w:noWrap w:val="0"/>
                  <w:tcMar>
                    <w:top w:w="0" w:type="dxa"/>
                    <w:left w:w="57" w:type="dxa"/>
                    <w:bottom w:w="0" w:type="dxa"/>
                    <w:right w:w="57" w:type="dxa"/>
                  </w:tcMar>
                  <w:vAlign w:val="center"/>
                </w:tcPr>
                <w:p w14:paraId="694E04DD">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556" w:type="pct"/>
                  <w:vMerge w:val="restart"/>
                  <w:tcBorders>
                    <w:tl2br w:val="nil"/>
                    <w:tr2bl w:val="nil"/>
                  </w:tcBorders>
                  <w:shd w:val="clear" w:color="auto" w:fill="auto"/>
                  <w:noWrap w:val="0"/>
                  <w:tcMar>
                    <w:top w:w="0" w:type="dxa"/>
                    <w:left w:w="57" w:type="dxa"/>
                    <w:bottom w:w="0" w:type="dxa"/>
                    <w:right w:w="57" w:type="dxa"/>
                  </w:tcMar>
                  <w:vAlign w:val="center"/>
                </w:tcPr>
                <w:p w14:paraId="43D6EA6D">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无组织废气</w:t>
                  </w:r>
                </w:p>
              </w:tc>
              <w:tc>
                <w:tcPr>
                  <w:tcW w:w="1177" w:type="pct"/>
                  <w:vMerge w:val="restart"/>
                  <w:tcBorders>
                    <w:tl2br w:val="nil"/>
                    <w:tr2bl w:val="nil"/>
                  </w:tcBorders>
                  <w:shd w:val="clear" w:color="auto" w:fill="auto"/>
                  <w:noWrap w:val="0"/>
                  <w:tcMar>
                    <w:top w:w="0" w:type="dxa"/>
                    <w:left w:w="57" w:type="dxa"/>
                    <w:bottom w:w="0" w:type="dxa"/>
                    <w:right w:w="57" w:type="dxa"/>
                  </w:tcMar>
                  <w:vAlign w:val="center"/>
                </w:tcPr>
                <w:p w14:paraId="5513B52E">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厂界</w:t>
                  </w:r>
                </w:p>
              </w:tc>
              <w:tc>
                <w:tcPr>
                  <w:tcW w:w="778" w:type="pct"/>
                  <w:tcBorders>
                    <w:tl2br w:val="nil"/>
                    <w:tr2bl w:val="nil"/>
                  </w:tcBorders>
                  <w:shd w:val="clear" w:color="auto" w:fill="auto"/>
                  <w:noWrap w:val="0"/>
                  <w:tcMar>
                    <w:top w:w="0" w:type="dxa"/>
                    <w:left w:w="57" w:type="dxa"/>
                    <w:bottom w:w="0" w:type="dxa"/>
                    <w:right w:w="57" w:type="dxa"/>
                  </w:tcMar>
                  <w:vAlign w:val="center"/>
                </w:tcPr>
                <w:p w14:paraId="78C334DB">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颗粒物</w:t>
                  </w:r>
                </w:p>
              </w:tc>
              <w:tc>
                <w:tcPr>
                  <w:tcW w:w="779" w:type="pct"/>
                  <w:vMerge w:val="restart"/>
                  <w:tcBorders>
                    <w:tl2br w:val="nil"/>
                    <w:tr2bl w:val="nil"/>
                  </w:tcBorders>
                  <w:shd w:val="clear" w:color="auto" w:fill="auto"/>
                  <w:noWrap w:val="0"/>
                  <w:tcMar>
                    <w:top w:w="0" w:type="dxa"/>
                    <w:left w:w="57" w:type="dxa"/>
                    <w:bottom w:w="0" w:type="dxa"/>
                    <w:right w:w="57" w:type="dxa"/>
                  </w:tcMar>
                  <w:vAlign w:val="center"/>
                </w:tcPr>
                <w:p w14:paraId="290AC0C8">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1次/</w:t>
                  </w:r>
                  <w:r>
                    <w:rPr>
                      <w:rFonts w:hint="eastAsia" w:cs="Times New Roman"/>
                      <w:color w:val="000000" w:themeColor="text1"/>
                      <w:kern w:val="0"/>
                      <w:sz w:val="21"/>
                      <w:szCs w:val="21"/>
                      <w:highlight w:val="none"/>
                      <w:lang w:val="en-US" w:eastAsia="zh-CN"/>
                      <w14:textFill>
                        <w14:solidFill>
                          <w14:schemeClr w14:val="tx1"/>
                        </w14:solidFill>
                      </w14:textFill>
                    </w:rPr>
                    <w:t>半</w:t>
                  </w: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年</w:t>
                  </w:r>
                </w:p>
              </w:tc>
              <w:tc>
                <w:tcPr>
                  <w:tcW w:w="1462" w:type="pct"/>
                  <w:vMerge w:val="restart"/>
                  <w:tcBorders>
                    <w:tl2br w:val="nil"/>
                    <w:tr2bl w:val="nil"/>
                  </w:tcBorders>
                  <w:shd w:val="clear" w:color="auto" w:fill="auto"/>
                  <w:noWrap w:val="0"/>
                  <w:tcMar>
                    <w:top w:w="0" w:type="dxa"/>
                    <w:left w:w="57" w:type="dxa"/>
                    <w:bottom w:w="0" w:type="dxa"/>
                    <w:right w:w="57" w:type="dxa"/>
                  </w:tcMar>
                  <w:vAlign w:val="center"/>
                </w:tcPr>
                <w:p w14:paraId="6918EF90">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大气污染物综合排放标准》（GB16297-1996）</w:t>
                  </w:r>
                </w:p>
              </w:tc>
            </w:tr>
            <w:tr w14:paraId="5775ECC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245" w:type="pct"/>
                  <w:vMerge w:val="continue"/>
                  <w:tcBorders>
                    <w:tl2br w:val="nil"/>
                    <w:tr2bl w:val="nil"/>
                  </w:tcBorders>
                  <w:noWrap w:val="0"/>
                  <w:tcMar>
                    <w:top w:w="0" w:type="dxa"/>
                    <w:left w:w="57" w:type="dxa"/>
                    <w:bottom w:w="0" w:type="dxa"/>
                    <w:right w:w="57" w:type="dxa"/>
                  </w:tcMar>
                  <w:vAlign w:val="center"/>
                </w:tcPr>
                <w:p w14:paraId="7B232318">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556" w:type="pct"/>
                  <w:vMerge w:val="continue"/>
                  <w:tcBorders>
                    <w:tl2br w:val="nil"/>
                    <w:tr2bl w:val="nil"/>
                  </w:tcBorders>
                  <w:shd w:val="clear" w:color="auto" w:fill="auto"/>
                  <w:noWrap w:val="0"/>
                  <w:tcMar>
                    <w:top w:w="0" w:type="dxa"/>
                    <w:left w:w="57" w:type="dxa"/>
                    <w:bottom w:w="0" w:type="dxa"/>
                    <w:right w:w="57" w:type="dxa"/>
                  </w:tcMar>
                  <w:vAlign w:val="center"/>
                </w:tcPr>
                <w:p w14:paraId="0302E58E">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1177" w:type="pct"/>
                  <w:vMerge w:val="continue"/>
                  <w:tcBorders>
                    <w:tl2br w:val="nil"/>
                    <w:tr2bl w:val="nil"/>
                  </w:tcBorders>
                  <w:shd w:val="clear" w:color="auto" w:fill="auto"/>
                  <w:noWrap w:val="0"/>
                  <w:tcMar>
                    <w:top w:w="0" w:type="dxa"/>
                    <w:left w:w="57" w:type="dxa"/>
                    <w:bottom w:w="0" w:type="dxa"/>
                    <w:right w:w="57" w:type="dxa"/>
                  </w:tcMar>
                  <w:vAlign w:val="center"/>
                </w:tcPr>
                <w:p w14:paraId="66B3D37E">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778" w:type="pct"/>
                  <w:tcBorders>
                    <w:tl2br w:val="nil"/>
                    <w:tr2bl w:val="nil"/>
                  </w:tcBorders>
                  <w:shd w:val="clear" w:color="auto" w:fill="auto"/>
                  <w:noWrap w:val="0"/>
                  <w:tcMar>
                    <w:top w:w="0" w:type="dxa"/>
                    <w:left w:w="57" w:type="dxa"/>
                    <w:bottom w:w="0" w:type="dxa"/>
                    <w:right w:w="57" w:type="dxa"/>
                  </w:tcMar>
                  <w:vAlign w:val="center"/>
                </w:tcPr>
                <w:p w14:paraId="07BF0707">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非甲烷总烃</w:t>
                  </w:r>
                </w:p>
              </w:tc>
              <w:tc>
                <w:tcPr>
                  <w:tcW w:w="779" w:type="pct"/>
                  <w:vMerge w:val="continue"/>
                  <w:tcBorders>
                    <w:tl2br w:val="nil"/>
                    <w:tr2bl w:val="nil"/>
                  </w:tcBorders>
                  <w:shd w:val="clear" w:color="auto" w:fill="auto"/>
                  <w:noWrap w:val="0"/>
                  <w:tcMar>
                    <w:top w:w="0" w:type="dxa"/>
                    <w:left w:w="57" w:type="dxa"/>
                    <w:bottom w:w="0" w:type="dxa"/>
                    <w:right w:w="57" w:type="dxa"/>
                  </w:tcMar>
                  <w:vAlign w:val="center"/>
                </w:tcPr>
                <w:p w14:paraId="7F47BC5D">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1462" w:type="pct"/>
                  <w:vMerge w:val="continue"/>
                  <w:tcBorders>
                    <w:tl2br w:val="nil"/>
                    <w:tr2bl w:val="nil"/>
                  </w:tcBorders>
                  <w:shd w:val="clear" w:color="auto" w:fill="auto"/>
                  <w:noWrap w:val="0"/>
                  <w:tcMar>
                    <w:top w:w="0" w:type="dxa"/>
                    <w:left w:w="57" w:type="dxa"/>
                    <w:bottom w:w="0" w:type="dxa"/>
                    <w:right w:w="57" w:type="dxa"/>
                  </w:tcMar>
                  <w:vAlign w:val="center"/>
                </w:tcPr>
                <w:p w14:paraId="4F26A455">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p>
              </w:tc>
            </w:tr>
            <w:tr w14:paraId="4A3D103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245" w:type="pct"/>
                  <w:vMerge w:val="continue"/>
                  <w:tcBorders>
                    <w:tl2br w:val="nil"/>
                    <w:tr2bl w:val="nil"/>
                  </w:tcBorders>
                  <w:noWrap w:val="0"/>
                  <w:tcMar>
                    <w:top w:w="0" w:type="dxa"/>
                    <w:left w:w="57" w:type="dxa"/>
                    <w:bottom w:w="0" w:type="dxa"/>
                    <w:right w:w="57" w:type="dxa"/>
                  </w:tcMar>
                  <w:vAlign w:val="center"/>
                </w:tcPr>
                <w:p w14:paraId="504A8777">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556" w:type="pct"/>
                  <w:vMerge w:val="continue"/>
                  <w:tcBorders>
                    <w:tl2br w:val="nil"/>
                    <w:tr2bl w:val="nil"/>
                  </w:tcBorders>
                  <w:shd w:val="clear" w:color="auto" w:fill="auto"/>
                  <w:noWrap w:val="0"/>
                  <w:tcMar>
                    <w:top w:w="0" w:type="dxa"/>
                    <w:left w:w="57" w:type="dxa"/>
                    <w:bottom w:w="0" w:type="dxa"/>
                    <w:right w:w="57" w:type="dxa"/>
                  </w:tcMar>
                  <w:vAlign w:val="center"/>
                </w:tcPr>
                <w:p w14:paraId="25FB7CDA">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1177" w:type="pct"/>
                  <w:vMerge w:val="continue"/>
                  <w:tcBorders>
                    <w:tl2br w:val="nil"/>
                    <w:tr2bl w:val="nil"/>
                  </w:tcBorders>
                  <w:shd w:val="clear" w:color="auto" w:fill="auto"/>
                  <w:noWrap w:val="0"/>
                  <w:tcMar>
                    <w:top w:w="0" w:type="dxa"/>
                    <w:left w:w="57" w:type="dxa"/>
                    <w:bottom w:w="0" w:type="dxa"/>
                    <w:right w:w="57" w:type="dxa"/>
                  </w:tcMar>
                  <w:vAlign w:val="center"/>
                </w:tcPr>
                <w:p w14:paraId="785C0E20">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778" w:type="pct"/>
                  <w:tcBorders>
                    <w:tl2br w:val="nil"/>
                    <w:tr2bl w:val="nil"/>
                  </w:tcBorders>
                  <w:shd w:val="clear" w:color="auto" w:fill="auto"/>
                  <w:noWrap w:val="0"/>
                  <w:tcMar>
                    <w:top w:w="0" w:type="dxa"/>
                    <w:left w:w="57" w:type="dxa"/>
                    <w:bottom w:w="0" w:type="dxa"/>
                    <w:right w:w="57" w:type="dxa"/>
                  </w:tcMar>
                  <w:vAlign w:val="center"/>
                </w:tcPr>
                <w:p w14:paraId="327CFBE4">
                  <w:pPr>
                    <w:keepNext w:val="0"/>
                    <w:keepLines w:val="0"/>
                    <w:suppressLineNumbers w:val="0"/>
                    <w:autoSpaceDE/>
                    <w:autoSpaceDN/>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氨</w:t>
                  </w:r>
                </w:p>
              </w:tc>
              <w:tc>
                <w:tcPr>
                  <w:tcW w:w="779" w:type="pct"/>
                  <w:vMerge w:val="restart"/>
                  <w:tcBorders>
                    <w:tl2br w:val="nil"/>
                    <w:tr2bl w:val="nil"/>
                  </w:tcBorders>
                  <w:shd w:val="clear" w:color="auto" w:fill="auto"/>
                  <w:noWrap w:val="0"/>
                  <w:tcMar>
                    <w:top w:w="0" w:type="dxa"/>
                    <w:left w:w="57" w:type="dxa"/>
                    <w:bottom w:w="0" w:type="dxa"/>
                    <w:right w:w="57" w:type="dxa"/>
                  </w:tcMar>
                  <w:vAlign w:val="center"/>
                </w:tcPr>
                <w:p w14:paraId="1673A2FB">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1次/</w:t>
                  </w:r>
                  <w:r>
                    <w:rPr>
                      <w:rFonts w:hint="eastAsia" w:cs="Times New Roman"/>
                      <w:color w:val="000000" w:themeColor="text1"/>
                      <w:kern w:val="0"/>
                      <w:sz w:val="21"/>
                      <w:szCs w:val="21"/>
                      <w:highlight w:val="none"/>
                      <w:lang w:val="en-US" w:eastAsia="zh-CN"/>
                      <w14:textFill>
                        <w14:solidFill>
                          <w14:schemeClr w14:val="tx1"/>
                        </w14:solidFill>
                      </w14:textFill>
                    </w:rPr>
                    <w:t>半</w:t>
                  </w: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年</w:t>
                  </w:r>
                </w:p>
              </w:tc>
              <w:tc>
                <w:tcPr>
                  <w:tcW w:w="1462" w:type="pct"/>
                  <w:vMerge w:val="restart"/>
                  <w:tcBorders>
                    <w:tl2br w:val="nil"/>
                    <w:tr2bl w:val="nil"/>
                  </w:tcBorders>
                  <w:shd w:val="clear" w:color="auto" w:fill="auto"/>
                  <w:noWrap w:val="0"/>
                  <w:tcMar>
                    <w:top w:w="0" w:type="dxa"/>
                    <w:left w:w="57" w:type="dxa"/>
                    <w:bottom w:w="0" w:type="dxa"/>
                    <w:right w:w="57" w:type="dxa"/>
                  </w:tcMar>
                  <w:vAlign w:val="center"/>
                </w:tcPr>
                <w:p w14:paraId="5AB43902">
                  <w:pPr>
                    <w:keepNext w:val="0"/>
                    <w:keepLines w:val="0"/>
                    <w:suppressLineNumbers w:val="0"/>
                    <w:autoSpaceDE/>
                    <w:autoSpaceDN/>
                    <w:adjustRightInd w:val="0"/>
                    <w:snapToGrid w:val="0"/>
                    <w:spacing w:before="0" w:beforeAutospacing="0" w:after="0" w:afterAutospacing="0"/>
                    <w:ind w:left="0" w:right="0"/>
                    <w:jc w:val="center"/>
                    <w:rPr>
                      <w:rFonts w:hint="eastAsia" w:ascii="Times New Roman" w:hAnsi="Times New Roman" w:eastAsia="宋体" w:cs="Times New Roman"/>
                      <w:snapToGrid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snapToGrid w:val="0"/>
                      <w:color w:val="000000" w:themeColor="text1"/>
                      <w:sz w:val="21"/>
                      <w:szCs w:val="21"/>
                      <w:highlight w:val="none"/>
                      <w:lang w:val="en-US" w:eastAsia="zh-CN"/>
                      <w14:textFill>
                        <w14:solidFill>
                          <w14:schemeClr w14:val="tx1"/>
                        </w14:solidFill>
                      </w14:textFill>
                    </w:rPr>
                    <w:t>《恶臭污染物排放标准》（GB14554-93）</w:t>
                  </w:r>
                </w:p>
              </w:tc>
            </w:tr>
            <w:tr w14:paraId="48020D3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245" w:type="pct"/>
                  <w:vMerge w:val="continue"/>
                  <w:tcBorders>
                    <w:tl2br w:val="nil"/>
                    <w:tr2bl w:val="nil"/>
                  </w:tcBorders>
                  <w:noWrap w:val="0"/>
                  <w:tcMar>
                    <w:top w:w="0" w:type="dxa"/>
                    <w:left w:w="57" w:type="dxa"/>
                    <w:bottom w:w="0" w:type="dxa"/>
                    <w:right w:w="57" w:type="dxa"/>
                  </w:tcMar>
                  <w:vAlign w:val="center"/>
                </w:tcPr>
                <w:p w14:paraId="03DE1B69">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556" w:type="pct"/>
                  <w:vMerge w:val="continue"/>
                  <w:tcBorders>
                    <w:tl2br w:val="nil"/>
                    <w:tr2bl w:val="nil"/>
                  </w:tcBorders>
                  <w:shd w:val="clear" w:color="auto" w:fill="auto"/>
                  <w:noWrap w:val="0"/>
                  <w:tcMar>
                    <w:top w:w="0" w:type="dxa"/>
                    <w:left w:w="57" w:type="dxa"/>
                    <w:bottom w:w="0" w:type="dxa"/>
                    <w:right w:w="57" w:type="dxa"/>
                  </w:tcMar>
                  <w:vAlign w:val="center"/>
                </w:tcPr>
                <w:p w14:paraId="683E1659">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1177" w:type="pct"/>
                  <w:vMerge w:val="continue"/>
                  <w:tcBorders>
                    <w:tl2br w:val="nil"/>
                    <w:tr2bl w:val="nil"/>
                  </w:tcBorders>
                  <w:shd w:val="clear" w:color="auto" w:fill="auto"/>
                  <w:noWrap w:val="0"/>
                  <w:tcMar>
                    <w:top w:w="0" w:type="dxa"/>
                    <w:left w:w="57" w:type="dxa"/>
                    <w:bottom w:w="0" w:type="dxa"/>
                    <w:right w:w="57" w:type="dxa"/>
                  </w:tcMar>
                  <w:vAlign w:val="center"/>
                </w:tcPr>
                <w:p w14:paraId="66231B27">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778" w:type="pct"/>
                  <w:tcBorders>
                    <w:tl2br w:val="nil"/>
                    <w:tr2bl w:val="nil"/>
                  </w:tcBorders>
                  <w:shd w:val="clear" w:color="auto" w:fill="auto"/>
                  <w:noWrap w:val="0"/>
                  <w:tcMar>
                    <w:top w:w="0" w:type="dxa"/>
                    <w:left w:w="57" w:type="dxa"/>
                    <w:bottom w:w="0" w:type="dxa"/>
                    <w:right w:w="57" w:type="dxa"/>
                  </w:tcMar>
                  <w:vAlign w:val="center"/>
                </w:tcPr>
                <w:p w14:paraId="59419FD7">
                  <w:pPr>
                    <w:keepNext w:val="0"/>
                    <w:keepLines w:val="0"/>
                    <w:suppressLineNumbers w:val="0"/>
                    <w:autoSpaceDE/>
                    <w:autoSpaceDN/>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硫化氢</w:t>
                  </w:r>
                </w:p>
              </w:tc>
              <w:tc>
                <w:tcPr>
                  <w:tcW w:w="779" w:type="pct"/>
                  <w:vMerge w:val="continue"/>
                  <w:tcBorders>
                    <w:tl2br w:val="nil"/>
                    <w:tr2bl w:val="nil"/>
                  </w:tcBorders>
                  <w:shd w:val="clear" w:color="auto" w:fill="auto"/>
                  <w:noWrap w:val="0"/>
                  <w:tcMar>
                    <w:top w:w="0" w:type="dxa"/>
                    <w:left w:w="57" w:type="dxa"/>
                    <w:bottom w:w="0" w:type="dxa"/>
                    <w:right w:w="57" w:type="dxa"/>
                  </w:tcMar>
                  <w:vAlign w:val="center"/>
                </w:tcPr>
                <w:p w14:paraId="58E57303">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1462" w:type="pct"/>
                  <w:vMerge w:val="continue"/>
                  <w:tcBorders>
                    <w:tl2br w:val="nil"/>
                    <w:tr2bl w:val="nil"/>
                  </w:tcBorders>
                  <w:shd w:val="clear" w:color="auto" w:fill="auto"/>
                  <w:noWrap w:val="0"/>
                  <w:tcMar>
                    <w:top w:w="0" w:type="dxa"/>
                    <w:left w:w="57" w:type="dxa"/>
                    <w:bottom w:w="0" w:type="dxa"/>
                    <w:right w:w="57" w:type="dxa"/>
                  </w:tcMar>
                  <w:vAlign w:val="center"/>
                </w:tcPr>
                <w:p w14:paraId="15A1F6D1">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p>
              </w:tc>
            </w:tr>
            <w:tr w14:paraId="76FACBB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245" w:type="pct"/>
                  <w:vMerge w:val="continue"/>
                  <w:tcBorders>
                    <w:tl2br w:val="nil"/>
                    <w:tr2bl w:val="nil"/>
                  </w:tcBorders>
                  <w:noWrap w:val="0"/>
                  <w:tcMar>
                    <w:top w:w="0" w:type="dxa"/>
                    <w:left w:w="57" w:type="dxa"/>
                    <w:bottom w:w="0" w:type="dxa"/>
                    <w:right w:w="57" w:type="dxa"/>
                  </w:tcMar>
                  <w:vAlign w:val="center"/>
                </w:tcPr>
                <w:p w14:paraId="32FE52B6">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556" w:type="pct"/>
                  <w:vMerge w:val="continue"/>
                  <w:tcBorders>
                    <w:tl2br w:val="nil"/>
                    <w:tr2bl w:val="nil"/>
                  </w:tcBorders>
                  <w:shd w:val="clear" w:color="auto" w:fill="auto"/>
                  <w:noWrap w:val="0"/>
                  <w:tcMar>
                    <w:top w:w="0" w:type="dxa"/>
                    <w:left w:w="57" w:type="dxa"/>
                    <w:bottom w:w="0" w:type="dxa"/>
                    <w:right w:w="57" w:type="dxa"/>
                  </w:tcMar>
                  <w:vAlign w:val="center"/>
                </w:tcPr>
                <w:p w14:paraId="66FF0945">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1177" w:type="pct"/>
                  <w:vMerge w:val="continue"/>
                  <w:tcBorders>
                    <w:tl2br w:val="nil"/>
                    <w:tr2bl w:val="nil"/>
                  </w:tcBorders>
                  <w:shd w:val="clear" w:color="auto" w:fill="auto"/>
                  <w:noWrap w:val="0"/>
                  <w:tcMar>
                    <w:top w:w="0" w:type="dxa"/>
                    <w:left w:w="57" w:type="dxa"/>
                    <w:bottom w:w="0" w:type="dxa"/>
                    <w:right w:w="57" w:type="dxa"/>
                  </w:tcMar>
                  <w:vAlign w:val="center"/>
                </w:tcPr>
                <w:p w14:paraId="250248DA">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778" w:type="pct"/>
                  <w:tcBorders>
                    <w:tl2br w:val="nil"/>
                    <w:tr2bl w:val="nil"/>
                  </w:tcBorders>
                  <w:shd w:val="clear" w:color="auto" w:fill="auto"/>
                  <w:noWrap w:val="0"/>
                  <w:tcMar>
                    <w:top w:w="0" w:type="dxa"/>
                    <w:left w:w="57" w:type="dxa"/>
                    <w:bottom w:w="0" w:type="dxa"/>
                    <w:right w:w="57" w:type="dxa"/>
                  </w:tcMar>
                  <w:vAlign w:val="center"/>
                </w:tcPr>
                <w:p w14:paraId="610FBDB3">
                  <w:pPr>
                    <w:keepNext w:val="0"/>
                    <w:keepLines w:val="0"/>
                    <w:suppressLineNumbers w:val="0"/>
                    <w:autoSpaceDE/>
                    <w:autoSpaceDN/>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臭气浓度</w:t>
                  </w:r>
                </w:p>
              </w:tc>
              <w:tc>
                <w:tcPr>
                  <w:tcW w:w="779" w:type="pct"/>
                  <w:vMerge w:val="continue"/>
                  <w:tcBorders>
                    <w:tl2br w:val="nil"/>
                    <w:tr2bl w:val="nil"/>
                  </w:tcBorders>
                  <w:shd w:val="clear" w:color="auto" w:fill="auto"/>
                  <w:noWrap w:val="0"/>
                  <w:tcMar>
                    <w:top w:w="0" w:type="dxa"/>
                    <w:left w:w="57" w:type="dxa"/>
                    <w:bottom w:w="0" w:type="dxa"/>
                    <w:right w:w="57" w:type="dxa"/>
                  </w:tcMar>
                  <w:vAlign w:val="center"/>
                </w:tcPr>
                <w:p w14:paraId="298FA157">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1462" w:type="pct"/>
                  <w:vMerge w:val="continue"/>
                  <w:tcBorders>
                    <w:tl2br w:val="nil"/>
                    <w:tr2bl w:val="nil"/>
                  </w:tcBorders>
                  <w:shd w:val="clear" w:color="auto" w:fill="auto"/>
                  <w:noWrap w:val="0"/>
                  <w:tcMar>
                    <w:top w:w="0" w:type="dxa"/>
                    <w:left w:w="57" w:type="dxa"/>
                    <w:bottom w:w="0" w:type="dxa"/>
                    <w:right w:w="57" w:type="dxa"/>
                  </w:tcMar>
                  <w:vAlign w:val="center"/>
                </w:tcPr>
                <w:p w14:paraId="3967583D">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p>
              </w:tc>
            </w:tr>
            <w:tr w14:paraId="62CF592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245" w:type="pct"/>
                  <w:vMerge w:val="continue"/>
                  <w:tcBorders>
                    <w:tl2br w:val="nil"/>
                    <w:tr2bl w:val="nil"/>
                  </w:tcBorders>
                  <w:noWrap w:val="0"/>
                  <w:tcMar>
                    <w:top w:w="0" w:type="dxa"/>
                    <w:left w:w="57" w:type="dxa"/>
                    <w:bottom w:w="0" w:type="dxa"/>
                    <w:right w:w="57" w:type="dxa"/>
                  </w:tcMar>
                  <w:vAlign w:val="center"/>
                </w:tcPr>
                <w:p w14:paraId="6CFA00FB">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556" w:type="pct"/>
                  <w:vMerge w:val="continue"/>
                  <w:tcBorders>
                    <w:tl2br w:val="nil"/>
                    <w:tr2bl w:val="nil"/>
                  </w:tcBorders>
                  <w:shd w:val="clear" w:color="auto" w:fill="auto"/>
                  <w:noWrap w:val="0"/>
                  <w:tcMar>
                    <w:top w:w="0" w:type="dxa"/>
                    <w:left w:w="57" w:type="dxa"/>
                    <w:bottom w:w="0" w:type="dxa"/>
                    <w:right w:w="57" w:type="dxa"/>
                  </w:tcMar>
                  <w:vAlign w:val="center"/>
                </w:tcPr>
                <w:p w14:paraId="2D5E1FFB">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p>
              </w:tc>
              <w:tc>
                <w:tcPr>
                  <w:tcW w:w="1177" w:type="pct"/>
                  <w:tcBorders>
                    <w:tl2br w:val="nil"/>
                    <w:tr2bl w:val="nil"/>
                  </w:tcBorders>
                  <w:shd w:val="clear" w:color="auto" w:fill="auto"/>
                  <w:noWrap w:val="0"/>
                  <w:tcMar>
                    <w:top w:w="0" w:type="dxa"/>
                    <w:left w:w="57" w:type="dxa"/>
                    <w:bottom w:w="0" w:type="dxa"/>
                    <w:right w:w="57" w:type="dxa"/>
                  </w:tcMar>
                  <w:vAlign w:val="center"/>
                </w:tcPr>
                <w:p w14:paraId="770DF32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厂区内</w:t>
                  </w:r>
                </w:p>
              </w:tc>
              <w:tc>
                <w:tcPr>
                  <w:tcW w:w="778" w:type="pct"/>
                  <w:tcBorders>
                    <w:tl2br w:val="nil"/>
                    <w:tr2bl w:val="nil"/>
                  </w:tcBorders>
                  <w:shd w:val="clear" w:color="auto" w:fill="auto"/>
                  <w:noWrap w:val="0"/>
                  <w:tcMar>
                    <w:top w:w="0" w:type="dxa"/>
                    <w:left w:w="57" w:type="dxa"/>
                    <w:bottom w:w="0" w:type="dxa"/>
                    <w:right w:w="57" w:type="dxa"/>
                  </w:tcMar>
                  <w:vAlign w:val="center"/>
                </w:tcPr>
                <w:p w14:paraId="39527BE2">
                  <w:pPr>
                    <w:keepNext w:val="0"/>
                    <w:keepLines w:val="0"/>
                    <w:widowControl/>
                    <w:suppressLineNumbers w:val="0"/>
                    <w:spacing w:before="0" w:beforeAutospacing="0" w:after="0" w:afterAutospacing="0"/>
                    <w:ind w:left="0" w:leftChars="0" w:right="0" w:rightChars="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非甲烷总烃</w:t>
                  </w:r>
                </w:p>
              </w:tc>
              <w:tc>
                <w:tcPr>
                  <w:tcW w:w="779" w:type="pct"/>
                  <w:tcBorders>
                    <w:tl2br w:val="nil"/>
                    <w:tr2bl w:val="nil"/>
                  </w:tcBorders>
                  <w:shd w:val="clear" w:color="auto" w:fill="auto"/>
                  <w:noWrap w:val="0"/>
                  <w:tcMar>
                    <w:top w:w="0" w:type="dxa"/>
                    <w:left w:w="57" w:type="dxa"/>
                    <w:bottom w:w="0" w:type="dxa"/>
                    <w:right w:w="57" w:type="dxa"/>
                  </w:tcMar>
                  <w:vAlign w:val="center"/>
                </w:tcPr>
                <w:p w14:paraId="03F22A3C">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1次/</w:t>
                  </w:r>
                  <w:r>
                    <w:rPr>
                      <w:rFonts w:hint="eastAsia" w:cs="Times New Roman"/>
                      <w:color w:val="000000" w:themeColor="text1"/>
                      <w:kern w:val="0"/>
                      <w:sz w:val="21"/>
                      <w:szCs w:val="21"/>
                      <w:highlight w:val="none"/>
                      <w:lang w:val="en-US" w:eastAsia="zh-CN"/>
                      <w14:textFill>
                        <w14:solidFill>
                          <w14:schemeClr w14:val="tx1"/>
                        </w14:solidFill>
                      </w14:textFill>
                    </w:rPr>
                    <w:t>半</w:t>
                  </w:r>
                  <w:r>
                    <w:rPr>
                      <w:rFonts w:hint="eastAsia" w:ascii="Times New Roman" w:hAnsi="Times New Roman" w:eastAsia="宋体" w:cs="Times New Roman"/>
                      <w:color w:val="000000" w:themeColor="text1"/>
                      <w:kern w:val="0"/>
                      <w:sz w:val="21"/>
                      <w:szCs w:val="21"/>
                      <w:highlight w:val="none"/>
                      <w14:textFill>
                        <w14:solidFill>
                          <w14:schemeClr w14:val="tx1"/>
                        </w14:solidFill>
                      </w14:textFill>
                    </w:rPr>
                    <w:t>年</w:t>
                  </w:r>
                </w:p>
              </w:tc>
              <w:tc>
                <w:tcPr>
                  <w:tcW w:w="1462" w:type="pct"/>
                  <w:tcBorders>
                    <w:tl2br w:val="nil"/>
                    <w:tr2bl w:val="nil"/>
                  </w:tcBorders>
                  <w:shd w:val="clear" w:color="auto" w:fill="auto"/>
                  <w:noWrap w:val="0"/>
                  <w:tcMar>
                    <w:top w:w="0" w:type="dxa"/>
                    <w:left w:w="57" w:type="dxa"/>
                    <w:bottom w:w="0" w:type="dxa"/>
                    <w:right w:w="57" w:type="dxa"/>
                  </w:tcMar>
                  <w:vAlign w:val="center"/>
                </w:tcPr>
                <w:p w14:paraId="57AE1FD3">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《挥发性有机物无组织排放控制标准》（GB 37822-2019）</w:t>
                  </w:r>
                </w:p>
              </w:tc>
            </w:tr>
          </w:tbl>
          <w:p w14:paraId="4F9B6B7E">
            <w:pPr>
              <w:keepNext w:val="0"/>
              <w:keepLines w:val="0"/>
              <w:pageBreakBefore w:val="0"/>
              <w:widowControl w:val="0"/>
              <w:suppressLineNumbers w:val="0"/>
              <w:kinsoku/>
              <w:wordWrap/>
              <w:overflowPunct/>
              <w:topLinePunct w:val="0"/>
              <w:autoSpaceDE w:val="0"/>
              <w:autoSpaceDN w:val="0"/>
              <w:bidi w:val="0"/>
              <w:adjustRightInd/>
              <w:snapToGrid/>
              <w:spacing w:before="157" w:beforeLines="50" w:beforeAutospacing="0" w:after="0" w:afterAutospacing="0" w:line="360" w:lineRule="auto"/>
              <w:ind w:left="0" w:right="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1.14</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w:t>
            </w:r>
            <w:r>
              <w:rPr>
                <w:rFonts w:hint="eastAsia" w:ascii="Times New Roman" w:hAnsi="Times New Roman" w:eastAsia="新宋体" w:cs="Times New Roman"/>
                <w:b/>
                <w:color w:val="000000" w:themeColor="text1"/>
                <w:sz w:val="24"/>
                <w:szCs w:val="24"/>
                <w:highlight w:val="none"/>
                <w:lang w:val="en-US" w:eastAsia="zh-CN" w:bidi="ar-SA"/>
                <w14:textFill>
                  <w14:solidFill>
                    <w14:schemeClr w14:val="tx1"/>
                  </w14:solidFill>
                </w14:textFill>
              </w:rPr>
              <w:t>废气排放的环境影响分析</w:t>
            </w:r>
          </w:p>
          <w:p w14:paraId="729B7CA2">
            <w:pPr>
              <w:pStyle w:val="51"/>
              <w:keepNext w:val="0"/>
              <w:keepLines w:val="0"/>
              <w:suppressLineNumbers w:val="0"/>
              <w:adjustRightInd/>
              <w:snapToGrid/>
              <w:spacing w:before="0" w:beforeAutospacing="0" w:after="0" w:afterAutospacing="0"/>
              <w:ind w:left="0" w:right="0" w:firstLine="480"/>
              <w:jc w:val="left"/>
              <w:rPr>
                <w:rFonts w:hint="default"/>
                <w:color w:val="000000" w:themeColor="text1"/>
                <w:sz w:val="24"/>
                <w:szCs w:val="24"/>
                <w:highlight w:val="none"/>
                <w14:textFill>
                  <w14:solidFill>
                    <w14:schemeClr w14:val="tx1"/>
                  </w14:solidFill>
                </w14:textFill>
              </w:rPr>
            </w:pPr>
            <w:r>
              <w:rPr>
                <w:rFonts w:hint="default"/>
                <w:color w:val="000000" w:themeColor="text1"/>
                <w:sz w:val="24"/>
                <w:szCs w:val="24"/>
                <w:highlight w:val="none"/>
                <w14:textFill>
                  <w14:solidFill>
                    <w14:schemeClr w14:val="tx1"/>
                  </w14:solidFill>
                </w14:textFill>
              </w:rPr>
              <w:t>本项目位于</w:t>
            </w:r>
            <w:r>
              <w:rPr>
                <w:rFonts w:hint="eastAsia" w:cs="Times New Roman"/>
                <w:color w:val="000000" w:themeColor="text1"/>
                <w:sz w:val="24"/>
                <w:szCs w:val="24"/>
                <w:highlight w:val="none"/>
                <w:lang w:val="en-US" w:eastAsia="zh-CN"/>
                <w14:textFill>
                  <w14:solidFill>
                    <w14:schemeClr w14:val="tx1"/>
                  </w14:solidFill>
                </w14:textFill>
              </w:rPr>
              <w:t>辽宁省本溪经济技术开发区医药园区</w:t>
            </w:r>
            <w:r>
              <w:rPr>
                <w:rFonts w:hint="eastAsia"/>
                <w:color w:val="000000" w:themeColor="text1"/>
                <w:sz w:val="24"/>
                <w:szCs w:val="24"/>
                <w:highlight w:val="none"/>
                <w:lang w:eastAsia="zh-CN"/>
                <w14:textFill>
                  <w14:solidFill>
                    <w14:schemeClr w14:val="tx1"/>
                  </w14:solidFill>
                </w14:textFill>
              </w:rPr>
              <w:t>，属于环境空气质量达标区，厂界外500m范围内的</w:t>
            </w:r>
            <w:r>
              <w:rPr>
                <w:rFonts w:hint="eastAsia"/>
                <w:color w:val="000000" w:themeColor="text1"/>
                <w:sz w:val="24"/>
                <w:szCs w:val="24"/>
                <w:highlight w:val="none"/>
                <w:lang w:val="en-US" w:eastAsia="zh-CN"/>
                <w14:textFill>
                  <w14:solidFill>
                    <w14:schemeClr w14:val="tx1"/>
                  </w14:solidFill>
                </w14:textFill>
              </w:rPr>
              <w:t>环境保护目标</w:t>
            </w:r>
            <w:r>
              <w:rPr>
                <w:rFonts w:hint="eastAsia"/>
                <w:color w:val="000000" w:themeColor="text1"/>
                <w:sz w:val="24"/>
                <w:szCs w:val="24"/>
                <w:highlight w:val="none"/>
                <w:lang w:eastAsia="zh-CN"/>
                <w14:textFill>
                  <w14:solidFill>
                    <w14:schemeClr w14:val="tx1"/>
                  </w14:solidFill>
                </w14:textFill>
              </w:rPr>
              <w:t>为</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旺力新天地</w:t>
            </w:r>
            <w:r>
              <w:rPr>
                <w:rFonts w:hint="eastAsia"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汇贤公寓</w:t>
            </w:r>
            <w:r>
              <w:rPr>
                <w:rFonts w:hint="eastAsia"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锦尚家</w:t>
            </w:r>
            <w:r>
              <w:rPr>
                <w:rFonts w:hint="eastAsia" w:cs="Times New Roman"/>
                <w:color w:val="000000" w:themeColor="text1"/>
                <w:kern w:val="0"/>
                <w:sz w:val="24"/>
                <w:szCs w:val="24"/>
                <w:highlight w:val="none"/>
                <w:lang w:val="en-US" w:eastAsia="zh-CN"/>
                <w14:textFill>
                  <w14:solidFill>
                    <w14:schemeClr w14:val="tx1"/>
                  </w14:solidFill>
                </w14:textFill>
              </w:rPr>
              <w:t>园、</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榆林华苑</w:t>
            </w:r>
            <w:r>
              <w:rPr>
                <w:rFonts w:hint="eastAsia"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溪城丽景</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本项目</w:t>
            </w:r>
            <w:r>
              <w:rPr>
                <w:rFonts w:hint="default"/>
                <w:color w:val="000000" w:themeColor="text1"/>
                <w:sz w:val="24"/>
                <w:szCs w:val="24"/>
                <w:highlight w:val="none"/>
                <w14:textFill>
                  <w14:solidFill>
                    <w14:schemeClr w14:val="tx1"/>
                  </w14:solidFill>
                </w14:textFill>
              </w:rPr>
              <w:t>废气治理采取的措施可行</w:t>
            </w:r>
            <w:r>
              <w:rPr>
                <w:rFonts w:hint="eastAsia"/>
                <w:color w:val="000000" w:themeColor="text1"/>
                <w:sz w:val="24"/>
                <w:szCs w:val="24"/>
                <w:highlight w:val="none"/>
                <w:lang w:eastAsia="zh-CN"/>
                <w14:textFill>
                  <w14:solidFill>
                    <w14:schemeClr w14:val="tx1"/>
                  </w14:solidFill>
                </w14:textFill>
              </w:rPr>
              <w:t>，</w:t>
            </w:r>
            <w:r>
              <w:rPr>
                <w:rFonts w:hint="default"/>
                <w:color w:val="000000" w:themeColor="text1"/>
                <w:sz w:val="24"/>
                <w:szCs w:val="24"/>
                <w:highlight w:val="none"/>
                <w14:textFill>
                  <w14:solidFill>
                    <w14:schemeClr w14:val="tx1"/>
                  </w14:solidFill>
                </w14:textFill>
              </w:rPr>
              <w:t>各污染物均</w:t>
            </w:r>
            <w:r>
              <w:rPr>
                <w:rFonts w:hint="default"/>
                <w:color w:val="000000" w:themeColor="text1"/>
                <w:kern w:val="0"/>
                <w:sz w:val="24"/>
                <w:szCs w:val="24"/>
                <w:highlight w:val="none"/>
                <w14:textFill>
                  <w14:solidFill>
                    <w14:schemeClr w14:val="tx1"/>
                  </w14:solidFill>
                </w14:textFill>
              </w:rPr>
              <w:t>达标排放</w:t>
            </w:r>
            <w:r>
              <w:rPr>
                <w:rFonts w:hint="eastAsia"/>
                <w:color w:val="000000" w:themeColor="text1"/>
                <w:kern w:val="0"/>
                <w:sz w:val="24"/>
                <w:szCs w:val="24"/>
                <w:highlight w:val="none"/>
                <w:lang w:eastAsia="zh-CN"/>
                <w14:textFill>
                  <w14:solidFill>
                    <w14:schemeClr w14:val="tx1"/>
                  </w14:solidFill>
                </w14:textFill>
              </w:rPr>
              <w:t>，</w:t>
            </w:r>
            <w:r>
              <w:rPr>
                <w:rFonts w:hint="default"/>
                <w:color w:val="000000" w:themeColor="text1"/>
                <w:kern w:val="0"/>
                <w:sz w:val="24"/>
                <w:szCs w:val="24"/>
                <w:highlight w:val="none"/>
                <w14:textFill>
                  <w14:solidFill>
                    <w14:schemeClr w14:val="tx1"/>
                  </w14:solidFill>
                </w14:textFill>
              </w:rPr>
              <w:t>污染物排放量较小</w:t>
            </w:r>
            <w:r>
              <w:rPr>
                <w:rFonts w:hint="eastAsia"/>
                <w:color w:val="000000" w:themeColor="text1"/>
                <w:kern w:val="0"/>
                <w:sz w:val="24"/>
                <w:szCs w:val="24"/>
                <w:highlight w:val="none"/>
                <w:lang w:eastAsia="zh-CN"/>
                <w14:textFill>
                  <w14:solidFill>
                    <w14:schemeClr w14:val="tx1"/>
                  </w14:solidFill>
                </w14:textFill>
              </w:rPr>
              <w:t>，</w:t>
            </w:r>
            <w:r>
              <w:rPr>
                <w:rFonts w:hint="default"/>
                <w:color w:val="000000" w:themeColor="text1"/>
                <w:sz w:val="24"/>
                <w:szCs w:val="24"/>
                <w:highlight w:val="none"/>
                <w14:textFill>
                  <w14:solidFill>
                    <w14:schemeClr w14:val="tx1"/>
                  </w14:solidFill>
                </w14:textFill>
              </w:rPr>
              <w:t>不会对周围环境空气造成不利影响。</w:t>
            </w:r>
          </w:p>
          <w:p w14:paraId="394551F0">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jc w:val="both"/>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2、水</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环境影响分析和保护措施</w:t>
            </w:r>
          </w:p>
          <w:p w14:paraId="52E409FD">
            <w:pPr>
              <w:keepNext w:val="0"/>
              <w:keepLines w:val="0"/>
              <w:suppressLineNumbers w:val="0"/>
              <w:autoSpaceDE w:val="0"/>
              <w:autoSpaceDN w:val="0"/>
              <w:spacing w:before="0" w:beforeAutospacing="0" w:after="0" w:afterAutospacing="0" w:line="360" w:lineRule="auto"/>
              <w:ind w:left="0" w:right="0"/>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2.1、废水污染物产排分析</w:t>
            </w:r>
          </w:p>
          <w:p w14:paraId="11656C81">
            <w:pPr>
              <w:keepNext w:val="0"/>
              <w:keepLines w:val="0"/>
              <w:widowControl/>
              <w:suppressLineNumbers w:val="0"/>
              <w:spacing w:before="0" w:beforeAutospacing="0" w:after="0" w:afterAutospacing="0" w:line="360" w:lineRule="auto"/>
              <w:ind w:left="0" w:right="0" w:firstLine="482"/>
              <w:rPr>
                <w:rFonts w:hint="eastAsia" w:cs="Times New Roman"/>
                <w:b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olor w:val="000000" w:themeColor="text1"/>
                <w:sz w:val="24"/>
                <w:szCs w:val="24"/>
                <w:highlight w:val="none"/>
                <w14:textFill>
                  <w14:solidFill>
                    <w14:schemeClr w14:val="tx1"/>
                  </w14:solidFill>
                </w14:textFill>
              </w:rPr>
              <w:t>本项目废水主要为</w:t>
            </w:r>
            <w:r>
              <w:rPr>
                <w:rFonts w:hint="eastAsia"/>
                <w:color w:val="000000" w:themeColor="text1"/>
                <w:sz w:val="24"/>
                <w:szCs w:val="24"/>
                <w:highlight w:val="none"/>
                <w:lang w:val="en-US" w:eastAsia="zh-CN"/>
                <w14:textFill>
                  <w14:solidFill>
                    <w14:schemeClr w14:val="tx1"/>
                  </w14:solidFill>
                </w14:textFill>
              </w:rPr>
              <w:t>药材</w:t>
            </w:r>
            <w:r>
              <w:rPr>
                <w:rFonts w:hint="eastAsia" w:ascii="Times New Roman" w:hAnsi="Times New Roman" w:cs="Times New Roman"/>
                <w:color w:val="000000" w:themeColor="text1"/>
                <w:sz w:val="24"/>
                <w:szCs w:val="24"/>
                <w:highlight w:val="none"/>
                <w:lang w:val="en-US" w:eastAsia="zh-CN" w:bidi="ar-SA"/>
                <w14:textFill>
                  <w14:solidFill>
                    <w14:schemeClr w14:val="tx1"/>
                  </w14:solidFill>
                </w14:textFill>
              </w:rPr>
              <w:t>清洗</w:t>
            </w:r>
            <w:r>
              <w:rPr>
                <w:rFonts w:hint="default" w:ascii="Times New Roman" w:hAnsi="Times New Roman" w:eastAsia="新宋体" w:cs="Times New Roman"/>
                <w:color w:val="000000" w:themeColor="text1"/>
                <w:sz w:val="24"/>
                <w:szCs w:val="24"/>
                <w:highlight w:val="none"/>
                <w:lang w:bidi="ar-SA"/>
                <w14:textFill>
                  <w14:solidFill>
                    <w14:schemeClr w14:val="tx1"/>
                  </w14:solidFill>
                </w14:textFill>
              </w:rPr>
              <w:t>废水</w:t>
            </w:r>
            <w:r>
              <w:rPr>
                <w:rFonts w:hint="eastAsia" w:cs="Times New Roman"/>
                <w:color w:val="000000" w:themeColor="text1"/>
                <w:kern w:val="0"/>
                <w:sz w:val="24"/>
                <w:szCs w:val="24"/>
                <w:highlight w:val="none"/>
                <w:lang w:val="en-US" w:eastAsia="zh-CN" w:bidi="ar-SA"/>
                <w14:textFill>
                  <w14:solidFill>
                    <w14:schemeClr w14:val="tx1"/>
                  </w14:solidFill>
                </w14:textFill>
              </w:rPr>
              <w:t>、设备清洗废水、软化水制备浓水，废水总产生量为</w:t>
            </w:r>
            <w:r>
              <w:rPr>
                <w:rFonts w:hint="eastAsia" w:eastAsia="新宋体" w:cs="Times New Roman"/>
                <w:color w:val="000000" w:themeColor="text1"/>
                <w:sz w:val="24"/>
                <w:szCs w:val="24"/>
                <w:highlight w:val="none"/>
                <w:lang w:val="en-US" w:eastAsia="zh-CN" w:bidi="ar-SA"/>
                <w14:textFill>
                  <w14:solidFill>
                    <w14:schemeClr w14:val="tx1"/>
                  </w14:solidFill>
                </w14:textFill>
              </w:rPr>
              <w:t>15485.93</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b w:val="0"/>
                <w:bCs/>
                <w:color w:val="000000" w:themeColor="text1"/>
                <w:kern w:val="2"/>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/a</w:t>
            </w:r>
            <w:r>
              <w:rPr>
                <w:rFonts w:hint="eastAsia" w:cs="Times New Roman"/>
                <w:b w:val="0"/>
                <w:bCs/>
                <w:color w:val="000000" w:themeColor="text1"/>
                <w:kern w:val="2"/>
                <w:sz w:val="24"/>
                <w:szCs w:val="24"/>
                <w:highlight w:val="none"/>
                <w:lang w:val="en-US" w:eastAsia="zh-CN" w:bidi="ar-SA"/>
                <w14:textFill>
                  <w14:solidFill>
                    <w14:schemeClr w14:val="tx1"/>
                  </w14:solidFill>
                </w14:textFill>
              </w:rPr>
              <w:t>（61.944</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/d</w:t>
            </w:r>
            <w:r>
              <w:rPr>
                <w:rFonts w:hint="eastAsia" w:cs="Times New Roman"/>
                <w:b w:val="0"/>
                <w:bCs/>
                <w:color w:val="000000" w:themeColor="text1"/>
                <w:kern w:val="2"/>
                <w:sz w:val="24"/>
                <w:szCs w:val="24"/>
                <w:highlight w:val="none"/>
                <w:lang w:val="en-US" w:eastAsia="zh-CN" w:bidi="ar-SA"/>
                <w14:textFill>
                  <w14:solidFill>
                    <w14:schemeClr w14:val="tx1"/>
                  </w14:solidFill>
                </w14:textFill>
              </w:rPr>
              <w:t>），本项目新增产品总产量为408t/a，则单位产品基准排水量为37.96</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b w:val="0"/>
                <w:bCs/>
                <w:color w:val="000000" w:themeColor="text1"/>
                <w:kern w:val="2"/>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w:t>
            </w:r>
            <w:r>
              <w:rPr>
                <w:rFonts w:hint="eastAsia" w:cs="Times New Roman"/>
                <w:b w:val="0"/>
                <w:bCs/>
                <w:color w:val="000000" w:themeColor="text1"/>
                <w:kern w:val="2"/>
                <w:sz w:val="24"/>
                <w:szCs w:val="24"/>
                <w:highlight w:val="none"/>
                <w:lang w:val="en-US" w:eastAsia="zh-CN" w:bidi="ar-SA"/>
                <w14:textFill>
                  <w14:solidFill>
                    <w14:schemeClr w14:val="tx1"/>
                  </w14:solidFill>
                </w14:textFill>
              </w:rPr>
              <w:t>t，</w:t>
            </w:r>
            <w:r>
              <w:rPr>
                <w:rFonts w:hint="default" w:ascii="Times New Roman" w:hAnsi="Times New Roman" w:eastAsia="新宋体" w:cs="Times New Roman"/>
                <w:color w:val="000000" w:themeColor="text1"/>
                <w:sz w:val="24"/>
                <w:szCs w:val="24"/>
                <w:highlight w:val="none"/>
                <w:lang w:bidi="ar-SA"/>
                <w14:textFill>
                  <w14:solidFill>
                    <w14:schemeClr w14:val="tx1"/>
                  </w14:solidFill>
                </w14:textFill>
              </w:rPr>
              <w:t>产生的废水</w:t>
            </w:r>
            <w:r>
              <w:rPr>
                <w:rFonts w:hint="eastAsia" w:eastAsia="新宋体" w:cs="Times New Roman"/>
                <w:color w:val="000000" w:themeColor="text1"/>
                <w:sz w:val="24"/>
                <w:szCs w:val="24"/>
                <w:highlight w:val="none"/>
                <w:lang w:val="en-US" w:eastAsia="zh-CN" w:bidi="ar-SA"/>
                <w14:textFill>
                  <w14:solidFill>
                    <w14:schemeClr w14:val="tx1"/>
                  </w14:solidFill>
                </w14:textFill>
              </w:rPr>
              <w:t>排入</w:t>
            </w:r>
            <w:r>
              <w:rPr>
                <w:rFonts w:hint="default" w:ascii="Times New Roman" w:hAnsi="Times New Roman" w:eastAsia="新宋体" w:cs="Times New Roman"/>
                <w:color w:val="000000" w:themeColor="text1"/>
                <w:sz w:val="24"/>
                <w:szCs w:val="24"/>
                <w:highlight w:val="none"/>
                <w:lang w:bidi="ar-SA"/>
                <w14:textFill>
                  <w14:solidFill>
                    <w14:schemeClr w14:val="tx1"/>
                  </w14:solidFill>
                </w14:textFill>
              </w:rPr>
              <w:t>厂内污水处理站进行处理，处理达标后，排入厂区污水管网后排入高新区市政管网最终排入石桥子污水处理厂</w:t>
            </w:r>
            <w:r>
              <w:rPr>
                <w:rFonts w:hint="eastAsia" w:eastAsia="新宋体" w:cs="Times New Roman"/>
                <w:color w:val="000000" w:themeColor="text1"/>
                <w:sz w:val="24"/>
                <w:szCs w:val="24"/>
                <w:highlight w:val="none"/>
                <w:lang w:eastAsia="zh-CN" w:bidi="ar-SA"/>
                <w14:textFill>
                  <w14:solidFill>
                    <w14:schemeClr w14:val="tx1"/>
                  </w14:solidFill>
                </w14:textFill>
              </w:rPr>
              <w:t>。</w:t>
            </w:r>
            <w:r>
              <w:rPr>
                <w:rFonts w:hint="eastAsia" w:eastAsia="新宋体" w:cs="Times New Roman"/>
                <w:color w:val="000000" w:themeColor="text1"/>
                <w:sz w:val="24"/>
                <w:szCs w:val="24"/>
                <w:highlight w:val="none"/>
                <w:lang w:val="en-US" w:eastAsia="zh-CN" w:bidi="ar-SA"/>
                <w14:textFill>
                  <w14:solidFill>
                    <w14:schemeClr w14:val="tx1"/>
                  </w14:solidFill>
                </w14:textFill>
              </w:rPr>
              <w:t>现有污水处理设施为“格栅、调节池、水解酸化、接触氧化、中间池、生物曝气，污泥经污泥浓缩池、污泥脱水处理”，排放的</w:t>
            </w:r>
            <w:r>
              <w:rPr>
                <w:rFonts w:hint="eastAsia" w:cs="Times New Roman"/>
                <w:color w:val="000000" w:themeColor="text1"/>
                <w:sz w:val="24"/>
                <w:szCs w:val="24"/>
                <w:highlight w:val="none"/>
                <w:lang w:val="en-US" w:eastAsia="zh-CN"/>
                <w14:textFill>
                  <w14:solidFill>
                    <w14:schemeClr w14:val="tx1"/>
                  </w14:solidFill>
                </w14:textFill>
              </w:rPr>
              <w:t>主要污染物为</w:t>
            </w:r>
            <w:r>
              <w:rPr>
                <w:rFonts w:hint="eastAsia" w:cs="Times New Roman"/>
                <w:color w:val="000000" w:themeColor="text1"/>
                <w:kern w:val="2"/>
                <w:sz w:val="24"/>
                <w:szCs w:val="24"/>
                <w:highlight w:val="none"/>
                <w:lang w:val="en-US" w:eastAsia="zh-CN" w:bidi="ar"/>
                <w14:textFill>
                  <w14:solidFill>
                    <w14:schemeClr w14:val="tx1"/>
                  </w14:solidFill>
                </w14:textFill>
              </w:rPr>
              <w:t>pH</w:t>
            </w:r>
            <w:r>
              <w:rPr>
                <w:rFonts w:hint="default" w:ascii="Times New Roman" w:hAnsi="Times New Roman" w:eastAsia="宋体" w:cs="Times New Roman"/>
                <w:color w:val="000000" w:themeColor="text1"/>
                <w:kern w:val="2"/>
                <w:sz w:val="24"/>
                <w:szCs w:val="24"/>
                <w:highlight w:val="none"/>
                <w:lang w:val="en-US" w:eastAsia="zh-CN" w:bidi="ar"/>
                <w14:textFill>
                  <w14:solidFill>
                    <w14:schemeClr w14:val="tx1"/>
                  </w14:solidFill>
                </w14:textFill>
              </w:rPr>
              <w:t>、</w:t>
            </w: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色度、悬浮物、五日生化需氧量、化学需氧量、氨氮</w:t>
            </w:r>
            <w:r>
              <w:rPr>
                <w:rFonts w:hint="eastAsia" w:cs="Times New Roman"/>
                <w:b w:val="0"/>
                <w:color w:val="000000" w:themeColor="text1"/>
                <w:kern w:val="2"/>
                <w:sz w:val="24"/>
                <w:szCs w:val="24"/>
                <w:highlight w:val="none"/>
                <w:lang w:val="en-US" w:eastAsia="zh-CN" w:bidi="ar-SA"/>
                <w14:textFill>
                  <w14:solidFill>
                    <w14:schemeClr w14:val="tx1"/>
                  </w14:solidFill>
                </w14:textFill>
              </w:rPr>
              <w:t>、总氮、总磷、总氰化物、动植物油、总有机碳。</w:t>
            </w:r>
          </w:p>
          <w:p w14:paraId="7CD3D4FE">
            <w:pPr>
              <w:keepNext w:val="0"/>
              <w:keepLines w:val="0"/>
              <w:widowControl/>
              <w:suppressLineNumbers w:val="0"/>
              <w:spacing w:before="0" w:beforeAutospacing="0" w:after="0" w:afterAutospacing="0" w:line="360" w:lineRule="auto"/>
              <w:ind w:left="0" w:right="0" w:firstLine="482"/>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b w:val="0"/>
                <w:color w:val="000000" w:themeColor="text1"/>
                <w:kern w:val="2"/>
                <w:sz w:val="24"/>
                <w:szCs w:val="24"/>
                <w:highlight w:val="none"/>
                <w:lang w:val="en-US" w:eastAsia="zh-CN" w:bidi="ar-SA"/>
                <w14:textFill>
                  <w14:solidFill>
                    <w14:schemeClr w14:val="tx1"/>
                  </w14:solidFill>
                </w14:textFill>
              </w:rPr>
              <w:t>根据</w:t>
            </w:r>
            <w:r>
              <w:rPr>
                <w:rFonts w:hint="eastAsia" w:cs="Times New Roman"/>
                <w:color w:val="000000" w:themeColor="text1"/>
                <w:sz w:val="24"/>
                <w:szCs w:val="24"/>
                <w:highlight w:val="none"/>
                <w:lang w:val="en-US" w:eastAsia="zh-CN"/>
                <w14:textFill>
                  <w14:solidFill>
                    <w14:schemeClr w14:val="tx1"/>
                  </w14:solidFill>
                </w14:textFill>
              </w:rPr>
              <w:t>2026年03月24日的例行检测报告（报告编号：LNKR-2026(W)-03-237）可知现有项目废水总排放口污染物最大值为：</w:t>
            </w:r>
            <w:r>
              <w:rPr>
                <w:rFonts w:hint="eastAsia" w:cs="Times New Roman"/>
                <w:color w:val="000000" w:themeColor="text1"/>
                <w:kern w:val="2"/>
                <w:sz w:val="24"/>
                <w:szCs w:val="24"/>
                <w:highlight w:val="none"/>
                <w:lang w:val="en-US" w:eastAsia="zh-CN" w:bidi="ar"/>
                <w14:textFill>
                  <w14:solidFill>
                    <w14:schemeClr w14:val="tx1"/>
                  </w14:solidFill>
                </w14:textFill>
              </w:rPr>
              <w:t>pH=7.2（无量纲）、</w:t>
            </w: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色度</w:t>
            </w:r>
            <w:r>
              <w:rPr>
                <w:rFonts w:hint="eastAsia" w:cs="Times New Roman"/>
                <w:b w:val="0"/>
                <w:color w:val="000000" w:themeColor="text1"/>
                <w:kern w:val="2"/>
                <w:sz w:val="24"/>
                <w:szCs w:val="24"/>
                <w:highlight w:val="none"/>
                <w:lang w:val="en-US" w:eastAsia="zh-CN" w:bidi="ar-SA"/>
                <w14:textFill>
                  <w14:solidFill>
                    <w14:schemeClr w14:val="tx1"/>
                  </w14:solidFill>
                </w14:textFill>
              </w:rPr>
              <w:t>=9倍、</w:t>
            </w: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悬浮物</w:t>
            </w:r>
            <w:r>
              <w:rPr>
                <w:rFonts w:hint="eastAsia" w:cs="Times New Roman"/>
                <w:b w:val="0"/>
                <w:color w:val="000000" w:themeColor="text1"/>
                <w:kern w:val="2"/>
                <w:sz w:val="24"/>
                <w:szCs w:val="24"/>
                <w:highlight w:val="none"/>
                <w:lang w:val="en-US" w:eastAsia="zh-CN" w:bidi="ar-SA"/>
                <w14:textFill>
                  <w14:solidFill>
                    <w14:schemeClr w14:val="tx1"/>
                  </w14:solidFill>
                </w14:textFill>
              </w:rPr>
              <w:t>=18</w:t>
            </w:r>
            <w:r>
              <w:rPr>
                <w:rFonts w:hint="eastAsia"/>
                <w:color w:val="000000" w:themeColor="text1"/>
                <w:sz w:val="24"/>
                <w:highlight w:val="none"/>
                <w:lang w:val="en-US" w:eastAsia="zh-CN"/>
                <w14:textFill>
                  <w14:solidFill>
                    <w14:schemeClr w14:val="tx1"/>
                  </w14:solidFill>
                </w14:textFill>
              </w:rPr>
              <w:t>mg/L、</w:t>
            </w: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五日生化需氧量</w:t>
            </w:r>
            <w:r>
              <w:rPr>
                <w:rFonts w:hint="eastAsia" w:cs="Times New Roman"/>
                <w:b w:val="0"/>
                <w:color w:val="000000" w:themeColor="text1"/>
                <w:kern w:val="2"/>
                <w:sz w:val="24"/>
                <w:szCs w:val="24"/>
                <w:highlight w:val="none"/>
                <w:lang w:val="en-US" w:eastAsia="zh-CN" w:bidi="ar-SA"/>
                <w14:textFill>
                  <w14:solidFill>
                    <w14:schemeClr w14:val="tx1"/>
                  </w14:solidFill>
                </w14:textFill>
              </w:rPr>
              <w:t>=30.7</w:t>
            </w:r>
            <w:r>
              <w:rPr>
                <w:rFonts w:hint="eastAsia"/>
                <w:color w:val="000000" w:themeColor="text1"/>
                <w:sz w:val="24"/>
                <w:highlight w:val="none"/>
                <w:lang w:val="en-US" w:eastAsia="zh-CN"/>
                <w14:textFill>
                  <w14:solidFill>
                    <w14:schemeClr w14:val="tx1"/>
                  </w14:solidFill>
                </w14:textFill>
              </w:rPr>
              <w:t>mg/L、</w:t>
            </w: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化学需氧量</w:t>
            </w:r>
            <w:r>
              <w:rPr>
                <w:rFonts w:hint="eastAsia" w:cs="Times New Roman"/>
                <w:b w:val="0"/>
                <w:color w:val="000000" w:themeColor="text1"/>
                <w:kern w:val="2"/>
                <w:sz w:val="24"/>
                <w:szCs w:val="24"/>
                <w:highlight w:val="none"/>
                <w:lang w:val="en-US" w:eastAsia="zh-CN" w:bidi="ar-SA"/>
                <w14:textFill>
                  <w14:solidFill>
                    <w14:schemeClr w14:val="tx1"/>
                  </w14:solidFill>
                </w14:textFill>
              </w:rPr>
              <w:t>=96</w:t>
            </w:r>
            <w:r>
              <w:rPr>
                <w:rFonts w:hint="eastAsia"/>
                <w:color w:val="000000" w:themeColor="text1"/>
                <w:sz w:val="24"/>
                <w:highlight w:val="none"/>
                <w:lang w:val="en-US" w:eastAsia="zh-CN"/>
                <w14:textFill>
                  <w14:solidFill>
                    <w14:schemeClr w14:val="tx1"/>
                  </w14:solidFill>
                </w14:textFill>
              </w:rPr>
              <w:t>mg/L、</w:t>
            </w: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氨氮</w:t>
            </w:r>
            <w:r>
              <w:rPr>
                <w:rFonts w:hint="eastAsia" w:cs="Times New Roman"/>
                <w:b w:val="0"/>
                <w:color w:val="000000" w:themeColor="text1"/>
                <w:kern w:val="2"/>
                <w:sz w:val="24"/>
                <w:szCs w:val="24"/>
                <w:highlight w:val="none"/>
                <w:lang w:val="en-US" w:eastAsia="zh-CN" w:bidi="ar-SA"/>
                <w14:textFill>
                  <w14:solidFill>
                    <w14:schemeClr w14:val="tx1"/>
                  </w14:solidFill>
                </w14:textFill>
              </w:rPr>
              <w:t>=2.82</w:t>
            </w:r>
            <w:r>
              <w:rPr>
                <w:rFonts w:hint="eastAsia"/>
                <w:color w:val="000000" w:themeColor="text1"/>
                <w:sz w:val="24"/>
                <w:highlight w:val="none"/>
                <w:lang w:val="en-US" w:eastAsia="zh-CN"/>
                <w14:textFill>
                  <w14:solidFill>
                    <w14:schemeClr w14:val="tx1"/>
                  </w14:solidFill>
                </w14:textFill>
              </w:rPr>
              <w:t>mg/L、</w:t>
            </w:r>
            <w:r>
              <w:rPr>
                <w:rFonts w:hint="eastAsia" w:cs="Times New Roman"/>
                <w:b w:val="0"/>
                <w:color w:val="000000" w:themeColor="text1"/>
                <w:kern w:val="2"/>
                <w:sz w:val="24"/>
                <w:szCs w:val="24"/>
                <w:highlight w:val="none"/>
                <w:lang w:val="en-US" w:eastAsia="zh-CN" w:bidi="ar-SA"/>
                <w14:textFill>
                  <w14:solidFill>
                    <w14:schemeClr w14:val="tx1"/>
                  </w14:solidFill>
                </w14:textFill>
              </w:rPr>
              <w:t>总氮=6.83</w:t>
            </w:r>
            <w:r>
              <w:rPr>
                <w:rFonts w:hint="eastAsia"/>
                <w:color w:val="000000" w:themeColor="text1"/>
                <w:sz w:val="24"/>
                <w:highlight w:val="none"/>
                <w:lang w:val="en-US" w:eastAsia="zh-CN"/>
                <w14:textFill>
                  <w14:solidFill>
                    <w14:schemeClr w14:val="tx1"/>
                  </w14:solidFill>
                </w14:textFill>
              </w:rPr>
              <w:t>mg/L、</w:t>
            </w:r>
            <w:r>
              <w:rPr>
                <w:rFonts w:hint="eastAsia" w:cs="Times New Roman"/>
                <w:b w:val="0"/>
                <w:color w:val="000000" w:themeColor="text1"/>
                <w:kern w:val="2"/>
                <w:sz w:val="24"/>
                <w:szCs w:val="24"/>
                <w:highlight w:val="none"/>
                <w:lang w:val="en-US" w:eastAsia="zh-CN" w:bidi="ar-SA"/>
                <w14:textFill>
                  <w14:solidFill>
                    <w14:schemeClr w14:val="tx1"/>
                  </w14:solidFill>
                </w14:textFill>
              </w:rPr>
              <w:t>总磷=1.92</w:t>
            </w:r>
            <w:r>
              <w:rPr>
                <w:rFonts w:hint="eastAsia"/>
                <w:color w:val="000000" w:themeColor="text1"/>
                <w:sz w:val="24"/>
                <w:highlight w:val="none"/>
                <w:lang w:val="en-US" w:eastAsia="zh-CN"/>
                <w14:textFill>
                  <w14:solidFill>
                    <w14:schemeClr w14:val="tx1"/>
                  </w14:solidFill>
                </w14:textFill>
              </w:rPr>
              <w:t>mg/L、</w:t>
            </w:r>
            <w:r>
              <w:rPr>
                <w:rFonts w:hint="eastAsia" w:cs="Times New Roman"/>
                <w:b w:val="0"/>
                <w:color w:val="000000" w:themeColor="text1"/>
                <w:kern w:val="2"/>
                <w:sz w:val="24"/>
                <w:szCs w:val="24"/>
                <w:highlight w:val="none"/>
                <w:lang w:val="en-US" w:eastAsia="zh-CN" w:bidi="ar-SA"/>
                <w14:textFill>
                  <w14:solidFill>
                    <w14:schemeClr w14:val="tx1"/>
                  </w14:solidFill>
                </w14:textFill>
              </w:rPr>
              <w:t>总氰化物＜0.004</w:t>
            </w:r>
            <w:r>
              <w:rPr>
                <w:rFonts w:hint="eastAsia"/>
                <w:color w:val="000000" w:themeColor="text1"/>
                <w:sz w:val="24"/>
                <w:highlight w:val="none"/>
                <w:lang w:val="en-US" w:eastAsia="zh-CN"/>
                <w14:textFill>
                  <w14:solidFill>
                    <w14:schemeClr w14:val="tx1"/>
                  </w14:solidFill>
                </w14:textFill>
              </w:rPr>
              <w:t>mg/L、</w:t>
            </w:r>
            <w:r>
              <w:rPr>
                <w:rFonts w:hint="eastAsia" w:cs="Times New Roman"/>
                <w:b w:val="0"/>
                <w:color w:val="000000" w:themeColor="text1"/>
                <w:kern w:val="2"/>
                <w:sz w:val="24"/>
                <w:szCs w:val="24"/>
                <w:highlight w:val="none"/>
                <w:lang w:val="en-US" w:eastAsia="zh-CN" w:bidi="ar-SA"/>
                <w14:textFill>
                  <w14:solidFill>
                    <w14:schemeClr w14:val="tx1"/>
                  </w14:solidFill>
                </w14:textFill>
              </w:rPr>
              <w:t>动植物油＜0.06</w:t>
            </w:r>
            <w:r>
              <w:rPr>
                <w:rFonts w:hint="eastAsia"/>
                <w:color w:val="000000" w:themeColor="text1"/>
                <w:sz w:val="24"/>
                <w:highlight w:val="none"/>
                <w:lang w:val="en-US" w:eastAsia="zh-CN"/>
                <w14:textFill>
                  <w14:solidFill>
                    <w14:schemeClr w14:val="tx1"/>
                  </w14:solidFill>
                </w14:textFill>
              </w:rPr>
              <w:t>mg/L、</w:t>
            </w:r>
            <w:r>
              <w:rPr>
                <w:rFonts w:hint="eastAsia" w:cs="Times New Roman"/>
                <w:b w:val="0"/>
                <w:color w:val="000000" w:themeColor="text1"/>
                <w:kern w:val="2"/>
                <w:sz w:val="24"/>
                <w:szCs w:val="24"/>
                <w:highlight w:val="none"/>
                <w:lang w:val="en-US" w:eastAsia="zh-CN" w:bidi="ar-SA"/>
                <w14:textFill>
                  <w14:solidFill>
                    <w14:schemeClr w14:val="tx1"/>
                  </w14:solidFill>
                </w14:textFill>
              </w:rPr>
              <w:t>总有机碳=4.7</w:t>
            </w:r>
            <w:r>
              <w:rPr>
                <w:rFonts w:hint="eastAsia"/>
                <w:color w:val="000000" w:themeColor="text1"/>
                <w:sz w:val="24"/>
                <w:highlight w:val="none"/>
                <w:lang w:val="en-US" w:eastAsia="zh-CN"/>
                <w14:textFill>
                  <w14:solidFill>
                    <w14:schemeClr w14:val="tx1"/>
                  </w14:solidFill>
                </w14:textFill>
              </w:rPr>
              <w:t>mg/L</w:t>
            </w:r>
            <w:r>
              <w:rPr>
                <w:rFonts w:hint="eastAsia" w:cs="Times New Roman"/>
                <w:color w:val="000000" w:themeColor="text1"/>
                <w:kern w:val="2"/>
                <w:sz w:val="24"/>
                <w:szCs w:val="24"/>
                <w:highlight w:val="none"/>
                <w:lang w:val="en-US" w:eastAsia="zh-CN" w:bidi="ar"/>
                <w14:textFill>
                  <w14:solidFill>
                    <w14:schemeClr w14:val="tx1"/>
                  </w14:solidFill>
                </w14:textFill>
              </w:rPr>
              <w:t>，本项目使用的药材种类与现有项目相同，废水水质变化不大，参考现有项目污染物排放浓度核算</w:t>
            </w:r>
            <w:r>
              <w:rPr>
                <w:rFonts w:hint="eastAsia" w:cs="Times New Roman"/>
                <w:color w:val="000000" w:themeColor="text1"/>
                <w:kern w:val="0"/>
                <w:sz w:val="24"/>
                <w:szCs w:val="24"/>
                <w:highlight w:val="none"/>
                <w:lang w:val="en-US" w:eastAsia="zh-CN" w:bidi="ar-SA"/>
                <w14:textFill>
                  <w14:solidFill>
                    <w14:schemeClr w14:val="tx1"/>
                  </w14:solidFill>
                </w14:textFill>
              </w:rPr>
              <w:t>本项目</w:t>
            </w:r>
            <w:r>
              <w:rPr>
                <w:rFonts w:hint="eastAsia" w:cs="Times New Roman"/>
                <w:color w:val="000000" w:themeColor="text1"/>
                <w:sz w:val="24"/>
                <w:szCs w:val="24"/>
                <w:highlight w:val="none"/>
                <w:lang w:val="en-US" w:eastAsia="zh-CN"/>
                <w14:textFill>
                  <w14:solidFill>
                    <w14:schemeClr w14:val="tx1"/>
                  </w14:solidFill>
                </w14:textFill>
              </w:rPr>
              <w:t>主要污染物排放情况见下表。</w:t>
            </w:r>
          </w:p>
          <w:p w14:paraId="6BCF6368">
            <w:pPr>
              <w:keepNext w:val="0"/>
              <w:keepLines w:val="0"/>
              <w:pageBreakBefore w:val="0"/>
              <w:widowControl w:val="0"/>
              <w:numPr>
                <w:ilvl w:val="0"/>
                <w:numId w:val="26"/>
              </w:numPr>
              <w:suppressLineNumbers w:val="0"/>
              <w:kinsoku/>
              <w:wordWrap/>
              <w:overflowPunct/>
              <w:topLinePunct w:val="0"/>
              <w:autoSpaceDE/>
              <w:autoSpaceDN/>
              <w:bidi w:val="0"/>
              <w:adjustRightInd/>
              <w:snapToGrid w:val="0"/>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本项目废水</w:t>
            </w:r>
            <w:r>
              <w:rPr>
                <w:rFonts w:hint="eastAsia" w:cs="Times New Roman"/>
                <w:b/>
                <w:bCs/>
                <w:color w:val="000000" w:themeColor="text1"/>
                <w:sz w:val="21"/>
                <w:szCs w:val="21"/>
                <w:highlight w:val="none"/>
                <w:lang w:val="en-US" w:eastAsia="zh-CN"/>
                <w14:textFill>
                  <w14:solidFill>
                    <w14:schemeClr w14:val="tx1"/>
                  </w14:solidFill>
                </w14:textFill>
              </w:rPr>
              <w:t>污染物排放情况表</w:t>
            </w:r>
          </w:p>
          <w:tbl>
            <w:tblPr>
              <w:tblStyle w:val="36"/>
              <w:tblW w:w="4997" w:type="pct"/>
              <w:tblInd w:w="0" w:type="dxa"/>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44"/>
              <w:gridCol w:w="1654"/>
              <w:gridCol w:w="1019"/>
              <w:gridCol w:w="1210"/>
              <w:gridCol w:w="1408"/>
              <w:gridCol w:w="984"/>
              <w:gridCol w:w="743"/>
            </w:tblGrid>
            <w:tr w14:paraId="7FB174A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03" w:type="pct"/>
                  <w:tcBorders>
                    <w:tl2br w:val="nil"/>
                    <w:tr2bl w:val="nil"/>
                  </w:tcBorders>
                  <w:vAlign w:val="center"/>
                </w:tcPr>
                <w:p w14:paraId="1A76E1B5">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t>污水处理系统</w:t>
                  </w:r>
                  <w:r>
                    <w:rPr>
                      <w:rFonts w:hint="default"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t>处理废水量</w:t>
                  </w:r>
                  <w:r>
                    <w:rPr>
                      <w:rFonts w:hint="default" w:ascii="Times New Roman" w:hAnsi="Times New Roman" w:cs="Times New Roman"/>
                      <w:b/>
                      <w:bCs/>
                      <w:color w:val="000000" w:themeColor="text1"/>
                      <w:sz w:val="21"/>
                      <w:szCs w:val="21"/>
                      <w:highlight w:val="none"/>
                      <w14:textFill>
                        <w14:solidFill>
                          <w14:schemeClr w14:val="tx1"/>
                        </w14:solidFill>
                      </w14:textFill>
                    </w:rPr>
                    <w:t>m</w:t>
                  </w:r>
                  <w:r>
                    <w:rPr>
                      <w:rFonts w:hint="default" w:ascii="Times New Roman" w:hAnsi="Times New Roman" w:cs="Times New Roman"/>
                      <w:b/>
                      <w:bCs/>
                      <w:color w:val="000000" w:themeColor="text1"/>
                      <w:sz w:val="21"/>
                      <w:szCs w:val="21"/>
                      <w:highlight w:val="none"/>
                      <w:vertAlign w:val="superscript"/>
                      <w14:textFill>
                        <w14:solidFill>
                          <w14:schemeClr w14:val="tx1"/>
                        </w14:solidFill>
                      </w14:textFill>
                    </w:rPr>
                    <w:t>3</w:t>
                  </w:r>
                  <w:r>
                    <w:rPr>
                      <w:rFonts w:hint="default" w:ascii="Times New Roman" w:hAnsi="Times New Roman" w:cs="Times New Roman"/>
                      <w:b/>
                      <w:bCs/>
                      <w:color w:val="000000" w:themeColor="text1"/>
                      <w:sz w:val="21"/>
                      <w:szCs w:val="21"/>
                      <w:highlight w:val="none"/>
                      <w14:textFill>
                        <w14:solidFill>
                          <w14:schemeClr w14:val="tx1"/>
                        </w14:solidFill>
                      </w14:textFill>
                    </w:rPr>
                    <w:t>/a</w:t>
                  </w:r>
                </w:p>
              </w:tc>
              <w:tc>
                <w:tcPr>
                  <w:tcW w:w="988" w:type="pct"/>
                  <w:tcBorders>
                    <w:tl2br w:val="nil"/>
                    <w:tr2bl w:val="nil"/>
                  </w:tcBorders>
                  <w:vAlign w:val="center"/>
                </w:tcPr>
                <w:p w14:paraId="1032A37F">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t>污染物</w:t>
                  </w:r>
                </w:p>
              </w:tc>
              <w:tc>
                <w:tcPr>
                  <w:tcW w:w="609" w:type="pct"/>
                  <w:tcBorders>
                    <w:tl2br w:val="nil"/>
                    <w:tr2bl w:val="nil"/>
                  </w:tcBorders>
                  <w:vAlign w:val="center"/>
                </w:tcPr>
                <w:p w14:paraId="643D6C5D">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t>处理</w:t>
                  </w:r>
                  <w:r>
                    <w:rPr>
                      <w:rFonts w:hint="eastAsia" w:eastAsia="宋体" w:cs="Times New Roman"/>
                      <w:b/>
                      <w:bCs/>
                      <w:color w:val="000000" w:themeColor="text1"/>
                      <w:sz w:val="21"/>
                      <w:szCs w:val="21"/>
                      <w:highlight w:val="none"/>
                      <w:vertAlign w:val="baseline"/>
                      <w:lang w:val="en-US" w:eastAsia="zh-CN" w:bidi="en-US"/>
                      <w14:textFill>
                        <w14:solidFill>
                          <w14:schemeClr w14:val="tx1"/>
                        </w14:solidFill>
                      </w14:textFill>
                    </w:rPr>
                    <w:t>设施</w:t>
                  </w:r>
                </w:p>
              </w:tc>
              <w:tc>
                <w:tcPr>
                  <w:tcW w:w="723" w:type="pct"/>
                  <w:tcBorders>
                    <w:tl2br w:val="nil"/>
                    <w:tr2bl w:val="nil"/>
                  </w:tcBorders>
                  <w:vAlign w:val="center"/>
                </w:tcPr>
                <w:p w14:paraId="37F96A02">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t>排放浓度</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mg/L</w:t>
                  </w:r>
                </w:p>
              </w:tc>
              <w:tc>
                <w:tcPr>
                  <w:tcW w:w="841" w:type="pct"/>
                  <w:tcBorders>
                    <w:tl2br w:val="nil"/>
                    <w:tr2bl w:val="nil"/>
                  </w:tcBorders>
                  <w:vAlign w:val="center"/>
                </w:tcPr>
                <w:p w14:paraId="23EB430B">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t>排放量t/a</w:t>
                  </w:r>
                </w:p>
              </w:tc>
              <w:tc>
                <w:tcPr>
                  <w:tcW w:w="588" w:type="pct"/>
                  <w:tcBorders>
                    <w:tl2br w:val="nil"/>
                    <w:tr2bl w:val="nil"/>
                  </w:tcBorders>
                  <w:vAlign w:val="center"/>
                </w:tcPr>
                <w:p w14:paraId="2C7B6967">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t>排放标准</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mg/L</w:t>
                  </w:r>
                </w:p>
              </w:tc>
              <w:tc>
                <w:tcPr>
                  <w:tcW w:w="444" w:type="pct"/>
                  <w:tcBorders>
                    <w:tl2br w:val="nil"/>
                    <w:tr2bl w:val="nil"/>
                  </w:tcBorders>
                  <w:vAlign w:val="center"/>
                </w:tcPr>
                <w:p w14:paraId="6E92CE95">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t>达标情况</w:t>
                  </w:r>
                </w:p>
              </w:tc>
            </w:tr>
            <w:tr w14:paraId="0E79A50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03" w:type="pct"/>
                  <w:vMerge w:val="restart"/>
                  <w:tcBorders>
                    <w:tl2br w:val="nil"/>
                    <w:tr2bl w:val="nil"/>
                  </w:tcBorders>
                  <w:vAlign w:val="center"/>
                </w:tcPr>
                <w:p w14:paraId="460199EF">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t>15485.93</w:t>
                  </w:r>
                </w:p>
              </w:tc>
              <w:tc>
                <w:tcPr>
                  <w:tcW w:w="988" w:type="pct"/>
                  <w:tcBorders>
                    <w:tl2br w:val="nil"/>
                    <w:tr2bl w:val="nil"/>
                  </w:tcBorders>
                  <w:vAlign w:val="center"/>
                </w:tcPr>
                <w:p w14:paraId="6F976887">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
                      <w14:textFill>
                        <w14:solidFill>
                          <w14:schemeClr w14:val="tx1"/>
                        </w14:solidFill>
                      </w14:textFill>
                    </w:rPr>
                    <w:t>pH</w:t>
                  </w:r>
                  <w: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t>（无量纲）</w:t>
                  </w:r>
                </w:p>
              </w:tc>
              <w:tc>
                <w:tcPr>
                  <w:tcW w:w="609" w:type="pct"/>
                  <w:vMerge w:val="restart"/>
                  <w:tcBorders>
                    <w:tl2br w:val="nil"/>
                    <w:tr2bl w:val="nil"/>
                  </w:tcBorders>
                  <w:vAlign w:val="center"/>
                </w:tcPr>
                <w:p w14:paraId="321C0EAE">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t>格栅、调节池、水解酸化、接触氧化、中间池、生物曝气，污泥经污泥浓缩池、污泥脱水处理</w:t>
                  </w:r>
                </w:p>
              </w:tc>
              <w:tc>
                <w:tcPr>
                  <w:tcW w:w="723" w:type="pct"/>
                  <w:tcBorders>
                    <w:tl2br w:val="nil"/>
                    <w:tr2bl w:val="nil"/>
                  </w:tcBorders>
                  <w:vAlign w:val="center"/>
                </w:tcPr>
                <w:p w14:paraId="5B43E725">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eastAsia" w:eastAsia="宋体" w:cs="Times New Roman"/>
                      <w:b w:val="0"/>
                      <w:bCs w:val="0"/>
                      <w:color w:val="000000" w:themeColor="text1"/>
                      <w:sz w:val="21"/>
                      <w:szCs w:val="21"/>
                      <w:highlight w:val="none"/>
                      <w:vertAlign w:val="baseline"/>
                      <w:lang w:val="en-US" w:eastAsia="zh-CN" w:bidi="en-US"/>
                      <w14:textFill>
                        <w14:solidFill>
                          <w14:schemeClr w14:val="tx1"/>
                        </w14:solidFill>
                      </w14:textFill>
                    </w:rPr>
                    <w:t>7.2（无量纲）</w:t>
                  </w:r>
                </w:p>
              </w:tc>
              <w:tc>
                <w:tcPr>
                  <w:tcW w:w="841" w:type="pct"/>
                  <w:tcBorders>
                    <w:tl2br w:val="nil"/>
                    <w:tr2bl w:val="nil"/>
                  </w:tcBorders>
                  <w:vAlign w:val="center"/>
                </w:tcPr>
                <w:p w14:paraId="1855AE75">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eastAsia" w:eastAsia="宋体" w:cs="Times New Roman"/>
                      <w:b w:val="0"/>
                      <w:bCs w:val="0"/>
                      <w:color w:val="000000" w:themeColor="text1"/>
                      <w:sz w:val="21"/>
                      <w:szCs w:val="21"/>
                      <w:highlight w:val="none"/>
                      <w:vertAlign w:val="baseline"/>
                      <w:lang w:val="en-US" w:eastAsia="zh-CN" w:bidi="en-US"/>
                      <w14:textFill>
                        <w14:solidFill>
                          <w14:schemeClr w14:val="tx1"/>
                        </w14:solidFill>
                      </w14:textFill>
                    </w:rPr>
                    <w:t>/</w:t>
                  </w:r>
                </w:p>
              </w:tc>
              <w:tc>
                <w:tcPr>
                  <w:tcW w:w="588" w:type="pct"/>
                  <w:tcBorders>
                    <w:tl2br w:val="nil"/>
                    <w:tr2bl w:val="nil"/>
                  </w:tcBorders>
                  <w:vAlign w:val="center"/>
                </w:tcPr>
                <w:p w14:paraId="2C5757AC">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t>6~9</w:t>
                  </w:r>
                </w:p>
              </w:tc>
              <w:tc>
                <w:tcPr>
                  <w:tcW w:w="444" w:type="pct"/>
                  <w:tcBorders>
                    <w:tl2br w:val="nil"/>
                    <w:tr2bl w:val="nil"/>
                  </w:tcBorders>
                  <w:vAlign w:val="center"/>
                </w:tcPr>
                <w:p w14:paraId="1B19E828">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t>达标</w:t>
                  </w:r>
                </w:p>
              </w:tc>
            </w:tr>
            <w:tr w14:paraId="182E00A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03" w:type="pct"/>
                  <w:vMerge w:val="continue"/>
                  <w:tcBorders>
                    <w:tl2br w:val="nil"/>
                    <w:tr2bl w:val="nil"/>
                  </w:tcBorders>
                  <w:vAlign w:val="center"/>
                </w:tcPr>
                <w:p w14:paraId="16840340">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p>
              </w:tc>
              <w:tc>
                <w:tcPr>
                  <w:tcW w:w="988" w:type="pct"/>
                  <w:tcBorders>
                    <w:tl2br w:val="nil"/>
                    <w:tr2bl w:val="nil"/>
                  </w:tcBorders>
                  <w:vAlign w:val="center"/>
                </w:tcPr>
                <w:p w14:paraId="4C4F20B1">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色度</w:t>
                  </w:r>
                </w:p>
              </w:tc>
              <w:tc>
                <w:tcPr>
                  <w:tcW w:w="609" w:type="pct"/>
                  <w:vMerge w:val="continue"/>
                  <w:tcBorders>
                    <w:tl2br w:val="nil"/>
                    <w:tr2bl w:val="nil"/>
                  </w:tcBorders>
                  <w:vAlign w:val="center"/>
                </w:tcPr>
                <w:p w14:paraId="3BEAB32E">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p>
              </w:tc>
              <w:tc>
                <w:tcPr>
                  <w:tcW w:w="723" w:type="pct"/>
                  <w:tcBorders>
                    <w:tl2br w:val="nil"/>
                    <w:tr2bl w:val="nil"/>
                  </w:tcBorders>
                  <w:vAlign w:val="center"/>
                </w:tcPr>
                <w:p w14:paraId="17040458">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t>9倍</w:t>
                  </w:r>
                </w:p>
              </w:tc>
              <w:tc>
                <w:tcPr>
                  <w:tcW w:w="841" w:type="pct"/>
                  <w:tcBorders>
                    <w:tl2br w:val="nil"/>
                    <w:tr2bl w:val="nil"/>
                  </w:tcBorders>
                  <w:vAlign w:val="center"/>
                </w:tcPr>
                <w:p w14:paraId="1A0460D7">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eastAsia" w:eastAsia="宋体" w:cs="Times New Roman"/>
                      <w:b w:val="0"/>
                      <w:bCs w:val="0"/>
                      <w:color w:val="000000" w:themeColor="text1"/>
                      <w:sz w:val="21"/>
                      <w:szCs w:val="21"/>
                      <w:highlight w:val="none"/>
                      <w:vertAlign w:val="baseline"/>
                      <w:lang w:val="en-US" w:eastAsia="zh-CN" w:bidi="en-US"/>
                      <w14:textFill>
                        <w14:solidFill>
                          <w14:schemeClr w14:val="tx1"/>
                        </w14:solidFill>
                      </w14:textFill>
                    </w:rPr>
                    <w:t>/</w:t>
                  </w:r>
                </w:p>
              </w:tc>
              <w:tc>
                <w:tcPr>
                  <w:tcW w:w="588" w:type="pct"/>
                  <w:tcBorders>
                    <w:tl2br w:val="nil"/>
                    <w:tr2bl w:val="nil"/>
                  </w:tcBorders>
                  <w:vAlign w:val="center"/>
                </w:tcPr>
                <w:p w14:paraId="12AAC915">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eastAsia" w:eastAsia="宋体" w:cs="Times New Roman"/>
                      <w:b w:val="0"/>
                      <w:bCs w:val="0"/>
                      <w:color w:val="000000" w:themeColor="text1"/>
                      <w:sz w:val="21"/>
                      <w:szCs w:val="21"/>
                      <w:highlight w:val="none"/>
                      <w:vertAlign w:val="baseline"/>
                      <w:lang w:val="en-US" w:eastAsia="zh-CN" w:bidi="en-US"/>
                      <w14:textFill>
                        <w14:solidFill>
                          <w14:schemeClr w14:val="tx1"/>
                        </w14:solidFill>
                      </w14:textFill>
                    </w:rPr>
                    <w:t>100</w:t>
                  </w:r>
                  <w: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t>倍</w:t>
                  </w:r>
                </w:p>
              </w:tc>
              <w:tc>
                <w:tcPr>
                  <w:tcW w:w="444" w:type="pct"/>
                  <w:tcBorders>
                    <w:tl2br w:val="nil"/>
                    <w:tr2bl w:val="nil"/>
                  </w:tcBorders>
                  <w:vAlign w:val="center"/>
                </w:tcPr>
                <w:p w14:paraId="2EB5A8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t>达标</w:t>
                  </w:r>
                </w:p>
              </w:tc>
            </w:tr>
            <w:tr w14:paraId="4A98FF7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03" w:type="pct"/>
                  <w:vMerge w:val="continue"/>
                  <w:tcBorders>
                    <w:tl2br w:val="nil"/>
                    <w:tr2bl w:val="nil"/>
                  </w:tcBorders>
                  <w:vAlign w:val="center"/>
                </w:tcPr>
                <w:p w14:paraId="0FCB6BEC">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988" w:type="pct"/>
                  <w:tcBorders>
                    <w:tl2br w:val="nil"/>
                    <w:tr2bl w:val="nil"/>
                  </w:tcBorders>
                  <w:vAlign w:val="center"/>
                </w:tcPr>
                <w:p w14:paraId="23B62707">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悬浮物</w:t>
                  </w:r>
                </w:p>
              </w:tc>
              <w:tc>
                <w:tcPr>
                  <w:tcW w:w="609" w:type="pct"/>
                  <w:vMerge w:val="continue"/>
                  <w:tcBorders>
                    <w:tl2br w:val="nil"/>
                    <w:tr2bl w:val="nil"/>
                  </w:tcBorders>
                  <w:vAlign w:val="center"/>
                </w:tcPr>
                <w:p w14:paraId="370AC933">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p>
              </w:tc>
              <w:tc>
                <w:tcPr>
                  <w:tcW w:w="723" w:type="pct"/>
                  <w:tcBorders>
                    <w:tl2br w:val="nil"/>
                    <w:tr2bl w:val="nil"/>
                  </w:tcBorders>
                  <w:vAlign w:val="center"/>
                </w:tcPr>
                <w:p w14:paraId="415912A4">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18</w:t>
                  </w:r>
                </w:p>
              </w:tc>
              <w:tc>
                <w:tcPr>
                  <w:tcW w:w="841" w:type="pct"/>
                  <w:tcBorders>
                    <w:tl2br w:val="nil"/>
                    <w:tr2bl w:val="nil"/>
                  </w:tcBorders>
                  <w:vAlign w:val="center"/>
                </w:tcPr>
                <w:p w14:paraId="516907D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0.2787</w:t>
                  </w:r>
                </w:p>
              </w:tc>
              <w:tc>
                <w:tcPr>
                  <w:tcW w:w="588" w:type="pct"/>
                  <w:tcBorders>
                    <w:tl2br w:val="nil"/>
                    <w:tr2bl w:val="nil"/>
                  </w:tcBorders>
                  <w:vAlign w:val="center"/>
                </w:tcPr>
                <w:p w14:paraId="784048E7">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eastAsia" w:eastAsia="宋体" w:cs="Times New Roman"/>
                      <w:b w:val="0"/>
                      <w:bCs w:val="0"/>
                      <w:color w:val="000000" w:themeColor="text1"/>
                      <w:sz w:val="21"/>
                      <w:szCs w:val="21"/>
                      <w:highlight w:val="none"/>
                      <w:vertAlign w:val="baseline"/>
                      <w:lang w:val="en-US" w:eastAsia="zh-CN" w:bidi="en-US"/>
                      <w14:textFill>
                        <w14:solidFill>
                          <w14:schemeClr w14:val="tx1"/>
                        </w14:solidFill>
                      </w14:textFill>
                    </w:rPr>
                    <w:t>300</w:t>
                  </w:r>
                </w:p>
              </w:tc>
              <w:tc>
                <w:tcPr>
                  <w:tcW w:w="444" w:type="pct"/>
                  <w:tcBorders>
                    <w:tl2br w:val="nil"/>
                    <w:tr2bl w:val="nil"/>
                  </w:tcBorders>
                  <w:vAlign w:val="center"/>
                </w:tcPr>
                <w:p w14:paraId="288C57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t>达标</w:t>
                  </w:r>
                </w:p>
              </w:tc>
            </w:tr>
            <w:tr w14:paraId="6D3194A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03" w:type="pct"/>
                  <w:vMerge w:val="continue"/>
                  <w:tcBorders>
                    <w:tl2br w:val="nil"/>
                    <w:tr2bl w:val="nil"/>
                  </w:tcBorders>
                  <w:vAlign w:val="center"/>
                </w:tcPr>
                <w:p w14:paraId="77A19E9E">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988" w:type="pct"/>
                  <w:tcBorders>
                    <w:tl2br w:val="nil"/>
                    <w:tr2bl w:val="nil"/>
                  </w:tcBorders>
                  <w:vAlign w:val="center"/>
                </w:tcPr>
                <w:p w14:paraId="15968431">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五日生化需氧量</w:t>
                  </w:r>
                  <w:r>
                    <w:rPr>
                      <w:rFonts w:hint="default" w:ascii="Times New Roman" w:hAnsi="Times New Roman" w:eastAsia="宋体" w:cs="Times New Roman"/>
                      <w:b w:val="0"/>
                      <w:bCs w:val="0"/>
                      <w:color w:val="000000" w:themeColor="text1"/>
                      <w:kern w:val="2"/>
                      <w:sz w:val="21"/>
                      <w:szCs w:val="21"/>
                      <w:highlight w:val="none"/>
                      <w:vertAlign w:val="subscript"/>
                      <w:lang w:val="en-US" w:eastAsia="zh-CN" w:bidi="ar"/>
                      <w14:textFill>
                        <w14:solidFill>
                          <w14:schemeClr w14:val="tx1"/>
                        </w14:solidFill>
                      </w14:textFill>
                    </w:rPr>
                    <w:t>r</w:t>
                  </w:r>
                </w:p>
              </w:tc>
              <w:tc>
                <w:tcPr>
                  <w:tcW w:w="609" w:type="pct"/>
                  <w:vMerge w:val="continue"/>
                  <w:tcBorders>
                    <w:tl2br w:val="nil"/>
                    <w:tr2bl w:val="nil"/>
                  </w:tcBorders>
                  <w:vAlign w:val="center"/>
                </w:tcPr>
                <w:p w14:paraId="46965D7B">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p>
              </w:tc>
              <w:tc>
                <w:tcPr>
                  <w:tcW w:w="723" w:type="pct"/>
                  <w:tcBorders>
                    <w:tl2br w:val="nil"/>
                    <w:tr2bl w:val="nil"/>
                  </w:tcBorders>
                  <w:vAlign w:val="center"/>
                </w:tcPr>
                <w:p w14:paraId="796565B0">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30.7</w:t>
                  </w:r>
                </w:p>
              </w:tc>
              <w:tc>
                <w:tcPr>
                  <w:tcW w:w="841" w:type="pct"/>
                  <w:tcBorders>
                    <w:tl2br w:val="nil"/>
                    <w:tr2bl w:val="nil"/>
                  </w:tcBorders>
                  <w:vAlign w:val="center"/>
                </w:tcPr>
                <w:p w14:paraId="5565CB3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0.4754</w:t>
                  </w:r>
                </w:p>
              </w:tc>
              <w:tc>
                <w:tcPr>
                  <w:tcW w:w="588" w:type="pct"/>
                  <w:tcBorders>
                    <w:tl2br w:val="nil"/>
                    <w:tr2bl w:val="nil"/>
                  </w:tcBorders>
                  <w:vAlign w:val="center"/>
                </w:tcPr>
                <w:p w14:paraId="25DE0D70">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eastAsia" w:eastAsia="宋体" w:cs="Times New Roman"/>
                      <w:b w:val="0"/>
                      <w:bCs w:val="0"/>
                      <w:color w:val="000000" w:themeColor="text1"/>
                      <w:sz w:val="21"/>
                      <w:szCs w:val="21"/>
                      <w:highlight w:val="none"/>
                      <w:vertAlign w:val="baseline"/>
                      <w:lang w:val="en-US" w:eastAsia="zh-CN" w:bidi="en-US"/>
                      <w14:textFill>
                        <w14:solidFill>
                          <w14:schemeClr w14:val="tx1"/>
                        </w14:solidFill>
                      </w14:textFill>
                    </w:rPr>
                    <w:t>250</w:t>
                  </w:r>
                </w:p>
              </w:tc>
              <w:tc>
                <w:tcPr>
                  <w:tcW w:w="444" w:type="pct"/>
                  <w:tcBorders>
                    <w:tl2br w:val="nil"/>
                    <w:tr2bl w:val="nil"/>
                  </w:tcBorders>
                  <w:vAlign w:val="center"/>
                </w:tcPr>
                <w:p w14:paraId="795C0C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t>达标</w:t>
                  </w:r>
                </w:p>
              </w:tc>
            </w:tr>
            <w:tr w14:paraId="6DC85A1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03" w:type="pct"/>
                  <w:vMerge w:val="continue"/>
                  <w:tcBorders>
                    <w:tl2br w:val="nil"/>
                    <w:tr2bl w:val="nil"/>
                  </w:tcBorders>
                  <w:vAlign w:val="center"/>
                </w:tcPr>
                <w:p w14:paraId="776A9AC9">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988" w:type="pct"/>
                  <w:tcBorders>
                    <w:tl2br w:val="nil"/>
                    <w:tr2bl w:val="nil"/>
                  </w:tcBorders>
                  <w:vAlign w:val="center"/>
                </w:tcPr>
                <w:p w14:paraId="73D97784">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color w:val="000000" w:themeColor="text1"/>
                      <w:kern w:val="2"/>
                      <w:sz w:val="21"/>
                      <w:szCs w:val="21"/>
                      <w:highlight w:val="none"/>
                      <w:lang w:val="en-US" w:eastAsia="zh-CN" w:bidi="ar-SA"/>
                      <w14:textFill>
                        <w14:solidFill>
                          <w14:schemeClr w14:val="tx1"/>
                        </w14:solidFill>
                      </w14:textFill>
                    </w:rPr>
                    <w:t>化学需氧量</w:t>
                  </w:r>
                </w:p>
              </w:tc>
              <w:tc>
                <w:tcPr>
                  <w:tcW w:w="609" w:type="pct"/>
                  <w:vMerge w:val="continue"/>
                  <w:tcBorders>
                    <w:tl2br w:val="nil"/>
                    <w:tr2bl w:val="nil"/>
                  </w:tcBorders>
                  <w:vAlign w:val="center"/>
                </w:tcPr>
                <w:p w14:paraId="42C58404">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p>
              </w:tc>
              <w:tc>
                <w:tcPr>
                  <w:tcW w:w="723" w:type="pct"/>
                  <w:tcBorders>
                    <w:tl2br w:val="nil"/>
                    <w:tr2bl w:val="nil"/>
                  </w:tcBorders>
                  <w:vAlign w:val="center"/>
                </w:tcPr>
                <w:p w14:paraId="734D0A0D">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96</w:t>
                  </w:r>
                </w:p>
              </w:tc>
              <w:tc>
                <w:tcPr>
                  <w:tcW w:w="841" w:type="pct"/>
                  <w:tcBorders>
                    <w:tl2br w:val="nil"/>
                    <w:tr2bl w:val="nil"/>
                  </w:tcBorders>
                  <w:vAlign w:val="center"/>
                </w:tcPr>
                <w:p w14:paraId="09DE587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1.4866</w:t>
                  </w:r>
                </w:p>
              </w:tc>
              <w:tc>
                <w:tcPr>
                  <w:tcW w:w="588" w:type="pct"/>
                  <w:tcBorders>
                    <w:tl2br w:val="nil"/>
                    <w:tr2bl w:val="nil"/>
                  </w:tcBorders>
                  <w:vAlign w:val="center"/>
                </w:tcPr>
                <w:p w14:paraId="17553B3E">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eastAsia" w:eastAsia="宋体" w:cs="Times New Roman"/>
                      <w:b w:val="0"/>
                      <w:bCs w:val="0"/>
                      <w:color w:val="000000" w:themeColor="text1"/>
                      <w:sz w:val="21"/>
                      <w:szCs w:val="21"/>
                      <w:highlight w:val="none"/>
                      <w:vertAlign w:val="baseline"/>
                      <w:lang w:val="en-US" w:eastAsia="zh-CN" w:bidi="en-US"/>
                      <w14:textFill>
                        <w14:solidFill>
                          <w14:schemeClr w14:val="tx1"/>
                        </w14:solidFill>
                      </w14:textFill>
                    </w:rPr>
                    <w:t>300</w:t>
                  </w:r>
                </w:p>
              </w:tc>
              <w:tc>
                <w:tcPr>
                  <w:tcW w:w="444" w:type="pct"/>
                  <w:tcBorders>
                    <w:tl2br w:val="nil"/>
                    <w:tr2bl w:val="nil"/>
                  </w:tcBorders>
                  <w:vAlign w:val="center"/>
                </w:tcPr>
                <w:p w14:paraId="7BE12DA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t>达标</w:t>
                  </w:r>
                </w:p>
              </w:tc>
            </w:tr>
            <w:tr w14:paraId="7C97FD9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03" w:type="pct"/>
                  <w:vMerge w:val="continue"/>
                  <w:tcBorders>
                    <w:tl2br w:val="nil"/>
                    <w:tr2bl w:val="nil"/>
                  </w:tcBorders>
                  <w:vAlign w:val="center"/>
                </w:tcPr>
                <w:p w14:paraId="40B1B6BF">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988" w:type="pct"/>
                  <w:tcBorders>
                    <w:tl2br w:val="nil"/>
                    <w:tr2bl w:val="nil"/>
                  </w:tcBorders>
                  <w:vAlign w:val="center"/>
                </w:tcPr>
                <w:p w14:paraId="713153B2">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
                      <w14:textFill>
                        <w14:solidFill>
                          <w14:schemeClr w14:val="tx1"/>
                        </w14:solidFill>
                      </w14:textFill>
                    </w:rPr>
                    <w:t>氨氮</w:t>
                  </w:r>
                </w:p>
              </w:tc>
              <w:tc>
                <w:tcPr>
                  <w:tcW w:w="609" w:type="pct"/>
                  <w:vMerge w:val="continue"/>
                  <w:tcBorders>
                    <w:tl2br w:val="nil"/>
                    <w:tr2bl w:val="nil"/>
                  </w:tcBorders>
                  <w:vAlign w:val="center"/>
                </w:tcPr>
                <w:p w14:paraId="307609F9">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p>
              </w:tc>
              <w:tc>
                <w:tcPr>
                  <w:tcW w:w="723" w:type="pct"/>
                  <w:tcBorders>
                    <w:tl2br w:val="nil"/>
                    <w:tr2bl w:val="nil"/>
                  </w:tcBorders>
                  <w:vAlign w:val="center"/>
                </w:tcPr>
                <w:p w14:paraId="4026E073">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2.82</w:t>
                  </w:r>
                </w:p>
              </w:tc>
              <w:tc>
                <w:tcPr>
                  <w:tcW w:w="841" w:type="pct"/>
                  <w:tcBorders>
                    <w:tl2br w:val="nil"/>
                    <w:tr2bl w:val="nil"/>
                  </w:tcBorders>
                  <w:vAlign w:val="center"/>
                </w:tcPr>
                <w:p w14:paraId="214E95B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0.0437</w:t>
                  </w:r>
                </w:p>
              </w:tc>
              <w:tc>
                <w:tcPr>
                  <w:tcW w:w="588" w:type="pct"/>
                  <w:tcBorders>
                    <w:tl2br w:val="nil"/>
                    <w:tr2bl w:val="nil"/>
                  </w:tcBorders>
                  <w:vAlign w:val="center"/>
                </w:tcPr>
                <w:p w14:paraId="49484A4C">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eastAsia" w:eastAsia="宋体" w:cs="Times New Roman"/>
                      <w:b w:val="0"/>
                      <w:bCs w:val="0"/>
                      <w:color w:val="000000" w:themeColor="text1"/>
                      <w:sz w:val="21"/>
                      <w:szCs w:val="21"/>
                      <w:highlight w:val="none"/>
                      <w:vertAlign w:val="baseline"/>
                      <w:lang w:val="en-US" w:eastAsia="zh-CN" w:bidi="en-US"/>
                      <w14:textFill>
                        <w14:solidFill>
                          <w14:schemeClr w14:val="tx1"/>
                        </w14:solidFill>
                      </w14:textFill>
                    </w:rPr>
                    <w:t>30</w:t>
                  </w:r>
                </w:p>
              </w:tc>
              <w:tc>
                <w:tcPr>
                  <w:tcW w:w="444" w:type="pct"/>
                  <w:tcBorders>
                    <w:tl2br w:val="nil"/>
                    <w:tr2bl w:val="nil"/>
                  </w:tcBorders>
                  <w:vAlign w:val="center"/>
                </w:tcPr>
                <w:p w14:paraId="301A757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t>达标</w:t>
                  </w:r>
                </w:p>
              </w:tc>
            </w:tr>
            <w:tr w14:paraId="4BE41CC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03" w:type="pct"/>
                  <w:vMerge w:val="continue"/>
                  <w:tcBorders>
                    <w:tl2br w:val="nil"/>
                    <w:tr2bl w:val="nil"/>
                  </w:tcBorders>
                  <w:vAlign w:val="center"/>
                </w:tcPr>
                <w:p w14:paraId="4A55C6EC">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988" w:type="pct"/>
                  <w:tcBorders>
                    <w:tl2br w:val="nil"/>
                    <w:tr2bl w:val="nil"/>
                  </w:tcBorders>
                  <w:vAlign w:val="center"/>
                </w:tcPr>
                <w:p w14:paraId="475BFD16">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
                      <w14:textFill>
                        <w14:solidFill>
                          <w14:schemeClr w14:val="tx1"/>
                        </w14:solidFill>
                      </w14:textFill>
                    </w:rPr>
                    <w:t>总氮</w:t>
                  </w:r>
                </w:p>
              </w:tc>
              <w:tc>
                <w:tcPr>
                  <w:tcW w:w="609" w:type="pct"/>
                  <w:vMerge w:val="continue"/>
                  <w:tcBorders>
                    <w:tl2br w:val="nil"/>
                    <w:tr2bl w:val="nil"/>
                  </w:tcBorders>
                  <w:vAlign w:val="center"/>
                </w:tcPr>
                <w:p w14:paraId="48942FCD">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p>
              </w:tc>
              <w:tc>
                <w:tcPr>
                  <w:tcW w:w="723" w:type="pct"/>
                  <w:tcBorders>
                    <w:tl2br w:val="nil"/>
                    <w:tr2bl w:val="nil"/>
                  </w:tcBorders>
                  <w:vAlign w:val="center"/>
                </w:tcPr>
                <w:p w14:paraId="4B6F8EC7">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6.83</w:t>
                  </w:r>
                </w:p>
              </w:tc>
              <w:tc>
                <w:tcPr>
                  <w:tcW w:w="841" w:type="pct"/>
                  <w:tcBorders>
                    <w:tl2br w:val="nil"/>
                    <w:tr2bl w:val="nil"/>
                  </w:tcBorders>
                  <w:vAlign w:val="center"/>
                </w:tcPr>
                <w:p w14:paraId="6A14E7C3">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0.1058</w:t>
                  </w:r>
                </w:p>
              </w:tc>
              <w:tc>
                <w:tcPr>
                  <w:tcW w:w="588" w:type="pct"/>
                  <w:tcBorders>
                    <w:tl2br w:val="nil"/>
                    <w:tr2bl w:val="nil"/>
                  </w:tcBorders>
                  <w:vAlign w:val="center"/>
                </w:tcPr>
                <w:p w14:paraId="63FA0FBC">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eastAsia" w:eastAsia="宋体" w:cs="Times New Roman"/>
                      <w:b w:val="0"/>
                      <w:bCs w:val="0"/>
                      <w:color w:val="000000" w:themeColor="text1"/>
                      <w:sz w:val="21"/>
                      <w:szCs w:val="21"/>
                      <w:highlight w:val="none"/>
                      <w:vertAlign w:val="baseline"/>
                      <w:lang w:val="en-US" w:eastAsia="zh-CN" w:bidi="en-US"/>
                      <w14:textFill>
                        <w14:solidFill>
                          <w14:schemeClr w14:val="tx1"/>
                        </w14:solidFill>
                      </w14:textFill>
                    </w:rPr>
                    <w:t>50</w:t>
                  </w:r>
                </w:p>
              </w:tc>
              <w:tc>
                <w:tcPr>
                  <w:tcW w:w="444" w:type="pct"/>
                  <w:tcBorders>
                    <w:tl2br w:val="nil"/>
                    <w:tr2bl w:val="nil"/>
                  </w:tcBorders>
                  <w:vAlign w:val="center"/>
                </w:tcPr>
                <w:p w14:paraId="2BA3E0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t>达标</w:t>
                  </w:r>
                </w:p>
              </w:tc>
            </w:tr>
            <w:tr w14:paraId="2221A16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03" w:type="pct"/>
                  <w:vMerge w:val="continue"/>
                  <w:tcBorders>
                    <w:tl2br w:val="nil"/>
                    <w:tr2bl w:val="nil"/>
                  </w:tcBorders>
                  <w:vAlign w:val="center"/>
                </w:tcPr>
                <w:p w14:paraId="7EB162EB">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988" w:type="pct"/>
                  <w:tcBorders>
                    <w:tl2br w:val="nil"/>
                    <w:tr2bl w:val="nil"/>
                  </w:tcBorders>
                  <w:vAlign w:val="center"/>
                </w:tcPr>
                <w:p w14:paraId="789D5788">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
                      <w14:textFill>
                        <w14:solidFill>
                          <w14:schemeClr w14:val="tx1"/>
                        </w14:solidFill>
                      </w14:textFill>
                    </w:rPr>
                    <w:t>总磷</w:t>
                  </w:r>
                </w:p>
              </w:tc>
              <w:tc>
                <w:tcPr>
                  <w:tcW w:w="609" w:type="pct"/>
                  <w:vMerge w:val="continue"/>
                  <w:tcBorders>
                    <w:tl2br w:val="nil"/>
                    <w:tr2bl w:val="nil"/>
                  </w:tcBorders>
                  <w:vAlign w:val="center"/>
                </w:tcPr>
                <w:p w14:paraId="587A17CE">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p>
              </w:tc>
              <w:tc>
                <w:tcPr>
                  <w:tcW w:w="723" w:type="pct"/>
                  <w:tcBorders>
                    <w:tl2br w:val="nil"/>
                    <w:tr2bl w:val="nil"/>
                  </w:tcBorders>
                  <w:vAlign w:val="center"/>
                </w:tcPr>
                <w:p w14:paraId="3B226B25">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1.92</w:t>
                  </w:r>
                </w:p>
              </w:tc>
              <w:tc>
                <w:tcPr>
                  <w:tcW w:w="841" w:type="pct"/>
                  <w:tcBorders>
                    <w:tl2br w:val="nil"/>
                    <w:tr2bl w:val="nil"/>
                  </w:tcBorders>
                  <w:vAlign w:val="center"/>
                </w:tcPr>
                <w:p w14:paraId="457D41D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0.0297</w:t>
                  </w:r>
                </w:p>
              </w:tc>
              <w:tc>
                <w:tcPr>
                  <w:tcW w:w="588" w:type="pct"/>
                  <w:tcBorders>
                    <w:tl2br w:val="nil"/>
                    <w:tr2bl w:val="nil"/>
                  </w:tcBorders>
                  <w:vAlign w:val="center"/>
                </w:tcPr>
                <w:p w14:paraId="5A6CB865">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eastAsia" w:eastAsia="宋体" w:cs="Times New Roman"/>
                      <w:b w:val="0"/>
                      <w:bCs w:val="0"/>
                      <w:color w:val="000000" w:themeColor="text1"/>
                      <w:sz w:val="21"/>
                      <w:szCs w:val="21"/>
                      <w:highlight w:val="none"/>
                      <w:vertAlign w:val="baseline"/>
                      <w:lang w:val="en-US" w:eastAsia="zh-CN" w:bidi="en-US"/>
                      <w14:textFill>
                        <w14:solidFill>
                          <w14:schemeClr w14:val="tx1"/>
                        </w14:solidFill>
                      </w14:textFill>
                    </w:rPr>
                    <w:t>5.0</w:t>
                  </w:r>
                </w:p>
              </w:tc>
              <w:tc>
                <w:tcPr>
                  <w:tcW w:w="444" w:type="pct"/>
                  <w:tcBorders>
                    <w:tl2br w:val="nil"/>
                    <w:tr2bl w:val="nil"/>
                  </w:tcBorders>
                  <w:vAlign w:val="center"/>
                </w:tcPr>
                <w:p w14:paraId="194D64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t>达标</w:t>
                  </w:r>
                </w:p>
              </w:tc>
            </w:tr>
            <w:tr w14:paraId="6A0BE9D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03" w:type="pct"/>
                  <w:vMerge w:val="continue"/>
                  <w:tcBorders>
                    <w:tl2br w:val="nil"/>
                    <w:tr2bl w:val="nil"/>
                  </w:tcBorders>
                  <w:vAlign w:val="center"/>
                </w:tcPr>
                <w:p w14:paraId="192E7E70">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988" w:type="pct"/>
                  <w:tcBorders>
                    <w:tl2br w:val="nil"/>
                    <w:tr2bl w:val="nil"/>
                  </w:tcBorders>
                  <w:shd w:val="clear" w:color="auto" w:fill="auto"/>
                  <w:vAlign w:val="center"/>
                </w:tcPr>
                <w:p w14:paraId="5DF425F9">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
                      <w14:textFill>
                        <w14:solidFill>
                          <w14:schemeClr w14:val="tx1"/>
                        </w14:solidFill>
                      </w14:textFill>
                    </w:rPr>
                    <w:t>动植物油</w:t>
                  </w:r>
                </w:p>
              </w:tc>
              <w:tc>
                <w:tcPr>
                  <w:tcW w:w="609" w:type="pct"/>
                  <w:vMerge w:val="continue"/>
                  <w:tcBorders>
                    <w:tl2br w:val="nil"/>
                    <w:tr2bl w:val="nil"/>
                  </w:tcBorders>
                  <w:shd w:val="clear" w:color="auto" w:fill="auto"/>
                  <w:vAlign w:val="center"/>
                </w:tcPr>
                <w:p w14:paraId="1C0F5582">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000000" w:themeColor="text1"/>
                      <w:kern w:val="2"/>
                      <w:sz w:val="21"/>
                      <w:szCs w:val="21"/>
                      <w:highlight w:val="none"/>
                      <w:vertAlign w:val="baseline"/>
                      <w:lang w:val="en-US" w:eastAsia="zh-CN" w:bidi="en-US"/>
                      <w14:textFill>
                        <w14:solidFill>
                          <w14:schemeClr w14:val="tx1"/>
                        </w14:solidFill>
                      </w14:textFill>
                    </w:rPr>
                  </w:pPr>
                </w:p>
              </w:tc>
              <w:tc>
                <w:tcPr>
                  <w:tcW w:w="723" w:type="pct"/>
                  <w:tcBorders>
                    <w:tl2br w:val="nil"/>
                    <w:tr2bl w:val="nil"/>
                  </w:tcBorders>
                  <w:shd w:val="clear" w:color="auto" w:fill="auto"/>
                  <w:vAlign w:val="center"/>
                </w:tcPr>
                <w:p w14:paraId="500BA128">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eastAsia" w:ascii="Times New Roman" w:hAnsi="Times New Roman" w:eastAsia="宋体" w:cs="Times New Roman"/>
                      <w:b w:val="0"/>
                      <w:bCs w:val="0"/>
                      <w:color w:val="000000" w:themeColor="text1"/>
                      <w:kern w:val="2"/>
                      <w:sz w:val="21"/>
                      <w:szCs w:val="21"/>
                      <w:highlight w:val="none"/>
                      <w:vertAlign w:val="baseline"/>
                      <w:lang w:val="en-US" w:eastAsia="zh-CN" w:bidi="en-US"/>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＜0.06</w:t>
                  </w:r>
                </w:p>
              </w:tc>
              <w:tc>
                <w:tcPr>
                  <w:tcW w:w="841" w:type="pct"/>
                  <w:tcBorders>
                    <w:tl2br w:val="nil"/>
                    <w:tr2bl w:val="nil"/>
                  </w:tcBorders>
                  <w:shd w:val="clear" w:color="auto" w:fill="auto"/>
                  <w:vAlign w:val="center"/>
                </w:tcPr>
                <w:p w14:paraId="482B65E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en-US"/>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0.000</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9</w:t>
                  </w:r>
                </w:p>
              </w:tc>
              <w:tc>
                <w:tcPr>
                  <w:tcW w:w="588" w:type="pct"/>
                  <w:tcBorders>
                    <w:tl2br w:val="nil"/>
                    <w:tr2bl w:val="nil"/>
                  </w:tcBorders>
                  <w:shd w:val="clear" w:color="auto" w:fill="auto"/>
                  <w:vAlign w:val="center"/>
                </w:tcPr>
                <w:p w14:paraId="648A757A">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eastAsia" w:ascii="Times New Roman" w:hAnsi="Times New Roman" w:eastAsia="宋体" w:cs="Times New Roman"/>
                      <w:b w:val="0"/>
                      <w:bCs w:val="0"/>
                      <w:color w:val="000000" w:themeColor="text1"/>
                      <w:kern w:val="2"/>
                      <w:sz w:val="21"/>
                      <w:szCs w:val="21"/>
                      <w:highlight w:val="none"/>
                      <w:vertAlign w:val="baseline"/>
                      <w:lang w:val="en-US" w:eastAsia="zh-CN" w:bidi="en-US"/>
                      <w14:textFill>
                        <w14:solidFill>
                          <w14:schemeClr w14:val="tx1"/>
                        </w14:solidFill>
                      </w14:textFill>
                    </w:rPr>
                  </w:pPr>
                  <w:r>
                    <w:rPr>
                      <w:rFonts w:hint="eastAsia" w:eastAsia="宋体" w:cs="Times New Roman"/>
                      <w:b w:val="0"/>
                      <w:bCs w:val="0"/>
                      <w:color w:val="000000" w:themeColor="text1"/>
                      <w:sz w:val="21"/>
                      <w:szCs w:val="21"/>
                      <w:highlight w:val="none"/>
                      <w:vertAlign w:val="baseline"/>
                      <w:lang w:val="en-US" w:eastAsia="zh-CN" w:bidi="en-US"/>
                      <w14:textFill>
                        <w14:solidFill>
                          <w14:schemeClr w14:val="tx1"/>
                        </w14:solidFill>
                      </w14:textFill>
                    </w:rPr>
                    <w:t>15</w:t>
                  </w:r>
                </w:p>
              </w:tc>
              <w:tc>
                <w:tcPr>
                  <w:tcW w:w="444" w:type="pct"/>
                  <w:tcBorders>
                    <w:tl2br w:val="nil"/>
                    <w:tr2bl w:val="nil"/>
                  </w:tcBorders>
                  <w:shd w:val="clear" w:color="auto" w:fill="auto"/>
                  <w:vAlign w:val="center"/>
                </w:tcPr>
                <w:p w14:paraId="32D2892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000000" w:themeColor="text1"/>
                      <w:kern w:val="2"/>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t>达标</w:t>
                  </w:r>
                </w:p>
              </w:tc>
            </w:tr>
            <w:tr w14:paraId="5AD6D09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03" w:type="pct"/>
                  <w:vMerge w:val="continue"/>
                  <w:tcBorders>
                    <w:tl2br w:val="nil"/>
                    <w:tr2bl w:val="nil"/>
                  </w:tcBorders>
                  <w:vAlign w:val="center"/>
                </w:tcPr>
                <w:p w14:paraId="2FD5696B">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988" w:type="pct"/>
                  <w:tcBorders>
                    <w:tl2br w:val="nil"/>
                    <w:tr2bl w:val="nil"/>
                  </w:tcBorders>
                  <w:vAlign w:val="center"/>
                </w:tcPr>
                <w:p w14:paraId="4AA815CA">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
                      <w14:textFill>
                        <w14:solidFill>
                          <w14:schemeClr w14:val="tx1"/>
                        </w14:solidFill>
                      </w14:textFill>
                    </w:rPr>
                    <w:t>总氰化物</w:t>
                  </w:r>
                </w:p>
              </w:tc>
              <w:tc>
                <w:tcPr>
                  <w:tcW w:w="609" w:type="pct"/>
                  <w:vMerge w:val="continue"/>
                  <w:tcBorders>
                    <w:tl2br w:val="nil"/>
                    <w:tr2bl w:val="nil"/>
                  </w:tcBorders>
                  <w:vAlign w:val="center"/>
                </w:tcPr>
                <w:p w14:paraId="79248EC6">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p>
              </w:tc>
              <w:tc>
                <w:tcPr>
                  <w:tcW w:w="723" w:type="pct"/>
                  <w:tcBorders>
                    <w:tl2br w:val="nil"/>
                    <w:tr2bl w:val="nil"/>
                  </w:tcBorders>
                  <w:vAlign w:val="center"/>
                </w:tcPr>
                <w:p w14:paraId="1BC19C63">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＜0.004</w:t>
                  </w:r>
                </w:p>
              </w:tc>
              <w:tc>
                <w:tcPr>
                  <w:tcW w:w="841" w:type="pct"/>
                  <w:tcBorders>
                    <w:tl2br w:val="nil"/>
                    <w:tr2bl w:val="nil"/>
                  </w:tcBorders>
                  <w:vAlign w:val="center"/>
                </w:tcPr>
                <w:p w14:paraId="0B2420B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0.0000</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6</w:t>
                  </w:r>
                </w:p>
              </w:tc>
              <w:tc>
                <w:tcPr>
                  <w:tcW w:w="588" w:type="pct"/>
                  <w:tcBorders>
                    <w:tl2br w:val="nil"/>
                    <w:tr2bl w:val="nil"/>
                  </w:tcBorders>
                  <w:vAlign w:val="center"/>
                </w:tcPr>
                <w:p w14:paraId="5CD1692A">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eastAsia" w:eastAsia="宋体" w:cs="Times New Roman"/>
                      <w:b w:val="0"/>
                      <w:bCs w:val="0"/>
                      <w:color w:val="000000" w:themeColor="text1"/>
                      <w:sz w:val="21"/>
                      <w:szCs w:val="21"/>
                      <w:highlight w:val="none"/>
                      <w:vertAlign w:val="baseline"/>
                      <w:lang w:val="en-US" w:eastAsia="zh-CN" w:bidi="en-US"/>
                      <w14:textFill>
                        <w14:solidFill>
                          <w14:schemeClr w14:val="tx1"/>
                        </w14:solidFill>
                      </w14:textFill>
                    </w:rPr>
                    <w:t>1.0</w:t>
                  </w:r>
                </w:p>
              </w:tc>
              <w:tc>
                <w:tcPr>
                  <w:tcW w:w="444" w:type="pct"/>
                  <w:tcBorders>
                    <w:tl2br w:val="nil"/>
                    <w:tr2bl w:val="nil"/>
                  </w:tcBorders>
                  <w:vAlign w:val="center"/>
                </w:tcPr>
                <w:p w14:paraId="576735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t>达标</w:t>
                  </w:r>
                </w:p>
              </w:tc>
            </w:tr>
            <w:tr w14:paraId="5AC6175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03" w:type="pct"/>
                  <w:vMerge w:val="continue"/>
                  <w:tcBorders>
                    <w:tl2br w:val="nil"/>
                    <w:tr2bl w:val="nil"/>
                  </w:tcBorders>
                  <w:vAlign w:val="center"/>
                </w:tcPr>
                <w:p w14:paraId="69B6EAC1">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988" w:type="pct"/>
                  <w:tcBorders>
                    <w:tl2br w:val="nil"/>
                    <w:tr2bl w:val="nil"/>
                  </w:tcBorders>
                  <w:vAlign w:val="center"/>
                </w:tcPr>
                <w:p w14:paraId="7E2686AC">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
                      <w14:textFill>
                        <w14:solidFill>
                          <w14:schemeClr w14:val="tx1"/>
                        </w14:solidFill>
                      </w14:textFill>
                    </w:rPr>
                    <w:t>总有机碳</w:t>
                  </w:r>
                </w:p>
              </w:tc>
              <w:tc>
                <w:tcPr>
                  <w:tcW w:w="609" w:type="pct"/>
                  <w:vMerge w:val="continue"/>
                  <w:tcBorders>
                    <w:tl2br w:val="nil"/>
                    <w:tr2bl w:val="nil"/>
                  </w:tcBorders>
                  <w:vAlign w:val="center"/>
                </w:tcPr>
                <w:p w14:paraId="3C35DDA2">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p>
              </w:tc>
              <w:tc>
                <w:tcPr>
                  <w:tcW w:w="723" w:type="pct"/>
                  <w:tcBorders>
                    <w:tl2br w:val="nil"/>
                    <w:tr2bl w:val="nil"/>
                  </w:tcBorders>
                  <w:vAlign w:val="center"/>
                </w:tcPr>
                <w:p w14:paraId="072898ED">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4"/>
                      <w:szCs w:val="24"/>
                      <w:highlight w:val="none"/>
                      <w:lang w:val="en-US" w:eastAsia="zh-CN" w:bidi="ar-SA"/>
                      <w14:textFill>
                        <w14:solidFill>
                          <w14:schemeClr w14:val="tx1"/>
                        </w14:solidFill>
                      </w14:textFill>
                    </w:rPr>
                    <w:t>4.7</w:t>
                  </w:r>
                </w:p>
              </w:tc>
              <w:tc>
                <w:tcPr>
                  <w:tcW w:w="841" w:type="pct"/>
                  <w:tcBorders>
                    <w:tl2br w:val="nil"/>
                    <w:tr2bl w:val="nil"/>
                  </w:tcBorders>
                  <w:vAlign w:val="center"/>
                </w:tcPr>
                <w:p w14:paraId="5D7FCDA9">
                  <w:pPr>
                    <w:keepNext w:val="0"/>
                    <w:keepLines w:val="0"/>
                    <w:widowControl/>
                    <w:suppressLineNumbers w:val="0"/>
                    <w:spacing w:before="0" w:beforeAutospacing="0" w:after="0" w:afterAutospacing="0"/>
                    <w:ind w:left="0" w:right="0"/>
                    <w:jc w:val="center"/>
                    <w:textAlignment w:val="center"/>
                    <w:rPr>
                      <w:rFonts w:hint="default"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0.0728</w:t>
                  </w:r>
                </w:p>
              </w:tc>
              <w:tc>
                <w:tcPr>
                  <w:tcW w:w="588" w:type="pct"/>
                  <w:tcBorders>
                    <w:tl2br w:val="nil"/>
                    <w:tr2bl w:val="nil"/>
                  </w:tcBorders>
                  <w:vAlign w:val="center"/>
                </w:tcPr>
                <w:p w14:paraId="4ADF3261">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30</w:t>
                  </w:r>
                </w:p>
              </w:tc>
              <w:tc>
                <w:tcPr>
                  <w:tcW w:w="444" w:type="pct"/>
                  <w:tcBorders>
                    <w:tl2br w:val="nil"/>
                    <w:tr2bl w:val="nil"/>
                  </w:tcBorders>
                  <w:vAlign w:val="center"/>
                </w:tcPr>
                <w:p w14:paraId="6F516F3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t>达标</w:t>
                  </w:r>
                </w:p>
              </w:tc>
            </w:tr>
            <w:tr w14:paraId="718971B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03" w:type="pct"/>
                  <w:vMerge w:val="continue"/>
                  <w:tcBorders>
                    <w:tl2br w:val="nil"/>
                    <w:tr2bl w:val="nil"/>
                  </w:tcBorders>
                  <w:vAlign w:val="center"/>
                </w:tcPr>
                <w:p w14:paraId="0FC29BC5">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988" w:type="pct"/>
                  <w:tcBorders>
                    <w:tl2br w:val="nil"/>
                    <w:tr2bl w:val="nil"/>
                  </w:tcBorders>
                  <w:vAlign w:val="center"/>
                </w:tcPr>
                <w:p w14:paraId="45FCB19C">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
                      <w14:textFill>
                        <w14:solidFill>
                          <w14:schemeClr w14:val="tx1"/>
                        </w14:solidFill>
                      </w14:textFill>
                    </w:rPr>
                    <w:t>单位产品基准排水量</w:t>
                  </w:r>
                </w:p>
              </w:tc>
              <w:tc>
                <w:tcPr>
                  <w:tcW w:w="609" w:type="pct"/>
                  <w:vMerge w:val="continue"/>
                  <w:tcBorders>
                    <w:tl2br w:val="nil"/>
                    <w:tr2bl w:val="nil"/>
                  </w:tcBorders>
                  <w:vAlign w:val="center"/>
                </w:tcPr>
                <w:p w14:paraId="516BA657">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p>
              </w:tc>
              <w:tc>
                <w:tcPr>
                  <w:tcW w:w="1565" w:type="pct"/>
                  <w:gridSpan w:val="2"/>
                  <w:tcBorders>
                    <w:tl2br w:val="nil"/>
                    <w:tr2bl w:val="nil"/>
                  </w:tcBorders>
                  <w:vAlign w:val="center"/>
                </w:tcPr>
                <w:p w14:paraId="6D6942ED">
                  <w:pPr>
                    <w:keepNext w:val="0"/>
                    <w:keepLines w:val="0"/>
                    <w:widowControl/>
                    <w:suppressLineNumbers w:val="0"/>
                    <w:spacing w:before="0" w:beforeAutospacing="0" w:after="0" w:afterAutospacing="0"/>
                    <w:ind w:left="0" w:right="0"/>
                    <w:jc w:val="center"/>
                    <w:textAlignment w:val="center"/>
                    <w:rPr>
                      <w:rFonts w:hint="eastAsia" w:cs="Times New Roman"/>
                      <w:b w:val="0"/>
                      <w:color w:val="000000" w:themeColor="text1"/>
                      <w:kern w:val="2"/>
                      <w:sz w:val="21"/>
                      <w:szCs w:val="21"/>
                      <w:highlight w:val="none"/>
                      <w:lang w:val="en-US" w:eastAsia="zh-CN" w:bidi="ar-SA"/>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37.96</w:t>
                  </w:r>
                </w:p>
              </w:tc>
              <w:tc>
                <w:tcPr>
                  <w:tcW w:w="588" w:type="pct"/>
                  <w:tcBorders>
                    <w:tl2br w:val="nil"/>
                    <w:tr2bl w:val="nil"/>
                  </w:tcBorders>
                  <w:vAlign w:val="center"/>
                </w:tcPr>
                <w:p w14:paraId="77C2267D">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300</w:t>
                  </w:r>
                </w:p>
              </w:tc>
              <w:tc>
                <w:tcPr>
                  <w:tcW w:w="444" w:type="pct"/>
                  <w:tcBorders>
                    <w:tl2br w:val="nil"/>
                    <w:tr2bl w:val="nil"/>
                  </w:tcBorders>
                  <w:vAlign w:val="center"/>
                </w:tcPr>
                <w:p w14:paraId="0AAFE1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t>达标</w:t>
                  </w:r>
                </w:p>
              </w:tc>
            </w:tr>
          </w:tbl>
          <w:p w14:paraId="69382ABE">
            <w:pPr>
              <w:keepNext w:val="0"/>
              <w:keepLines w:val="0"/>
              <w:widowControl/>
              <w:suppressLineNumbers w:val="0"/>
              <w:spacing w:before="0" w:beforeAutospacing="0" w:after="0" w:afterAutospacing="0" w:line="360" w:lineRule="auto"/>
              <w:ind w:left="0" w:right="0" w:firstLine="482"/>
              <w:rPr>
                <w:rFonts w:hint="default"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综上，本项目</w:t>
            </w:r>
            <w:r>
              <w:rPr>
                <w:rFonts w:hint="eastAsia"/>
                <w:color w:val="000000" w:themeColor="text1"/>
                <w:sz w:val="24"/>
                <w:szCs w:val="24"/>
                <w:highlight w:val="none"/>
                <w:lang w:val="en-US" w:eastAsia="zh-CN"/>
                <w14:textFill>
                  <w14:solidFill>
                    <w14:schemeClr w14:val="tx1"/>
                  </w14:solidFill>
                </w14:textFill>
              </w:rPr>
              <w:t>药材</w:t>
            </w:r>
            <w:r>
              <w:rPr>
                <w:rFonts w:hint="eastAsia" w:ascii="Times New Roman" w:hAnsi="Times New Roman" w:cs="Times New Roman"/>
                <w:color w:val="000000" w:themeColor="text1"/>
                <w:sz w:val="24"/>
                <w:szCs w:val="24"/>
                <w:highlight w:val="none"/>
                <w:lang w:val="en-US" w:eastAsia="zh-CN" w:bidi="ar-SA"/>
                <w14:textFill>
                  <w14:solidFill>
                    <w14:schemeClr w14:val="tx1"/>
                  </w14:solidFill>
                </w14:textFill>
              </w:rPr>
              <w:t>清洗</w:t>
            </w:r>
            <w:r>
              <w:rPr>
                <w:rFonts w:hint="default" w:ascii="Times New Roman" w:hAnsi="Times New Roman" w:eastAsia="新宋体" w:cs="Times New Roman"/>
                <w:color w:val="000000" w:themeColor="text1"/>
                <w:sz w:val="24"/>
                <w:szCs w:val="24"/>
                <w:highlight w:val="none"/>
                <w:lang w:bidi="ar-SA"/>
                <w14:textFill>
                  <w14:solidFill>
                    <w14:schemeClr w14:val="tx1"/>
                  </w14:solidFill>
                </w14:textFill>
              </w:rPr>
              <w:t>废水</w:t>
            </w:r>
            <w:r>
              <w:rPr>
                <w:rFonts w:hint="eastAsia" w:cs="Times New Roman"/>
                <w:color w:val="000000" w:themeColor="text1"/>
                <w:kern w:val="0"/>
                <w:sz w:val="24"/>
                <w:szCs w:val="24"/>
                <w:highlight w:val="none"/>
                <w:lang w:val="en-US" w:eastAsia="zh-CN" w:bidi="ar-SA"/>
                <w14:textFill>
                  <w14:solidFill>
                    <w14:schemeClr w14:val="tx1"/>
                  </w14:solidFill>
                </w14:textFill>
              </w:rPr>
              <w:t>、设备清洗废水、软化水制备浓水</w:t>
            </w:r>
            <w:r>
              <w:rPr>
                <w:rFonts w:hint="eastAsia" w:cs="Times New Roman"/>
                <w:color w:val="000000" w:themeColor="text1"/>
                <w:sz w:val="24"/>
                <w:szCs w:val="24"/>
                <w:highlight w:val="none"/>
                <w:lang w:val="en-US" w:eastAsia="zh-CN"/>
                <w14:textFill>
                  <w14:solidFill>
                    <w14:schemeClr w14:val="tx1"/>
                  </w14:solidFill>
                </w14:textFill>
              </w:rPr>
              <w:t>经现有厂内污水处理站进行处理后，水污染物排放浓度满足</w:t>
            </w: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《中药类制药工业水污染物排放标准》（GB</w:t>
            </w:r>
            <w:r>
              <w:rPr>
                <w:rFonts w:hint="eastAsia" w:cs="Times New Roman"/>
                <w:b w:val="0"/>
                <w:color w:val="000000" w:themeColor="text1"/>
                <w:kern w:val="2"/>
                <w:sz w:val="24"/>
                <w:szCs w:val="24"/>
                <w:highlight w:val="none"/>
                <w:lang w:val="en-US" w:eastAsia="zh-CN" w:bidi="ar-SA"/>
                <w14:textFill>
                  <w14:solidFill>
                    <w14:schemeClr w14:val="tx1"/>
                  </w14:solidFill>
                </w14:textFill>
              </w:rPr>
              <w:t>21906</w:t>
            </w: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w:t>
            </w:r>
            <w:r>
              <w:rPr>
                <w:rFonts w:hint="eastAsia" w:cs="Times New Roman"/>
                <w:b w:val="0"/>
                <w:color w:val="000000" w:themeColor="text1"/>
                <w:kern w:val="2"/>
                <w:sz w:val="24"/>
                <w:szCs w:val="24"/>
                <w:highlight w:val="none"/>
                <w:lang w:val="en-US" w:eastAsia="zh-CN" w:bidi="ar-SA"/>
                <w14:textFill>
                  <w14:solidFill>
                    <w14:schemeClr w14:val="tx1"/>
                  </w14:solidFill>
                </w14:textFill>
              </w:rPr>
              <w:t>2008</w:t>
            </w: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）表</w:t>
            </w:r>
            <w:r>
              <w:rPr>
                <w:rFonts w:hint="eastAsia" w:cs="Times New Roman"/>
                <w:b w:val="0"/>
                <w:color w:val="000000" w:themeColor="text1"/>
                <w:kern w:val="2"/>
                <w:sz w:val="24"/>
                <w:szCs w:val="24"/>
                <w:highlight w:val="none"/>
                <w:lang w:val="en-US" w:eastAsia="zh-CN" w:bidi="ar-SA"/>
                <w14:textFill>
                  <w14:solidFill>
                    <w14:schemeClr w14:val="tx1"/>
                  </w14:solidFill>
                </w14:textFill>
              </w:rPr>
              <w:t>2</w:t>
            </w:r>
            <w:r>
              <w:rPr>
                <w:rFonts w:hint="eastAsia"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标准</w:t>
            </w:r>
            <w:r>
              <w:rPr>
                <w:rFonts w:hint="eastAsia" w:cs="Times New Roman"/>
                <w:b w:val="0"/>
                <w:color w:val="000000" w:themeColor="text1"/>
                <w:kern w:val="2"/>
                <w:sz w:val="24"/>
                <w:szCs w:val="24"/>
                <w:highlight w:val="none"/>
                <w:lang w:val="en-US" w:eastAsia="zh-CN" w:bidi="ar-SA"/>
                <w14:textFill>
                  <w14:solidFill>
                    <w14:schemeClr w14:val="tx1"/>
                  </w14:solidFill>
                </w14:textFill>
              </w:rPr>
              <w:t>和</w:t>
            </w:r>
            <w:r>
              <w:rPr>
                <w:rFonts w:hint="eastAsia" w:cs="Times New Roman"/>
                <w:color w:val="000000" w:themeColor="text1"/>
                <w:sz w:val="24"/>
                <w:szCs w:val="24"/>
                <w:highlight w:val="none"/>
                <w:lang w:val="en-US" w:eastAsia="zh-CN"/>
                <w14:textFill>
                  <w14:solidFill>
                    <w14:schemeClr w14:val="tx1"/>
                  </w14:solidFill>
                </w14:textFill>
              </w:rPr>
              <w:t>《辽宁省污水综合排放标准》(DB21/1627-2008)中表2标准要求。</w:t>
            </w:r>
          </w:p>
          <w:p w14:paraId="72ECE58E">
            <w:pPr>
              <w:keepNext w:val="0"/>
              <w:keepLines w:val="0"/>
              <w:suppressLineNumbers w:val="0"/>
              <w:autoSpaceDE w:val="0"/>
              <w:autoSpaceDN w:val="0"/>
              <w:spacing w:before="0" w:beforeAutospacing="0" w:after="0" w:afterAutospacing="0" w:line="360" w:lineRule="auto"/>
              <w:ind w:left="0" w:right="0"/>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2.2、废水影响及治理措施可行性</w:t>
            </w:r>
          </w:p>
          <w:p w14:paraId="4E4C1D6B">
            <w:pPr>
              <w:keepNext w:val="0"/>
              <w:keepLines w:val="0"/>
              <w:widowControl/>
              <w:suppressLineNumbers w:val="0"/>
              <w:spacing w:before="0" w:beforeAutospacing="0" w:after="0" w:afterAutospacing="0" w:line="360" w:lineRule="auto"/>
              <w:ind w:left="0" w:right="0" w:firstLine="482"/>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根据</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 xml:space="preserve">《排污许可证申请与核发技术规范 </w:t>
            </w:r>
            <w:r>
              <w:rPr>
                <w:rFonts w:hint="eastAsia" w:cs="Times New Roman"/>
                <w:color w:val="000000" w:themeColor="text1"/>
                <w:kern w:val="2"/>
                <w:sz w:val="24"/>
                <w:szCs w:val="24"/>
                <w:highlight w:val="none"/>
                <w:lang w:val="en-US" w:eastAsia="zh-CN" w:bidi="ar-SA"/>
                <w14:textFill>
                  <w14:solidFill>
                    <w14:schemeClr w14:val="tx1"/>
                  </w14:solidFill>
                </w14:textFill>
              </w:rPr>
              <w:t>制药工业-中成药生产</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》（HJ</w:t>
            </w:r>
            <w:r>
              <w:rPr>
                <w:rFonts w:hint="eastAsia" w:cs="Times New Roman"/>
                <w:color w:val="000000" w:themeColor="text1"/>
                <w:kern w:val="2"/>
                <w:sz w:val="24"/>
                <w:szCs w:val="24"/>
                <w:highlight w:val="none"/>
                <w:lang w:val="en-US" w:eastAsia="zh-CN" w:bidi="ar-SA"/>
                <w14:textFill>
                  <w14:solidFill>
                    <w14:schemeClr w14:val="tx1"/>
                  </w14:solidFill>
                </w14:textFill>
              </w:rPr>
              <w:t xml:space="preserve"> 1064</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—20</w:t>
            </w:r>
            <w:r>
              <w:rPr>
                <w:rFonts w:hint="eastAsia" w:cs="Times New Roman"/>
                <w:color w:val="000000" w:themeColor="text1"/>
                <w:kern w:val="2"/>
                <w:sz w:val="24"/>
                <w:szCs w:val="24"/>
                <w:highlight w:val="none"/>
                <w:lang w:val="en-US" w:eastAsia="zh-CN" w:bidi="ar-SA"/>
                <w14:textFill>
                  <w14:solidFill>
                    <w14:schemeClr w14:val="tx1"/>
                  </w14:solidFill>
                </w14:textFill>
              </w:rPr>
              <w:t>19</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“表</w:t>
            </w:r>
            <w:r>
              <w:rPr>
                <w:rFonts w:hint="eastAsia" w:cs="Times New Roman"/>
                <w:color w:val="000000" w:themeColor="text1"/>
                <w:sz w:val="24"/>
                <w:szCs w:val="24"/>
                <w:highlight w:val="none"/>
                <w:lang w:val="en-US" w:eastAsia="zh-CN"/>
                <w14:textFill>
                  <w14:solidFill>
                    <w14:schemeClr w14:val="tx1"/>
                  </w14:solidFill>
                </w14:textFill>
              </w:rPr>
              <w:t>B.2废水处理可行技术参考表</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，本项目现有污水处理系统处理技术与中成药生产中产生的废水处理可行性技术相符性</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详见下表。</w:t>
            </w:r>
          </w:p>
          <w:p w14:paraId="3E845B80">
            <w:pPr>
              <w:keepNext w:val="0"/>
              <w:keepLines w:val="0"/>
              <w:pageBreakBefore w:val="0"/>
              <w:widowControl w:val="0"/>
              <w:numPr>
                <w:ilvl w:val="0"/>
                <w:numId w:val="26"/>
              </w:numPr>
              <w:suppressLineNumbers w:val="0"/>
              <w:kinsoku/>
              <w:wordWrap/>
              <w:overflowPunct/>
              <w:topLinePunct w:val="0"/>
              <w:autoSpaceDE/>
              <w:autoSpaceDN/>
              <w:bidi w:val="0"/>
              <w:adjustRightInd/>
              <w:snapToGrid w:val="0"/>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本项目废</w:t>
            </w:r>
            <w:r>
              <w:rPr>
                <w:rFonts w:hint="eastAsia" w:cs="Times New Roman"/>
                <w:b/>
                <w:bCs/>
                <w:color w:val="000000" w:themeColor="text1"/>
                <w:sz w:val="21"/>
                <w:szCs w:val="21"/>
                <w:highlight w:val="none"/>
                <w:lang w:val="en-US" w:eastAsia="zh-CN"/>
                <w14:textFill>
                  <w14:solidFill>
                    <w14:schemeClr w14:val="tx1"/>
                  </w14:solidFill>
                </w14:textFill>
              </w:rPr>
              <w:t>水</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治理措施可行性技术的相符性分析</w:t>
            </w:r>
          </w:p>
          <w:tbl>
            <w:tblPr>
              <w:tblStyle w:val="36"/>
              <w:tblW w:w="0" w:type="auto"/>
              <w:tblInd w:w="0" w:type="dxa"/>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20"/>
              <w:gridCol w:w="1380"/>
              <w:gridCol w:w="1815"/>
              <w:gridCol w:w="2595"/>
              <w:gridCol w:w="1391"/>
              <w:gridCol w:w="468"/>
            </w:tblGrid>
            <w:tr w14:paraId="572D072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0" w:type="dxa"/>
                  <w:tcBorders>
                    <w:tl2br w:val="nil"/>
                    <w:tr2bl w:val="nil"/>
                  </w:tcBorders>
                  <w:vAlign w:val="center"/>
                </w:tcPr>
                <w:p w14:paraId="29281E44">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t>污染类别</w:t>
                  </w:r>
                </w:p>
              </w:tc>
              <w:tc>
                <w:tcPr>
                  <w:tcW w:w="1380" w:type="dxa"/>
                  <w:tcBorders>
                    <w:tl2br w:val="nil"/>
                    <w:tr2bl w:val="nil"/>
                  </w:tcBorders>
                  <w:vAlign w:val="center"/>
                </w:tcPr>
                <w:p w14:paraId="63E6B078">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t>主要污染物</w:t>
                  </w:r>
                </w:p>
              </w:tc>
              <w:tc>
                <w:tcPr>
                  <w:tcW w:w="1815" w:type="dxa"/>
                  <w:tcBorders>
                    <w:tl2br w:val="nil"/>
                    <w:tr2bl w:val="nil"/>
                  </w:tcBorders>
                  <w:vAlign w:val="center"/>
                </w:tcPr>
                <w:p w14:paraId="4BABF9A0">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t>排放方式</w:t>
                  </w:r>
                </w:p>
              </w:tc>
              <w:tc>
                <w:tcPr>
                  <w:tcW w:w="2595" w:type="dxa"/>
                  <w:tcBorders>
                    <w:tl2br w:val="nil"/>
                    <w:tr2bl w:val="nil"/>
                  </w:tcBorders>
                  <w:vAlign w:val="center"/>
                </w:tcPr>
                <w:p w14:paraId="793B6DF6">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t>可行技术</w:t>
                  </w:r>
                </w:p>
              </w:tc>
              <w:tc>
                <w:tcPr>
                  <w:tcW w:w="1391" w:type="dxa"/>
                  <w:tcBorders>
                    <w:tl2br w:val="nil"/>
                    <w:tr2bl w:val="nil"/>
                  </w:tcBorders>
                  <w:vAlign w:val="center"/>
                </w:tcPr>
                <w:p w14:paraId="62D3F770">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t>本项目</w:t>
                  </w:r>
                </w:p>
              </w:tc>
              <w:tc>
                <w:tcPr>
                  <w:tcW w:w="468" w:type="dxa"/>
                  <w:tcBorders>
                    <w:tl2br w:val="nil"/>
                    <w:tr2bl w:val="nil"/>
                  </w:tcBorders>
                  <w:vAlign w:val="center"/>
                </w:tcPr>
                <w:p w14:paraId="5EE9C7B3">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bidi="en-US"/>
                      <w14:textFill>
                        <w14:solidFill>
                          <w14:schemeClr w14:val="tx1"/>
                        </w14:solidFill>
                      </w14:textFill>
                    </w:rPr>
                    <w:t>符合性</w:t>
                  </w:r>
                </w:p>
              </w:tc>
            </w:tr>
            <w:tr w14:paraId="4E23125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0" w:type="dxa"/>
                  <w:tcBorders>
                    <w:tl2br w:val="nil"/>
                    <w:tr2bl w:val="nil"/>
                  </w:tcBorders>
                  <w:vAlign w:val="center"/>
                </w:tcPr>
                <w:p w14:paraId="4CDC6BAA">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eastAsia" w:eastAsia="宋体" w:cs="Times New Roman"/>
                      <w:b w:val="0"/>
                      <w:bCs w:val="0"/>
                      <w:color w:val="000000" w:themeColor="text1"/>
                      <w:sz w:val="21"/>
                      <w:szCs w:val="21"/>
                      <w:highlight w:val="none"/>
                      <w:vertAlign w:val="baseline"/>
                      <w:lang w:val="en-US" w:eastAsia="zh-CN" w:bidi="en-US"/>
                      <w14:textFill>
                        <w14:solidFill>
                          <w14:schemeClr w14:val="tx1"/>
                        </w14:solidFill>
                      </w14:textFill>
                    </w:rPr>
                    <w:t>生产</w:t>
                  </w:r>
                  <w: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t>废水</w:t>
                  </w:r>
                </w:p>
              </w:tc>
              <w:tc>
                <w:tcPr>
                  <w:tcW w:w="1380" w:type="dxa"/>
                  <w:tcBorders>
                    <w:tl2br w:val="nil"/>
                    <w:tr2bl w:val="nil"/>
                  </w:tcBorders>
                  <w:vAlign w:val="center"/>
                </w:tcPr>
                <w:p w14:paraId="259CAAF6">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pH、色度、悬浮物、五日生化需氧量、化学需氧量、氨氮、总氮、总磷、总氰化物、动植物油、总有机碳</w:t>
                  </w:r>
                </w:p>
              </w:tc>
              <w:tc>
                <w:tcPr>
                  <w:tcW w:w="1815" w:type="dxa"/>
                  <w:tcBorders>
                    <w:tl2br w:val="nil"/>
                    <w:tr2bl w:val="nil"/>
                  </w:tcBorders>
                  <w:vAlign w:val="center"/>
                </w:tcPr>
                <w:p w14:paraId="004C59E9">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t>产生的废水</w:t>
                  </w:r>
                  <w:r>
                    <w:rPr>
                      <w:rFonts w:hint="eastAsia" w:eastAsia="宋体" w:cs="Times New Roman"/>
                      <w:b w:val="0"/>
                      <w:bCs w:val="0"/>
                      <w:color w:val="000000" w:themeColor="text1"/>
                      <w:sz w:val="21"/>
                      <w:szCs w:val="21"/>
                      <w:highlight w:val="none"/>
                      <w:vertAlign w:val="baseline"/>
                      <w:lang w:val="en-US" w:eastAsia="zh-CN" w:bidi="en-US"/>
                      <w14:textFill>
                        <w14:solidFill>
                          <w14:schemeClr w14:val="tx1"/>
                        </w14:solidFill>
                      </w14:textFill>
                    </w:rPr>
                    <w:t>经现有</w:t>
                  </w:r>
                  <w: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t>厂内污水处理站处理达标后，排入厂区污水管网后排入高新区市政管网最终排入石桥子污水处理厂。</w:t>
                  </w:r>
                </w:p>
              </w:tc>
              <w:tc>
                <w:tcPr>
                  <w:tcW w:w="2595" w:type="dxa"/>
                  <w:tcBorders>
                    <w:tl2br w:val="nil"/>
                    <w:tr2bl w:val="nil"/>
                  </w:tcBorders>
                  <w:vAlign w:val="center"/>
                </w:tcPr>
                <w:p w14:paraId="23CB4AFB">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eastAsia"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t>预处理系统</w:t>
                  </w:r>
                  <w:r>
                    <w:rPr>
                      <w:rFonts w:hint="eastAsia" w:eastAsia="宋体" w:cs="Times New Roman"/>
                      <w:b w:val="0"/>
                      <w:bCs w:val="0"/>
                      <w:color w:val="000000" w:themeColor="text1"/>
                      <w:sz w:val="21"/>
                      <w:szCs w:val="21"/>
                      <w:highlight w:val="none"/>
                      <w:vertAlign w:val="baseline"/>
                      <w:lang w:val="en-US" w:eastAsia="zh-CN" w:bidi="en-US"/>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t>格栅、混凝、沉淀、中和调节、气浮</w:t>
                  </w:r>
                  <w:r>
                    <w:rPr>
                      <w:rFonts w:hint="eastAsia" w:eastAsia="宋体" w:cs="Times New Roman"/>
                      <w:b w:val="0"/>
                      <w:bCs w:val="0"/>
                      <w:color w:val="000000" w:themeColor="text1"/>
                      <w:sz w:val="21"/>
                      <w:szCs w:val="21"/>
                      <w:highlight w:val="none"/>
                      <w:vertAlign w:val="baseline"/>
                      <w:lang w:val="en-US" w:eastAsia="zh-CN" w:bidi="en-US"/>
                      <w14:textFill>
                        <w14:solidFill>
                          <w14:schemeClr w14:val="tx1"/>
                        </w14:solidFill>
                      </w14:textFill>
                    </w:rPr>
                    <w:t>；</w:t>
                  </w:r>
                </w:p>
                <w:p w14:paraId="1CBF3CEC">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eastAsia"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t>生化处理系统</w:t>
                  </w:r>
                  <w:r>
                    <w:rPr>
                      <w:rFonts w:hint="eastAsia" w:eastAsia="宋体" w:cs="Times New Roman"/>
                      <w:b w:val="0"/>
                      <w:bCs w:val="0"/>
                      <w:color w:val="000000" w:themeColor="text1"/>
                      <w:sz w:val="21"/>
                      <w:szCs w:val="21"/>
                      <w:highlight w:val="none"/>
                      <w:vertAlign w:val="baseline"/>
                      <w:lang w:val="en-US" w:eastAsia="zh-CN" w:bidi="en-US"/>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t>水解酸化、厌氧生物法、好氧生物法</w:t>
                  </w:r>
                  <w:r>
                    <w:rPr>
                      <w:rFonts w:hint="eastAsia" w:eastAsia="宋体" w:cs="Times New Roman"/>
                      <w:b w:val="0"/>
                      <w:bCs w:val="0"/>
                      <w:color w:val="000000" w:themeColor="text1"/>
                      <w:sz w:val="21"/>
                      <w:szCs w:val="21"/>
                      <w:highlight w:val="none"/>
                      <w:vertAlign w:val="baseline"/>
                      <w:lang w:val="en-US" w:eastAsia="zh-CN" w:bidi="en-US"/>
                      <w14:textFill>
                        <w14:solidFill>
                          <w14:schemeClr w14:val="tx1"/>
                        </w14:solidFill>
                      </w14:textFill>
                    </w:rPr>
                    <w:t>；</w:t>
                  </w:r>
                </w:p>
                <w:p w14:paraId="6ED3511F">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t>深度处理</w:t>
                  </w:r>
                  <w:r>
                    <w:rPr>
                      <w:rFonts w:hint="eastAsia" w:eastAsia="宋体" w:cs="Times New Roman"/>
                      <w:b w:val="0"/>
                      <w:bCs w:val="0"/>
                      <w:color w:val="000000" w:themeColor="text1"/>
                      <w:sz w:val="21"/>
                      <w:szCs w:val="21"/>
                      <w:highlight w:val="none"/>
                      <w:vertAlign w:val="baseline"/>
                      <w:lang w:val="en-US" w:eastAsia="zh-CN" w:bidi="en-US"/>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t>活性炭吸附、曝气生物滤池、高级氧化、芬顿氧化、膜分离</w:t>
                  </w:r>
                  <w:r>
                    <w:rPr>
                      <w:rFonts w:hint="eastAsia" w:eastAsia="宋体" w:cs="Times New Roman"/>
                      <w:b w:val="0"/>
                      <w:bCs w:val="0"/>
                      <w:color w:val="000000" w:themeColor="text1"/>
                      <w:sz w:val="21"/>
                      <w:szCs w:val="21"/>
                      <w:highlight w:val="none"/>
                      <w:vertAlign w:val="baseline"/>
                      <w:lang w:val="en-US" w:eastAsia="zh-CN" w:bidi="en-US"/>
                      <w14:textFill>
                        <w14:solidFill>
                          <w14:schemeClr w14:val="tx1"/>
                        </w14:solidFill>
                      </w14:textFill>
                    </w:rPr>
                    <w:t>。</w:t>
                  </w:r>
                </w:p>
              </w:tc>
              <w:tc>
                <w:tcPr>
                  <w:tcW w:w="1391" w:type="dxa"/>
                  <w:tcBorders>
                    <w:tl2br w:val="nil"/>
                    <w:tr2bl w:val="nil"/>
                  </w:tcBorders>
                  <w:vAlign w:val="center"/>
                </w:tcPr>
                <w:p w14:paraId="77C943C9">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t>格栅、调节池、水解酸化、接触氧化、中间池、生物曝气，污泥经污泥浓缩池、污泥脱水处理</w:t>
                  </w:r>
                </w:p>
              </w:tc>
              <w:tc>
                <w:tcPr>
                  <w:tcW w:w="468" w:type="dxa"/>
                  <w:tcBorders>
                    <w:tl2br w:val="nil"/>
                    <w:tr2bl w:val="nil"/>
                  </w:tcBorders>
                  <w:vAlign w:val="center"/>
                </w:tcPr>
                <w:p w14:paraId="0A0020B5">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bidi="en-US"/>
                      <w14:textFill>
                        <w14:solidFill>
                          <w14:schemeClr w14:val="tx1"/>
                        </w14:solidFill>
                      </w14:textFill>
                    </w:rPr>
                    <w:t>符合</w:t>
                  </w:r>
                </w:p>
              </w:tc>
            </w:tr>
          </w:tbl>
          <w:p w14:paraId="6A79DEC9">
            <w:pPr>
              <w:pStyle w:val="100"/>
              <w:keepNext w:val="0"/>
              <w:keepLines/>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left"/>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综上，现有厂内污水处理站处理技术属于可行性技术，</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可以满足</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本</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项目</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生产</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废水处理需求，因此</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项目产生的</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药材清洗废水、设备清洗废水、</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软化水</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制备浓水治理措施可行。</w:t>
            </w:r>
          </w:p>
          <w:p w14:paraId="1594C112">
            <w:pPr>
              <w:keepNext w:val="0"/>
              <w:keepLines w:val="0"/>
              <w:suppressLineNumbers w:val="0"/>
              <w:autoSpaceDE w:val="0"/>
              <w:autoSpaceDN w:val="0"/>
              <w:spacing w:before="0" w:beforeAutospacing="0" w:after="0" w:afterAutospacing="0" w:line="360" w:lineRule="auto"/>
              <w:ind w:left="0" w:right="0"/>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2.3、</w:t>
            </w:r>
            <w:r>
              <w:rPr>
                <w:rFonts w:hint="eastAsia" w:cs="Times New Roman"/>
                <w:b/>
                <w:bCs/>
                <w:color w:val="000000" w:themeColor="text1"/>
                <w:sz w:val="24"/>
                <w:szCs w:val="24"/>
                <w:highlight w:val="none"/>
                <w:lang w:val="en-US" w:eastAsia="zh-CN"/>
                <w14:textFill>
                  <w14:solidFill>
                    <w14:schemeClr w14:val="tx1"/>
                  </w14:solidFill>
                </w14:textFill>
              </w:rPr>
              <w:t>依托现有污水处理系统可行性分析</w:t>
            </w:r>
          </w:p>
          <w:p w14:paraId="6F91B13F">
            <w:pPr>
              <w:keepNext w:val="0"/>
              <w:keepLines w:val="0"/>
              <w:widowControl/>
              <w:suppressLineNumbers w:val="0"/>
              <w:spacing w:before="0" w:beforeAutospacing="0" w:after="0" w:afterAutospacing="0" w:line="360" w:lineRule="auto"/>
              <w:ind w:left="0" w:right="0" w:firstLine="482"/>
              <w:rPr>
                <w:rFonts w:hint="default" w:ascii="Times New Roman" w:hAnsi="Times New Roman"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cs="Times New Roman"/>
                <w:b w:val="0"/>
                <w:bCs w:val="0"/>
                <w:color w:val="000000" w:themeColor="text1"/>
                <w:kern w:val="0"/>
                <w:sz w:val="24"/>
                <w:szCs w:val="24"/>
                <w:highlight w:val="none"/>
                <w:lang w:val="en-US" w:eastAsia="zh-CN"/>
                <w14:textFill>
                  <w14:solidFill>
                    <w14:schemeClr w14:val="tx1"/>
                  </w14:solidFill>
                </w14:textFill>
              </w:rPr>
              <w:t>本项目</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废水</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排放量为</w:t>
            </w:r>
            <w:r>
              <w:rPr>
                <w:rFonts w:hint="eastAsia" w:eastAsia="新宋体" w:cs="Times New Roman"/>
                <w:color w:val="000000" w:themeColor="text1"/>
                <w:sz w:val="24"/>
                <w:szCs w:val="24"/>
                <w:highlight w:val="none"/>
                <w:lang w:val="en-US" w:eastAsia="zh-CN" w:bidi="ar-SA"/>
                <w14:textFill>
                  <w14:solidFill>
                    <w14:schemeClr w14:val="tx1"/>
                  </w14:solidFill>
                </w14:textFill>
              </w:rPr>
              <w:t>15485.93</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b w:val="0"/>
                <w:bCs/>
                <w:color w:val="000000" w:themeColor="text1"/>
                <w:kern w:val="2"/>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/a</w:t>
            </w:r>
            <w:r>
              <w:rPr>
                <w:rFonts w:hint="eastAsia" w:cs="Times New Roman"/>
                <w:b w:val="0"/>
                <w:bCs/>
                <w:color w:val="000000" w:themeColor="text1"/>
                <w:kern w:val="2"/>
                <w:sz w:val="24"/>
                <w:szCs w:val="24"/>
                <w:highlight w:val="none"/>
                <w:lang w:val="en-US" w:eastAsia="zh-CN" w:bidi="ar-SA"/>
                <w14:textFill>
                  <w14:solidFill>
                    <w14:schemeClr w14:val="tx1"/>
                  </w14:solidFill>
                </w14:textFill>
              </w:rPr>
              <w:t>（61.944</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/d</w:t>
            </w:r>
            <w:r>
              <w:rPr>
                <w:rFonts w:hint="eastAsia" w:cs="Times New Roman"/>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，项目</w:t>
            </w:r>
            <w:r>
              <w:rPr>
                <w:rFonts w:hint="eastAsia" w:cs="Times New Roman"/>
                <w:color w:val="000000" w:themeColor="text1"/>
                <w:sz w:val="24"/>
                <w:szCs w:val="24"/>
                <w:highlight w:val="none"/>
                <w:lang w:val="en-US" w:eastAsia="zh-CN"/>
                <w14:textFill>
                  <w14:solidFill>
                    <w14:schemeClr w14:val="tx1"/>
                  </w14:solidFill>
                </w14:textFill>
              </w:rPr>
              <w:t>建成后</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废水</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排放量为</w:t>
            </w:r>
            <w:r>
              <w:rPr>
                <w:rFonts w:hint="eastAsia" w:cs="Times New Roman"/>
                <w:color w:val="000000" w:themeColor="text1"/>
                <w:kern w:val="0"/>
                <w:sz w:val="24"/>
                <w:szCs w:val="24"/>
                <w:highlight w:val="none"/>
                <w:lang w:val="en-US" w:eastAsia="zh-CN"/>
                <w14:textFill>
                  <w14:solidFill>
                    <w14:schemeClr w14:val="tx1"/>
                  </w14:solidFill>
                </w14:textFill>
              </w:rPr>
              <w:t>173485.930</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m</w:t>
            </w:r>
            <w:r>
              <w:rPr>
                <w:rFonts w:hint="eastAsia" w:ascii="Times New Roman" w:hAnsi="Times New Roman" w:cs="Times New Roman"/>
                <w:color w:val="000000" w:themeColor="text1"/>
                <w:kern w:val="0"/>
                <w:sz w:val="24"/>
                <w:szCs w:val="24"/>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kern w:val="0"/>
                <w:sz w:val="24"/>
                <w:szCs w:val="24"/>
                <w:highlight w:val="none"/>
                <w14:textFill>
                  <w14:solidFill>
                    <w14:schemeClr w14:val="tx1"/>
                  </w14:solidFill>
                </w14:textFill>
              </w:rPr>
              <w:t>/a</w:t>
            </w:r>
            <w:r>
              <w:rPr>
                <w:rFonts w:hint="eastAsia"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eastAsia" w:cs="Times New Roman"/>
                <w:color w:val="000000" w:themeColor="text1"/>
                <w:kern w:val="0"/>
                <w:sz w:val="24"/>
                <w:szCs w:val="24"/>
                <w:highlight w:val="none"/>
                <w:lang w:val="en-US" w:eastAsia="zh-CN"/>
                <w14:textFill>
                  <w14:solidFill>
                    <w14:schemeClr w14:val="tx1"/>
                  </w14:solidFill>
                </w14:textFill>
              </w:rPr>
              <w:t>693.944</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m</w:t>
            </w:r>
            <w:r>
              <w:rPr>
                <w:rFonts w:hint="eastAsia" w:ascii="Times New Roman" w:hAnsi="Times New Roman" w:cs="Times New Roman"/>
                <w:color w:val="000000" w:themeColor="text1"/>
                <w:kern w:val="0"/>
                <w:sz w:val="24"/>
                <w:szCs w:val="24"/>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kern w:val="0"/>
                <w:sz w:val="24"/>
                <w:szCs w:val="24"/>
                <w:highlight w:val="none"/>
                <w14:textFill>
                  <w14:solidFill>
                    <w14:schemeClr w14:val="tx1"/>
                  </w14:solidFill>
                </w14:textFill>
              </w:rPr>
              <w:t>/d</w:t>
            </w:r>
            <w:r>
              <w:rPr>
                <w:rFonts w:hint="eastAsia"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现有项目</w:t>
            </w:r>
            <w:r>
              <w:rPr>
                <w:rFonts w:hint="eastAsia" w:cs="Times New Roman"/>
                <w:color w:val="000000" w:themeColor="text1"/>
                <w:kern w:val="0"/>
                <w:sz w:val="24"/>
                <w:szCs w:val="24"/>
                <w:highlight w:val="none"/>
                <w:lang w:val="en-US" w:eastAsia="zh-CN" w:bidi="ar"/>
                <w14:textFill>
                  <w14:solidFill>
                    <w14:schemeClr w14:val="tx1"/>
                  </w14:solidFill>
                </w14:textFill>
              </w:rPr>
              <w:t>废水处理站处理能力为800m</w:t>
            </w:r>
            <w:r>
              <w:rPr>
                <w:rFonts w:hint="eastAsia" w:cs="Times New Roman"/>
                <w:color w:val="000000" w:themeColor="text1"/>
                <w:kern w:val="0"/>
                <w:sz w:val="24"/>
                <w:szCs w:val="24"/>
                <w:highlight w:val="none"/>
                <w:vertAlign w:val="superscript"/>
                <w:lang w:val="en-US" w:eastAsia="zh-CN" w:bidi="ar"/>
                <w14:textFill>
                  <w14:solidFill>
                    <w14:schemeClr w14:val="tx1"/>
                  </w14:solidFill>
                </w14:textFill>
              </w:rPr>
              <w:t>3</w:t>
            </w:r>
            <w:r>
              <w:rPr>
                <w:rFonts w:hint="eastAsia" w:cs="Times New Roman"/>
                <w:color w:val="000000" w:themeColor="text1"/>
                <w:kern w:val="0"/>
                <w:sz w:val="24"/>
                <w:szCs w:val="24"/>
                <w:highlight w:val="none"/>
                <w:lang w:val="en-US" w:eastAsia="zh-CN" w:bidi="ar"/>
                <w14:textFill>
                  <w14:solidFill>
                    <w14:schemeClr w14:val="tx1"/>
                  </w14:solidFill>
                </w14:textFill>
              </w:rPr>
              <w:t>/d，</w:t>
            </w:r>
            <w:r>
              <w:rPr>
                <w:rFonts w:hint="eastAsia" w:cs="Times New Roman"/>
                <w:color w:val="000000" w:themeColor="text1"/>
                <w:kern w:val="2"/>
                <w:sz w:val="24"/>
                <w:szCs w:val="24"/>
                <w:highlight w:val="none"/>
                <w:lang w:val="en-US" w:eastAsia="zh-CN" w:bidi="ar"/>
                <w14:textFill>
                  <w14:solidFill>
                    <w14:schemeClr w14:val="tx1"/>
                  </w14:solidFill>
                </w14:textFill>
              </w:rPr>
              <w:t>本项目使用的药材种类与现有项目相同，废水水质变化不大，</w:t>
            </w:r>
            <w:r>
              <w:rPr>
                <w:rFonts w:hint="default" w:ascii="Times New Roman" w:hAnsi="Times New Roman" w:cs="Times New Roman"/>
                <w:color w:val="000000" w:themeColor="text1"/>
                <w:kern w:val="0"/>
                <w:sz w:val="24"/>
                <w:szCs w:val="24"/>
                <w:highlight w:val="none"/>
                <w:lang w:val="en-US" w:eastAsia="zh-CN" w:bidi="ar"/>
                <w14:textFill>
                  <w14:solidFill>
                    <w14:schemeClr w14:val="tx1"/>
                  </w14:solidFill>
                </w14:textFill>
              </w:rPr>
              <w:t>所以本项目建成后依托现有污水处理系统可行。</w:t>
            </w:r>
          </w:p>
          <w:p w14:paraId="7D4FC95F">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jc w:val="both"/>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、噪声</w:t>
            </w:r>
          </w:p>
          <w:p w14:paraId="636A2FB1">
            <w:pPr>
              <w:keepNext w:val="0"/>
              <w:keepLines w:val="0"/>
              <w:suppressLineNumbers w:val="0"/>
              <w:autoSpaceDE w:val="0"/>
              <w:autoSpaceDN w:val="0"/>
              <w:spacing w:before="0" w:beforeAutospacing="0" w:after="0" w:afterAutospacing="0" w:line="360" w:lineRule="auto"/>
              <w:ind w:left="0" w:right="0"/>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3.1、噪声源及其源强</w:t>
            </w:r>
          </w:p>
          <w:p w14:paraId="2F67FF3F">
            <w:pPr>
              <w:keepNext w:val="0"/>
              <w:keepLines w:val="0"/>
              <w:widowControl/>
              <w:suppressLineNumbers w:val="0"/>
              <w:adjustRightInd w:val="0"/>
              <w:snapToGrid w:val="0"/>
              <w:spacing w:before="0" w:beforeAutospacing="0" w:after="0" w:afterAutospacing="0" w:line="360" w:lineRule="auto"/>
              <w:ind w:left="0" w:right="0" w:firstLine="480"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bidi="ar"/>
                <w14:textFill>
                  <w14:solidFill>
                    <w14:schemeClr w14:val="tx1"/>
                  </w14:solidFill>
                </w14:textFill>
              </w:rPr>
              <w:t>本项目噪声源主</w:t>
            </w:r>
            <w:r>
              <w:rPr>
                <w:rFonts w:hint="default" w:ascii="Times New Roman" w:hAnsi="Times New Roman" w:eastAsia="宋体" w:cs="Times New Roman"/>
                <w:color w:val="000000" w:themeColor="text1"/>
                <w:kern w:val="0"/>
                <w:sz w:val="24"/>
                <w:szCs w:val="24"/>
                <w:highlight w:val="none"/>
                <w:lang w:bidi="ar"/>
                <w14:textFill>
                  <w14:solidFill>
                    <w14:schemeClr w14:val="tx1"/>
                  </w14:solidFill>
                </w14:textFill>
              </w:rPr>
              <w:t>要为前处理车间</w:t>
            </w:r>
            <w:r>
              <w:rPr>
                <w:rFonts w:hint="eastAsia" w:cs="Times New Roman"/>
                <w:color w:val="000000" w:themeColor="text1"/>
                <w:kern w:val="0"/>
                <w:sz w:val="24"/>
                <w:szCs w:val="24"/>
                <w:highlight w:val="none"/>
                <w:lang w:eastAsia="zh-CN" w:bidi="ar"/>
                <w14:textFill>
                  <w14:solidFill>
                    <w14:schemeClr w14:val="tx1"/>
                  </w14:solidFill>
                </w14:textFill>
              </w:rPr>
              <w:t>的</w:t>
            </w:r>
            <w:r>
              <w:rPr>
                <w:rFonts w:hint="eastAsia" w:ascii="Times New Roman" w:hAnsi="Times New Roman" w:eastAsia="宋体" w:cs="Times New Roman"/>
                <w:color w:val="000000" w:themeColor="text1"/>
                <w:kern w:val="0"/>
                <w:sz w:val="24"/>
                <w:szCs w:val="24"/>
                <w:highlight w:val="none"/>
                <w:lang w:eastAsia="zh-TW"/>
                <w14:textFill>
                  <w14:solidFill>
                    <w14:schemeClr w14:val="tx1"/>
                  </w14:solidFill>
                </w14:textFill>
              </w:rPr>
              <w:t>蒸润一体机</w:t>
            </w:r>
            <w:r>
              <w:rPr>
                <w:rFonts w:hint="eastAsia" w:cs="Times New Roman"/>
                <w:color w:val="000000" w:themeColor="text1"/>
                <w:kern w:val="0"/>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eastAsia="zh-TW"/>
                <w14:textFill>
                  <w14:solidFill>
                    <w14:schemeClr w14:val="tx1"/>
                  </w14:solidFill>
                </w14:textFill>
              </w:rPr>
              <w:t>数控直线往复式切药机</w:t>
            </w:r>
            <w:r>
              <w:rPr>
                <w:rFonts w:hint="eastAsia" w:cs="Times New Roman"/>
                <w:color w:val="000000" w:themeColor="text1"/>
                <w:kern w:val="0"/>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eastAsia="zh-TW"/>
                <w14:textFill>
                  <w14:solidFill>
                    <w14:schemeClr w14:val="tx1"/>
                  </w14:solidFill>
                </w14:textFill>
              </w:rPr>
              <w:t>智能切片机</w:t>
            </w:r>
            <w:r>
              <w:rPr>
                <w:rFonts w:hint="eastAsia" w:cs="Times New Roman"/>
                <w:color w:val="000000" w:themeColor="text1"/>
                <w:kern w:val="0"/>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eastAsia="zh-TW"/>
                <w14:textFill>
                  <w14:solidFill>
                    <w14:schemeClr w14:val="tx1"/>
                  </w14:solidFill>
                </w14:textFill>
              </w:rPr>
              <w:t>数控直切式切药机</w:t>
            </w:r>
            <w:r>
              <w:rPr>
                <w:rFonts w:hint="eastAsia" w:cs="Times New Roman"/>
                <w:color w:val="000000" w:themeColor="text1"/>
                <w:kern w:val="0"/>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eastAsia="zh-TW"/>
                <w14:textFill>
                  <w14:solidFill>
                    <w14:schemeClr w14:val="tx1"/>
                  </w14:solidFill>
                </w14:textFill>
              </w:rPr>
              <w:t>敞开式烘箱</w:t>
            </w:r>
            <w:r>
              <w:rPr>
                <w:rFonts w:hint="eastAsia" w:cs="Times New Roman"/>
                <w:color w:val="000000" w:themeColor="text1"/>
                <w:kern w:val="0"/>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eastAsia="zh-TW"/>
                <w14:textFill>
                  <w14:solidFill>
                    <w14:schemeClr w14:val="tx1"/>
                  </w14:solidFill>
                </w14:textFill>
              </w:rPr>
              <w:t>热风</w:t>
            </w:r>
            <w:r>
              <w:rPr>
                <w:rFonts w:hint="default" w:ascii="Times New Roman" w:hAnsi="Times New Roman" w:eastAsia="宋体" w:cs="Times New Roman"/>
                <w:color w:val="000000" w:themeColor="text1"/>
                <w:kern w:val="0"/>
                <w:sz w:val="24"/>
                <w:szCs w:val="24"/>
                <w:highlight w:val="none"/>
                <w:lang w:eastAsia="zh-TW"/>
                <w14:textFill>
                  <w14:solidFill>
                    <w14:schemeClr w14:val="tx1"/>
                  </w14:solidFill>
                </w14:textFill>
              </w:rPr>
              <w:t>循环烘箱</w:t>
            </w:r>
            <w:r>
              <w:rPr>
                <w:rFonts w:hint="eastAsia" w:cs="Times New Roman"/>
                <w:color w:val="000000" w:themeColor="text1"/>
                <w:kern w:val="0"/>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eastAsia="zh-TW"/>
                <w14:textFill>
                  <w14:solidFill>
                    <w14:schemeClr w14:val="tx1"/>
                  </w14:solidFill>
                </w14:textFill>
              </w:rPr>
              <w:t>筛选机</w:t>
            </w:r>
            <w:r>
              <w:rPr>
                <w:rFonts w:hint="eastAsia" w:cs="Times New Roman"/>
                <w:color w:val="000000" w:themeColor="text1"/>
                <w:kern w:val="0"/>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eastAsia="zh-TW"/>
                <w14:textFill>
                  <w14:solidFill>
                    <w14:schemeClr w14:val="tx1"/>
                  </w14:solidFill>
                </w14:textFill>
              </w:rPr>
              <w:t>中药破碎机</w:t>
            </w:r>
            <w:r>
              <w:rPr>
                <w:rFonts w:hint="eastAsia" w:cs="Times New Roman"/>
                <w:color w:val="000000" w:themeColor="text1"/>
                <w:kern w:val="0"/>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eastAsia="zh-TW"/>
                <w14:textFill>
                  <w14:solidFill>
                    <w14:schemeClr w14:val="tx1"/>
                  </w14:solidFill>
                </w14:textFill>
              </w:rPr>
              <w:t>对辊式</w:t>
            </w:r>
            <w:r>
              <w:rPr>
                <w:rFonts w:hint="default" w:ascii="Times New Roman" w:hAnsi="Times New Roman" w:eastAsia="宋体" w:cs="Times New Roman"/>
                <w:color w:val="000000" w:themeColor="text1"/>
                <w:kern w:val="0"/>
                <w:sz w:val="24"/>
                <w:szCs w:val="24"/>
                <w:highlight w:val="none"/>
                <w:lang w:eastAsia="zh-TW"/>
                <w14:textFill>
                  <w14:solidFill>
                    <w14:schemeClr w14:val="tx1"/>
                  </w14:solidFill>
                </w14:textFill>
              </w:rPr>
              <w:t>破碎机</w:t>
            </w:r>
            <w:r>
              <w:rPr>
                <w:rFonts w:hint="eastAsia" w:cs="Times New Roman"/>
                <w:color w:val="000000" w:themeColor="text1"/>
                <w:kern w:val="0"/>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eastAsia="zh-TW"/>
                <w14:textFill>
                  <w14:solidFill>
                    <w14:schemeClr w14:val="tx1"/>
                  </w14:solidFill>
                </w14:textFill>
              </w:rPr>
              <w:t>磁吸式磨刀机</w:t>
            </w:r>
            <w:r>
              <w:rPr>
                <w:rFonts w:hint="eastAsia" w:cs="Times New Roman"/>
                <w:color w:val="000000" w:themeColor="text1"/>
                <w:kern w:val="0"/>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eastAsia="zh-TW"/>
                <w14:textFill>
                  <w14:solidFill>
                    <w14:schemeClr w14:val="tx1"/>
                  </w14:solidFill>
                </w14:textFill>
              </w:rPr>
              <w:t>风选机</w:t>
            </w:r>
            <w:r>
              <w:rPr>
                <w:rFonts w:hint="eastAsia" w:ascii="Times New Roman" w:hAnsi="Times New Roman" w:eastAsia="宋体" w:cs="Times New Roman"/>
                <w:color w:val="000000" w:themeColor="text1"/>
                <w:kern w:val="0"/>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eastAsia="zh-TW"/>
                <w14:textFill>
                  <w14:solidFill>
                    <w14:schemeClr w14:val="tx1"/>
                  </w14:solidFill>
                </w14:textFill>
              </w:rPr>
              <w:t>炒药机</w:t>
            </w:r>
            <w:r>
              <w:rPr>
                <w:rFonts w:hint="eastAsia" w:cs="Times New Roman"/>
                <w:color w:val="000000" w:themeColor="text1"/>
                <w:kern w:val="0"/>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洗药机</w:t>
            </w:r>
            <w:r>
              <w:rPr>
                <w:rFonts w:hint="eastAsia" w:cs="Times New Roman"/>
                <w:color w:val="000000" w:themeColor="text1"/>
                <w:kern w:val="0"/>
                <w:sz w:val="24"/>
                <w:szCs w:val="24"/>
                <w:highlight w:val="none"/>
                <w:lang w:val="en-US" w:eastAsia="zh-CN"/>
                <w14:textFill>
                  <w14:solidFill>
                    <w14:schemeClr w14:val="tx1"/>
                  </w14:solidFill>
                </w14:textFill>
              </w:rPr>
              <w:t>；创新制剂车间的</w:t>
            </w:r>
            <w:r>
              <w:rPr>
                <w:rFonts w:hint="eastAsia"/>
                <w:color w:val="000000" w:themeColor="text1"/>
                <w:sz w:val="24"/>
                <w:szCs w:val="24"/>
                <w:highlight w:val="none"/>
                <w14:textFill>
                  <w14:solidFill>
                    <w14:schemeClr w14:val="tx1"/>
                  </w14:solidFill>
                </w14:textFill>
              </w:rPr>
              <w:t>万能粉碎机</w:t>
            </w:r>
            <w:r>
              <w:rPr>
                <w:rFonts w:hint="eastAsia"/>
                <w:color w:val="000000" w:themeColor="text1"/>
                <w:sz w:val="24"/>
                <w:szCs w:val="24"/>
                <w:highlight w:val="none"/>
                <w:lang w:eastAsia="zh-CN"/>
                <w14:textFill>
                  <w14:solidFill>
                    <w14:schemeClr w14:val="tx1"/>
                  </w14:solidFill>
                </w14:textFill>
              </w:rPr>
              <w:t>、</w:t>
            </w:r>
            <w:r>
              <w:rPr>
                <w:rFonts w:hint="default"/>
                <w:color w:val="000000" w:themeColor="text1"/>
                <w:sz w:val="24"/>
                <w:szCs w:val="24"/>
                <w:highlight w:val="none"/>
                <w14:textFill>
                  <w14:solidFill>
                    <w14:schemeClr w14:val="tx1"/>
                  </w14:solidFill>
                </w14:textFill>
              </w:rPr>
              <w:t>振动筛粉机</w:t>
            </w:r>
            <w:r>
              <w:rPr>
                <w:rFonts w:hint="eastAsia"/>
                <w:color w:val="000000" w:themeColor="text1"/>
                <w:sz w:val="24"/>
                <w:szCs w:val="24"/>
                <w:highlight w:val="none"/>
                <w:lang w:eastAsia="zh-CN"/>
                <w14:textFill>
                  <w14:solidFill>
                    <w14:schemeClr w14:val="tx1"/>
                  </w14:solidFill>
                </w14:textFill>
              </w:rPr>
              <w:t>、</w:t>
            </w:r>
            <w:r>
              <w:rPr>
                <w:rFonts w:hint="default"/>
                <w:color w:val="000000" w:themeColor="text1"/>
                <w:sz w:val="24"/>
                <w:szCs w:val="24"/>
                <w:highlight w:val="none"/>
                <w14:textFill>
                  <w14:solidFill>
                    <w14:schemeClr w14:val="tx1"/>
                  </w14:solidFill>
                </w14:textFill>
              </w:rPr>
              <w:t>三维运动混合机</w:t>
            </w:r>
            <w:r>
              <w:rPr>
                <w:rFonts w:hint="eastAsia"/>
                <w:color w:val="000000" w:themeColor="text1"/>
                <w:sz w:val="24"/>
                <w:szCs w:val="24"/>
                <w:highlight w:val="none"/>
                <w:lang w:eastAsia="zh-CN"/>
                <w14:textFill>
                  <w14:solidFill>
                    <w14:schemeClr w14:val="tx1"/>
                  </w14:solidFill>
                </w14:textFill>
              </w:rPr>
              <w:t>、</w:t>
            </w:r>
            <w:r>
              <w:rPr>
                <w:rFonts w:hint="default"/>
                <w:color w:val="000000" w:themeColor="text1"/>
                <w:sz w:val="24"/>
                <w:szCs w:val="24"/>
                <w:highlight w:val="none"/>
                <w14:textFill>
                  <w14:solidFill>
                    <w14:schemeClr w14:val="tx1"/>
                  </w14:solidFill>
                </w14:textFill>
              </w:rPr>
              <w:t>条袋包装机</w:t>
            </w:r>
            <w:r>
              <w:rPr>
                <w:rFonts w:hint="eastAsia"/>
                <w:color w:val="000000" w:themeColor="text1"/>
                <w:sz w:val="24"/>
                <w:szCs w:val="24"/>
                <w:highlight w:val="none"/>
                <w:lang w:eastAsia="zh-CN"/>
                <w14:textFill>
                  <w14:solidFill>
                    <w14:schemeClr w14:val="tx1"/>
                  </w14:solidFill>
                </w14:textFill>
              </w:rPr>
              <w:t>、</w:t>
            </w:r>
            <w:r>
              <w:rPr>
                <w:rFonts w:hint="default"/>
                <w:color w:val="000000" w:themeColor="text1"/>
                <w:sz w:val="24"/>
                <w:szCs w:val="24"/>
                <w:highlight w:val="none"/>
                <w14:textFill>
                  <w14:solidFill>
                    <w14:schemeClr w14:val="tx1"/>
                  </w14:solidFill>
                </w14:textFill>
              </w:rPr>
              <w:t>全自动洗脱烘机</w:t>
            </w:r>
            <w:r>
              <w:rPr>
                <w:rFonts w:hint="eastAsia"/>
                <w:color w:val="000000" w:themeColor="text1"/>
                <w:sz w:val="24"/>
                <w:szCs w:val="24"/>
                <w:highlight w:val="none"/>
                <w:lang w:eastAsia="zh-CN"/>
                <w14:textFill>
                  <w14:solidFill>
                    <w14:schemeClr w14:val="tx1"/>
                  </w14:solidFill>
                </w14:textFill>
              </w:rPr>
              <w:t>、</w:t>
            </w:r>
            <w:r>
              <w:rPr>
                <w:rFonts w:hint="default"/>
                <w:color w:val="000000" w:themeColor="text1"/>
                <w:sz w:val="24"/>
                <w:szCs w:val="24"/>
                <w:highlight w:val="none"/>
                <w14:textFill>
                  <w14:solidFill>
                    <w14:schemeClr w14:val="tx1"/>
                  </w14:solidFill>
                </w14:textFill>
              </w:rPr>
              <w:t>自动颗粒包装机</w:t>
            </w:r>
            <w:r>
              <w:rPr>
                <w:rFonts w:hint="eastAsia"/>
                <w:color w:val="000000" w:themeColor="text1"/>
                <w:sz w:val="24"/>
                <w:szCs w:val="24"/>
                <w:highlight w:val="none"/>
                <w:lang w:eastAsia="zh-CN"/>
                <w14:textFill>
                  <w14:solidFill>
                    <w14:schemeClr w14:val="tx1"/>
                  </w14:solidFill>
                </w14:textFill>
              </w:rPr>
              <w:t>、</w:t>
            </w:r>
            <w:r>
              <w:rPr>
                <w:rFonts w:hint="default"/>
                <w:color w:val="000000" w:themeColor="text1"/>
                <w:sz w:val="24"/>
                <w:szCs w:val="24"/>
                <w:highlight w:val="none"/>
                <w14:textFill>
                  <w14:solidFill>
                    <w14:schemeClr w14:val="tx1"/>
                  </w14:solidFill>
                </w14:textFill>
              </w:rPr>
              <w:t>高速离心喷雾干燥机</w:t>
            </w:r>
            <w:r>
              <w:rPr>
                <w:rFonts w:hint="eastAsia"/>
                <w:color w:val="000000" w:themeColor="text1"/>
                <w:sz w:val="24"/>
                <w:szCs w:val="24"/>
                <w:highlight w:val="none"/>
                <w:lang w:eastAsia="zh-CN"/>
                <w14:textFill>
                  <w14:solidFill>
                    <w14:schemeClr w14:val="tx1"/>
                  </w14:solidFill>
                </w14:textFill>
              </w:rPr>
              <w:t>、</w:t>
            </w:r>
            <w:r>
              <w:rPr>
                <w:rFonts w:hint="default"/>
                <w:color w:val="000000" w:themeColor="text1"/>
                <w:sz w:val="24"/>
                <w:szCs w:val="24"/>
                <w:highlight w:val="none"/>
                <w14:textFill>
                  <w14:solidFill>
                    <w14:schemeClr w14:val="tx1"/>
                  </w14:solidFill>
                </w14:textFill>
              </w:rPr>
              <w:t>全自动硬胶囊充填机</w:t>
            </w:r>
            <w:r>
              <w:rPr>
                <w:rFonts w:hint="eastAsia"/>
                <w:color w:val="000000" w:themeColor="text1"/>
                <w:sz w:val="24"/>
                <w:szCs w:val="24"/>
                <w:highlight w:val="none"/>
                <w:lang w:eastAsia="zh-CN"/>
                <w14:textFill>
                  <w14:solidFill>
                    <w14:schemeClr w14:val="tx1"/>
                  </w14:solidFill>
                </w14:textFill>
              </w:rPr>
              <w:t>、</w:t>
            </w:r>
            <w:r>
              <w:rPr>
                <w:rFonts w:hint="default"/>
                <w:color w:val="000000" w:themeColor="text1"/>
                <w:sz w:val="24"/>
                <w:szCs w:val="24"/>
                <w:highlight w:val="none"/>
                <w14:textFill>
                  <w14:solidFill>
                    <w14:schemeClr w14:val="tx1"/>
                  </w14:solidFill>
                </w14:textFill>
              </w:rPr>
              <w:t>泡罩包装机</w:t>
            </w:r>
            <w:r>
              <w:rPr>
                <w:rFonts w:hint="eastAsia"/>
                <w:color w:val="000000" w:themeColor="text1"/>
                <w:sz w:val="24"/>
                <w:szCs w:val="24"/>
                <w:highlight w:val="none"/>
                <w:lang w:eastAsia="zh-CN"/>
                <w14:textFill>
                  <w14:solidFill>
                    <w14:schemeClr w14:val="tx1"/>
                  </w14:solidFill>
                </w14:textFill>
              </w:rPr>
              <w:t>、</w:t>
            </w:r>
            <w:r>
              <w:rPr>
                <w:rFonts w:hint="default"/>
                <w:color w:val="000000" w:themeColor="text1"/>
                <w:sz w:val="24"/>
                <w:szCs w:val="24"/>
                <w:highlight w:val="none"/>
                <w14:textFill>
                  <w14:solidFill>
                    <w14:schemeClr w14:val="tx1"/>
                  </w14:solidFill>
                </w14:textFill>
              </w:rPr>
              <w:t>流化床制粒包衣机</w:t>
            </w:r>
            <w:r>
              <w:rPr>
                <w:rFonts w:hint="eastAsia"/>
                <w:color w:val="000000" w:themeColor="text1"/>
                <w:sz w:val="24"/>
                <w:szCs w:val="24"/>
                <w:highlight w:val="none"/>
                <w:lang w:eastAsia="zh-CN"/>
                <w14:textFill>
                  <w14:solidFill>
                    <w14:schemeClr w14:val="tx1"/>
                  </w14:solidFill>
                </w14:textFill>
              </w:rPr>
              <w:t>、</w:t>
            </w:r>
            <w:r>
              <w:rPr>
                <w:rFonts w:hint="default"/>
                <w:color w:val="000000" w:themeColor="text1"/>
                <w:sz w:val="24"/>
                <w:szCs w:val="24"/>
                <w:highlight w:val="none"/>
                <w14:textFill>
                  <w14:solidFill>
                    <w14:schemeClr w14:val="tx1"/>
                  </w14:solidFill>
                </w14:textFill>
              </w:rPr>
              <w:t>干法制粒机</w:t>
            </w:r>
            <w:r>
              <w:rPr>
                <w:rFonts w:hint="eastAsia"/>
                <w:color w:val="000000" w:themeColor="text1"/>
                <w:sz w:val="24"/>
                <w:szCs w:val="24"/>
                <w:highlight w:val="none"/>
                <w:lang w:eastAsia="zh-CN"/>
                <w14:textFill>
                  <w14:solidFill>
                    <w14:schemeClr w14:val="tx1"/>
                  </w14:solidFill>
                </w14:textFill>
              </w:rPr>
              <w:t>、</w:t>
            </w:r>
            <w:r>
              <w:rPr>
                <w:rFonts w:hint="default"/>
                <w:color w:val="000000" w:themeColor="text1"/>
                <w:sz w:val="24"/>
                <w:szCs w:val="24"/>
                <w:highlight w:val="none"/>
                <w14:textFill>
                  <w14:solidFill>
                    <w14:schemeClr w14:val="tx1"/>
                  </w14:solidFill>
                </w14:textFill>
              </w:rPr>
              <w:t>S49系列三元旋振筛</w:t>
            </w:r>
            <w:r>
              <w:rPr>
                <w:rFonts w:hint="eastAsia"/>
                <w:color w:val="000000" w:themeColor="text1"/>
                <w:sz w:val="24"/>
                <w:szCs w:val="24"/>
                <w:highlight w:val="none"/>
                <w:lang w:eastAsia="zh-CN"/>
                <w14:textFill>
                  <w14:solidFill>
                    <w14:schemeClr w14:val="tx1"/>
                  </w14:solidFill>
                </w14:textFill>
              </w:rPr>
              <w:t>、</w:t>
            </w:r>
            <w:r>
              <w:rPr>
                <w:rFonts w:hint="default"/>
                <w:color w:val="000000" w:themeColor="text1"/>
                <w:sz w:val="24"/>
                <w:szCs w:val="24"/>
                <w:highlight w:val="none"/>
                <w14:textFill>
                  <w14:solidFill>
                    <w14:schemeClr w14:val="tx1"/>
                  </w14:solidFill>
                </w14:textFill>
              </w:rPr>
              <w:t>粉碎整粒机</w:t>
            </w:r>
            <w:r>
              <w:rPr>
                <w:rFonts w:hint="eastAsia"/>
                <w:color w:val="000000" w:themeColor="text1"/>
                <w:sz w:val="24"/>
                <w:szCs w:val="24"/>
                <w:highlight w:val="none"/>
                <w:lang w:eastAsia="zh-CN"/>
                <w14:textFill>
                  <w14:solidFill>
                    <w14:schemeClr w14:val="tx1"/>
                  </w14:solidFill>
                </w14:textFill>
              </w:rPr>
              <w:t>、</w:t>
            </w:r>
            <w:r>
              <w:rPr>
                <w:rFonts w:hint="default"/>
                <w:color w:val="000000" w:themeColor="text1"/>
                <w:sz w:val="24"/>
                <w:szCs w:val="24"/>
                <w:highlight w:val="none"/>
                <w14:textFill>
                  <w14:solidFill>
                    <w14:schemeClr w14:val="tx1"/>
                  </w14:solidFill>
                </w14:textFill>
              </w:rPr>
              <w:t>高效薄膜铱机</w:t>
            </w:r>
            <w:r>
              <w:rPr>
                <w:rFonts w:hint="eastAsia"/>
                <w:color w:val="000000" w:themeColor="text1"/>
                <w:sz w:val="24"/>
                <w:szCs w:val="24"/>
                <w:highlight w:val="none"/>
                <w:lang w:eastAsia="zh-CN"/>
                <w14:textFill>
                  <w14:solidFill>
                    <w14:schemeClr w14:val="tx1"/>
                  </w14:solidFill>
                </w14:textFill>
              </w:rPr>
              <w:t>、</w:t>
            </w:r>
            <w:r>
              <w:rPr>
                <w:rFonts w:hint="default"/>
                <w:color w:val="000000" w:themeColor="text1"/>
                <w:sz w:val="24"/>
                <w:szCs w:val="24"/>
                <w:highlight w:val="none"/>
                <w14:textFill>
                  <w14:solidFill>
                    <w14:schemeClr w14:val="tx1"/>
                  </w14:solidFill>
                </w14:textFill>
              </w:rPr>
              <w:t>高效湿法造粒机</w:t>
            </w:r>
            <w:r>
              <w:rPr>
                <w:rFonts w:hint="eastAsia"/>
                <w:color w:val="000000" w:themeColor="text1"/>
                <w:sz w:val="24"/>
                <w:szCs w:val="24"/>
                <w:highlight w:val="none"/>
                <w:lang w:eastAsia="zh-CN"/>
                <w14:textFill>
                  <w14:solidFill>
                    <w14:schemeClr w14:val="tx1"/>
                  </w14:solidFill>
                </w14:textFill>
              </w:rPr>
              <w:t>、</w:t>
            </w:r>
            <w:r>
              <w:rPr>
                <w:rFonts w:hint="default"/>
                <w:color w:val="000000" w:themeColor="text1"/>
                <w:sz w:val="24"/>
                <w:szCs w:val="24"/>
                <w:highlight w:val="none"/>
                <w14:textFill>
                  <w14:solidFill>
                    <w14:schemeClr w14:val="tx1"/>
                  </w14:solidFill>
                </w14:textFill>
              </w:rPr>
              <w:t>湿法整粒机</w:t>
            </w:r>
            <w:r>
              <w:rPr>
                <w:rFonts w:hint="eastAsia"/>
                <w:color w:val="000000" w:themeColor="text1"/>
                <w:sz w:val="24"/>
                <w:szCs w:val="24"/>
                <w:highlight w:val="none"/>
                <w:lang w:eastAsia="zh-CN"/>
                <w14:textFill>
                  <w14:solidFill>
                    <w14:schemeClr w14:val="tx1"/>
                  </w14:solidFill>
                </w14:textFill>
              </w:rPr>
              <w:t>、</w:t>
            </w:r>
            <w:r>
              <w:rPr>
                <w:rFonts w:hint="default"/>
                <w:color w:val="000000" w:themeColor="text1"/>
                <w:sz w:val="24"/>
                <w:szCs w:val="24"/>
                <w:highlight w:val="none"/>
                <w14:textFill>
                  <w14:solidFill>
                    <w14:schemeClr w14:val="tx1"/>
                  </w14:solidFill>
                </w14:textFill>
              </w:rPr>
              <w:t>全自动高速压片机</w:t>
            </w:r>
            <w:r>
              <w:rPr>
                <w:rFonts w:hint="eastAsia"/>
                <w:color w:val="000000" w:themeColor="text1"/>
                <w:sz w:val="24"/>
                <w:szCs w:val="24"/>
                <w:highlight w:val="none"/>
                <w14:textFill>
                  <w14:solidFill>
                    <w14:schemeClr w14:val="tx1"/>
                  </w14:solidFill>
                </w14:textFill>
              </w:rPr>
              <w:t>系统</w:t>
            </w:r>
            <w:r>
              <w:rPr>
                <w:rFonts w:hint="eastAsia"/>
                <w:color w:val="000000" w:themeColor="text1"/>
                <w:sz w:val="24"/>
                <w:szCs w:val="24"/>
                <w:highlight w:val="none"/>
                <w:lang w:eastAsia="zh-CN"/>
                <w14:textFill>
                  <w14:solidFill>
                    <w14:schemeClr w14:val="tx1"/>
                  </w14:solidFill>
                </w14:textFill>
              </w:rPr>
              <w:t>、</w:t>
            </w:r>
            <w:r>
              <w:rPr>
                <w:rFonts w:hint="default"/>
                <w:color w:val="000000" w:themeColor="text1"/>
                <w:sz w:val="24"/>
                <w:szCs w:val="24"/>
                <w:highlight w:val="none"/>
                <w14:textFill>
                  <w14:solidFill>
                    <w14:schemeClr w14:val="tx1"/>
                  </w14:solidFill>
                </w14:textFill>
              </w:rPr>
              <w:t>药片剔除机</w:t>
            </w:r>
            <w:r>
              <w:rPr>
                <w:rFonts w:hint="eastAsia" w:cs="Times New Roman"/>
                <w:color w:val="000000" w:themeColor="text1"/>
                <w:kern w:val="0"/>
                <w:sz w:val="24"/>
                <w:szCs w:val="24"/>
                <w:highlight w:val="none"/>
                <w:lang w:val="en-US" w:eastAsia="zh-CN" w:bidi="ar"/>
                <w14:textFill>
                  <w14:solidFill>
                    <w14:schemeClr w14:val="tx1"/>
                  </w14:solidFill>
                </w14:textFill>
              </w:rPr>
              <w:t>和风机</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等设备</w:t>
            </w:r>
            <w:r>
              <w:rPr>
                <w:rFonts w:hint="default" w:ascii="Times New Roman" w:hAnsi="Times New Roman" w:eastAsia="宋体" w:cs="Times New Roman"/>
                <w:color w:val="000000" w:themeColor="text1"/>
                <w:kern w:val="0"/>
                <w:sz w:val="24"/>
                <w:szCs w:val="24"/>
                <w:highlight w:val="none"/>
                <w:lang w:bidi="ar"/>
                <w14:textFill>
                  <w14:solidFill>
                    <w14:schemeClr w14:val="tx1"/>
                  </w14:solidFill>
                </w14:textFill>
              </w:rPr>
              <w:t>，噪声源强为</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7</w:t>
            </w:r>
            <w:r>
              <w:rPr>
                <w:rFonts w:hint="eastAsia" w:cs="Times New Roman"/>
                <w:color w:val="000000" w:themeColor="text1"/>
                <w:kern w:val="0"/>
                <w:sz w:val="24"/>
                <w:szCs w:val="24"/>
                <w:highlight w:val="none"/>
                <w:lang w:val="en-US" w:eastAsia="zh-CN" w:bidi="ar"/>
                <w14:textFill>
                  <w14:solidFill>
                    <w14:schemeClr w14:val="tx1"/>
                  </w14:solidFill>
                </w14:textFill>
              </w:rPr>
              <w:t>5</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~85</w:t>
            </w:r>
            <w:r>
              <w:rPr>
                <w:rFonts w:hint="default" w:ascii="Times New Roman" w:hAnsi="Times New Roman" w:eastAsia="宋体" w:cs="Times New Roman"/>
                <w:color w:val="000000" w:themeColor="text1"/>
                <w:kern w:val="0"/>
                <w:sz w:val="24"/>
                <w:szCs w:val="24"/>
                <w:highlight w:val="none"/>
                <w:lang w:bidi="ar"/>
                <w14:textFill>
                  <w14:solidFill>
                    <w14:schemeClr w14:val="tx1"/>
                  </w14:solidFill>
                </w14:textFill>
              </w:rPr>
              <w:t>dB(A)之间</w:t>
            </w:r>
            <w:r>
              <w:rPr>
                <w:rFonts w:hint="eastAsia" w:ascii="Times New Roman" w:hAnsi="Times New Roman" w:eastAsia="宋体" w:cs="Times New Roman"/>
                <w:color w:val="000000" w:themeColor="text1"/>
                <w:kern w:val="0"/>
                <w:sz w:val="24"/>
                <w:szCs w:val="24"/>
                <w:highlight w:val="none"/>
                <w:lang w:bidi="ar"/>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噪声源源强调查清单见</w:t>
            </w:r>
            <w:r>
              <w:rPr>
                <w:rFonts w:hint="eastAsia" w:cs="Times New Roman"/>
                <w:color w:val="000000" w:themeColor="text1"/>
                <w:kern w:val="0"/>
                <w:sz w:val="24"/>
                <w:szCs w:val="24"/>
                <w:highlight w:val="none"/>
                <w:lang w:val="en-US" w:eastAsia="zh-CN" w:bidi="ar"/>
                <w14:textFill>
                  <w14:solidFill>
                    <w14:schemeClr w14:val="tx1"/>
                  </w14:solidFill>
                </w14:textFill>
              </w:rPr>
              <w:t>下</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表。</w:t>
            </w:r>
          </w:p>
        </w:tc>
      </w:tr>
    </w:tbl>
    <w:p w14:paraId="5B8BD5F4">
      <w:pPr>
        <w:adjustRightInd w:val="0"/>
        <w:snapToGrid w:val="0"/>
        <w:spacing w:line="360" w:lineRule="auto"/>
        <w:rPr>
          <w:rFonts w:ascii="宋体" w:cs="宋体"/>
          <w:b/>
          <w:color w:val="000000" w:themeColor="text1"/>
          <w:kern w:val="0"/>
          <w:sz w:val="28"/>
          <w:szCs w:val="28"/>
          <w:highlight w:val="none"/>
          <w14:textFill>
            <w14:solidFill>
              <w14:schemeClr w14:val="tx1"/>
            </w14:solidFill>
          </w14:textFill>
        </w:rPr>
        <w:sectPr>
          <w:pgSz w:w="11907" w:h="16840"/>
          <w:pgMar w:top="1701" w:right="1531" w:bottom="2126"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tbl>
      <w:tblPr>
        <w:tblStyle w:val="35"/>
        <w:tblW w:w="505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47"/>
        <w:gridCol w:w="12857"/>
      </w:tblGrid>
      <w:tr w14:paraId="20550E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355" w:hRule="atLeast"/>
          <w:jc w:val="center"/>
        </w:trPr>
        <w:tc>
          <w:tcPr>
            <w:tcW w:w="167" w:type="pct"/>
            <w:shd w:val="clear" w:color="auto" w:fill="auto"/>
            <w:noWrap w:val="0"/>
            <w:tcMar>
              <w:left w:w="28" w:type="dxa"/>
              <w:right w:w="28" w:type="dxa"/>
            </w:tcMar>
            <w:vAlign w:val="center"/>
          </w:tcPr>
          <w:p w14:paraId="63F0AF1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运</w:t>
            </w:r>
          </w:p>
          <w:p w14:paraId="66FE749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营</w:t>
            </w:r>
          </w:p>
          <w:p w14:paraId="1BB372E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期</w:t>
            </w:r>
          </w:p>
          <w:p w14:paraId="2AE1F05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环</w:t>
            </w:r>
          </w:p>
          <w:p w14:paraId="09901FC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境</w:t>
            </w:r>
          </w:p>
          <w:p w14:paraId="5E393C0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影</w:t>
            </w:r>
          </w:p>
          <w:p w14:paraId="644534E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响</w:t>
            </w:r>
          </w:p>
          <w:p w14:paraId="5CE96A3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和</w:t>
            </w:r>
          </w:p>
          <w:p w14:paraId="11D9579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保</w:t>
            </w:r>
          </w:p>
          <w:p w14:paraId="4B0AC5B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护</w:t>
            </w:r>
          </w:p>
          <w:p w14:paraId="4C5A68A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措</w:t>
            </w:r>
          </w:p>
          <w:p w14:paraId="76F2EA9C">
            <w:pPr>
              <w:keepNext w:val="0"/>
              <w:keepLines w:val="0"/>
              <w:suppressLineNumbers w:val="0"/>
              <w:adjustRightInd w:val="0"/>
              <w:snapToGrid w:val="0"/>
              <w:spacing w:before="0" w:beforeAutospacing="0" w:after="0" w:afterAutospacing="0"/>
              <w:ind w:left="0" w:right="0"/>
              <w:jc w:val="center"/>
              <w:rPr>
                <w:rFonts w:hint="default" w:ascii="宋体" w:hAnsi="宋体" w:cs="宋体"/>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施</w:t>
            </w:r>
          </w:p>
        </w:tc>
        <w:tc>
          <w:tcPr>
            <w:tcW w:w="4832" w:type="pct"/>
            <w:shd w:val="clear" w:color="auto" w:fill="auto"/>
            <w:noWrap w:val="0"/>
            <w:vAlign w:val="center"/>
          </w:tcPr>
          <w:p w14:paraId="14B223C4">
            <w:pPr>
              <w:keepNext w:val="0"/>
              <w:keepLines w:val="0"/>
              <w:pageBreakBefore w:val="0"/>
              <w:widowControl w:val="0"/>
              <w:numPr>
                <w:ilvl w:val="0"/>
                <w:numId w:val="26"/>
              </w:numPr>
              <w:suppressLineNumbers w:val="0"/>
              <w:kinsoku/>
              <w:wordWrap/>
              <w:overflowPunct/>
              <w:topLinePunct w:val="0"/>
              <w:autoSpaceDE/>
              <w:autoSpaceDN/>
              <w:bidi w:val="0"/>
              <w:adjustRightInd/>
              <w:snapToGrid w:val="0"/>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运营期噪声源统计表</w:t>
            </w:r>
          </w:p>
          <w:tbl>
            <w:tblPr>
              <w:tblStyle w:val="35"/>
              <w:tblW w:w="4997"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29"/>
              <w:gridCol w:w="430"/>
              <w:gridCol w:w="743"/>
              <w:gridCol w:w="631"/>
              <w:gridCol w:w="643"/>
              <w:gridCol w:w="438"/>
              <w:gridCol w:w="456"/>
              <w:gridCol w:w="456"/>
              <w:gridCol w:w="491"/>
              <w:gridCol w:w="438"/>
              <w:gridCol w:w="438"/>
              <w:gridCol w:w="438"/>
              <w:gridCol w:w="453"/>
              <w:gridCol w:w="438"/>
              <w:gridCol w:w="438"/>
              <w:gridCol w:w="438"/>
              <w:gridCol w:w="458"/>
              <w:gridCol w:w="430"/>
              <w:gridCol w:w="345"/>
              <w:gridCol w:w="345"/>
              <w:gridCol w:w="345"/>
              <w:gridCol w:w="345"/>
              <w:gridCol w:w="539"/>
              <w:gridCol w:w="379"/>
              <w:gridCol w:w="379"/>
              <w:gridCol w:w="379"/>
              <w:gridCol w:w="379"/>
              <w:gridCol w:w="513"/>
            </w:tblGrid>
            <w:tr w14:paraId="4A0ECCD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62" w:hRule="exact"/>
                <w:jc w:val="center"/>
              </w:trPr>
              <w:tc>
                <w:tcPr>
                  <w:tcW w:w="169" w:type="pct"/>
                  <w:vMerge w:val="restart"/>
                  <w:tcBorders>
                    <w:tl2br w:val="nil"/>
                    <w:tr2bl w:val="nil"/>
                  </w:tcBorders>
                  <w:shd w:val="clear" w:color="auto" w:fill="auto"/>
                  <w:vAlign w:val="center"/>
                </w:tcPr>
                <w:p w14:paraId="1FA225E8">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000000" w:themeColor="text1"/>
                      <w:sz w:val="21"/>
                      <w:szCs w:val="21"/>
                      <w:highlight w:val="none"/>
                      <w:shd w:val="clear" w:color="auto" w:fill="auto"/>
                      <w14:textFill>
                        <w14:solidFill>
                          <w14:schemeClr w14:val="tx1"/>
                        </w14:solidFill>
                      </w14:textFill>
                    </w:rPr>
                  </w:pPr>
                  <w:bookmarkStart w:id="4" w:name="PT_6"/>
                  <w:r>
                    <w:rPr>
                      <w:rFonts w:hint="default" w:ascii="Times New Roman" w:hAnsi="Times New Roman" w:cs="Times New Roman" w:eastAsiaTheme="minorEastAsia"/>
                      <w:b/>
                      <w:color w:val="000000" w:themeColor="text1"/>
                      <w:sz w:val="21"/>
                      <w:szCs w:val="21"/>
                      <w:highlight w:val="none"/>
                      <w:shd w:val="clear" w:color="auto" w:fill="auto"/>
                      <w14:textFill>
                        <w14:solidFill>
                          <w14:schemeClr w14:val="tx1"/>
                        </w14:solidFill>
                      </w14:textFill>
                    </w:rPr>
                    <w:t>序号</w:t>
                  </w:r>
                </w:p>
              </w:tc>
              <w:tc>
                <w:tcPr>
                  <w:tcW w:w="170" w:type="pct"/>
                  <w:vMerge w:val="restart"/>
                  <w:tcBorders>
                    <w:tl2br w:val="nil"/>
                    <w:tr2bl w:val="nil"/>
                  </w:tcBorders>
                  <w:shd w:val="clear" w:color="auto" w:fill="auto"/>
                  <w:vAlign w:val="center"/>
                </w:tcPr>
                <w:p w14:paraId="4EE7CF28">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000000" w:themeColor="text1"/>
                      <w:sz w:val="21"/>
                      <w:szCs w:val="21"/>
                      <w:highlight w:val="none"/>
                      <w:shd w:val="clear" w:color="auto" w:fill="auto"/>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shd w:val="clear" w:color="auto" w:fill="auto"/>
                      <w14:textFill>
                        <w14:solidFill>
                          <w14:schemeClr w14:val="tx1"/>
                        </w14:solidFill>
                      </w14:textFill>
                    </w:rPr>
                    <w:t>建筑物名称</w:t>
                  </w:r>
                </w:p>
              </w:tc>
              <w:tc>
                <w:tcPr>
                  <w:tcW w:w="294" w:type="pct"/>
                  <w:vMerge w:val="restart"/>
                  <w:tcBorders>
                    <w:tl2br w:val="nil"/>
                    <w:tr2bl w:val="nil"/>
                  </w:tcBorders>
                  <w:shd w:val="clear" w:color="auto" w:fill="auto"/>
                  <w:vAlign w:val="center"/>
                </w:tcPr>
                <w:p w14:paraId="43CA4C62">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000000" w:themeColor="text1"/>
                      <w:sz w:val="21"/>
                      <w:szCs w:val="21"/>
                      <w:highlight w:val="none"/>
                      <w:shd w:val="clear" w:color="auto" w:fill="auto"/>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shd w:val="clear" w:color="auto" w:fill="auto"/>
                      <w14:textFill>
                        <w14:solidFill>
                          <w14:schemeClr w14:val="tx1"/>
                        </w14:solidFill>
                      </w14:textFill>
                    </w:rPr>
                    <w:t>声源名称</w:t>
                  </w:r>
                </w:p>
              </w:tc>
              <w:tc>
                <w:tcPr>
                  <w:tcW w:w="249" w:type="pct"/>
                  <w:vMerge w:val="restart"/>
                  <w:tcBorders>
                    <w:tl2br w:val="nil"/>
                    <w:tr2bl w:val="nil"/>
                  </w:tcBorders>
                  <w:shd w:val="clear" w:color="auto" w:fill="auto"/>
                  <w:vAlign w:val="center"/>
                </w:tcPr>
                <w:p w14:paraId="5F39FF2E">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b/>
                      <w:bCs w:val="0"/>
                      <w:color w:val="000000" w:themeColor="text1"/>
                      <w:sz w:val="21"/>
                      <w:szCs w:val="21"/>
                      <w:highlight w:val="none"/>
                      <w:shd w:val="clear" w:color="auto" w:fill="auto"/>
                      <w14:textFill>
                        <w14:solidFill>
                          <w14:schemeClr w14:val="tx1"/>
                        </w14:solidFill>
                      </w14:textFill>
                    </w:rPr>
                  </w:pPr>
                  <w:r>
                    <w:rPr>
                      <w:rFonts w:hint="default" w:ascii="Times New Roman" w:hAnsi="Times New Roman" w:cs="Times New Roman" w:eastAsiaTheme="minorEastAsia"/>
                      <w:b/>
                      <w:bCs w:val="0"/>
                      <w:color w:val="000000" w:themeColor="text1"/>
                      <w:sz w:val="21"/>
                      <w:szCs w:val="21"/>
                      <w:highlight w:val="none"/>
                      <w:shd w:val="clear" w:color="auto" w:fill="auto"/>
                      <w14:textFill>
                        <w14:solidFill>
                          <w14:schemeClr w14:val="tx1"/>
                        </w14:solidFill>
                      </w14:textFill>
                    </w:rPr>
                    <w:t>型号</w:t>
                  </w:r>
                </w:p>
              </w:tc>
              <w:tc>
                <w:tcPr>
                  <w:tcW w:w="254" w:type="pct"/>
                  <w:tcBorders>
                    <w:tl2br w:val="nil"/>
                    <w:tr2bl w:val="nil"/>
                  </w:tcBorders>
                  <w:shd w:val="clear" w:color="auto" w:fill="auto"/>
                  <w:vAlign w:val="center"/>
                </w:tcPr>
                <w:p w14:paraId="59FDF26C">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b/>
                      <w:bCs w:val="0"/>
                      <w:color w:val="000000" w:themeColor="text1"/>
                      <w:sz w:val="21"/>
                      <w:szCs w:val="21"/>
                      <w:highlight w:val="none"/>
                      <w:shd w:val="clear" w:color="auto" w:fill="auto"/>
                      <w:lang w:eastAsia="zh-CN"/>
                      <w14:textFill>
                        <w14:solidFill>
                          <w14:schemeClr w14:val="tx1"/>
                        </w14:solidFill>
                      </w14:textFill>
                    </w:rPr>
                  </w:pPr>
                  <w:r>
                    <w:rPr>
                      <w:rFonts w:hint="default" w:ascii="Times New Roman" w:hAnsi="Times New Roman" w:cs="Times New Roman" w:eastAsiaTheme="minorEastAsia"/>
                      <w:b/>
                      <w:bCs w:val="0"/>
                      <w:color w:val="000000" w:themeColor="text1"/>
                      <w:sz w:val="21"/>
                      <w:szCs w:val="21"/>
                      <w:highlight w:val="none"/>
                      <w:shd w:val="clear" w:color="auto" w:fill="auto"/>
                      <w:lang w:eastAsia="zh-CN"/>
                      <w14:textFill>
                        <w14:solidFill>
                          <w14:schemeClr w14:val="tx1"/>
                        </w14:solidFill>
                      </w14:textFill>
                    </w:rPr>
                    <w:t>声源源强</w:t>
                  </w:r>
                </w:p>
              </w:tc>
              <w:tc>
                <w:tcPr>
                  <w:tcW w:w="173" w:type="pct"/>
                  <w:vMerge w:val="restart"/>
                  <w:tcBorders>
                    <w:tl2br w:val="nil"/>
                    <w:tr2bl w:val="nil"/>
                  </w:tcBorders>
                  <w:shd w:val="clear" w:color="auto" w:fill="auto"/>
                  <w:vAlign w:val="center"/>
                </w:tcPr>
                <w:p w14:paraId="68874EDF">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000000" w:themeColor="text1"/>
                      <w:sz w:val="21"/>
                      <w:szCs w:val="21"/>
                      <w:highlight w:val="none"/>
                      <w:shd w:val="clear" w:color="auto" w:fill="auto"/>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shd w:val="clear" w:color="auto" w:fill="auto"/>
                      <w14:textFill>
                        <w14:solidFill>
                          <w14:schemeClr w14:val="tx1"/>
                        </w14:solidFill>
                      </w14:textFill>
                    </w:rPr>
                    <w:t>声源控制措施</w:t>
                  </w:r>
                </w:p>
              </w:tc>
              <w:tc>
                <w:tcPr>
                  <w:tcW w:w="555" w:type="pct"/>
                  <w:gridSpan w:val="3"/>
                  <w:tcBorders>
                    <w:tl2br w:val="nil"/>
                    <w:tr2bl w:val="nil"/>
                  </w:tcBorders>
                  <w:shd w:val="clear" w:color="auto" w:fill="auto"/>
                  <w:vAlign w:val="center"/>
                </w:tcPr>
                <w:p w14:paraId="30A3F16E">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000000" w:themeColor="text1"/>
                      <w:sz w:val="21"/>
                      <w:szCs w:val="21"/>
                      <w:highlight w:val="none"/>
                      <w:shd w:val="clear" w:color="auto" w:fill="auto"/>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shd w:val="clear" w:color="auto" w:fill="auto"/>
                      <w14:textFill>
                        <w14:solidFill>
                          <w14:schemeClr w14:val="tx1"/>
                        </w14:solidFill>
                      </w14:textFill>
                    </w:rPr>
                    <w:t>空间相对位置/m</w:t>
                  </w:r>
                </w:p>
              </w:tc>
              <w:tc>
                <w:tcPr>
                  <w:tcW w:w="699" w:type="pct"/>
                  <w:gridSpan w:val="4"/>
                  <w:tcBorders>
                    <w:tl2br w:val="nil"/>
                    <w:tr2bl w:val="nil"/>
                  </w:tcBorders>
                  <w:shd w:val="clear" w:color="auto" w:fill="auto"/>
                  <w:vAlign w:val="center"/>
                </w:tcPr>
                <w:p w14:paraId="60CDCD83">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b/>
                      <w:color w:val="000000" w:themeColor="text1"/>
                      <w:sz w:val="21"/>
                      <w:szCs w:val="21"/>
                      <w:highlight w:val="none"/>
                      <w:shd w:val="clear" w:color="auto" w:fill="auto"/>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shd w:val="clear" w:color="auto" w:fill="auto"/>
                      <w14:textFill>
                        <w14:solidFill>
                          <w14:schemeClr w14:val="tx1"/>
                        </w14:solidFill>
                      </w14:textFill>
                    </w:rPr>
                    <w:t>距室内边界距离/m</w:t>
                  </w:r>
                </w:p>
              </w:tc>
              <w:tc>
                <w:tcPr>
                  <w:tcW w:w="701" w:type="pct"/>
                  <w:gridSpan w:val="4"/>
                  <w:tcBorders>
                    <w:tl2br w:val="nil"/>
                    <w:tr2bl w:val="nil"/>
                  </w:tcBorders>
                  <w:shd w:val="clear" w:color="auto" w:fill="auto"/>
                  <w:vAlign w:val="center"/>
                </w:tcPr>
                <w:p w14:paraId="779610F2">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b/>
                      <w:color w:val="000000" w:themeColor="text1"/>
                      <w:sz w:val="21"/>
                      <w:szCs w:val="21"/>
                      <w:highlight w:val="none"/>
                      <w:shd w:val="clear" w:color="auto" w:fill="auto"/>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shd w:val="clear" w:color="auto" w:fill="auto"/>
                      <w14:textFill>
                        <w14:solidFill>
                          <w14:schemeClr w14:val="tx1"/>
                        </w14:solidFill>
                      </w14:textFill>
                    </w:rPr>
                    <w:t>室内边界声级/dB(A)</w:t>
                  </w:r>
                </w:p>
              </w:tc>
              <w:tc>
                <w:tcPr>
                  <w:tcW w:w="170" w:type="pct"/>
                  <w:vMerge w:val="restart"/>
                  <w:tcBorders>
                    <w:tl2br w:val="nil"/>
                    <w:tr2bl w:val="nil"/>
                  </w:tcBorders>
                  <w:shd w:val="clear" w:color="auto" w:fill="auto"/>
                  <w:vAlign w:val="center"/>
                </w:tcPr>
                <w:p w14:paraId="6A9F546E">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000000" w:themeColor="text1"/>
                      <w:sz w:val="21"/>
                      <w:szCs w:val="21"/>
                      <w:highlight w:val="none"/>
                      <w:shd w:val="clear" w:color="auto" w:fill="auto"/>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shd w:val="clear" w:color="auto" w:fill="auto"/>
                      <w14:textFill>
                        <w14:solidFill>
                          <w14:schemeClr w14:val="tx1"/>
                        </w14:solidFill>
                      </w14:textFill>
                    </w:rPr>
                    <w:t>运行时段</w:t>
                  </w:r>
                </w:p>
              </w:tc>
              <w:tc>
                <w:tcPr>
                  <w:tcW w:w="546" w:type="pct"/>
                  <w:gridSpan w:val="4"/>
                  <w:tcBorders>
                    <w:tl2br w:val="nil"/>
                    <w:tr2bl w:val="nil"/>
                  </w:tcBorders>
                  <w:shd w:val="clear" w:color="auto" w:fill="auto"/>
                  <w:vAlign w:val="center"/>
                </w:tcPr>
                <w:p w14:paraId="5CBF7C6D">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b/>
                      <w:color w:val="000000" w:themeColor="text1"/>
                      <w:sz w:val="21"/>
                      <w:szCs w:val="21"/>
                      <w:highlight w:val="none"/>
                      <w:shd w:val="clear" w:color="auto" w:fill="auto"/>
                      <w:lang w:val="en-US" w:eastAsia="zh-CN"/>
                      <w14:textFill>
                        <w14:solidFill>
                          <w14:schemeClr w14:val="tx1"/>
                        </w14:solidFill>
                      </w14:textFill>
                    </w:rPr>
                  </w:pPr>
                  <w:bookmarkStart w:id="5" w:name="PT_10"/>
                  <w:bookmarkEnd w:id="5"/>
                  <w:r>
                    <w:rPr>
                      <w:rFonts w:hint="eastAsia" w:cs="Times New Roman" w:eastAsiaTheme="minorEastAsia"/>
                      <w:b/>
                      <w:color w:val="000000" w:themeColor="text1"/>
                      <w:sz w:val="21"/>
                      <w:szCs w:val="21"/>
                      <w:highlight w:val="none"/>
                      <w:shd w:val="clear" w:color="auto" w:fill="auto"/>
                      <w:lang w:val="en-US" w:eastAsia="zh-CN"/>
                      <w14:textFill>
                        <w14:solidFill>
                          <w14:schemeClr w14:val="tx1"/>
                        </w14:solidFill>
                      </w14:textFill>
                    </w:rPr>
                    <w:t>室内叠加后声源源强</w:t>
                  </w:r>
                  <w:r>
                    <w:rPr>
                      <w:rFonts w:hint="default" w:ascii="Times New Roman" w:hAnsi="Times New Roman" w:cs="Times New Roman" w:eastAsiaTheme="minorEastAsia"/>
                      <w:b/>
                      <w:bCs w:val="0"/>
                      <w:color w:val="000000" w:themeColor="text1"/>
                      <w:sz w:val="21"/>
                      <w:szCs w:val="21"/>
                      <w:highlight w:val="none"/>
                      <w:shd w:val="clear" w:color="auto" w:fill="auto"/>
                      <w14:textFill>
                        <w14:solidFill>
                          <w14:schemeClr w14:val="tx1"/>
                        </w14:solidFill>
                      </w14:textFill>
                    </w:rPr>
                    <w:t>/dB(A)</w:t>
                  </w:r>
                </w:p>
              </w:tc>
              <w:tc>
                <w:tcPr>
                  <w:tcW w:w="213" w:type="pct"/>
                  <w:vMerge w:val="restart"/>
                  <w:tcBorders>
                    <w:tl2br w:val="nil"/>
                    <w:tr2bl w:val="nil"/>
                  </w:tcBorders>
                  <w:shd w:val="clear" w:color="auto" w:fill="auto"/>
                  <w:vAlign w:val="center"/>
                </w:tcPr>
                <w:p w14:paraId="503480F4">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b/>
                      <w:color w:val="000000" w:themeColor="text1"/>
                      <w:sz w:val="21"/>
                      <w:szCs w:val="21"/>
                      <w:highlight w:val="none"/>
                      <w:shd w:val="clear" w:color="auto" w:fill="auto"/>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shd w:val="clear" w:color="auto" w:fill="auto"/>
                      <w14:textFill>
                        <w14:solidFill>
                          <w14:schemeClr w14:val="tx1"/>
                        </w14:solidFill>
                      </w14:textFill>
                    </w:rPr>
                    <w:t>建筑物插入损失/dB(A)</w:t>
                  </w:r>
                </w:p>
              </w:tc>
              <w:tc>
                <w:tcPr>
                  <w:tcW w:w="802" w:type="pct"/>
                  <w:gridSpan w:val="5"/>
                  <w:tcBorders>
                    <w:tl2br w:val="nil"/>
                    <w:tr2bl w:val="nil"/>
                  </w:tcBorders>
                  <w:shd w:val="clear" w:color="auto" w:fill="auto"/>
                  <w:vAlign w:val="center"/>
                </w:tcPr>
                <w:p w14:paraId="21AE7642">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b/>
                      <w:bCs w:val="0"/>
                      <w:color w:val="000000" w:themeColor="text1"/>
                      <w:sz w:val="21"/>
                      <w:szCs w:val="21"/>
                      <w:highlight w:val="none"/>
                      <w:shd w:val="clear" w:color="auto" w:fill="auto"/>
                      <w14:textFill>
                        <w14:solidFill>
                          <w14:schemeClr w14:val="tx1"/>
                        </w14:solidFill>
                      </w14:textFill>
                    </w:rPr>
                  </w:pPr>
                  <w:r>
                    <w:rPr>
                      <w:rFonts w:hint="default" w:ascii="Times New Roman" w:hAnsi="Times New Roman" w:cs="Times New Roman" w:eastAsiaTheme="minorEastAsia"/>
                      <w:b/>
                      <w:bCs w:val="0"/>
                      <w:color w:val="000000" w:themeColor="text1"/>
                      <w:sz w:val="21"/>
                      <w:szCs w:val="21"/>
                      <w:highlight w:val="none"/>
                      <w:shd w:val="clear" w:color="auto" w:fill="auto"/>
                      <w14:textFill>
                        <w14:solidFill>
                          <w14:schemeClr w14:val="tx1"/>
                        </w14:solidFill>
                      </w14:textFill>
                    </w:rPr>
                    <w:t>建筑物外噪声声压级/dB(A)</w:t>
                  </w:r>
                </w:p>
              </w:tc>
            </w:tr>
            <w:tr w14:paraId="19A24CA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 w:type="pct"/>
                  <w:vMerge w:val="continue"/>
                  <w:tcBorders>
                    <w:tl2br w:val="nil"/>
                    <w:tr2bl w:val="nil"/>
                  </w:tcBorders>
                  <w:shd w:val="clear" w:color="auto" w:fill="auto"/>
                  <w:tcMar>
                    <w:top w:w="0" w:type="dxa"/>
                    <w:left w:w="0" w:type="dxa"/>
                    <w:bottom w:w="0" w:type="dxa"/>
                    <w:right w:w="0" w:type="dxa"/>
                  </w:tcMar>
                  <w:vAlign w:val="center"/>
                </w:tcPr>
                <w:p w14:paraId="6EE0C735">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000000" w:themeColor="text1"/>
                      <w:sz w:val="21"/>
                      <w:szCs w:val="21"/>
                      <w:highlight w:val="none"/>
                      <w:shd w:val="clear" w:color="auto" w:fill="auto"/>
                      <w:lang w:val="en-US" w:eastAsia="zh-CN"/>
                      <w14:textFill>
                        <w14:solidFill>
                          <w14:schemeClr w14:val="tx1"/>
                        </w14:solidFill>
                      </w14:textFill>
                    </w:rPr>
                  </w:pPr>
                </w:p>
              </w:tc>
              <w:tc>
                <w:tcPr>
                  <w:tcW w:w="170" w:type="pct"/>
                  <w:vMerge w:val="continue"/>
                  <w:tcBorders>
                    <w:tl2br w:val="nil"/>
                    <w:tr2bl w:val="nil"/>
                  </w:tcBorders>
                  <w:shd w:val="clear" w:color="auto" w:fill="auto"/>
                  <w:tcMar>
                    <w:top w:w="0" w:type="dxa"/>
                    <w:left w:w="0" w:type="dxa"/>
                    <w:bottom w:w="0" w:type="dxa"/>
                    <w:right w:w="0" w:type="dxa"/>
                  </w:tcMar>
                  <w:vAlign w:val="center"/>
                </w:tcPr>
                <w:p w14:paraId="796019A2">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000000" w:themeColor="text1"/>
                      <w:sz w:val="21"/>
                      <w:szCs w:val="21"/>
                      <w:highlight w:val="none"/>
                      <w:shd w:val="clear" w:color="auto" w:fill="auto"/>
                      <w14:textFill>
                        <w14:solidFill>
                          <w14:schemeClr w14:val="tx1"/>
                        </w14:solidFill>
                      </w14:textFill>
                    </w:rPr>
                  </w:pPr>
                </w:p>
              </w:tc>
              <w:tc>
                <w:tcPr>
                  <w:tcW w:w="294" w:type="pct"/>
                  <w:vMerge w:val="continue"/>
                  <w:tcBorders>
                    <w:tl2br w:val="nil"/>
                    <w:tr2bl w:val="nil"/>
                  </w:tcBorders>
                  <w:shd w:val="clear" w:color="auto" w:fill="auto"/>
                  <w:tcMar>
                    <w:top w:w="0" w:type="dxa"/>
                    <w:left w:w="0" w:type="dxa"/>
                    <w:bottom w:w="0" w:type="dxa"/>
                    <w:right w:w="0" w:type="dxa"/>
                  </w:tcMar>
                  <w:vAlign w:val="center"/>
                </w:tcPr>
                <w:p w14:paraId="27A7D479">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000000" w:themeColor="text1"/>
                      <w:sz w:val="21"/>
                      <w:szCs w:val="21"/>
                      <w:highlight w:val="none"/>
                      <w:shd w:val="clear" w:color="auto" w:fill="auto"/>
                      <w14:textFill>
                        <w14:solidFill>
                          <w14:schemeClr w14:val="tx1"/>
                        </w14:solidFill>
                      </w14:textFill>
                    </w:rPr>
                  </w:pPr>
                </w:p>
              </w:tc>
              <w:tc>
                <w:tcPr>
                  <w:tcW w:w="249" w:type="pct"/>
                  <w:vMerge w:val="continue"/>
                  <w:tcBorders>
                    <w:tl2br w:val="nil"/>
                    <w:tr2bl w:val="nil"/>
                  </w:tcBorders>
                  <w:shd w:val="clear" w:color="auto" w:fill="auto"/>
                  <w:tcMar>
                    <w:top w:w="0" w:type="dxa"/>
                    <w:left w:w="0" w:type="dxa"/>
                    <w:bottom w:w="0" w:type="dxa"/>
                    <w:right w:w="0" w:type="dxa"/>
                  </w:tcMar>
                  <w:vAlign w:val="center"/>
                </w:tcPr>
                <w:p w14:paraId="4D2D846B">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b/>
                      <w:bCs w:val="0"/>
                      <w:color w:val="000000" w:themeColor="text1"/>
                      <w:sz w:val="21"/>
                      <w:szCs w:val="21"/>
                      <w:highlight w:val="none"/>
                      <w:shd w:val="clear" w:color="auto" w:fill="auto"/>
                      <w14:textFill>
                        <w14:solidFill>
                          <w14:schemeClr w14:val="tx1"/>
                        </w14:solidFill>
                      </w14:textFill>
                    </w:rPr>
                  </w:pPr>
                </w:p>
              </w:tc>
              <w:tc>
                <w:tcPr>
                  <w:tcW w:w="254" w:type="pct"/>
                  <w:tcBorders>
                    <w:tl2br w:val="nil"/>
                    <w:tr2bl w:val="nil"/>
                  </w:tcBorders>
                  <w:shd w:val="clear" w:color="auto" w:fill="auto"/>
                  <w:tcMar>
                    <w:top w:w="0" w:type="dxa"/>
                    <w:left w:w="0" w:type="dxa"/>
                    <w:bottom w:w="0" w:type="dxa"/>
                    <w:right w:w="0" w:type="dxa"/>
                  </w:tcMar>
                  <w:vAlign w:val="center"/>
                </w:tcPr>
                <w:p w14:paraId="218D60EA">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b/>
                      <w:bCs w:val="0"/>
                      <w:color w:val="000000" w:themeColor="text1"/>
                      <w:sz w:val="21"/>
                      <w:szCs w:val="21"/>
                      <w:highlight w:val="none"/>
                      <w:shd w:val="clear" w:color="auto" w:fill="auto"/>
                      <w14:textFill>
                        <w14:solidFill>
                          <w14:schemeClr w14:val="tx1"/>
                        </w14:solidFill>
                      </w14:textFill>
                    </w:rPr>
                  </w:pPr>
                  <w:r>
                    <w:rPr>
                      <w:rFonts w:hint="default" w:ascii="Times New Roman" w:hAnsi="Times New Roman" w:cs="Times New Roman" w:eastAsiaTheme="minorEastAsia"/>
                      <w:b/>
                      <w:bCs w:val="0"/>
                      <w:color w:val="000000" w:themeColor="text1"/>
                      <w:sz w:val="21"/>
                      <w:szCs w:val="21"/>
                      <w:highlight w:val="none"/>
                      <w:shd w:val="clear" w:color="auto" w:fill="auto"/>
                      <w14:textFill>
                        <w14:solidFill>
                          <w14:schemeClr w14:val="tx1"/>
                        </w14:solidFill>
                      </w14:textFill>
                    </w:rPr>
                    <w:t>声功率级/dB(A)</w:t>
                  </w:r>
                </w:p>
              </w:tc>
              <w:tc>
                <w:tcPr>
                  <w:tcW w:w="173" w:type="pct"/>
                  <w:vMerge w:val="continue"/>
                  <w:tcBorders>
                    <w:tl2br w:val="nil"/>
                    <w:tr2bl w:val="nil"/>
                  </w:tcBorders>
                  <w:shd w:val="clear" w:color="auto" w:fill="auto"/>
                  <w:tcMar>
                    <w:top w:w="0" w:type="dxa"/>
                    <w:left w:w="0" w:type="dxa"/>
                    <w:bottom w:w="0" w:type="dxa"/>
                    <w:right w:w="0" w:type="dxa"/>
                  </w:tcMar>
                  <w:vAlign w:val="center"/>
                </w:tcPr>
                <w:p w14:paraId="176C2CD5">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000000" w:themeColor="text1"/>
                      <w:sz w:val="21"/>
                      <w:szCs w:val="21"/>
                      <w:highlight w:val="none"/>
                      <w:shd w:val="clear" w:color="auto" w:fill="auto"/>
                      <w14:textFill>
                        <w14:solidFill>
                          <w14:schemeClr w14:val="tx1"/>
                        </w14:solidFill>
                      </w14:textFill>
                    </w:rPr>
                  </w:pPr>
                </w:p>
              </w:tc>
              <w:tc>
                <w:tcPr>
                  <w:tcW w:w="180" w:type="pct"/>
                  <w:tcBorders>
                    <w:tl2br w:val="nil"/>
                    <w:tr2bl w:val="nil"/>
                  </w:tcBorders>
                  <w:shd w:val="clear" w:color="auto" w:fill="auto"/>
                  <w:tcMar>
                    <w:top w:w="0" w:type="dxa"/>
                    <w:left w:w="0" w:type="dxa"/>
                    <w:bottom w:w="0" w:type="dxa"/>
                    <w:right w:w="0" w:type="dxa"/>
                  </w:tcMar>
                  <w:vAlign w:val="center"/>
                </w:tcPr>
                <w:p w14:paraId="7388DCDF">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b/>
                      <w:bCs/>
                      <w:color w:val="000000" w:themeColor="text1"/>
                      <w:sz w:val="21"/>
                      <w:szCs w:val="21"/>
                      <w:highlight w:val="none"/>
                      <w:shd w:val="clear" w:color="auto" w:fill="auto"/>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shd w:val="clear" w:color="auto" w:fill="auto"/>
                      <w14:textFill>
                        <w14:solidFill>
                          <w14:schemeClr w14:val="tx1"/>
                        </w14:solidFill>
                      </w14:textFill>
                    </w:rPr>
                    <w:t>X</w:t>
                  </w:r>
                </w:p>
              </w:tc>
              <w:tc>
                <w:tcPr>
                  <w:tcW w:w="180" w:type="pct"/>
                  <w:tcBorders>
                    <w:tl2br w:val="nil"/>
                    <w:tr2bl w:val="nil"/>
                  </w:tcBorders>
                  <w:shd w:val="clear" w:color="auto" w:fill="auto"/>
                  <w:tcMar>
                    <w:top w:w="0" w:type="dxa"/>
                    <w:left w:w="0" w:type="dxa"/>
                    <w:bottom w:w="0" w:type="dxa"/>
                    <w:right w:w="0" w:type="dxa"/>
                  </w:tcMar>
                  <w:vAlign w:val="center"/>
                </w:tcPr>
                <w:p w14:paraId="48471851">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b/>
                      <w:bCs/>
                      <w:color w:val="000000" w:themeColor="text1"/>
                      <w:sz w:val="21"/>
                      <w:szCs w:val="21"/>
                      <w:highlight w:val="none"/>
                      <w:shd w:val="clear" w:color="auto" w:fill="auto"/>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shd w:val="clear" w:color="auto" w:fill="auto"/>
                      <w14:textFill>
                        <w14:solidFill>
                          <w14:schemeClr w14:val="tx1"/>
                        </w14:solidFill>
                      </w14:textFill>
                    </w:rPr>
                    <w:t>Y</w:t>
                  </w:r>
                </w:p>
              </w:tc>
              <w:tc>
                <w:tcPr>
                  <w:tcW w:w="194" w:type="pct"/>
                  <w:tcBorders>
                    <w:tl2br w:val="nil"/>
                    <w:tr2bl w:val="nil"/>
                  </w:tcBorders>
                  <w:shd w:val="clear" w:color="auto" w:fill="auto"/>
                  <w:tcMar>
                    <w:top w:w="0" w:type="dxa"/>
                    <w:left w:w="0" w:type="dxa"/>
                    <w:bottom w:w="0" w:type="dxa"/>
                    <w:right w:w="0" w:type="dxa"/>
                  </w:tcMar>
                  <w:vAlign w:val="center"/>
                </w:tcPr>
                <w:p w14:paraId="53165C90">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b/>
                      <w:bCs/>
                      <w:color w:val="000000" w:themeColor="text1"/>
                      <w:sz w:val="21"/>
                      <w:szCs w:val="21"/>
                      <w:highlight w:val="none"/>
                      <w:shd w:val="clear" w:color="auto" w:fill="auto"/>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shd w:val="clear" w:color="auto" w:fill="auto"/>
                      <w14:textFill>
                        <w14:solidFill>
                          <w14:schemeClr w14:val="tx1"/>
                        </w14:solidFill>
                      </w14:textFill>
                    </w:rPr>
                    <w:t>Z</w:t>
                  </w:r>
                </w:p>
              </w:tc>
              <w:tc>
                <w:tcPr>
                  <w:tcW w:w="173" w:type="pct"/>
                  <w:tcBorders>
                    <w:tl2br w:val="nil"/>
                    <w:tr2bl w:val="nil"/>
                  </w:tcBorders>
                  <w:shd w:val="clear" w:color="auto" w:fill="auto"/>
                  <w:tcMar>
                    <w:top w:w="0" w:type="dxa"/>
                    <w:left w:w="0" w:type="dxa"/>
                    <w:bottom w:w="0" w:type="dxa"/>
                    <w:right w:w="0" w:type="dxa"/>
                  </w:tcMar>
                  <w:vAlign w:val="center"/>
                </w:tcPr>
                <w:p w14:paraId="0F1E5B1C">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b/>
                      <w:bCs/>
                      <w:color w:val="000000" w:themeColor="text1"/>
                      <w:sz w:val="21"/>
                      <w:szCs w:val="21"/>
                      <w:highlight w:val="none"/>
                      <w:shd w:val="clear" w:color="auto" w:fill="auto"/>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shd w:val="clear" w:color="auto" w:fill="auto"/>
                      <w:lang w:val="en-US" w:eastAsia="zh-CN"/>
                      <w14:textFill>
                        <w14:solidFill>
                          <w14:schemeClr w14:val="tx1"/>
                        </w14:solidFill>
                      </w14:textFill>
                    </w:rPr>
                    <w:t>东</w:t>
                  </w:r>
                </w:p>
              </w:tc>
              <w:tc>
                <w:tcPr>
                  <w:tcW w:w="173" w:type="pct"/>
                  <w:tcBorders>
                    <w:tl2br w:val="nil"/>
                    <w:tr2bl w:val="nil"/>
                  </w:tcBorders>
                  <w:shd w:val="clear" w:color="auto" w:fill="auto"/>
                  <w:tcMar>
                    <w:top w:w="0" w:type="dxa"/>
                    <w:left w:w="0" w:type="dxa"/>
                    <w:bottom w:w="0" w:type="dxa"/>
                    <w:right w:w="0" w:type="dxa"/>
                  </w:tcMar>
                  <w:vAlign w:val="center"/>
                </w:tcPr>
                <w:p w14:paraId="3AD250AE">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b/>
                      <w:bCs/>
                      <w:color w:val="000000" w:themeColor="text1"/>
                      <w:sz w:val="21"/>
                      <w:szCs w:val="21"/>
                      <w:highlight w:val="none"/>
                      <w:shd w:val="clear" w:color="auto" w:fill="auto"/>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shd w:val="clear" w:color="auto" w:fill="auto"/>
                      <w:lang w:val="en-US" w:eastAsia="zh-CN"/>
                      <w14:textFill>
                        <w14:solidFill>
                          <w14:schemeClr w14:val="tx1"/>
                        </w14:solidFill>
                      </w14:textFill>
                    </w:rPr>
                    <w:t>南</w:t>
                  </w:r>
                </w:p>
              </w:tc>
              <w:tc>
                <w:tcPr>
                  <w:tcW w:w="173" w:type="pct"/>
                  <w:tcBorders>
                    <w:tl2br w:val="nil"/>
                    <w:tr2bl w:val="nil"/>
                  </w:tcBorders>
                  <w:shd w:val="clear" w:color="auto" w:fill="auto"/>
                  <w:tcMar>
                    <w:top w:w="0" w:type="dxa"/>
                    <w:left w:w="0" w:type="dxa"/>
                    <w:bottom w:w="0" w:type="dxa"/>
                    <w:right w:w="0" w:type="dxa"/>
                  </w:tcMar>
                  <w:vAlign w:val="center"/>
                </w:tcPr>
                <w:p w14:paraId="7CB6DD31">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b/>
                      <w:bCs/>
                      <w:color w:val="000000" w:themeColor="text1"/>
                      <w:sz w:val="21"/>
                      <w:szCs w:val="21"/>
                      <w:highlight w:val="none"/>
                      <w:shd w:val="clear" w:color="auto" w:fill="auto"/>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shd w:val="clear" w:color="auto" w:fill="auto"/>
                      <w:lang w:val="en-US" w:eastAsia="zh-CN"/>
                      <w14:textFill>
                        <w14:solidFill>
                          <w14:schemeClr w14:val="tx1"/>
                        </w14:solidFill>
                      </w14:textFill>
                    </w:rPr>
                    <w:t>西</w:t>
                  </w:r>
                </w:p>
              </w:tc>
              <w:tc>
                <w:tcPr>
                  <w:tcW w:w="179" w:type="pct"/>
                  <w:tcBorders>
                    <w:tl2br w:val="nil"/>
                    <w:tr2bl w:val="nil"/>
                  </w:tcBorders>
                  <w:shd w:val="clear" w:color="auto" w:fill="auto"/>
                  <w:tcMar>
                    <w:top w:w="0" w:type="dxa"/>
                    <w:left w:w="0" w:type="dxa"/>
                    <w:bottom w:w="0" w:type="dxa"/>
                    <w:right w:w="0" w:type="dxa"/>
                  </w:tcMar>
                  <w:vAlign w:val="center"/>
                </w:tcPr>
                <w:p w14:paraId="25DD8138">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b/>
                      <w:bCs/>
                      <w:color w:val="000000" w:themeColor="text1"/>
                      <w:sz w:val="21"/>
                      <w:szCs w:val="21"/>
                      <w:highlight w:val="none"/>
                      <w:shd w:val="clear" w:color="auto" w:fill="auto"/>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shd w:val="clear" w:color="auto" w:fill="auto"/>
                      <w:lang w:val="en-US" w:eastAsia="zh-CN"/>
                      <w14:textFill>
                        <w14:solidFill>
                          <w14:schemeClr w14:val="tx1"/>
                        </w14:solidFill>
                      </w14:textFill>
                    </w:rPr>
                    <w:t>北</w:t>
                  </w:r>
                </w:p>
              </w:tc>
              <w:tc>
                <w:tcPr>
                  <w:tcW w:w="173" w:type="pct"/>
                  <w:tcBorders>
                    <w:tl2br w:val="nil"/>
                    <w:tr2bl w:val="nil"/>
                  </w:tcBorders>
                  <w:shd w:val="clear" w:color="auto" w:fill="auto"/>
                  <w:tcMar>
                    <w:top w:w="0" w:type="dxa"/>
                    <w:left w:w="0" w:type="dxa"/>
                    <w:bottom w:w="0" w:type="dxa"/>
                    <w:right w:w="0" w:type="dxa"/>
                  </w:tcMar>
                  <w:vAlign w:val="center"/>
                </w:tcPr>
                <w:p w14:paraId="7CE43DA4">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b/>
                      <w:bCs/>
                      <w:color w:val="000000" w:themeColor="text1"/>
                      <w:sz w:val="21"/>
                      <w:szCs w:val="21"/>
                      <w:highlight w:val="none"/>
                      <w:shd w:val="clear" w:color="auto" w:fill="auto"/>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shd w:val="clear" w:color="auto" w:fill="auto"/>
                      <w:lang w:val="en-US" w:eastAsia="zh-CN"/>
                      <w14:textFill>
                        <w14:solidFill>
                          <w14:schemeClr w14:val="tx1"/>
                        </w14:solidFill>
                      </w14:textFill>
                    </w:rPr>
                    <w:t>东</w:t>
                  </w:r>
                </w:p>
              </w:tc>
              <w:tc>
                <w:tcPr>
                  <w:tcW w:w="173" w:type="pct"/>
                  <w:tcBorders>
                    <w:tl2br w:val="nil"/>
                    <w:tr2bl w:val="nil"/>
                  </w:tcBorders>
                  <w:shd w:val="clear" w:color="auto" w:fill="auto"/>
                  <w:tcMar>
                    <w:top w:w="0" w:type="dxa"/>
                    <w:left w:w="0" w:type="dxa"/>
                    <w:bottom w:w="0" w:type="dxa"/>
                    <w:right w:w="0" w:type="dxa"/>
                  </w:tcMar>
                  <w:vAlign w:val="center"/>
                </w:tcPr>
                <w:p w14:paraId="5939A163">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b/>
                      <w:bCs/>
                      <w:color w:val="000000" w:themeColor="text1"/>
                      <w:sz w:val="21"/>
                      <w:szCs w:val="21"/>
                      <w:highlight w:val="none"/>
                      <w:shd w:val="clear" w:color="auto" w:fill="auto"/>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shd w:val="clear" w:color="auto" w:fill="auto"/>
                      <w:lang w:val="en-US" w:eastAsia="zh-CN"/>
                      <w14:textFill>
                        <w14:solidFill>
                          <w14:schemeClr w14:val="tx1"/>
                        </w14:solidFill>
                      </w14:textFill>
                    </w:rPr>
                    <w:t>南</w:t>
                  </w:r>
                </w:p>
              </w:tc>
              <w:tc>
                <w:tcPr>
                  <w:tcW w:w="173" w:type="pct"/>
                  <w:tcBorders>
                    <w:tl2br w:val="nil"/>
                    <w:tr2bl w:val="nil"/>
                  </w:tcBorders>
                  <w:shd w:val="clear" w:color="auto" w:fill="auto"/>
                  <w:tcMar>
                    <w:top w:w="0" w:type="dxa"/>
                    <w:left w:w="0" w:type="dxa"/>
                    <w:bottom w:w="0" w:type="dxa"/>
                    <w:right w:w="0" w:type="dxa"/>
                  </w:tcMar>
                  <w:vAlign w:val="center"/>
                </w:tcPr>
                <w:p w14:paraId="5A931C55">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b/>
                      <w:bCs/>
                      <w:color w:val="000000" w:themeColor="text1"/>
                      <w:sz w:val="21"/>
                      <w:szCs w:val="21"/>
                      <w:highlight w:val="none"/>
                      <w:shd w:val="clear" w:color="auto" w:fill="auto"/>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shd w:val="clear" w:color="auto" w:fill="auto"/>
                      <w:lang w:val="en-US" w:eastAsia="zh-CN"/>
                      <w14:textFill>
                        <w14:solidFill>
                          <w14:schemeClr w14:val="tx1"/>
                        </w14:solidFill>
                      </w14:textFill>
                    </w:rPr>
                    <w:t>西</w:t>
                  </w:r>
                </w:p>
              </w:tc>
              <w:tc>
                <w:tcPr>
                  <w:tcW w:w="181" w:type="pct"/>
                  <w:tcBorders>
                    <w:tl2br w:val="nil"/>
                    <w:tr2bl w:val="nil"/>
                  </w:tcBorders>
                  <w:shd w:val="clear" w:color="auto" w:fill="auto"/>
                  <w:tcMar>
                    <w:top w:w="0" w:type="dxa"/>
                    <w:left w:w="0" w:type="dxa"/>
                    <w:bottom w:w="0" w:type="dxa"/>
                    <w:right w:w="0" w:type="dxa"/>
                  </w:tcMar>
                  <w:vAlign w:val="center"/>
                </w:tcPr>
                <w:p w14:paraId="6B74CCE1">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b/>
                      <w:bCs/>
                      <w:color w:val="000000" w:themeColor="text1"/>
                      <w:sz w:val="21"/>
                      <w:szCs w:val="21"/>
                      <w:highlight w:val="none"/>
                      <w:shd w:val="clear" w:color="auto" w:fill="auto"/>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shd w:val="clear" w:color="auto" w:fill="auto"/>
                      <w:lang w:val="en-US" w:eastAsia="zh-CN"/>
                      <w14:textFill>
                        <w14:solidFill>
                          <w14:schemeClr w14:val="tx1"/>
                        </w14:solidFill>
                      </w14:textFill>
                    </w:rPr>
                    <w:t>北</w:t>
                  </w:r>
                </w:p>
              </w:tc>
              <w:tc>
                <w:tcPr>
                  <w:tcW w:w="170" w:type="pct"/>
                  <w:vMerge w:val="continue"/>
                  <w:tcBorders>
                    <w:tl2br w:val="nil"/>
                    <w:tr2bl w:val="nil"/>
                  </w:tcBorders>
                  <w:shd w:val="clear" w:color="auto" w:fill="auto"/>
                  <w:tcMar>
                    <w:top w:w="0" w:type="dxa"/>
                    <w:left w:w="0" w:type="dxa"/>
                    <w:bottom w:w="0" w:type="dxa"/>
                    <w:right w:w="0" w:type="dxa"/>
                  </w:tcMar>
                  <w:vAlign w:val="center"/>
                </w:tcPr>
                <w:p w14:paraId="61BA3A34">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000000" w:themeColor="text1"/>
                      <w:sz w:val="21"/>
                      <w:szCs w:val="21"/>
                      <w:highlight w:val="none"/>
                      <w:shd w:val="clear" w:color="auto" w:fill="auto"/>
                      <w14:textFill>
                        <w14:solidFill>
                          <w14:schemeClr w14:val="tx1"/>
                        </w14:solidFill>
                      </w14:textFill>
                    </w:rPr>
                  </w:pPr>
                </w:p>
              </w:tc>
              <w:tc>
                <w:tcPr>
                  <w:tcW w:w="136" w:type="pct"/>
                  <w:tcBorders>
                    <w:tl2br w:val="nil"/>
                    <w:tr2bl w:val="nil"/>
                  </w:tcBorders>
                  <w:shd w:val="clear" w:color="auto" w:fill="auto"/>
                  <w:tcMar>
                    <w:top w:w="0" w:type="dxa"/>
                    <w:left w:w="0" w:type="dxa"/>
                    <w:bottom w:w="0" w:type="dxa"/>
                    <w:right w:w="0" w:type="dxa"/>
                  </w:tcMar>
                  <w:vAlign w:val="center"/>
                </w:tcPr>
                <w:p w14:paraId="1DBD8A6E">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b/>
                      <w:bCs/>
                      <w:color w:val="000000" w:themeColor="text1"/>
                      <w:sz w:val="21"/>
                      <w:szCs w:val="21"/>
                      <w:highlight w:val="none"/>
                      <w:shd w:val="clear" w:color="auto" w:fill="auto"/>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shd w:val="clear" w:color="auto" w:fill="auto"/>
                      <w:lang w:val="en-US" w:eastAsia="zh-CN"/>
                      <w14:textFill>
                        <w14:solidFill>
                          <w14:schemeClr w14:val="tx1"/>
                        </w14:solidFill>
                      </w14:textFill>
                    </w:rPr>
                    <w:t>东</w:t>
                  </w:r>
                </w:p>
              </w:tc>
              <w:tc>
                <w:tcPr>
                  <w:tcW w:w="136" w:type="pct"/>
                  <w:tcBorders>
                    <w:tl2br w:val="nil"/>
                    <w:tr2bl w:val="nil"/>
                  </w:tcBorders>
                  <w:shd w:val="clear" w:color="auto" w:fill="auto"/>
                  <w:tcMar>
                    <w:top w:w="0" w:type="dxa"/>
                    <w:left w:w="0" w:type="dxa"/>
                    <w:bottom w:w="0" w:type="dxa"/>
                    <w:right w:w="0" w:type="dxa"/>
                  </w:tcMar>
                  <w:vAlign w:val="center"/>
                </w:tcPr>
                <w:p w14:paraId="6F1E90AE">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b/>
                      <w:bCs/>
                      <w:color w:val="000000" w:themeColor="text1"/>
                      <w:sz w:val="21"/>
                      <w:szCs w:val="21"/>
                      <w:highlight w:val="none"/>
                      <w:shd w:val="clear" w:color="auto" w:fill="auto"/>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shd w:val="clear" w:color="auto" w:fill="auto"/>
                      <w:lang w:val="en-US" w:eastAsia="zh-CN"/>
                      <w14:textFill>
                        <w14:solidFill>
                          <w14:schemeClr w14:val="tx1"/>
                        </w14:solidFill>
                      </w14:textFill>
                    </w:rPr>
                    <w:t>南</w:t>
                  </w:r>
                </w:p>
              </w:tc>
              <w:tc>
                <w:tcPr>
                  <w:tcW w:w="136" w:type="pct"/>
                  <w:tcBorders>
                    <w:tl2br w:val="nil"/>
                    <w:tr2bl w:val="nil"/>
                  </w:tcBorders>
                  <w:shd w:val="clear" w:color="auto" w:fill="auto"/>
                  <w:tcMar>
                    <w:top w:w="0" w:type="dxa"/>
                    <w:left w:w="0" w:type="dxa"/>
                    <w:bottom w:w="0" w:type="dxa"/>
                    <w:right w:w="0" w:type="dxa"/>
                  </w:tcMar>
                  <w:vAlign w:val="center"/>
                </w:tcPr>
                <w:p w14:paraId="631A20FE">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b/>
                      <w:bCs/>
                      <w:color w:val="000000" w:themeColor="text1"/>
                      <w:sz w:val="21"/>
                      <w:szCs w:val="21"/>
                      <w:highlight w:val="none"/>
                      <w:shd w:val="clear" w:color="auto" w:fill="auto"/>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shd w:val="clear" w:color="auto" w:fill="auto"/>
                      <w:lang w:val="en-US" w:eastAsia="zh-CN"/>
                      <w14:textFill>
                        <w14:solidFill>
                          <w14:schemeClr w14:val="tx1"/>
                        </w14:solidFill>
                      </w14:textFill>
                    </w:rPr>
                    <w:t>西</w:t>
                  </w:r>
                </w:p>
              </w:tc>
              <w:tc>
                <w:tcPr>
                  <w:tcW w:w="136" w:type="pct"/>
                  <w:tcBorders>
                    <w:tl2br w:val="nil"/>
                    <w:tr2bl w:val="nil"/>
                  </w:tcBorders>
                  <w:shd w:val="clear" w:color="auto" w:fill="auto"/>
                  <w:tcMar>
                    <w:top w:w="0" w:type="dxa"/>
                    <w:left w:w="0" w:type="dxa"/>
                    <w:bottom w:w="0" w:type="dxa"/>
                    <w:right w:w="0" w:type="dxa"/>
                  </w:tcMar>
                  <w:vAlign w:val="center"/>
                </w:tcPr>
                <w:p w14:paraId="792835F3">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b/>
                      <w:bCs/>
                      <w:color w:val="000000" w:themeColor="text1"/>
                      <w:sz w:val="21"/>
                      <w:szCs w:val="21"/>
                      <w:highlight w:val="none"/>
                      <w:shd w:val="clear" w:color="auto" w:fill="auto"/>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shd w:val="clear" w:color="auto" w:fill="auto"/>
                      <w:lang w:val="en-US" w:eastAsia="zh-CN"/>
                      <w14:textFill>
                        <w14:solidFill>
                          <w14:schemeClr w14:val="tx1"/>
                        </w14:solidFill>
                      </w14:textFill>
                    </w:rPr>
                    <w:t>北</w:t>
                  </w:r>
                </w:p>
              </w:tc>
              <w:tc>
                <w:tcPr>
                  <w:tcW w:w="213" w:type="pct"/>
                  <w:vMerge w:val="continue"/>
                  <w:tcBorders>
                    <w:tl2br w:val="nil"/>
                    <w:tr2bl w:val="nil"/>
                  </w:tcBorders>
                  <w:shd w:val="clear" w:color="auto" w:fill="auto"/>
                  <w:tcMar>
                    <w:top w:w="0" w:type="dxa"/>
                    <w:left w:w="0" w:type="dxa"/>
                    <w:bottom w:w="0" w:type="dxa"/>
                    <w:right w:w="0" w:type="dxa"/>
                  </w:tcMar>
                  <w:vAlign w:val="center"/>
                </w:tcPr>
                <w:p w14:paraId="01EFB978">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b/>
                      <w:bCs/>
                      <w:color w:val="000000" w:themeColor="text1"/>
                      <w:sz w:val="21"/>
                      <w:szCs w:val="21"/>
                      <w:highlight w:val="none"/>
                      <w:shd w:val="clear" w:color="auto" w:fill="auto"/>
                      <w14:textFill>
                        <w14:solidFill>
                          <w14:schemeClr w14:val="tx1"/>
                        </w14:solidFill>
                      </w14:textFill>
                    </w:rPr>
                  </w:pPr>
                </w:p>
              </w:tc>
              <w:tc>
                <w:tcPr>
                  <w:tcW w:w="149" w:type="pct"/>
                  <w:tcBorders>
                    <w:tl2br w:val="nil"/>
                    <w:tr2bl w:val="nil"/>
                  </w:tcBorders>
                  <w:shd w:val="clear" w:color="auto" w:fill="auto"/>
                  <w:tcMar>
                    <w:top w:w="0" w:type="dxa"/>
                    <w:left w:w="0" w:type="dxa"/>
                    <w:bottom w:w="0" w:type="dxa"/>
                    <w:right w:w="0" w:type="dxa"/>
                  </w:tcMar>
                  <w:vAlign w:val="center"/>
                </w:tcPr>
                <w:p w14:paraId="2091B0D8">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b/>
                      <w:bCs/>
                      <w:color w:val="000000" w:themeColor="text1"/>
                      <w:sz w:val="21"/>
                      <w:szCs w:val="21"/>
                      <w:highlight w:val="none"/>
                      <w:shd w:val="clear" w:color="auto" w:fill="auto"/>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shd w:val="clear" w:color="auto" w:fill="auto"/>
                      <w:lang w:val="en-US" w:eastAsia="zh-CN"/>
                      <w14:textFill>
                        <w14:solidFill>
                          <w14:schemeClr w14:val="tx1"/>
                        </w14:solidFill>
                      </w14:textFill>
                    </w:rPr>
                    <w:t>东</w:t>
                  </w:r>
                </w:p>
              </w:tc>
              <w:tc>
                <w:tcPr>
                  <w:tcW w:w="149" w:type="pct"/>
                  <w:tcBorders>
                    <w:tl2br w:val="nil"/>
                    <w:tr2bl w:val="nil"/>
                  </w:tcBorders>
                  <w:shd w:val="clear" w:color="auto" w:fill="auto"/>
                  <w:tcMar>
                    <w:top w:w="0" w:type="dxa"/>
                    <w:left w:w="0" w:type="dxa"/>
                    <w:bottom w:w="0" w:type="dxa"/>
                    <w:right w:w="0" w:type="dxa"/>
                  </w:tcMar>
                  <w:vAlign w:val="center"/>
                </w:tcPr>
                <w:p w14:paraId="09207788">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b/>
                      <w:bCs/>
                      <w:color w:val="000000" w:themeColor="text1"/>
                      <w:sz w:val="21"/>
                      <w:szCs w:val="21"/>
                      <w:highlight w:val="none"/>
                      <w:shd w:val="clear" w:color="auto" w:fill="auto"/>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shd w:val="clear" w:color="auto" w:fill="auto"/>
                      <w:lang w:val="en-US" w:eastAsia="zh-CN"/>
                      <w14:textFill>
                        <w14:solidFill>
                          <w14:schemeClr w14:val="tx1"/>
                        </w14:solidFill>
                      </w14:textFill>
                    </w:rPr>
                    <w:t>南</w:t>
                  </w:r>
                </w:p>
              </w:tc>
              <w:tc>
                <w:tcPr>
                  <w:tcW w:w="149" w:type="pct"/>
                  <w:tcBorders>
                    <w:tl2br w:val="nil"/>
                    <w:tr2bl w:val="nil"/>
                  </w:tcBorders>
                  <w:shd w:val="clear" w:color="auto" w:fill="auto"/>
                  <w:tcMar>
                    <w:top w:w="0" w:type="dxa"/>
                    <w:left w:w="0" w:type="dxa"/>
                    <w:bottom w:w="0" w:type="dxa"/>
                    <w:right w:w="0" w:type="dxa"/>
                  </w:tcMar>
                  <w:vAlign w:val="center"/>
                </w:tcPr>
                <w:p w14:paraId="6C0F6330">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b/>
                      <w:bCs/>
                      <w:color w:val="000000" w:themeColor="text1"/>
                      <w:sz w:val="21"/>
                      <w:szCs w:val="21"/>
                      <w:highlight w:val="none"/>
                      <w:shd w:val="clear" w:color="auto" w:fill="auto"/>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shd w:val="clear" w:color="auto" w:fill="auto"/>
                      <w:lang w:val="en-US" w:eastAsia="zh-CN"/>
                      <w14:textFill>
                        <w14:solidFill>
                          <w14:schemeClr w14:val="tx1"/>
                        </w14:solidFill>
                      </w14:textFill>
                    </w:rPr>
                    <w:t>西</w:t>
                  </w:r>
                </w:p>
              </w:tc>
              <w:tc>
                <w:tcPr>
                  <w:tcW w:w="149" w:type="pct"/>
                  <w:tcBorders>
                    <w:tl2br w:val="nil"/>
                    <w:tr2bl w:val="nil"/>
                  </w:tcBorders>
                  <w:shd w:val="clear" w:color="auto" w:fill="auto"/>
                  <w:tcMar>
                    <w:top w:w="0" w:type="dxa"/>
                    <w:left w:w="0" w:type="dxa"/>
                    <w:bottom w:w="0" w:type="dxa"/>
                    <w:right w:w="0" w:type="dxa"/>
                  </w:tcMar>
                  <w:vAlign w:val="center"/>
                </w:tcPr>
                <w:p w14:paraId="41146B69">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b/>
                      <w:bCs/>
                      <w:color w:val="000000" w:themeColor="text1"/>
                      <w:sz w:val="21"/>
                      <w:szCs w:val="21"/>
                      <w:highlight w:val="none"/>
                      <w:shd w:val="clear" w:color="auto" w:fill="auto"/>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shd w:val="clear" w:color="auto" w:fill="auto"/>
                      <w:lang w:val="en-US" w:eastAsia="zh-CN"/>
                      <w14:textFill>
                        <w14:solidFill>
                          <w14:schemeClr w14:val="tx1"/>
                        </w14:solidFill>
                      </w14:textFill>
                    </w:rPr>
                    <w:t>北</w:t>
                  </w:r>
                </w:p>
              </w:tc>
              <w:tc>
                <w:tcPr>
                  <w:tcW w:w="203" w:type="pct"/>
                  <w:tcBorders>
                    <w:tl2br w:val="nil"/>
                    <w:tr2bl w:val="nil"/>
                  </w:tcBorders>
                  <w:shd w:val="clear" w:color="auto" w:fill="auto"/>
                  <w:tcMar>
                    <w:top w:w="0" w:type="dxa"/>
                    <w:left w:w="0" w:type="dxa"/>
                    <w:bottom w:w="0" w:type="dxa"/>
                    <w:right w:w="0" w:type="dxa"/>
                  </w:tcMar>
                  <w:vAlign w:val="center"/>
                </w:tcPr>
                <w:p w14:paraId="05089FAC">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b/>
                      <w:bCs/>
                      <w:color w:val="000000" w:themeColor="text1"/>
                      <w:sz w:val="21"/>
                      <w:szCs w:val="21"/>
                      <w:highlight w:val="none"/>
                      <w:shd w:val="clear" w:color="auto" w:fill="auto"/>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shd w:val="clear" w:color="auto" w:fill="auto"/>
                      <w14:textFill>
                        <w14:solidFill>
                          <w14:schemeClr w14:val="tx1"/>
                        </w14:solidFill>
                      </w14:textFill>
                    </w:rPr>
                    <w:t>建筑物外距离</w:t>
                  </w:r>
                </w:p>
              </w:tc>
            </w:tr>
            <w:tr w14:paraId="64927E8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 w:type="pct"/>
                  <w:tcBorders>
                    <w:tl2br w:val="nil"/>
                    <w:tr2bl w:val="nil"/>
                  </w:tcBorders>
                  <w:shd w:val="clear" w:color="auto" w:fill="auto"/>
                  <w:tcMar>
                    <w:top w:w="0" w:type="dxa"/>
                    <w:left w:w="0" w:type="dxa"/>
                    <w:bottom w:w="0" w:type="dxa"/>
                    <w:right w:w="0" w:type="dxa"/>
                  </w:tcMar>
                  <w:vAlign w:val="center"/>
                </w:tcPr>
                <w:p w14:paraId="7B7960C1">
                  <w:pPr>
                    <w:keepNext w:val="0"/>
                    <w:keepLines w:val="0"/>
                    <w:pageBreakBefore w:val="0"/>
                    <w:widowControl w:val="0"/>
                    <w:numPr>
                      <w:ilvl w:val="0"/>
                      <w:numId w:val="2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0" w:type="pct"/>
                  <w:vMerge w:val="restart"/>
                  <w:tcBorders>
                    <w:tl2br w:val="nil"/>
                    <w:tr2bl w:val="nil"/>
                  </w:tcBorders>
                  <w:shd w:val="clear" w:color="auto" w:fill="auto"/>
                  <w:tcMar>
                    <w:top w:w="0" w:type="dxa"/>
                    <w:left w:w="0" w:type="dxa"/>
                    <w:bottom w:w="0" w:type="dxa"/>
                    <w:right w:w="0" w:type="dxa"/>
                  </w:tcMar>
                  <w:vAlign w:val="center"/>
                </w:tcPr>
                <w:p w14:paraId="54358B7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t>前处理车间</w:t>
                  </w:r>
                </w:p>
              </w:tc>
              <w:tc>
                <w:tcPr>
                  <w:tcW w:w="294" w:type="pct"/>
                  <w:tcBorders>
                    <w:tl2br w:val="nil"/>
                    <w:tr2bl w:val="nil"/>
                  </w:tcBorders>
                  <w:shd w:val="clear" w:color="auto" w:fill="auto"/>
                  <w:tcMar>
                    <w:top w:w="0" w:type="dxa"/>
                    <w:left w:w="0" w:type="dxa"/>
                    <w:bottom w:w="0" w:type="dxa"/>
                    <w:right w:w="0" w:type="dxa"/>
                  </w:tcMar>
                  <w:vAlign w:val="center"/>
                </w:tcPr>
                <w:p w14:paraId="53F434B1">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lang w:val="en-US"/>
                      <w14:textFill>
                        <w14:solidFill>
                          <w14:schemeClr w14:val="tx1"/>
                        </w14:solidFill>
                      </w14:textFill>
                    </w:rPr>
                  </w:pPr>
                  <w:r>
                    <w:rPr>
                      <w:rFonts w:hint="eastAsia" w:ascii="Times New Roman" w:hAnsi="Times New Roman" w:eastAsia="宋体" w:cs="Times New Roman"/>
                      <w:color w:val="000000" w:themeColor="text1"/>
                      <w:kern w:val="0"/>
                      <w:szCs w:val="21"/>
                      <w:lang w:eastAsia="zh-TW"/>
                      <w14:textFill>
                        <w14:solidFill>
                          <w14:schemeClr w14:val="tx1"/>
                        </w14:solidFill>
                      </w14:textFill>
                    </w:rPr>
                    <w:t>蒸润一体机</w:t>
                  </w:r>
                </w:p>
              </w:tc>
              <w:tc>
                <w:tcPr>
                  <w:tcW w:w="249" w:type="pct"/>
                  <w:tcBorders>
                    <w:tl2br w:val="nil"/>
                    <w:tr2bl w:val="nil"/>
                  </w:tcBorders>
                  <w:shd w:val="clear" w:color="auto" w:fill="auto"/>
                  <w:tcMar>
                    <w:top w:w="0" w:type="dxa"/>
                    <w:left w:w="0" w:type="dxa"/>
                    <w:bottom w:w="0" w:type="dxa"/>
                    <w:right w:w="0" w:type="dxa"/>
                  </w:tcMar>
                  <w:vAlign w:val="center"/>
                </w:tcPr>
                <w:p w14:paraId="60B09E06">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lang w:eastAsia="zh-TW"/>
                      <w14:textFill>
                        <w14:solidFill>
                          <w14:schemeClr w14:val="tx1"/>
                        </w14:solidFill>
                      </w14:textFill>
                    </w:rPr>
                    <w:t>ZRY-4000</w:t>
                  </w:r>
                </w:p>
              </w:tc>
              <w:tc>
                <w:tcPr>
                  <w:tcW w:w="254" w:type="pct"/>
                  <w:tcBorders>
                    <w:tl2br w:val="nil"/>
                    <w:tr2bl w:val="nil"/>
                  </w:tcBorders>
                  <w:shd w:val="clear" w:color="auto" w:fill="auto"/>
                  <w:tcMar>
                    <w:top w:w="0" w:type="dxa"/>
                    <w:left w:w="0" w:type="dxa"/>
                    <w:bottom w:w="0" w:type="dxa"/>
                    <w:right w:w="0" w:type="dxa"/>
                  </w:tcMar>
                  <w:vAlign w:val="center"/>
                </w:tcPr>
                <w:p w14:paraId="7303FE9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r>
                    <w:rPr>
                      <w:rFonts w:hint="eastAsia" w:cs="Times New Roman"/>
                      <w:color w:val="000000" w:themeColor="text1"/>
                      <w:sz w:val="21"/>
                      <w:szCs w:val="21"/>
                      <w:highlight w:val="none"/>
                      <w:shd w:val="clear" w:color="auto" w:fill="auto"/>
                      <w:lang w:val="en-US" w:eastAsia="zh-CN"/>
                      <w14:textFill>
                        <w14:solidFill>
                          <w14:schemeClr w14:val="tx1"/>
                        </w14:solidFill>
                      </w14:textFill>
                    </w:rPr>
                    <w:t>75</w:t>
                  </w:r>
                </w:p>
              </w:tc>
              <w:tc>
                <w:tcPr>
                  <w:tcW w:w="173" w:type="pct"/>
                  <w:vMerge w:val="restart"/>
                  <w:tcBorders>
                    <w:tl2br w:val="nil"/>
                    <w:tr2bl w:val="nil"/>
                  </w:tcBorders>
                  <w:shd w:val="clear" w:color="auto" w:fill="auto"/>
                  <w:tcMar>
                    <w:top w:w="0" w:type="dxa"/>
                    <w:left w:w="0" w:type="dxa"/>
                    <w:bottom w:w="0" w:type="dxa"/>
                    <w:right w:w="0" w:type="dxa"/>
                  </w:tcMar>
                  <w:vAlign w:val="center"/>
                </w:tcPr>
                <w:p w14:paraId="2B290320">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t>低噪声设备选型、基础减振、建筑隔声</w:t>
                  </w:r>
                </w:p>
              </w:tc>
              <w:tc>
                <w:tcPr>
                  <w:tcW w:w="180" w:type="pct"/>
                  <w:tcBorders>
                    <w:tl2br w:val="nil"/>
                    <w:tr2bl w:val="nil"/>
                  </w:tcBorders>
                  <w:shd w:val="clear" w:color="auto" w:fill="auto"/>
                  <w:tcMar>
                    <w:top w:w="0" w:type="dxa"/>
                    <w:left w:w="0" w:type="dxa"/>
                    <w:bottom w:w="0" w:type="dxa"/>
                    <w:right w:w="0" w:type="dxa"/>
                  </w:tcMar>
                  <w:vAlign w:val="center"/>
                </w:tcPr>
                <w:p w14:paraId="7623EC8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20.8</w:t>
                  </w:r>
                </w:p>
              </w:tc>
              <w:tc>
                <w:tcPr>
                  <w:tcW w:w="180" w:type="pct"/>
                  <w:tcBorders>
                    <w:tl2br w:val="nil"/>
                    <w:tr2bl w:val="nil"/>
                  </w:tcBorders>
                  <w:shd w:val="clear" w:color="auto" w:fill="auto"/>
                  <w:tcMar>
                    <w:top w:w="0" w:type="dxa"/>
                    <w:left w:w="0" w:type="dxa"/>
                    <w:bottom w:w="0" w:type="dxa"/>
                    <w:right w:w="0" w:type="dxa"/>
                  </w:tcMar>
                  <w:vAlign w:val="center"/>
                </w:tcPr>
                <w:p w14:paraId="0BEF7663">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144.7</w:t>
                  </w:r>
                </w:p>
              </w:tc>
              <w:tc>
                <w:tcPr>
                  <w:tcW w:w="194" w:type="pct"/>
                  <w:tcBorders>
                    <w:tl2br w:val="nil"/>
                    <w:tr2bl w:val="nil"/>
                  </w:tcBorders>
                  <w:shd w:val="clear" w:color="auto" w:fill="auto"/>
                  <w:tcMar>
                    <w:top w:w="0" w:type="dxa"/>
                    <w:left w:w="0" w:type="dxa"/>
                    <w:bottom w:w="0" w:type="dxa"/>
                    <w:right w:w="0" w:type="dxa"/>
                  </w:tcMar>
                  <w:vAlign w:val="center"/>
                </w:tcPr>
                <w:p w14:paraId="7E54EFA5">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w:t>
                  </w:r>
                </w:p>
              </w:tc>
              <w:tc>
                <w:tcPr>
                  <w:tcW w:w="173" w:type="pct"/>
                  <w:tcBorders>
                    <w:tl2br w:val="nil"/>
                    <w:tr2bl w:val="nil"/>
                  </w:tcBorders>
                  <w:shd w:val="clear" w:color="auto" w:fill="auto"/>
                  <w:tcMar>
                    <w:top w:w="0" w:type="dxa"/>
                    <w:left w:w="0" w:type="dxa"/>
                    <w:bottom w:w="0" w:type="dxa"/>
                    <w:right w:w="0" w:type="dxa"/>
                  </w:tcMar>
                  <w:vAlign w:val="center"/>
                </w:tcPr>
                <w:p w14:paraId="46640E9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26.9</w:t>
                  </w:r>
                </w:p>
              </w:tc>
              <w:tc>
                <w:tcPr>
                  <w:tcW w:w="173" w:type="pct"/>
                  <w:tcBorders>
                    <w:tl2br w:val="nil"/>
                    <w:tr2bl w:val="nil"/>
                  </w:tcBorders>
                  <w:shd w:val="clear" w:color="auto" w:fill="auto"/>
                  <w:tcMar>
                    <w:top w:w="0" w:type="dxa"/>
                    <w:left w:w="0" w:type="dxa"/>
                    <w:bottom w:w="0" w:type="dxa"/>
                    <w:right w:w="0" w:type="dxa"/>
                  </w:tcMar>
                  <w:vAlign w:val="center"/>
                </w:tcPr>
                <w:p w14:paraId="66A8211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17.1</w:t>
                  </w:r>
                </w:p>
              </w:tc>
              <w:tc>
                <w:tcPr>
                  <w:tcW w:w="173" w:type="pct"/>
                  <w:tcBorders>
                    <w:tl2br w:val="nil"/>
                    <w:tr2bl w:val="nil"/>
                  </w:tcBorders>
                  <w:shd w:val="clear" w:color="auto" w:fill="auto"/>
                  <w:tcMar>
                    <w:top w:w="0" w:type="dxa"/>
                    <w:left w:w="0" w:type="dxa"/>
                    <w:bottom w:w="0" w:type="dxa"/>
                    <w:right w:w="0" w:type="dxa"/>
                  </w:tcMar>
                  <w:vAlign w:val="center"/>
                </w:tcPr>
                <w:p w14:paraId="546D797B">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4.8</w:t>
                  </w:r>
                </w:p>
              </w:tc>
              <w:tc>
                <w:tcPr>
                  <w:tcW w:w="179" w:type="pct"/>
                  <w:tcBorders>
                    <w:tl2br w:val="nil"/>
                    <w:tr2bl w:val="nil"/>
                  </w:tcBorders>
                  <w:shd w:val="clear" w:color="auto" w:fill="auto"/>
                  <w:tcMar>
                    <w:top w:w="0" w:type="dxa"/>
                    <w:left w:w="0" w:type="dxa"/>
                    <w:bottom w:w="0" w:type="dxa"/>
                    <w:right w:w="0" w:type="dxa"/>
                  </w:tcMar>
                  <w:vAlign w:val="center"/>
                </w:tcPr>
                <w:p w14:paraId="108A5124">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47.2</w:t>
                  </w:r>
                </w:p>
              </w:tc>
              <w:tc>
                <w:tcPr>
                  <w:tcW w:w="173" w:type="pct"/>
                  <w:tcBorders>
                    <w:tl2br w:val="nil"/>
                    <w:tr2bl w:val="nil"/>
                  </w:tcBorders>
                  <w:shd w:val="clear" w:color="auto" w:fill="auto"/>
                  <w:tcMar>
                    <w:top w:w="0" w:type="dxa"/>
                    <w:left w:w="0" w:type="dxa"/>
                    <w:bottom w:w="0" w:type="dxa"/>
                    <w:right w:w="0" w:type="dxa"/>
                  </w:tcMar>
                  <w:vAlign w:val="center"/>
                </w:tcPr>
                <w:p w14:paraId="12246688">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63.4</w:t>
                  </w:r>
                </w:p>
              </w:tc>
              <w:tc>
                <w:tcPr>
                  <w:tcW w:w="173" w:type="pct"/>
                  <w:tcBorders>
                    <w:tl2br w:val="nil"/>
                    <w:tr2bl w:val="nil"/>
                  </w:tcBorders>
                  <w:shd w:val="clear" w:color="auto" w:fill="auto"/>
                  <w:tcMar>
                    <w:top w:w="0" w:type="dxa"/>
                    <w:left w:w="0" w:type="dxa"/>
                    <w:bottom w:w="0" w:type="dxa"/>
                    <w:right w:w="0" w:type="dxa"/>
                  </w:tcMar>
                  <w:vAlign w:val="center"/>
                </w:tcPr>
                <w:p w14:paraId="4C07A7EF">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63.4</w:t>
                  </w:r>
                </w:p>
              </w:tc>
              <w:tc>
                <w:tcPr>
                  <w:tcW w:w="173" w:type="pct"/>
                  <w:tcBorders>
                    <w:tl2br w:val="nil"/>
                    <w:tr2bl w:val="nil"/>
                  </w:tcBorders>
                  <w:shd w:val="clear" w:color="auto" w:fill="auto"/>
                  <w:tcMar>
                    <w:top w:w="0" w:type="dxa"/>
                    <w:left w:w="0" w:type="dxa"/>
                    <w:bottom w:w="0" w:type="dxa"/>
                    <w:right w:w="0" w:type="dxa"/>
                  </w:tcMar>
                  <w:vAlign w:val="center"/>
                </w:tcPr>
                <w:p w14:paraId="126C08C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63.6</w:t>
                  </w:r>
                </w:p>
              </w:tc>
              <w:tc>
                <w:tcPr>
                  <w:tcW w:w="181" w:type="pct"/>
                  <w:tcBorders>
                    <w:tl2br w:val="nil"/>
                    <w:tr2bl w:val="nil"/>
                  </w:tcBorders>
                  <w:shd w:val="clear" w:color="auto" w:fill="auto"/>
                  <w:tcMar>
                    <w:top w:w="0" w:type="dxa"/>
                    <w:left w:w="0" w:type="dxa"/>
                    <w:bottom w:w="0" w:type="dxa"/>
                    <w:right w:w="0" w:type="dxa"/>
                  </w:tcMar>
                  <w:vAlign w:val="center"/>
                </w:tcPr>
                <w:p w14:paraId="7E59834F">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63.4</w:t>
                  </w:r>
                </w:p>
              </w:tc>
              <w:tc>
                <w:tcPr>
                  <w:tcW w:w="170" w:type="pct"/>
                  <w:vMerge w:val="restart"/>
                  <w:tcBorders>
                    <w:tl2br w:val="nil"/>
                    <w:tr2bl w:val="nil"/>
                  </w:tcBorders>
                  <w:shd w:val="clear" w:color="auto" w:fill="auto"/>
                  <w:tcMar>
                    <w:top w:w="0" w:type="dxa"/>
                    <w:left w:w="0" w:type="dxa"/>
                    <w:bottom w:w="0" w:type="dxa"/>
                    <w:right w:w="0" w:type="dxa"/>
                  </w:tcMar>
                  <w:vAlign w:val="center"/>
                </w:tcPr>
                <w:p w14:paraId="507E2E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shd w:val="clear" w:color="auto" w:fill="auto"/>
                      <w:lang w:eastAsia="zh-CN"/>
                      <w14:textFill>
                        <w14:solidFill>
                          <w14:schemeClr w14:val="tx1"/>
                        </w14:solidFill>
                      </w14:textFill>
                    </w:rPr>
                  </w:pPr>
                  <w:r>
                    <w:rPr>
                      <w:rFonts w:hint="eastAsia" w:cs="Times New Roman"/>
                      <w:color w:val="000000" w:themeColor="text1"/>
                      <w:sz w:val="21"/>
                      <w:szCs w:val="21"/>
                      <w:highlight w:val="none"/>
                      <w:shd w:val="clear" w:color="auto" w:fill="auto"/>
                      <w:lang w:val="en-US" w:eastAsia="zh-CN"/>
                      <w14:textFill>
                        <w14:solidFill>
                          <w14:schemeClr w14:val="tx1"/>
                        </w14:solidFill>
                      </w14:textFill>
                    </w:rPr>
                    <w:t>12</w:t>
                  </w:r>
                  <w: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t>h</w:t>
                  </w:r>
                </w:p>
              </w:tc>
              <w:tc>
                <w:tcPr>
                  <w:tcW w:w="136" w:type="pct"/>
                  <w:vMerge w:val="restart"/>
                  <w:tcBorders>
                    <w:tl2br w:val="nil"/>
                    <w:tr2bl w:val="nil"/>
                  </w:tcBorders>
                  <w:shd w:val="clear" w:color="auto" w:fill="auto"/>
                  <w:tcMar>
                    <w:top w:w="0" w:type="dxa"/>
                    <w:left w:w="0" w:type="dxa"/>
                    <w:bottom w:w="0" w:type="dxa"/>
                    <w:right w:w="0" w:type="dxa"/>
                  </w:tcMar>
                  <w:vAlign w:val="center"/>
                </w:tcPr>
                <w:p w14:paraId="4F7B300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r>
                    <w:rPr>
                      <w:rFonts w:hint="eastAsia" w:cs="Times New Roman"/>
                      <w:color w:val="000000" w:themeColor="text1"/>
                      <w:sz w:val="21"/>
                      <w:szCs w:val="21"/>
                      <w:highlight w:val="none"/>
                      <w:shd w:val="clear" w:color="auto" w:fill="auto"/>
                      <w:lang w:val="en-US" w:eastAsia="zh-CN"/>
                      <w14:textFill>
                        <w14:solidFill>
                          <w14:schemeClr w14:val="tx1"/>
                        </w14:solidFill>
                      </w14:textFill>
                    </w:rPr>
                    <w:t>81</w:t>
                  </w:r>
                </w:p>
              </w:tc>
              <w:tc>
                <w:tcPr>
                  <w:tcW w:w="136" w:type="pct"/>
                  <w:vMerge w:val="restart"/>
                  <w:tcBorders>
                    <w:tl2br w:val="nil"/>
                    <w:tr2bl w:val="nil"/>
                  </w:tcBorders>
                  <w:shd w:val="clear" w:color="auto" w:fill="auto"/>
                  <w:tcMar>
                    <w:top w:w="0" w:type="dxa"/>
                    <w:left w:w="0" w:type="dxa"/>
                    <w:bottom w:w="0" w:type="dxa"/>
                    <w:right w:w="0" w:type="dxa"/>
                  </w:tcMar>
                  <w:vAlign w:val="center"/>
                </w:tcPr>
                <w:p w14:paraId="67BE984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r>
                    <w:rPr>
                      <w:rFonts w:hint="eastAsia" w:cs="Times New Roman"/>
                      <w:color w:val="000000" w:themeColor="text1"/>
                      <w:sz w:val="21"/>
                      <w:szCs w:val="21"/>
                      <w:highlight w:val="none"/>
                      <w:shd w:val="clear" w:color="auto" w:fill="auto"/>
                      <w:lang w:val="en-US" w:eastAsia="zh-CN"/>
                      <w14:textFill>
                        <w14:solidFill>
                          <w14:schemeClr w14:val="tx1"/>
                        </w14:solidFill>
                      </w14:textFill>
                    </w:rPr>
                    <w:t>81</w:t>
                  </w:r>
                </w:p>
              </w:tc>
              <w:tc>
                <w:tcPr>
                  <w:tcW w:w="136" w:type="pct"/>
                  <w:vMerge w:val="restart"/>
                  <w:tcBorders>
                    <w:tl2br w:val="nil"/>
                    <w:tr2bl w:val="nil"/>
                  </w:tcBorders>
                  <w:shd w:val="clear" w:color="auto" w:fill="auto"/>
                  <w:tcMar>
                    <w:top w:w="0" w:type="dxa"/>
                    <w:left w:w="0" w:type="dxa"/>
                    <w:bottom w:w="0" w:type="dxa"/>
                    <w:right w:w="0" w:type="dxa"/>
                  </w:tcMar>
                  <w:vAlign w:val="center"/>
                </w:tcPr>
                <w:p w14:paraId="4CE457D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r>
                    <w:rPr>
                      <w:rFonts w:hint="eastAsia" w:cs="Times New Roman"/>
                      <w:color w:val="000000" w:themeColor="text1"/>
                      <w:sz w:val="21"/>
                      <w:szCs w:val="21"/>
                      <w:highlight w:val="none"/>
                      <w:shd w:val="clear" w:color="auto" w:fill="auto"/>
                      <w:lang w:val="en-US" w:eastAsia="zh-CN"/>
                      <w14:textFill>
                        <w14:solidFill>
                          <w14:schemeClr w14:val="tx1"/>
                        </w14:solidFill>
                      </w14:textFill>
                    </w:rPr>
                    <w:t>81</w:t>
                  </w:r>
                </w:p>
              </w:tc>
              <w:tc>
                <w:tcPr>
                  <w:tcW w:w="136" w:type="pct"/>
                  <w:vMerge w:val="restart"/>
                  <w:tcBorders>
                    <w:tl2br w:val="nil"/>
                    <w:tr2bl w:val="nil"/>
                  </w:tcBorders>
                  <w:shd w:val="clear" w:color="auto" w:fill="auto"/>
                  <w:tcMar>
                    <w:top w:w="0" w:type="dxa"/>
                    <w:left w:w="0" w:type="dxa"/>
                    <w:bottom w:w="0" w:type="dxa"/>
                    <w:right w:w="0" w:type="dxa"/>
                  </w:tcMar>
                  <w:vAlign w:val="center"/>
                </w:tcPr>
                <w:p w14:paraId="3CA8814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r>
                    <w:rPr>
                      <w:rFonts w:hint="eastAsia" w:cs="Times New Roman"/>
                      <w:color w:val="000000" w:themeColor="text1"/>
                      <w:sz w:val="21"/>
                      <w:szCs w:val="21"/>
                      <w:highlight w:val="none"/>
                      <w:shd w:val="clear" w:color="auto" w:fill="auto"/>
                      <w:lang w:val="en-US" w:eastAsia="zh-CN"/>
                      <w14:textFill>
                        <w14:solidFill>
                          <w14:schemeClr w14:val="tx1"/>
                        </w14:solidFill>
                      </w14:textFill>
                    </w:rPr>
                    <w:t>81</w:t>
                  </w:r>
                </w:p>
              </w:tc>
              <w:tc>
                <w:tcPr>
                  <w:tcW w:w="213" w:type="pct"/>
                  <w:vMerge w:val="restart"/>
                  <w:tcBorders>
                    <w:tl2br w:val="nil"/>
                    <w:tr2bl w:val="nil"/>
                  </w:tcBorders>
                  <w:shd w:val="clear" w:color="auto" w:fill="auto"/>
                  <w:tcMar>
                    <w:top w:w="0" w:type="dxa"/>
                    <w:left w:w="0" w:type="dxa"/>
                    <w:bottom w:w="0" w:type="dxa"/>
                    <w:right w:w="0" w:type="dxa"/>
                  </w:tcMar>
                  <w:vAlign w:val="center"/>
                </w:tcPr>
                <w:p w14:paraId="458ABCBF">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r>
                    <w:rPr>
                      <w:rFonts w:hint="default" w:ascii="Times New Roman" w:hAnsi="Times New Roman" w:eastAsia="Arial" w:cs="Times New Roman"/>
                      <w:color w:val="000000" w:themeColor="text1"/>
                      <w:sz w:val="21"/>
                      <w:szCs w:val="21"/>
                      <w:highlight w:val="none"/>
                      <w14:textFill>
                        <w14:solidFill>
                          <w14:schemeClr w14:val="tx1"/>
                        </w14:solidFill>
                      </w14:textFill>
                    </w:rPr>
                    <w:t>26</w:t>
                  </w:r>
                </w:p>
              </w:tc>
              <w:tc>
                <w:tcPr>
                  <w:tcW w:w="149" w:type="pct"/>
                  <w:vMerge w:val="restart"/>
                  <w:tcBorders>
                    <w:tl2br w:val="nil"/>
                    <w:tr2bl w:val="nil"/>
                  </w:tcBorders>
                  <w:shd w:val="clear" w:color="auto" w:fill="auto"/>
                  <w:tcMar>
                    <w:top w:w="0" w:type="dxa"/>
                    <w:left w:w="0" w:type="dxa"/>
                    <w:bottom w:w="0" w:type="dxa"/>
                    <w:right w:w="0" w:type="dxa"/>
                  </w:tcMar>
                  <w:vAlign w:val="center"/>
                </w:tcPr>
                <w:p w14:paraId="021F9A9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r>
                    <w:rPr>
                      <w:rFonts w:hint="eastAsia" w:cs="Times New Roman"/>
                      <w:color w:val="000000" w:themeColor="text1"/>
                      <w:sz w:val="21"/>
                      <w:szCs w:val="21"/>
                      <w:highlight w:val="none"/>
                      <w:shd w:val="clear" w:color="auto" w:fill="auto"/>
                      <w:lang w:val="en-US" w:eastAsia="zh-CN"/>
                      <w14:textFill>
                        <w14:solidFill>
                          <w14:schemeClr w14:val="tx1"/>
                        </w14:solidFill>
                      </w14:textFill>
                    </w:rPr>
                    <w:t>55</w:t>
                  </w:r>
                </w:p>
              </w:tc>
              <w:tc>
                <w:tcPr>
                  <w:tcW w:w="149" w:type="pct"/>
                  <w:vMerge w:val="restart"/>
                  <w:tcBorders>
                    <w:tl2br w:val="nil"/>
                    <w:tr2bl w:val="nil"/>
                  </w:tcBorders>
                  <w:shd w:val="clear" w:color="auto" w:fill="auto"/>
                  <w:tcMar>
                    <w:top w:w="0" w:type="dxa"/>
                    <w:left w:w="0" w:type="dxa"/>
                    <w:bottom w:w="0" w:type="dxa"/>
                    <w:right w:w="0" w:type="dxa"/>
                  </w:tcMar>
                  <w:vAlign w:val="center"/>
                </w:tcPr>
                <w:p w14:paraId="167437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r>
                    <w:rPr>
                      <w:rFonts w:hint="eastAsia" w:cs="Times New Roman"/>
                      <w:color w:val="000000" w:themeColor="text1"/>
                      <w:sz w:val="21"/>
                      <w:szCs w:val="21"/>
                      <w:highlight w:val="none"/>
                      <w:shd w:val="clear" w:color="auto" w:fill="auto"/>
                      <w:lang w:val="en-US" w:eastAsia="zh-CN"/>
                      <w14:textFill>
                        <w14:solidFill>
                          <w14:schemeClr w14:val="tx1"/>
                        </w14:solidFill>
                      </w14:textFill>
                    </w:rPr>
                    <w:t>55</w:t>
                  </w:r>
                </w:p>
              </w:tc>
              <w:tc>
                <w:tcPr>
                  <w:tcW w:w="149" w:type="pct"/>
                  <w:vMerge w:val="restart"/>
                  <w:tcBorders>
                    <w:tl2br w:val="nil"/>
                    <w:tr2bl w:val="nil"/>
                  </w:tcBorders>
                  <w:shd w:val="clear" w:color="auto" w:fill="auto"/>
                  <w:tcMar>
                    <w:top w:w="0" w:type="dxa"/>
                    <w:left w:w="0" w:type="dxa"/>
                    <w:bottom w:w="0" w:type="dxa"/>
                    <w:right w:w="0" w:type="dxa"/>
                  </w:tcMar>
                  <w:vAlign w:val="center"/>
                </w:tcPr>
                <w:p w14:paraId="328FEE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r>
                    <w:rPr>
                      <w:rFonts w:hint="eastAsia" w:cs="Times New Roman"/>
                      <w:color w:val="000000" w:themeColor="text1"/>
                      <w:sz w:val="21"/>
                      <w:szCs w:val="21"/>
                      <w:highlight w:val="none"/>
                      <w:shd w:val="clear" w:color="auto" w:fill="auto"/>
                      <w:lang w:val="en-US" w:eastAsia="zh-CN"/>
                      <w14:textFill>
                        <w14:solidFill>
                          <w14:schemeClr w14:val="tx1"/>
                        </w14:solidFill>
                      </w14:textFill>
                    </w:rPr>
                    <w:t>55</w:t>
                  </w:r>
                </w:p>
              </w:tc>
              <w:tc>
                <w:tcPr>
                  <w:tcW w:w="149" w:type="pct"/>
                  <w:vMerge w:val="restart"/>
                  <w:tcBorders>
                    <w:tl2br w:val="nil"/>
                    <w:tr2bl w:val="nil"/>
                  </w:tcBorders>
                  <w:shd w:val="clear" w:color="auto" w:fill="auto"/>
                  <w:tcMar>
                    <w:top w:w="0" w:type="dxa"/>
                    <w:left w:w="0" w:type="dxa"/>
                    <w:bottom w:w="0" w:type="dxa"/>
                    <w:right w:w="0" w:type="dxa"/>
                  </w:tcMar>
                  <w:vAlign w:val="center"/>
                </w:tcPr>
                <w:p w14:paraId="72395C2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r>
                    <w:rPr>
                      <w:rFonts w:hint="eastAsia" w:cs="Times New Roman"/>
                      <w:color w:val="000000" w:themeColor="text1"/>
                      <w:sz w:val="21"/>
                      <w:szCs w:val="21"/>
                      <w:highlight w:val="none"/>
                      <w:shd w:val="clear" w:color="auto" w:fill="auto"/>
                      <w:lang w:val="en-US" w:eastAsia="zh-CN"/>
                      <w14:textFill>
                        <w14:solidFill>
                          <w14:schemeClr w14:val="tx1"/>
                        </w14:solidFill>
                      </w14:textFill>
                    </w:rPr>
                    <w:t>55</w:t>
                  </w:r>
                </w:p>
              </w:tc>
              <w:tc>
                <w:tcPr>
                  <w:tcW w:w="203" w:type="pct"/>
                  <w:vMerge w:val="restart"/>
                  <w:tcBorders>
                    <w:tl2br w:val="nil"/>
                    <w:tr2bl w:val="nil"/>
                  </w:tcBorders>
                  <w:shd w:val="clear" w:color="auto" w:fill="auto"/>
                  <w:tcMar>
                    <w:top w:w="0" w:type="dxa"/>
                    <w:left w:w="0" w:type="dxa"/>
                    <w:bottom w:w="0" w:type="dxa"/>
                    <w:right w:w="0" w:type="dxa"/>
                  </w:tcMar>
                  <w:vAlign w:val="center"/>
                </w:tcPr>
                <w:p w14:paraId="0F88736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r>
                    <w:rPr>
                      <w:rFonts w:hint="default" w:ascii="Times New Roman" w:hAnsi="Times New Roman" w:eastAsia="Arial" w:cs="Times New Roman"/>
                      <w:color w:val="000000" w:themeColor="text1"/>
                      <w:sz w:val="21"/>
                      <w:szCs w:val="21"/>
                      <w:highlight w:val="none"/>
                      <w14:textFill>
                        <w14:solidFill>
                          <w14:schemeClr w14:val="tx1"/>
                        </w14:solidFill>
                      </w14:textFill>
                    </w:rPr>
                    <w:t>1</w:t>
                  </w:r>
                </w:p>
              </w:tc>
            </w:tr>
            <w:tr w14:paraId="1AC1C32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 w:type="pct"/>
                  <w:tcBorders>
                    <w:tl2br w:val="nil"/>
                    <w:tr2bl w:val="nil"/>
                  </w:tcBorders>
                  <w:shd w:val="clear" w:color="auto" w:fill="auto"/>
                  <w:tcMar>
                    <w:top w:w="0" w:type="dxa"/>
                    <w:left w:w="0" w:type="dxa"/>
                    <w:bottom w:w="0" w:type="dxa"/>
                    <w:right w:w="0" w:type="dxa"/>
                  </w:tcMar>
                  <w:vAlign w:val="center"/>
                </w:tcPr>
                <w:p w14:paraId="038B58D6">
                  <w:pPr>
                    <w:keepNext w:val="0"/>
                    <w:keepLines w:val="0"/>
                    <w:pageBreakBefore w:val="0"/>
                    <w:widowControl w:val="0"/>
                    <w:numPr>
                      <w:ilvl w:val="0"/>
                      <w:numId w:val="2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0" w:type="pct"/>
                  <w:vMerge w:val="continue"/>
                  <w:tcBorders>
                    <w:tl2br w:val="nil"/>
                    <w:tr2bl w:val="nil"/>
                  </w:tcBorders>
                  <w:shd w:val="clear" w:color="auto" w:fill="auto"/>
                  <w:tcMar>
                    <w:top w:w="0" w:type="dxa"/>
                    <w:left w:w="0" w:type="dxa"/>
                    <w:bottom w:w="0" w:type="dxa"/>
                    <w:right w:w="0" w:type="dxa"/>
                  </w:tcMar>
                  <w:vAlign w:val="center"/>
                </w:tcPr>
                <w:p w14:paraId="6D592712">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294" w:type="pct"/>
                  <w:tcBorders>
                    <w:tl2br w:val="nil"/>
                    <w:tr2bl w:val="nil"/>
                  </w:tcBorders>
                  <w:shd w:val="clear" w:color="auto" w:fill="auto"/>
                  <w:tcMar>
                    <w:top w:w="0" w:type="dxa"/>
                    <w:left w:w="0" w:type="dxa"/>
                    <w:bottom w:w="0" w:type="dxa"/>
                    <w:right w:w="0" w:type="dxa"/>
                  </w:tcMar>
                  <w:vAlign w:val="center"/>
                </w:tcPr>
                <w:p w14:paraId="09E930D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lang w:eastAsia="zh-TW"/>
                      <w14:textFill>
                        <w14:solidFill>
                          <w14:schemeClr w14:val="tx1"/>
                        </w14:solidFill>
                      </w14:textFill>
                    </w:rPr>
                    <w:t>数控直线往复式切药机</w:t>
                  </w:r>
                  <w:r>
                    <w:rPr>
                      <w:rFonts w:hint="eastAsia" w:cs="Times New Roman"/>
                      <w:color w:val="000000" w:themeColor="text1"/>
                      <w:kern w:val="0"/>
                      <w:szCs w:val="21"/>
                      <w:lang w:val="en-US" w:eastAsia="zh-CN"/>
                      <w14:textFill>
                        <w14:solidFill>
                          <w14:schemeClr w14:val="tx1"/>
                        </w14:solidFill>
                      </w14:textFill>
                    </w:rPr>
                    <w:t>1#</w:t>
                  </w:r>
                </w:p>
              </w:tc>
              <w:tc>
                <w:tcPr>
                  <w:tcW w:w="249" w:type="pct"/>
                  <w:tcBorders>
                    <w:tl2br w:val="nil"/>
                    <w:tr2bl w:val="nil"/>
                  </w:tcBorders>
                  <w:shd w:val="clear" w:color="auto" w:fill="auto"/>
                  <w:tcMar>
                    <w:top w:w="0" w:type="dxa"/>
                    <w:left w:w="0" w:type="dxa"/>
                    <w:bottom w:w="0" w:type="dxa"/>
                    <w:right w:w="0" w:type="dxa"/>
                  </w:tcMar>
                  <w:vAlign w:val="center"/>
                </w:tcPr>
                <w:p w14:paraId="1E5059C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Cs w:val="21"/>
                      <w:lang w:eastAsia="zh-TW"/>
                      <w14:textFill>
                        <w14:solidFill>
                          <w14:schemeClr w14:val="tx1"/>
                        </w14:solidFill>
                      </w14:textFill>
                    </w:rPr>
                    <w:t>SQW-500</w:t>
                  </w:r>
                </w:p>
              </w:tc>
              <w:tc>
                <w:tcPr>
                  <w:tcW w:w="254" w:type="pct"/>
                  <w:tcBorders>
                    <w:tl2br w:val="nil"/>
                    <w:tr2bl w:val="nil"/>
                  </w:tcBorders>
                  <w:shd w:val="clear" w:color="auto" w:fill="auto"/>
                  <w:tcMar>
                    <w:top w:w="0" w:type="dxa"/>
                    <w:left w:w="0" w:type="dxa"/>
                    <w:bottom w:w="0" w:type="dxa"/>
                    <w:right w:w="0" w:type="dxa"/>
                  </w:tcMar>
                  <w:vAlign w:val="center"/>
                </w:tcPr>
                <w:p w14:paraId="22FED73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r>
                    <w:rPr>
                      <w:rFonts w:hint="eastAsia" w:eastAsia="宋体" w:cs="Times New Roman"/>
                      <w:color w:val="000000" w:themeColor="text1"/>
                      <w:sz w:val="21"/>
                      <w:szCs w:val="21"/>
                      <w:highlight w:val="none"/>
                      <w:shd w:val="clear" w:color="auto" w:fill="auto"/>
                      <w:lang w:val="en-US" w:eastAsia="zh-CN"/>
                      <w14:textFill>
                        <w14:solidFill>
                          <w14:schemeClr w14:val="tx1"/>
                        </w14:solidFill>
                      </w14:textFill>
                    </w:rPr>
                    <w:t>80</w:t>
                  </w:r>
                </w:p>
              </w:tc>
              <w:tc>
                <w:tcPr>
                  <w:tcW w:w="173" w:type="pct"/>
                  <w:vMerge w:val="continue"/>
                  <w:tcBorders>
                    <w:tl2br w:val="nil"/>
                    <w:tr2bl w:val="nil"/>
                  </w:tcBorders>
                  <w:shd w:val="clear" w:color="auto" w:fill="auto"/>
                  <w:tcMar>
                    <w:top w:w="0" w:type="dxa"/>
                    <w:left w:w="0" w:type="dxa"/>
                    <w:bottom w:w="0" w:type="dxa"/>
                    <w:right w:w="0" w:type="dxa"/>
                  </w:tcMar>
                  <w:vAlign w:val="center"/>
                </w:tcPr>
                <w:p w14:paraId="176CC7C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80" w:type="pct"/>
                  <w:tcBorders>
                    <w:tl2br w:val="nil"/>
                    <w:tr2bl w:val="nil"/>
                  </w:tcBorders>
                  <w:shd w:val="clear" w:color="auto" w:fill="auto"/>
                  <w:tcMar>
                    <w:top w:w="0" w:type="dxa"/>
                    <w:left w:w="0" w:type="dxa"/>
                    <w:bottom w:w="0" w:type="dxa"/>
                    <w:right w:w="0" w:type="dxa"/>
                  </w:tcMar>
                  <w:vAlign w:val="center"/>
                </w:tcPr>
                <w:p w14:paraId="75221C2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24.9</w:t>
                  </w:r>
                </w:p>
              </w:tc>
              <w:tc>
                <w:tcPr>
                  <w:tcW w:w="180" w:type="pct"/>
                  <w:tcBorders>
                    <w:tl2br w:val="nil"/>
                    <w:tr2bl w:val="nil"/>
                  </w:tcBorders>
                  <w:shd w:val="clear" w:color="auto" w:fill="auto"/>
                  <w:tcMar>
                    <w:top w:w="0" w:type="dxa"/>
                    <w:left w:w="0" w:type="dxa"/>
                    <w:bottom w:w="0" w:type="dxa"/>
                    <w:right w:w="0" w:type="dxa"/>
                  </w:tcMar>
                  <w:vAlign w:val="center"/>
                </w:tcPr>
                <w:p w14:paraId="5719F51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143.9</w:t>
                  </w:r>
                </w:p>
              </w:tc>
              <w:tc>
                <w:tcPr>
                  <w:tcW w:w="194" w:type="pct"/>
                  <w:tcBorders>
                    <w:tl2br w:val="nil"/>
                    <w:tr2bl w:val="nil"/>
                  </w:tcBorders>
                  <w:shd w:val="clear" w:color="auto" w:fill="auto"/>
                  <w:tcMar>
                    <w:top w:w="0" w:type="dxa"/>
                    <w:left w:w="0" w:type="dxa"/>
                    <w:bottom w:w="0" w:type="dxa"/>
                    <w:right w:w="0" w:type="dxa"/>
                  </w:tcMar>
                  <w:vAlign w:val="center"/>
                </w:tcPr>
                <w:p w14:paraId="0815103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w:t>
                  </w:r>
                </w:p>
              </w:tc>
              <w:tc>
                <w:tcPr>
                  <w:tcW w:w="173" w:type="pct"/>
                  <w:tcBorders>
                    <w:tl2br w:val="nil"/>
                    <w:tr2bl w:val="nil"/>
                  </w:tcBorders>
                  <w:shd w:val="clear" w:color="auto" w:fill="auto"/>
                  <w:tcMar>
                    <w:top w:w="0" w:type="dxa"/>
                    <w:left w:w="0" w:type="dxa"/>
                    <w:bottom w:w="0" w:type="dxa"/>
                    <w:right w:w="0" w:type="dxa"/>
                  </w:tcMar>
                  <w:vAlign w:val="center"/>
                </w:tcPr>
                <w:p w14:paraId="1335A29E">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23.4</w:t>
                  </w:r>
                </w:p>
              </w:tc>
              <w:tc>
                <w:tcPr>
                  <w:tcW w:w="173" w:type="pct"/>
                  <w:tcBorders>
                    <w:tl2br w:val="nil"/>
                    <w:tr2bl w:val="nil"/>
                  </w:tcBorders>
                  <w:shd w:val="clear" w:color="auto" w:fill="auto"/>
                  <w:tcMar>
                    <w:top w:w="0" w:type="dxa"/>
                    <w:left w:w="0" w:type="dxa"/>
                    <w:bottom w:w="0" w:type="dxa"/>
                    <w:right w:w="0" w:type="dxa"/>
                  </w:tcMar>
                  <w:vAlign w:val="center"/>
                </w:tcPr>
                <w:p w14:paraId="430F3B62">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15.9</w:t>
                  </w:r>
                </w:p>
              </w:tc>
              <w:tc>
                <w:tcPr>
                  <w:tcW w:w="173" w:type="pct"/>
                  <w:tcBorders>
                    <w:tl2br w:val="nil"/>
                    <w:tr2bl w:val="nil"/>
                  </w:tcBorders>
                  <w:shd w:val="clear" w:color="auto" w:fill="auto"/>
                  <w:tcMar>
                    <w:top w:w="0" w:type="dxa"/>
                    <w:left w:w="0" w:type="dxa"/>
                    <w:bottom w:w="0" w:type="dxa"/>
                    <w:right w:w="0" w:type="dxa"/>
                  </w:tcMar>
                  <w:vAlign w:val="center"/>
                </w:tcPr>
                <w:p w14:paraId="251E0D84">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6.1</w:t>
                  </w:r>
                </w:p>
              </w:tc>
              <w:tc>
                <w:tcPr>
                  <w:tcW w:w="179" w:type="pct"/>
                  <w:tcBorders>
                    <w:tl2br w:val="nil"/>
                    <w:tr2bl w:val="nil"/>
                  </w:tcBorders>
                  <w:shd w:val="clear" w:color="auto" w:fill="auto"/>
                  <w:tcMar>
                    <w:top w:w="0" w:type="dxa"/>
                    <w:left w:w="0" w:type="dxa"/>
                    <w:bottom w:w="0" w:type="dxa"/>
                    <w:right w:w="0" w:type="dxa"/>
                  </w:tcMar>
                  <w:vAlign w:val="center"/>
                </w:tcPr>
                <w:p w14:paraId="0891C79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43.2</w:t>
                  </w:r>
                </w:p>
              </w:tc>
              <w:tc>
                <w:tcPr>
                  <w:tcW w:w="173" w:type="pct"/>
                  <w:tcBorders>
                    <w:tl2br w:val="nil"/>
                    <w:tr2bl w:val="nil"/>
                  </w:tcBorders>
                  <w:shd w:val="clear" w:color="auto" w:fill="auto"/>
                  <w:tcMar>
                    <w:top w:w="0" w:type="dxa"/>
                    <w:left w:w="0" w:type="dxa"/>
                    <w:bottom w:w="0" w:type="dxa"/>
                    <w:right w:w="0" w:type="dxa"/>
                  </w:tcMar>
                  <w:vAlign w:val="center"/>
                </w:tcPr>
                <w:p w14:paraId="270CD874">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68.4</w:t>
                  </w:r>
                </w:p>
              </w:tc>
              <w:tc>
                <w:tcPr>
                  <w:tcW w:w="173" w:type="pct"/>
                  <w:tcBorders>
                    <w:tl2br w:val="nil"/>
                    <w:tr2bl w:val="nil"/>
                  </w:tcBorders>
                  <w:shd w:val="clear" w:color="auto" w:fill="auto"/>
                  <w:tcMar>
                    <w:top w:w="0" w:type="dxa"/>
                    <w:left w:w="0" w:type="dxa"/>
                    <w:bottom w:w="0" w:type="dxa"/>
                    <w:right w:w="0" w:type="dxa"/>
                  </w:tcMar>
                  <w:vAlign w:val="center"/>
                </w:tcPr>
                <w:p w14:paraId="1AC75313">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68.4</w:t>
                  </w:r>
                </w:p>
              </w:tc>
              <w:tc>
                <w:tcPr>
                  <w:tcW w:w="173" w:type="pct"/>
                  <w:tcBorders>
                    <w:tl2br w:val="nil"/>
                    <w:tr2bl w:val="nil"/>
                  </w:tcBorders>
                  <w:shd w:val="clear" w:color="auto" w:fill="auto"/>
                  <w:tcMar>
                    <w:top w:w="0" w:type="dxa"/>
                    <w:left w:w="0" w:type="dxa"/>
                    <w:bottom w:w="0" w:type="dxa"/>
                    <w:right w:w="0" w:type="dxa"/>
                  </w:tcMar>
                  <w:vAlign w:val="center"/>
                </w:tcPr>
                <w:p w14:paraId="3FD2E552">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68.6</w:t>
                  </w:r>
                </w:p>
              </w:tc>
              <w:tc>
                <w:tcPr>
                  <w:tcW w:w="181" w:type="pct"/>
                  <w:tcBorders>
                    <w:tl2br w:val="nil"/>
                    <w:tr2bl w:val="nil"/>
                  </w:tcBorders>
                  <w:shd w:val="clear" w:color="auto" w:fill="auto"/>
                  <w:tcMar>
                    <w:top w:w="0" w:type="dxa"/>
                    <w:left w:w="0" w:type="dxa"/>
                    <w:bottom w:w="0" w:type="dxa"/>
                    <w:right w:w="0" w:type="dxa"/>
                  </w:tcMar>
                  <w:vAlign w:val="center"/>
                </w:tcPr>
                <w:p w14:paraId="29D2A5FF">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68.4</w:t>
                  </w:r>
                </w:p>
              </w:tc>
              <w:tc>
                <w:tcPr>
                  <w:tcW w:w="170" w:type="pct"/>
                  <w:vMerge w:val="continue"/>
                  <w:tcBorders>
                    <w:tl2br w:val="nil"/>
                    <w:tr2bl w:val="nil"/>
                  </w:tcBorders>
                  <w:shd w:val="clear" w:color="auto" w:fill="auto"/>
                  <w:tcMar>
                    <w:top w:w="0" w:type="dxa"/>
                    <w:left w:w="0" w:type="dxa"/>
                    <w:bottom w:w="0" w:type="dxa"/>
                    <w:right w:w="0" w:type="dxa"/>
                  </w:tcMar>
                  <w:vAlign w:val="center"/>
                </w:tcPr>
                <w:p w14:paraId="55F6BBA2">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2A019B3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5EC7021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1AA927C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614BE34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213" w:type="pct"/>
                  <w:vMerge w:val="continue"/>
                  <w:tcBorders>
                    <w:tl2br w:val="nil"/>
                    <w:tr2bl w:val="nil"/>
                  </w:tcBorders>
                  <w:shd w:val="clear" w:color="auto" w:fill="auto"/>
                  <w:tcMar>
                    <w:top w:w="0" w:type="dxa"/>
                    <w:left w:w="0" w:type="dxa"/>
                    <w:bottom w:w="0" w:type="dxa"/>
                    <w:right w:w="0" w:type="dxa"/>
                  </w:tcMar>
                  <w:vAlign w:val="center"/>
                </w:tcPr>
                <w:p w14:paraId="5232D79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2B21B5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1604BFF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2516FD5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43439C1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203" w:type="pct"/>
                  <w:vMerge w:val="continue"/>
                  <w:tcBorders>
                    <w:tl2br w:val="nil"/>
                    <w:tr2bl w:val="nil"/>
                  </w:tcBorders>
                  <w:shd w:val="clear" w:color="auto" w:fill="auto"/>
                  <w:tcMar>
                    <w:top w:w="0" w:type="dxa"/>
                    <w:left w:w="0" w:type="dxa"/>
                    <w:bottom w:w="0" w:type="dxa"/>
                    <w:right w:w="0" w:type="dxa"/>
                  </w:tcMar>
                  <w:vAlign w:val="center"/>
                </w:tcPr>
                <w:p w14:paraId="0A3CE1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r>
            <w:tr w14:paraId="67541B2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 w:type="pct"/>
                  <w:tcBorders>
                    <w:tl2br w:val="nil"/>
                    <w:tr2bl w:val="nil"/>
                  </w:tcBorders>
                  <w:shd w:val="clear" w:color="auto" w:fill="auto"/>
                  <w:tcMar>
                    <w:top w:w="0" w:type="dxa"/>
                    <w:left w:w="0" w:type="dxa"/>
                    <w:bottom w:w="0" w:type="dxa"/>
                    <w:right w:w="0" w:type="dxa"/>
                  </w:tcMar>
                  <w:vAlign w:val="center"/>
                </w:tcPr>
                <w:p w14:paraId="6835799F">
                  <w:pPr>
                    <w:keepNext w:val="0"/>
                    <w:keepLines w:val="0"/>
                    <w:pageBreakBefore w:val="0"/>
                    <w:widowControl w:val="0"/>
                    <w:numPr>
                      <w:ilvl w:val="0"/>
                      <w:numId w:val="2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0" w:type="pct"/>
                  <w:vMerge w:val="continue"/>
                  <w:tcBorders>
                    <w:tl2br w:val="nil"/>
                    <w:tr2bl w:val="nil"/>
                  </w:tcBorders>
                  <w:shd w:val="clear" w:color="auto" w:fill="auto"/>
                  <w:tcMar>
                    <w:top w:w="0" w:type="dxa"/>
                    <w:left w:w="0" w:type="dxa"/>
                    <w:bottom w:w="0" w:type="dxa"/>
                    <w:right w:w="0" w:type="dxa"/>
                  </w:tcMar>
                  <w:vAlign w:val="center"/>
                </w:tcPr>
                <w:p w14:paraId="7253E55C">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294" w:type="pct"/>
                  <w:tcBorders>
                    <w:tl2br w:val="nil"/>
                    <w:tr2bl w:val="nil"/>
                  </w:tcBorders>
                  <w:shd w:val="clear" w:color="auto" w:fill="auto"/>
                  <w:tcMar>
                    <w:top w:w="0" w:type="dxa"/>
                    <w:left w:w="0" w:type="dxa"/>
                    <w:bottom w:w="0" w:type="dxa"/>
                    <w:right w:w="0" w:type="dxa"/>
                  </w:tcMar>
                  <w:vAlign w:val="center"/>
                </w:tcPr>
                <w:p w14:paraId="7B4894E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lang w:eastAsia="zh-TW"/>
                      <w14:textFill>
                        <w14:solidFill>
                          <w14:schemeClr w14:val="tx1"/>
                        </w14:solidFill>
                      </w14:textFill>
                    </w:rPr>
                    <w:t>数控直线往复式切药机</w:t>
                  </w:r>
                  <w:r>
                    <w:rPr>
                      <w:rFonts w:hint="eastAsia" w:cs="Times New Roman"/>
                      <w:color w:val="000000" w:themeColor="text1"/>
                      <w:kern w:val="0"/>
                      <w:szCs w:val="21"/>
                      <w:lang w:val="en-US" w:eastAsia="zh-CN"/>
                      <w14:textFill>
                        <w14:solidFill>
                          <w14:schemeClr w14:val="tx1"/>
                        </w14:solidFill>
                      </w14:textFill>
                    </w:rPr>
                    <w:t>2#</w:t>
                  </w:r>
                </w:p>
              </w:tc>
              <w:tc>
                <w:tcPr>
                  <w:tcW w:w="249" w:type="pct"/>
                  <w:tcBorders>
                    <w:tl2br w:val="nil"/>
                    <w:tr2bl w:val="nil"/>
                  </w:tcBorders>
                  <w:shd w:val="clear" w:color="auto" w:fill="auto"/>
                  <w:tcMar>
                    <w:top w:w="0" w:type="dxa"/>
                    <w:left w:w="0" w:type="dxa"/>
                    <w:bottom w:w="0" w:type="dxa"/>
                    <w:right w:w="0" w:type="dxa"/>
                  </w:tcMar>
                  <w:vAlign w:val="center"/>
                </w:tcPr>
                <w:p w14:paraId="191456B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lang w:eastAsia="zh-TW"/>
                      <w14:textFill>
                        <w14:solidFill>
                          <w14:schemeClr w14:val="tx1"/>
                        </w14:solidFill>
                      </w14:textFill>
                    </w:rPr>
                    <w:t>SQYJ-200</w:t>
                  </w:r>
                </w:p>
              </w:tc>
              <w:tc>
                <w:tcPr>
                  <w:tcW w:w="254" w:type="pct"/>
                  <w:tcBorders>
                    <w:tl2br w:val="nil"/>
                    <w:tr2bl w:val="nil"/>
                  </w:tcBorders>
                  <w:shd w:val="clear" w:color="auto" w:fill="auto"/>
                  <w:tcMar>
                    <w:top w:w="0" w:type="dxa"/>
                    <w:left w:w="0" w:type="dxa"/>
                    <w:bottom w:w="0" w:type="dxa"/>
                    <w:right w:w="0" w:type="dxa"/>
                  </w:tcMar>
                  <w:vAlign w:val="center"/>
                </w:tcPr>
                <w:p w14:paraId="1ACB227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r>
                    <w:rPr>
                      <w:rFonts w:hint="eastAsia" w:eastAsia="宋体" w:cs="Times New Roman"/>
                      <w:color w:val="000000" w:themeColor="text1"/>
                      <w:sz w:val="21"/>
                      <w:szCs w:val="21"/>
                      <w:highlight w:val="none"/>
                      <w:shd w:val="clear" w:color="auto" w:fill="auto"/>
                      <w:lang w:val="en-US" w:eastAsia="zh-CN"/>
                      <w14:textFill>
                        <w14:solidFill>
                          <w14:schemeClr w14:val="tx1"/>
                        </w14:solidFill>
                      </w14:textFill>
                    </w:rPr>
                    <w:t>80</w:t>
                  </w:r>
                </w:p>
              </w:tc>
              <w:tc>
                <w:tcPr>
                  <w:tcW w:w="173" w:type="pct"/>
                  <w:vMerge w:val="continue"/>
                  <w:tcBorders>
                    <w:tl2br w:val="nil"/>
                    <w:tr2bl w:val="nil"/>
                  </w:tcBorders>
                  <w:shd w:val="clear" w:color="auto" w:fill="auto"/>
                  <w:tcMar>
                    <w:top w:w="0" w:type="dxa"/>
                    <w:left w:w="0" w:type="dxa"/>
                    <w:bottom w:w="0" w:type="dxa"/>
                    <w:right w:w="0" w:type="dxa"/>
                  </w:tcMar>
                  <w:vAlign w:val="center"/>
                </w:tcPr>
                <w:p w14:paraId="328333F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80" w:type="pct"/>
                  <w:tcBorders>
                    <w:tl2br w:val="nil"/>
                    <w:tr2bl w:val="nil"/>
                  </w:tcBorders>
                  <w:shd w:val="clear" w:color="auto" w:fill="auto"/>
                  <w:tcMar>
                    <w:top w:w="0" w:type="dxa"/>
                    <w:left w:w="0" w:type="dxa"/>
                    <w:bottom w:w="0" w:type="dxa"/>
                    <w:right w:w="0" w:type="dxa"/>
                  </w:tcMar>
                  <w:vAlign w:val="center"/>
                </w:tcPr>
                <w:p w14:paraId="121B24A7">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28.7</w:t>
                  </w:r>
                </w:p>
              </w:tc>
              <w:tc>
                <w:tcPr>
                  <w:tcW w:w="180" w:type="pct"/>
                  <w:tcBorders>
                    <w:tl2br w:val="nil"/>
                    <w:tr2bl w:val="nil"/>
                  </w:tcBorders>
                  <w:shd w:val="clear" w:color="auto" w:fill="auto"/>
                  <w:tcMar>
                    <w:top w:w="0" w:type="dxa"/>
                    <w:left w:w="0" w:type="dxa"/>
                    <w:bottom w:w="0" w:type="dxa"/>
                    <w:right w:w="0" w:type="dxa"/>
                  </w:tcMar>
                  <w:vAlign w:val="center"/>
                </w:tcPr>
                <w:p w14:paraId="33F0DEC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144.7</w:t>
                  </w:r>
                </w:p>
              </w:tc>
              <w:tc>
                <w:tcPr>
                  <w:tcW w:w="194" w:type="pct"/>
                  <w:tcBorders>
                    <w:tl2br w:val="nil"/>
                    <w:tr2bl w:val="nil"/>
                  </w:tcBorders>
                  <w:shd w:val="clear" w:color="auto" w:fill="auto"/>
                  <w:tcMar>
                    <w:top w:w="0" w:type="dxa"/>
                    <w:left w:w="0" w:type="dxa"/>
                    <w:bottom w:w="0" w:type="dxa"/>
                    <w:right w:w="0" w:type="dxa"/>
                  </w:tcMar>
                  <w:vAlign w:val="center"/>
                </w:tcPr>
                <w:p w14:paraId="3E8D379A">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w:t>
                  </w:r>
                </w:p>
              </w:tc>
              <w:tc>
                <w:tcPr>
                  <w:tcW w:w="173" w:type="pct"/>
                  <w:tcBorders>
                    <w:tl2br w:val="nil"/>
                    <w:tr2bl w:val="nil"/>
                  </w:tcBorders>
                  <w:shd w:val="clear" w:color="auto" w:fill="auto"/>
                  <w:tcMar>
                    <w:top w:w="0" w:type="dxa"/>
                    <w:left w:w="0" w:type="dxa"/>
                    <w:bottom w:w="0" w:type="dxa"/>
                    <w:right w:w="0" w:type="dxa"/>
                  </w:tcMar>
                  <w:vAlign w:val="center"/>
                </w:tcPr>
                <w:p w14:paraId="30242CD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19.6</w:t>
                  </w:r>
                </w:p>
              </w:tc>
              <w:tc>
                <w:tcPr>
                  <w:tcW w:w="173" w:type="pct"/>
                  <w:tcBorders>
                    <w:tl2br w:val="nil"/>
                    <w:tr2bl w:val="nil"/>
                  </w:tcBorders>
                  <w:shd w:val="clear" w:color="auto" w:fill="auto"/>
                  <w:tcMar>
                    <w:top w:w="0" w:type="dxa"/>
                    <w:left w:w="0" w:type="dxa"/>
                    <w:bottom w:w="0" w:type="dxa"/>
                    <w:right w:w="0" w:type="dxa"/>
                  </w:tcMar>
                  <w:vAlign w:val="center"/>
                </w:tcPr>
                <w:p w14:paraId="6340F67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16.3</w:t>
                  </w:r>
                </w:p>
              </w:tc>
              <w:tc>
                <w:tcPr>
                  <w:tcW w:w="173" w:type="pct"/>
                  <w:tcBorders>
                    <w:tl2br w:val="nil"/>
                    <w:tr2bl w:val="nil"/>
                  </w:tcBorders>
                  <w:shd w:val="clear" w:color="auto" w:fill="auto"/>
                  <w:tcMar>
                    <w:top w:w="0" w:type="dxa"/>
                    <w:left w:w="0" w:type="dxa"/>
                    <w:bottom w:w="0" w:type="dxa"/>
                    <w:right w:w="0" w:type="dxa"/>
                  </w:tcMar>
                  <w:vAlign w:val="center"/>
                </w:tcPr>
                <w:p w14:paraId="622597E4">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5.8</w:t>
                  </w:r>
                </w:p>
              </w:tc>
              <w:tc>
                <w:tcPr>
                  <w:tcW w:w="179" w:type="pct"/>
                  <w:tcBorders>
                    <w:tl2br w:val="nil"/>
                    <w:tr2bl w:val="nil"/>
                  </w:tcBorders>
                  <w:shd w:val="clear" w:color="auto" w:fill="auto"/>
                  <w:tcMar>
                    <w:top w:w="0" w:type="dxa"/>
                    <w:left w:w="0" w:type="dxa"/>
                    <w:bottom w:w="0" w:type="dxa"/>
                    <w:right w:w="0" w:type="dxa"/>
                  </w:tcMar>
                  <w:vAlign w:val="center"/>
                </w:tcPr>
                <w:p w14:paraId="6853B262">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39.3</w:t>
                  </w:r>
                </w:p>
              </w:tc>
              <w:tc>
                <w:tcPr>
                  <w:tcW w:w="173" w:type="pct"/>
                  <w:tcBorders>
                    <w:tl2br w:val="nil"/>
                    <w:tr2bl w:val="nil"/>
                  </w:tcBorders>
                  <w:shd w:val="clear" w:color="auto" w:fill="auto"/>
                  <w:tcMar>
                    <w:top w:w="0" w:type="dxa"/>
                    <w:left w:w="0" w:type="dxa"/>
                    <w:bottom w:w="0" w:type="dxa"/>
                    <w:right w:w="0" w:type="dxa"/>
                  </w:tcMar>
                  <w:vAlign w:val="center"/>
                </w:tcPr>
                <w:p w14:paraId="62E1543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68.4</w:t>
                  </w:r>
                </w:p>
              </w:tc>
              <w:tc>
                <w:tcPr>
                  <w:tcW w:w="173" w:type="pct"/>
                  <w:tcBorders>
                    <w:tl2br w:val="nil"/>
                    <w:tr2bl w:val="nil"/>
                  </w:tcBorders>
                  <w:shd w:val="clear" w:color="auto" w:fill="auto"/>
                  <w:tcMar>
                    <w:top w:w="0" w:type="dxa"/>
                    <w:left w:w="0" w:type="dxa"/>
                    <w:bottom w:w="0" w:type="dxa"/>
                    <w:right w:w="0" w:type="dxa"/>
                  </w:tcMar>
                  <w:vAlign w:val="center"/>
                </w:tcPr>
                <w:p w14:paraId="05347FF7">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68.4</w:t>
                  </w:r>
                </w:p>
              </w:tc>
              <w:tc>
                <w:tcPr>
                  <w:tcW w:w="173" w:type="pct"/>
                  <w:tcBorders>
                    <w:tl2br w:val="nil"/>
                    <w:tr2bl w:val="nil"/>
                  </w:tcBorders>
                  <w:shd w:val="clear" w:color="auto" w:fill="auto"/>
                  <w:tcMar>
                    <w:top w:w="0" w:type="dxa"/>
                    <w:left w:w="0" w:type="dxa"/>
                    <w:bottom w:w="0" w:type="dxa"/>
                    <w:right w:w="0" w:type="dxa"/>
                  </w:tcMar>
                  <w:vAlign w:val="center"/>
                </w:tcPr>
                <w:p w14:paraId="3ED1657B">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68.6</w:t>
                  </w:r>
                </w:p>
              </w:tc>
              <w:tc>
                <w:tcPr>
                  <w:tcW w:w="181" w:type="pct"/>
                  <w:tcBorders>
                    <w:tl2br w:val="nil"/>
                    <w:tr2bl w:val="nil"/>
                  </w:tcBorders>
                  <w:shd w:val="clear" w:color="auto" w:fill="auto"/>
                  <w:tcMar>
                    <w:top w:w="0" w:type="dxa"/>
                    <w:left w:w="0" w:type="dxa"/>
                    <w:bottom w:w="0" w:type="dxa"/>
                    <w:right w:w="0" w:type="dxa"/>
                  </w:tcMar>
                  <w:vAlign w:val="center"/>
                </w:tcPr>
                <w:p w14:paraId="14E253A4">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68.4</w:t>
                  </w:r>
                </w:p>
              </w:tc>
              <w:tc>
                <w:tcPr>
                  <w:tcW w:w="170" w:type="pct"/>
                  <w:vMerge w:val="continue"/>
                  <w:tcBorders>
                    <w:tl2br w:val="nil"/>
                    <w:tr2bl w:val="nil"/>
                  </w:tcBorders>
                  <w:shd w:val="clear" w:color="auto" w:fill="auto"/>
                  <w:tcMar>
                    <w:top w:w="0" w:type="dxa"/>
                    <w:left w:w="0" w:type="dxa"/>
                    <w:bottom w:w="0" w:type="dxa"/>
                    <w:right w:w="0" w:type="dxa"/>
                  </w:tcMar>
                  <w:vAlign w:val="center"/>
                </w:tcPr>
                <w:p w14:paraId="12723829">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499083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0A81EE0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017EBB0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11C29E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213" w:type="pct"/>
                  <w:vMerge w:val="continue"/>
                  <w:tcBorders>
                    <w:tl2br w:val="nil"/>
                    <w:tr2bl w:val="nil"/>
                  </w:tcBorders>
                  <w:shd w:val="clear" w:color="auto" w:fill="auto"/>
                  <w:tcMar>
                    <w:top w:w="0" w:type="dxa"/>
                    <w:left w:w="0" w:type="dxa"/>
                    <w:bottom w:w="0" w:type="dxa"/>
                    <w:right w:w="0" w:type="dxa"/>
                  </w:tcMar>
                  <w:vAlign w:val="center"/>
                </w:tcPr>
                <w:p w14:paraId="7382CC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15E958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6F1175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09DBF02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76A643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203" w:type="pct"/>
                  <w:vMerge w:val="continue"/>
                  <w:tcBorders>
                    <w:tl2br w:val="nil"/>
                    <w:tr2bl w:val="nil"/>
                  </w:tcBorders>
                  <w:shd w:val="clear" w:color="auto" w:fill="auto"/>
                  <w:tcMar>
                    <w:top w:w="0" w:type="dxa"/>
                    <w:left w:w="0" w:type="dxa"/>
                    <w:bottom w:w="0" w:type="dxa"/>
                    <w:right w:w="0" w:type="dxa"/>
                  </w:tcMar>
                  <w:vAlign w:val="center"/>
                </w:tcPr>
                <w:p w14:paraId="34D6D06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r>
            <w:tr w14:paraId="2C9A6C7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 w:type="pct"/>
                  <w:tcBorders>
                    <w:tl2br w:val="nil"/>
                    <w:tr2bl w:val="nil"/>
                  </w:tcBorders>
                  <w:shd w:val="clear" w:color="auto" w:fill="auto"/>
                  <w:tcMar>
                    <w:top w:w="0" w:type="dxa"/>
                    <w:left w:w="0" w:type="dxa"/>
                    <w:bottom w:w="0" w:type="dxa"/>
                    <w:right w:w="0" w:type="dxa"/>
                  </w:tcMar>
                  <w:vAlign w:val="center"/>
                </w:tcPr>
                <w:p w14:paraId="79BDE7EE">
                  <w:pPr>
                    <w:keepNext w:val="0"/>
                    <w:keepLines w:val="0"/>
                    <w:pageBreakBefore w:val="0"/>
                    <w:widowControl w:val="0"/>
                    <w:numPr>
                      <w:ilvl w:val="0"/>
                      <w:numId w:val="2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0" w:type="pct"/>
                  <w:vMerge w:val="continue"/>
                  <w:tcBorders>
                    <w:tl2br w:val="nil"/>
                    <w:tr2bl w:val="nil"/>
                  </w:tcBorders>
                  <w:shd w:val="clear" w:color="auto" w:fill="auto"/>
                  <w:tcMar>
                    <w:top w:w="0" w:type="dxa"/>
                    <w:left w:w="0" w:type="dxa"/>
                    <w:bottom w:w="0" w:type="dxa"/>
                    <w:right w:w="0" w:type="dxa"/>
                  </w:tcMar>
                  <w:vAlign w:val="center"/>
                </w:tcPr>
                <w:p w14:paraId="7EC71D7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294" w:type="pct"/>
                  <w:tcBorders>
                    <w:tl2br w:val="nil"/>
                    <w:tr2bl w:val="nil"/>
                  </w:tcBorders>
                  <w:shd w:val="clear" w:color="auto" w:fill="auto"/>
                  <w:tcMar>
                    <w:top w:w="0" w:type="dxa"/>
                    <w:left w:w="0" w:type="dxa"/>
                    <w:bottom w:w="0" w:type="dxa"/>
                    <w:right w:w="0" w:type="dxa"/>
                  </w:tcMar>
                  <w:vAlign w:val="center"/>
                </w:tcPr>
                <w:p w14:paraId="2A98FB57">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r>
                    <w:rPr>
                      <w:rFonts w:hint="eastAsia" w:ascii="Times New Roman" w:hAnsi="Times New Roman" w:eastAsia="宋体" w:cs="Times New Roman"/>
                      <w:color w:val="000000" w:themeColor="text1"/>
                      <w:kern w:val="0"/>
                      <w:szCs w:val="21"/>
                      <w:lang w:eastAsia="zh-TW"/>
                      <w14:textFill>
                        <w14:solidFill>
                          <w14:schemeClr w14:val="tx1"/>
                        </w14:solidFill>
                      </w14:textFill>
                    </w:rPr>
                    <w:t>智能切片机</w:t>
                  </w:r>
                </w:p>
              </w:tc>
              <w:tc>
                <w:tcPr>
                  <w:tcW w:w="249" w:type="pct"/>
                  <w:tcBorders>
                    <w:tl2br w:val="nil"/>
                    <w:tr2bl w:val="nil"/>
                  </w:tcBorders>
                  <w:shd w:val="clear" w:color="auto" w:fill="auto"/>
                  <w:tcMar>
                    <w:top w:w="0" w:type="dxa"/>
                    <w:left w:w="0" w:type="dxa"/>
                    <w:bottom w:w="0" w:type="dxa"/>
                    <w:right w:w="0" w:type="dxa"/>
                  </w:tcMar>
                  <w:vAlign w:val="center"/>
                </w:tcPr>
                <w:p w14:paraId="33BA471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lang w:eastAsia="zh-TW"/>
                      <w14:textFill>
                        <w14:solidFill>
                          <w14:schemeClr w14:val="tx1"/>
                        </w14:solidFill>
                      </w14:textFill>
                    </w:rPr>
                    <w:t>SXZ-460</w:t>
                  </w:r>
                </w:p>
              </w:tc>
              <w:tc>
                <w:tcPr>
                  <w:tcW w:w="254" w:type="pct"/>
                  <w:tcBorders>
                    <w:tl2br w:val="nil"/>
                    <w:tr2bl w:val="nil"/>
                  </w:tcBorders>
                  <w:shd w:val="clear" w:color="auto" w:fill="auto"/>
                  <w:tcMar>
                    <w:top w:w="0" w:type="dxa"/>
                    <w:left w:w="0" w:type="dxa"/>
                    <w:bottom w:w="0" w:type="dxa"/>
                    <w:right w:w="0" w:type="dxa"/>
                  </w:tcMar>
                  <w:vAlign w:val="center"/>
                </w:tcPr>
                <w:p w14:paraId="66161C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r>
                    <w:rPr>
                      <w:rFonts w:hint="eastAsia" w:eastAsia="宋体" w:cs="Times New Roman"/>
                      <w:color w:val="000000" w:themeColor="text1"/>
                      <w:sz w:val="21"/>
                      <w:szCs w:val="21"/>
                      <w:highlight w:val="none"/>
                      <w:shd w:val="clear" w:color="auto" w:fill="auto"/>
                      <w:lang w:val="en-US" w:eastAsia="zh-CN"/>
                      <w14:textFill>
                        <w14:solidFill>
                          <w14:schemeClr w14:val="tx1"/>
                        </w14:solidFill>
                      </w14:textFill>
                    </w:rPr>
                    <w:t>80</w:t>
                  </w:r>
                </w:p>
              </w:tc>
              <w:tc>
                <w:tcPr>
                  <w:tcW w:w="173" w:type="pct"/>
                  <w:vMerge w:val="continue"/>
                  <w:tcBorders>
                    <w:tl2br w:val="nil"/>
                    <w:tr2bl w:val="nil"/>
                  </w:tcBorders>
                  <w:shd w:val="clear" w:color="auto" w:fill="auto"/>
                  <w:tcMar>
                    <w:top w:w="0" w:type="dxa"/>
                    <w:left w:w="0" w:type="dxa"/>
                    <w:bottom w:w="0" w:type="dxa"/>
                    <w:right w:w="0" w:type="dxa"/>
                  </w:tcMar>
                  <w:vAlign w:val="center"/>
                </w:tcPr>
                <w:p w14:paraId="28EBDD2C">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80" w:type="pct"/>
                  <w:tcBorders>
                    <w:tl2br w:val="nil"/>
                    <w:tr2bl w:val="nil"/>
                  </w:tcBorders>
                  <w:shd w:val="clear" w:color="auto" w:fill="auto"/>
                  <w:tcMar>
                    <w:top w:w="0" w:type="dxa"/>
                    <w:left w:w="0" w:type="dxa"/>
                    <w:bottom w:w="0" w:type="dxa"/>
                    <w:right w:w="0" w:type="dxa"/>
                  </w:tcMar>
                  <w:vAlign w:val="center"/>
                </w:tcPr>
                <w:p w14:paraId="7C9DC3FE">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24.7</w:t>
                  </w:r>
                </w:p>
              </w:tc>
              <w:tc>
                <w:tcPr>
                  <w:tcW w:w="180" w:type="pct"/>
                  <w:tcBorders>
                    <w:tl2br w:val="nil"/>
                    <w:tr2bl w:val="nil"/>
                  </w:tcBorders>
                  <w:shd w:val="clear" w:color="auto" w:fill="auto"/>
                  <w:tcMar>
                    <w:top w:w="0" w:type="dxa"/>
                    <w:left w:w="0" w:type="dxa"/>
                    <w:bottom w:w="0" w:type="dxa"/>
                    <w:right w:w="0" w:type="dxa"/>
                  </w:tcMar>
                  <w:vAlign w:val="center"/>
                </w:tcPr>
                <w:p w14:paraId="01601BA8">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147.1</w:t>
                  </w:r>
                </w:p>
              </w:tc>
              <w:tc>
                <w:tcPr>
                  <w:tcW w:w="194" w:type="pct"/>
                  <w:tcBorders>
                    <w:tl2br w:val="nil"/>
                    <w:tr2bl w:val="nil"/>
                  </w:tcBorders>
                  <w:shd w:val="clear" w:color="auto" w:fill="auto"/>
                  <w:tcMar>
                    <w:top w:w="0" w:type="dxa"/>
                    <w:left w:w="0" w:type="dxa"/>
                    <w:bottom w:w="0" w:type="dxa"/>
                    <w:right w:w="0" w:type="dxa"/>
                  </w:tcMar>
                  <w:vAlign w:val="center"/>
                </w:tcPr>
                <w:p w14:paraId="048E8AA3">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w:t>
                  </w:r>
                </w:p>
              </w:tc>
              <w:tc>
                <w:tcPr>
                  <w:tcW w:w="173" w:type="pct"/>
                  <w:tcBorders>
                    <w:tl2br w:val="nil"/>
                    <w:tr2bl w:val="nil"/>
                  </w:tcBorders>
                  <w:shd w:val="clear" w:color="auto" w:fill="auto"/>
                  <w:tcMar>
                    <w:top w:w="0" w:type="dxa"/>
                    <w:left w:w="0" w:type="dxa"/>
                    <w:bottom w:w="0" w:type="dxa"/>
                    <w:right w:w="0" w:type="dxa"/>
                  </w:tcMar>
                  <w:vAlign w:val="center"/>
                </w:tcPr>
                <w:p w14:paraId="602B0932">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22.3</w:t>
                  </w:r>
                </w:p>
              </w:tc>
              <w:tc>
                <w:tcPr>
                  <w:tcW w:w="173" w:type="pct"/>
                  <w:tcBorders>
                    <w:tl2br w:val="nil"/>
                    <w:tr2bl w:val="nil"/>
                  </w:tcBorders>
                  <w:shd w:val="clear" w:color="auto" w:fill="auto"/>
                  <w:tcMar>
                    <w:top w:w="0" w:type="dxa"/>
                    <w:left w:w="0" w:type="dxa"/>
                    <w:bottom w:w="0" w:type="dxa"/>
                    <w:right w:w="0" w:type="dxa"/>
                  </w:tcMar>
                  <w:vAlign w:val="center"/>
                </w:tcPr>
                <w:p w14:paraId="02814CD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19.1</w:t>
                  </w:r>
                </w:p>
              </w:tc>
              <w:tc>
                <w:tcPr>
                  <w:tcW w:w="173" w:type="pct"/>
                  <w:tcBorders>
                    <w:tl2br w:val="nil"/>
                    <w:tr2bl w:val="nil"/>
                  </w:tcBorders>
                  <w:shd w:val="clear" w:color="auto" w:fill="auto"/>
                  <w:tcMar>
                    <w:top w:w="0" w:type="dxa"/>
                    <w:left w:w="0" w:type="dxa"/>
                    <w:bottom w:w="0" w:type="dxa"/>
                    <w:right w:w="0" w:type="dxa"/>
                  </w:tcMar>
                  <w:vAlign w:val="center"/>
                </w:tcPr>
                <w:p w14:paraId="0DB8527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2.9</w:t>
                  </w:r>
                </w:p>
              </w:tc>
              <w:tc>
                <w:tcPr>
                  <w:tcW w:w="179" w:type="pct"/>
                  <w:tcBorders>
                    <w:tl2br w:val="nil"/>
                    <w:tr2bl w:val="nil"/>
                  </w:tcBorders>
                  <w:shd w:val="clear" w:color="auto" w:fill="auto"/>
                  <w:tcMar>
                    <w:top w:w="0" w:type="dxa"/>
                    <w:left w:w="0" w:type="dxa"/>
                    <w:bottom w:w="0" w:type="dxa"/>
                    <w:right w:w="0" w:type="dxa"/>
                  </w:tcMar>
                  <w:vAlign w:val="center"/>
                </w:tcPr>
                <w:p w14:paraId="5DBC3494">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43.2</w:t>
                  </w:r>
                </w:p>
              </w:tc>
              <w:tc>
                <w:tcPr>
                  <w:tcW w:w="173" w:type="pct"/>
                  <w:tcBorders>
                    <w:tl2br w:val="nil"/>
                    <w:tr2bl w:val="nil"/>
                  </w:tcBorders>
                  <w:shd w:val="clear" w:color="auto" w:fill="auto"/>
                  <w:tcMar>
                    <w:top w:w="0" w:type="dxa"/>
                    <w:left w:w="0" w:type="dxa"/>
                    <w:bottom w:w="0" w:type="dxa"/>
                    <w:right w:w="0" w:type="dxa"/>
                  </w:tcMar>
                  <w:vAlign w:val="center"/>
                </w:tcPr>
                <w:p w14:paraId="47F0CFD5">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68.4</w:t>
                  </w:r>
                </w:p>
              </w:tc>
              <w:tc>
                <w:tcPr>
                  <w:tcW w:w="173" w:type="pct"/>
                  <w:tcBorders>
                    <w:tl2br w:val="nil"/>
                    <w:tr2bl w:val="nil"/>
                  </w:tcBorders>
                  <w:shd w:val="clear" w:color="auto" w:fill="auto"/>
                  <w:tcMar>
                    <w:top w:w="0" w:type="dxa"/>
                    <w:left w:w="0" w:type="dxa"/>
                    <w:bottom w:w="0" w:type="dxa"/>
                    <w:right w:w="0" w:type="dxa"/>
                  </w:tcMar>
                  <w:vAlign w:val="center"/>
                </w:tcPr>
                <w:p w14:paraId="0BFB5DBA">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68.4</w:t>
                  </w:r>
                </w:p>
              </w:tc>
              <w:tc>
                <w:tcPr>
                  <w:tcW w:w="173" w:type="pct"/>
                  <w:tcBorders>
                    <w:tl2br w:val="nil"/>
                    <w:tr2bl w:val="nil"/>
                  </w:tcBorders>
                  <w:shd w:val="clear" w:color="auto" w:fill="auto"/>
                  <w:tcMar>
                    <w:top w:w="0" w:type="dxa"/>
                    <w:left w:w="0" w:type="dxa"/>
                    <w:bottom w:w="0" w:type="dxa"/>
                    <w:right w:w="0" w:type="dxa"/>
                  </w:tcMar>
                  <w:vAlign w:val="center"/>
                </w:tcPr>
                <w:p w14:paraId="55E2E383">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69.0</w:t>
                  </w:r>
                </w:p>
              </w:tc>
              <w:tc>
                <w:tcPr>
                  <w:tcW w:w="181" w:type="pct"/>
                  <w:tcBorders>
                    <w:tl2br w:val="nil"/>
                    <w:tr2bl w:val="nil"/>
                  </w:tcBorders>
                  <w:shd w:val="clear" w:color="auto" w:fill="auto"/>
                  <w:tcMar>
                    <w:top w:w="0" w:type="dxa"/>
                    <w:left w:w="0" w:type="dxa"/>
                    <w:bottom w:w="0" w:type="dxa"/>
                    <w:right w:w="0" w:type="dxa"/>
                  </w:tcMar>
                  <w:vAlign w:val="center"/>
                </w:tcPr>
                <w:p w14:paraId="39B50D7D">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68.4</w:t>
                  </w:r>
                </w:p>
              </w:tc>
              <w:tc>
                <w:tcPr>
                  <w:tcW w:w="170" w:type="pct"/>
                  <w:vMerge w:val="continue"/>
                  <w:tcBorders>
                    <w:tl2br w:val="nil"/>
                    <w:tr2bl w:val="nil"/>
                  </w:tcBorders>
                  <w:shd w:val="clear" w:color="auto" w:fill="auto"/>
                  <w:tcMar>
                    <w:top w:w="0" w:type="dxa"/>
                    <w:left w:w="0" w:type="dxa"/>
                    <w:bottom w:w="0" w:type="dxa"/>
                    <w:right w:w="0" w:type="dxa"/>
                  </w:tcMar>
                  <w:vAlign w:val="center"/>
                </w:tcPr>
                <w:p w14:paraId="14497AD8">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5B2F512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5EAFD397">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04FA2F04">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5E6C6382">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213" w:type="pct"/>
                  <w:vMerge w:val="continue"/>
                  <w:tcBorders>
                    <w:tl2br w:val="nil"/>
                    <w:tr2bl w:val="nil"/>
                  </w:tcBorders>
                  <w:shd w:val="clear" w:color="auto" w:fill="auto"/>
                  <w:tcMar>
                    <w:top w:w="0" w:type="dxa"/>
                    <w:left w:w="0" w:type="dxa"/>
                    <w:bottom w:w="0" w:type="dxa"/>
                    <w:right w:w="0" w:type="dxa"/>
                  </w:tcMar>
                  <w:vAlign w:val="center"/>
                </w:tcPr>
                <w:p w14:paraId="3B2C6E16">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79652394">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29A02D17">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0654FBAA">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010A084F">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203" w:type="pct"/>
                  <w:vMerge w:val="continue"/>
                  <w:tcBorders>
                    <w:tl2br w:val="nil"/>
                    <w:tr2bl w:val="nil"/>
                  </w:tcBorders>
                  <w:shd w:val="clear" w:color="auto" w:fill="auto"/>
                  <w:tcMar>
                    <w:top w:w="0" w:type="dxa"/>
                    <w:left w:w="0" w:type="dxa"/>
                    <w:bottom w:w="0" w:type="dxa"/>
                    <w:right w:w="0" w:type="dxa"/>
                  </w:tcMar>
                  <w:vAlign w:val="center"/>
                </w:tcPr>
                <w:p w14:paraId="040A4CC0">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r>
            <w:tr w14:paraId="7332C5C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 w:type="pct"/>
                  <w:tcBorders>
                    <w:tl2br w:val="nil"/>
                    <w:tr2bl w:val="nil"/>
                  </w:tcBorders>
                  <w:shd w:val="clear" w:color="auto" w:fill="auto"/>
                  <w:tcMar>
                    <w:top w:w="0" w:type="dxa"/>
                    <w:left w:w="0" w:type="dxa"/>
                    <w:bottom w:w="0" w:type="dxa"/>
                    <w:right w:w="0" w:type="dxa"/>
                  </w:tcMar>
                  <w:vAlign w:val="center"/>
                </w:tcPr>
                <w:p w14:paraId="5B976373">
                  <w:pPr>
                    <w:keepNext w:val="0"/>
                    <w:keepLines w:val="0"/>
                    <w:pageBreakBefore w:val="0"/>
                    <w:widowControl w:val="0"/>
                    <w:numPr>
                      <w:ilvl w:val="0"/>
                      <w:numId w:val="2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0" w:type="pct"/>
                  <w:vMerge w:val="continue"/>
                  <w:tcBorders>
                    <w:tl2br w:val="nil"/>
                    <w:tr2bl w:val="nil"/>
                  </w:tcBorders>
                  <w:shd w:val="clear" w:color="auto" w:fill="auto"/>
                  <w:tcMar>
                    <w:top w:w="0" w:type="dxa"/>
                    <w:left w:w="0" w:type="dxa"/>
                    <w:bottom w:w="0" w:type="dxa"/>
                    <w:right w:w="0" w:type="dxa"/>
                  </w:tcMar>
                  <w:vAlign w:val="center"/>
                </w:tcPr>
                <w:p w14:paraId="251BACA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294" w:type="pct"/>
                  <w:tcBorders>
                    <w:tl2br w:val="nil"/>
                    <w:tr2bl w:val="nil"/>
                  </w:tcBorders>
                  <w:shd w:val="clear" w:color="auto" w:fill="auto"/>
                  <w:tcMar>
                    <w:top w:w="0" w:type="dxa"/>
                    <w:left w:w="0" w:type="dxa"/>
                    <w:bottom w:w="0" w:type="dxa"/>
                    <w:right w:w="0" w:type="dxa"/>
                  </w:tcMar>
                  <w:vAlign w:val="center"/>
                </w:tcPr>
                <w:p w14:paraId="4D313B0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lang w:eastAsia="zh-TW"/>
                      <w14:textFill>
                        <w14:solidFill>
                          <w14:schemeClr w14:val="tx1"/>
                        </w14:solidFill>
                      </w14:textFill>
                    </w:rPr>
                    <w:t>数控直切式切药机</w:t>
                  </w:r>
                </w:p>
              </w:tc>
              <w:tc>
                <w:tcPr>
                  <w:tcW w:w="249" w:type="pct"/>
                  <w:tcBorders>
                    <w:tl2br w:val="nil"/>
                    <w:tr2bl w:val="nil"/>
                  </w:tcBorders>
                  <w:shd w:val="clear" w:color="auto" w:fill="auto"/>
                  <w:tcMar>
                    <w:top w:w="0" w:type="dxa"/>
                    <w:left w:w="0" w:type="dxa"/>
                    <w:bottom w:w="0" w:type="dxa"/>
                    <w:right w:w="0" w:type="dxa"/>
                  </w:tcMar>
                  <w:vAlign w:val="center"/>
                </w:tcPr>
                <w:p w14:paraId="6B5AE68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Cs w:val="21"/>
                      <w:lang w:eastAsia="zh-TW"/>
                      <w14:textFill>
                        <w14:solidFill>
                          <w14:schemeClr w14:val="tx1"/>
                        </w14:solidFill>
                      </w14:textFill>
                    </w:rPr>
                    <w:t>SQYJ-200</w:t>
                  </w:r>
                </w:p>
              </w:tc>
              <w:tc>
                <w:tcPr>
                  <w:tcW w:w="254" w:type="pct"/>
                  <w:tcBorders>
                    <w:tl2br w:val="nil"/>
                    <w:tr2bl w:val="nil"/>
                  </w:tcBorders>
                  <w:shd w:val="clear" w:color="auto" w:fill="auto"/>
                  <w:tcMar>
                    <w:top w:w="0" w:type="dxa"/>
                    <w:left w:w="0" w:type="dxa"/>
                    <w:bottom w:w="0" w:type="dxa"/>
                    <w:right w:w="0" w:type="dxa"/>
                  </w:tcMar>
                  <w:vAlign w:val="center"/>
                </w:tcPr>
                <w:p w14:paraId="0A8F98D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r>
                    <w:rPr>
                      <w:rFonts w:hint="default" w:ascii="Times New Roman" w:hAnsi="Times New Roman" w:eastAsia="Arial" w:cs="Times New Roman"/>
                      <w:color w:val="000000" w:themeColor="text1"/>
                      <w:sz w:val="21"/>
                      <w:szCs w:val="21"/>
                      <w:highlight w:val="none"/>
                      <w:shd w:val="clear" w:color="auto" w:fill="auto"/>
                      <w14:textFill>
                        <w14:solidFill>
                          <w14:schemeClr w14:val="tx1"/>
                        </w14:solidFill>
                      </w14:textFill>
                    </w:rPr>
                    <w:t>8</w:t>
                  </w:r>
                  <w:r>
                    <w:rPr>
                      <w:rFonts w:hint="eastAsia" w:eastAsia="宋体" w:cs="Times New Roman"/>
                      <w:color w:val="000000" w:themeColor="text1"/>
                      <w:sz w:val="21"/>
                      <w:szCs w:val="21"/>
                      <w:highlight w:val="none"/>
                      <w:shd w:val="clear" w:color="auto" w:fill="auto"/>
                      <w:lang w:val="en-US" w:eastAsia="zh-CN"/>
                      <w14:textFill>
                        <w14:solidFill>
                          <w14:schemeClr w14:val="tx1"/>
                        </w14:solidFill>
                      </w14:textFill>
                    </w:rPr>
                    <w:t>0</w:t>
                  </w:r>
                </w:p>
              </w:tc>
              <w:tc>
                <w:tcPr>
                  <w:tcW w:w="173" w:type="pct"/>
                  <w:vMerge w:val="continue"/>
                  <w:tcBorders>
                    <w:tl2br w:val="nil"/>
                    <w:tr2bl w:val="nil"/>
                  </w:tcBorders>
                  <w:shd w:val="clear" w:color="auto" w:fill="auto"/>
                  <w:tcMar>
                    <w:top w:w="0" w:type="dxa"/>
                    <w:left w:w="0" w:type="dxa"/>
                    <w:bottom w:w="0" w:type="dxa"/>
                    <w:right w:w="0" w:type="dxa"/>
                  </w:tcMar>
                  <w:vAlign w:val="center"/>
                </w:tcPr>
                <w:p w14:paraId="7B87213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80" w:type="pct"/>
                  <w:tcBorders>
                    <w:tl2br w:val="nil"/>
                    <w:tr2bl w:val="nil"/>
                  </w:tcBorders>
                  <w:shd w:val="clear" w:color="auto" w:fill="auto"/>
                  <w:tcMar>
                    <w:top w:w="0" w:type="dxa"/>
                    <w:left w:w="0" w:type="dxa"/>
                    <w:bottom w:w="0" w:type="dxa"/>
                    <w:right w:w="0" w:type="dxa"/>
                  </w:tcMar>
                  <w:vAlign w:val="center"/>
                </w:tcPr>
                <w:p w14:paraId="2A445AE7">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28</w:t>
                  </w:r>
                </w:p>
              </w:tc>
              <w:tc>
                <w:tcPr>
                  <w:tcW w:w="180" w:type="pct"/>
                  <w:tcBorders>
                    <w:tl2br w:val="nil"/>
                    <w:tr2bl w:val="nil"/>
                  </w:tcBorders>
                  <w:shd w:val="clear" w:color="auto" w:fill="auto"/>
                  <w:tcMar>
                    <w:top w:w="0" w:type="dxa"/>
                    <w:left w:w="0" w:type="dxa"/>
                    <w:bottom w:w="0" w:type="dxa"/>
                    <w:right w:w="0" w:type="dxa"/>
                  </w:tcMar>
                  <w:vAlign w:val="center"/>
                </w:tcPr>
                <w:p w14:paraId="6DF2D8E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147.8</w:t>
                  </w:r>
                </w:p>
              </w:tc>
              <w:tc>
                <w:tcPr>
                  <w:tcW w:w="194" w:type="pct"/>
                  <w:tcBorders>
                    <w:tl2br w:val="nil"/>
                    <w:tr2bl w:val="nil"/>
                  </w:tcBorders>
                  <w:shd w:val="clear" w:color="auto" w:fill="auto"/>
                  <w:tcMar>
                    <w:top w:w="0" w:type="dxa"/>
                    <w:left w:w="0" w:type="dxa"/>
                    <w:bottom w:w="0" w:type="dxa"/>
                    <w:right w:w="0" w:type="dxa"/>
                  </w:tcMar>
                  <w:vAlign w:val="center"/>
                </w:tcPr>
                <w:p w14:paraId="629ACBB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w:t>
                  </w:r>
                </w:p>
              </w:tc>
              <w:tc>
                <w:tcPr>
                  <w:tcW w:w="173" w:type="pct"/>
                  <w:tcBorders>
                    <w:tl2br w:val="nil"/>
                    <w:tr2bl w:val="nil"/>
                  </w:tcBorders>
                  <w:shd w:val="clear" w:color="auto" w:fill="auto"/>
                  <w:tcMar>
                    <w:top w:w="0" w:type="dxa"/>
                    <w:left w:w="0" w:type="dxa"/>
                    <w:bottom w:w="0" w:type="dxa"/>
                    <w:right w:w="0" w:type="dxa"/>
                  </w:tcMar>
                  <w:vAlign w:val="center"/>
                </w:tcPr>
                <w:p w14:paraId="567702F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19.0</w:t>
                  </w:r>
                </w:p>
              </w:tc>
              <w:tc>
                <w:tcPr>
                  <w:tcW w:w="173" w:type="pct"/>
                  <w:tcBorders>
                    <w:tl2br w:val="nil"/>
                    <w:tr2bl w:val="nil"/>
                  </w:tcBorders>
                  <w:shd w:val="clear" w:color="auto" w:fill="auto"/>
                  <w:tcMar>
                    <w:top w:w="0" w:type="dxa"/>
                    <w:left w:w="0" w:type="dxa"/>
                    <w:bottom w:w="0" w:type="dxa"/>
                    <w:right w:w="0" w:type="dxa"/>
                  </w:tcMar>
                  <w:vAlign w:val="center"/>
                </w:tcPr>
                <w:p w14:paraId="13D1F133">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19.4</w:t>
                  </w:r>
                </w:p>
              </w:tc>
              <w:tc>
                <w:tcPr>
                  <w:tcW w:w="173" w:type="pct"/>
                  <w:tcBorders>
                    <w:tl2br w:val="nil"/>
                    <w:tr2bl w:val="nil"/>
                  </w:tcBorders>
                  <w:shd w:val="clear" w:color="auto" w:fill="auto"/>
                  <w:tcMar>
                    <w:top w:w="0" w:type="dxa"/>
                    <w:left w:w="0" w:type="dxa"/>
                    <w:bottom w:w="0" w:type="dxa"/>
                    <w:right w:w="0" w:type="dxa"/>
                  </w:tcMar>
                  <w:vAlign w:val="center"/>
                </w:tcPr>
                <w:p w14:paraId="2D72E68F">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2.6</w:t>
                  </w:r>
                </w:p>
              </w:tc>
              <w:tc>
                <w:tcPr>
                  <w:tcW w:w="179" w:type="pct"/>
                  <w:tcBorders>
                    <w:tl2br w:val="nil"/>
                    <w:tr2bl w:val="nil"/>
                  </w:tcBorders>
                  <w:shd w:val="clear" w:color="auto" w:fill="auto"/>
                  <w:tcMar>
                    <w:top w:w="0" w:type="dxa"/>
                    <w:left w:w="0" w:type="dxa"/>
                    <w:bottom w:w="0" w:type="dxa"/>
                    <w:right w:w="0" w:type="dxa"/>
                  </w:tcMar>
                  <w:vAlign w:val="center"/>
                </w:tcPr>
                <w:p w14:paraId="2D1BDDFA">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39.9</w:t>
                  </w:r>
                </w:p>
              </w:tc>
              <w:tc>
                <w:tcPr>
                  <w:tcW w:w="173" w:type="pct"/>
                  <w:tcBorders>
                    <w:tl2br w:val="nil"/>
                    <w:tr2bl w:val="nil"/>
                  </w:tcBorders>
                  <w:shd w:val="clear" w:color="auto" w:fill="auto"/>
                  <w:tcMar>
                    <w:top w:w="0" w:type="dxa"/>
                    <w:left w:w="0" w:type="dxa"/>
                    <w:bottom w:w="0" w:type="dxa"/>
                    <w:right w:w="0" w:type="dxa"/>
                  </w:tcMar>
                  <w:vAlign w:val="center"/>
                </w:tcPr>
                <w:p w14:paraId="5DC5952F">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68.4</w:t>
                  </w:r>
                </w:p>
              </w:tc>
              <w:tc>
                <w:tcPr>
                  <w:tcW w:w="173" w:type="pct"/>
                  <w:tcBorders>
                    <w:tl2br w:val="nil"/>
                    <w:tr2bl w:val="nil"/>
                  </w:tcBorders>
                  <w:shd w:val="clear" w:color="auto" w:fill="auto"/>
                  <w:tcMar>
                    <w:top w:w="0" w:type="dxa"/>
                    <w:left w:w="0" w:type="dxa"/>
                    <w:bottom w:w="0" w:type="dxa"/>
                    <w:right w:w="0" w:type="dxa"/>
                  </w:tcMar>
                  <w:vAlign w:val="center"/>
                </w:tcPr>
                <w:p w14:paraId="546353FE">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68.4</w:t>
                  </w:r>
                </w:p>
              </w:tc>
              <w:tc>
                <w:tcPr>
                  <w:tcW w:w="173" w:type="pct"/>
                  <w:tcBorders>
                    <w:tl2br w:val="nil"/>
                    <w:tr2bl w:val="nil"/>
                  </w:tcBorders>
                  <w:shd w:val="clear" w:color="auto" w:fill="auto"/>
                  <w:tcMar>
                    <w:top w:w="0" w:type="dxa"/>
                    <w:left w:w="0" w:type="dxa"/>
                    <w:bottom w:w="0" w:type="dxa"/>
                    <w:right w:w="0" w:type="dxa"/>
                  </w:tcMar>
                  <w:vAlign w:val="center"/>
                </w:tcPr>
                <w:p w14:paraId="372AF3B3">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69.1</w:t>
                  </w:r>
                </w:p>
              </w:tc>
              <w:tc>
                <w:tcPr>
                  <w:tcW w:w="181" w:type="pct"/>
                  <w:tcBorders>
                    <w:tl2br w:val="nil"/>
                    <w:tr2bl w:val="nil"/>
                  </w:tcBorders>
                  <w:shd w:val="clear" w:color="auto" w:fill="auto"/>
                  <w:tcMar>
                    <w:top w:w="0" w:type="dxa"/>
                    <w:left w:w="0" w:type="dxa"/>
                    <w:bottom w:w="0" w:type="dxa"/>
                    <w:right w:w="0" w:type="dxa"/>
                  </w:tcMar>
                  <w:vAlign w:val="center"/>
                </w:tcPr>
                <w:p w14:paraId="409ED643">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68.4</w:t>
                  </w:r>
                </w:p>
              </w:tc>
              <w:tc>
                <w:tcPr>
                  <w:tcW w:w="170" w:type="pct"/>
                  <w:vMerge w:val="continue"/>
                  <w:tcBorders>
                    <w:tl2br w:val="nil"/>
                    <w:tr2bl w:val="nil"/>
                  </w:tcBorders>
                  <w:shd w:val="clear" w:color="auto" w:fill="auto"/>
                  <w:tcMar>
                    <w:top w:w="0" w:type="dxa"/>
                    <w:left w:w="0" w:type="dxa"/>
                    <w:bottom w:w="0" w:type="dxa"/>
                    <w:right w:w="0" w:type="dxa"/>
                  </w:tcMar>
                  <w:vAlign w:val="center"/>
                </w:tcPr>
                <w:p w14:paraId="0F0FB7A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21A8622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078EF4D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65B4AE1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0A0ACF8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213" w:type="pct"/>
                  <w:vMerge w:val="continue"/>
                  <w:tcBorders>
                    <w:tl2br w:val="nil"/>
                    <w:tr2bl w:val="nil"/>
                  </w:tcBorders>
                  <w:shd w:val="clear" w:color="auto" w:fill="auto"/>
                  <w:tcMar>
                    <w:top w:w="0" w:type="dxa"/>
                    <w:left w:w="0" w:type="dxa"/>
                    <w:bottom w:w="0" w:type="dxa"/>
                    <w:right w:w="0" w:type="dxa"/>
                  </w:tcMar>
                  <w:vAlign w:val="center"/>
                </w:tcPr>
                <w:p w14:paraId="504FBE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766AC8F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3D62A1B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33EFAB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21B189A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203" w:type="pct"/>
                  <w:vMerge w:val="continue"/>
                  <w:tcBorders>
                    <w:tl2br w:val="nil"/>
                    <w:tr2bl w:val="nil"/>
                  </w:tcBorders>
                  <w:shd w:val="clear" w:color="auto" w:fill="auto"/>
                  <w:tcMar>
                    <w:top w:w="0" w:type="dxa"/>
                    <w:left w:w="0" w:type="dxa"/>
                    <w:bottom w:w="0" w:type="dxa"/>
                    <w:right w:w="0" w:type="dxa"/>
                  </w:tcMar>
                  <w:vAlign w:val="center"/>
                </w:tcPr>
                <w:p w14:paraId="055C8B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r>
            <w:tr w14:paraId="6EEA9E1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169" w:type="pct"/>
                  <w:tcBorders>
                    <w:tl2br w:val="nil"/>
                    <w:tr2bl w:val="nil"/>
                  </w:tcBorders>
                  <w:shd w:val="clear" w:color="auto" w:fill="auto"/>
                  <w:tcMar>
                    <w:top w:w="0" w:type="dxa"/>
                    <w:left w:w="0" w:type="dxa"/>
                    <w:bottom w:w="0" w:type="dxa"/>
                    <w:right w:w="0" w:type="dxa"/>
                  </w:tcMar>
                  <w:vAlign w:val="center"/>
                </w:tcPr>
                <w:p w14:paraId="07B1BF04">
                  <w:pPr>
                    <w:keepNext w:val="0"/>
                    <w:keepLines w:val="0"/>
                    <w:pageBreakBefore w:val="0"/>
                    <w:widowControl w:val="0"/>
                    <w:numPr>
                      <w:ilvl w:val="0"/>
                      <w:numId w:val="2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0" w:type="pct"/>
                  <w:vMerge w:val="continue"/>
                  <w:tcBorders>
                    <w:tl2br w:val="nil"/>
                    <w:tr2bl w:val="nil"/>
                  </w:tcBorders>
                  <w:shd w:val="clear" w:color="auto" w:fill="auto"/>
                  <w:tcMar>
                    <w:top w:w="0" w:type="dxa"/>
                    <w:left w:w="0" w:type="dxa"/>
                    <w:bottom w:w="0" w:type="dxa"/>
                    <w:right w:w="0" w:type="dxa"/>
                  </w:tcMar>
                  <w:vAlign w:val="center"/>
                </w:tcPr>
                <w:p w14:paraId="41A9F2DF">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294" w:type="pct"/>
                  <w:tcBorders>
                    <w:tl2br w:val="nil"/>
                    <w:tr2bl w:val="nil"/>
                  </w:tcBorders>
                  <w:shd w:val="clear" w:color="auto" w:fill="auto"/>
                  <w:tcMar>
                    <w:top w:w="0" w:type="dxa"/>
                    <w:left w:w="0" w:type="dxa"/>
                    <w:bottom w:w="0" w:type="dxa"/>
                    <w:right w:w="0" w:type="dxa"/>
                  </w:tcMar>
                  <w:vAlign w:val="center"/>
                </w:tcPr>
                <w:p w14:paraId="46385EA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lang w:eastAsia="zh-TW"/>
                      <w14:textFill>
                        <w14:solidFill>
                          <w14:schemeClr w14:val="tx1"/>
                        </w14:solidFill>
                      </w14:textFill>
                    </w:rPr>
                    <w:t>敞开式烘箱</w:t>
                  </w:r>
                </w:p>
              </w:tc>
              <w:tc>
                <w:tcPr>
                  <w:tcW w:w="249" w:type="pct"/>
                  <w:tcBorders>
                    <w:tl2br w:val="nil"/>
                    <w:tr2bl w:val="nil"/>
                  </w:tcBorders>
                  <w:shd w:val="clear" w:color="auto" w:fill="auto"/>
                  <w:tcMar>
                    <w:top w:w="0" w:type="dxa"/>
                    <w:left w:w="0" w:type="dxa"/>
                    <w:bottom w:w="0" w:type="dxa"/>
                    <w:right w:w="0" w:type="dxa"/>
                  </w:tcMar>
                  <w:vAlign w:val="center"/>
                </w:tcPr>
                <w:p w14:paraId="0866E59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lang w:eastAsia="zh-TW"/>
                      <w14:textFill>
                        <w14:solidFill>
                          <w14:schemeClr w14:val="tx1"/>
                        </w14:solidFill>
                      </w14:textFill>
                    </w:rPr>
                    <w:t>HX-4</w:t>
                  </w:r>
                </w:p>
              </w:tc>
              <w:tc>
                <w:tcPr>
                  <w:tcW w:w="254" w:type="pct"/>
                  <w:tcBorders>
                    <w:tl2br w:val="nil"/>
                    <w:tr2bl w:val="nil"/>
                  </w:tcBorders>
                  <w:shd w:val="clear" w:color="auto" w:fill="auto"/>
                  <w:tcMar>
                    <w:top w:w="0" w:type="dxa"/>
                    <w:left w:w="0" w:type="dxa"/>
                    <w:bottom w:w="0" w:type="dxa"/>
                    <w:right w:w="0" w:type="dxa"/>
                  </w:tcMar>
                  <w:vAlign w:val="center"/>
                </w:tcPr>
                <w:p w14:paraId="219E93F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r>
                    <w:rPr>
                      <w:rFonts w:hint="eastAsia" w:eastAsia="宋体" w:cs="Times New Roman"/>
                      <w:color w:val="000000" w:themeColor="text1"/>
                      <w:sz w:val="21"/>
                      <w:szCs w:val="21"/>
                      <w:highlight w:val="none"/>
                      <w:shd w:val="clear" w:color="auto" w:fill="auto"/>
                      <w:lang w:val="en-US" w:eastAsia="zh-CN"/>
                      <w14:textFill>
                        <w14:solidFill>
                          <w14:schemeClr w14:val="tx1"/>
                        </w14:solidFill>
                      </w14:textFill>
                    </w:rPr>
                    <w:t>80</w:t>
                  </w:r>
                </w:p>
              </w:tc>
              <w:tc>
                <w:tcPr>
                  <w:tcW w:w="173" w:type="pct"/>
                  <w:vMerge w:val="continue"/>
                  <w:tcBorders>
                    <w:tl2br w:val="nil"/>
                    <w:tr2bl w:val="nil"/>
                  </w:tcBorders>
                  <w:shd w:val="clear" w:color="auto" w:fill="auto"/>
                  <w:tcMar>
                    <w:top w:w="0" w:type="dxa"/>
                    <w:left w:w="0" w:type="dxa"/>
                    <w:bottom w:w="0" w:type="dxa"/>
                    <w:right w:w="0" w:type="dxa"/>
                  </w:tcMar>
                  <w:vAlign w:val="center"/>
                </w:tcPr>
                <w:p w14:paraId="702F8D5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80" w:type="pct"/>
                  <w:tcBorders>
                    <w:tl2br w:val="nil"/>
                    <w:tr2bl w:val="nil"/>
                  </w:tcBorders>
                  <w:shd w:val="clear" w:color="auto" w:fill="auto"/>
                  <w:tcMar>
                    <w:top w:w="0" w:type="dxa"/>
                    <w:left w:w="0" w:type="dxa"/>
                    <w:bottom w:w="0" w:type="dxa"/>
                    <w:right w:w="0" w:type="dxa"/>
                  </w:tcMar>
                  <w:vAlign w:val="center"/>
                </w:tcPr>
                <w:p w14:paraId="34BE5AA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13.8</w:t>
                  </w:r>
                </w:p>
              </w:tc>
              <w:tc>
                <w:tcPr>
                  <w:tcW w:w="180" w:type="pct"/>
                  <w:tcBorders>
                    <w:tl2br w:val="nil"/>
                    <w:tr2bl w:val="nil"/>
                  </w:tcBorders>
                  <w:shd w:val="clear" w:color="auto" w:fill="auto"/>
                  <w:tcMar>
                    <w:top w:w="0" w:type="dxa"/>
                    <w:left w:w="0" w:type="dxa"/>
                    <w:bottom w:w="0" w:type="dxa"/>
                    <w:right w:w="0" w:type="dxa"/>
                  </w:tcMar>
                  <w:vAlign w:val="center"/>
                </w:tcPr>
                <w:p w14:paraId="57E574F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130.1</w:t>
                  </w:r>
                </w:p>
              </w:tc>
              <w:tc>
                <w:tcPr>
                  <w:tcW w:w="194" w:type="pct"/>
                  <w:tcBorders>
                    <w:tl2br w:val="nil"/>
                    <w:tr2bl w:val="nil"/>
                  </w:tcBorders>
                  <w:shd w:val="clear" w:color="auto" w:fill="auto"/>
                  <w:tcMar>
                    <w:top w:w="0" w:type="dxa"/>
                    <w:left w:w="0" w:type="dxa"/>
                    <w:bottom w:w="0" w:type="dxa"/>
                    <w:right w:w="0" w:type="dxa"/>
                  </w:tcMar>
                  <w:vAlign w:val="center"/>
                </w:tcPr>
                <w:p w14:paraId="31BF157E">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1.2</w:t>
                  </w:r>
                </w:p>
              </w:tc>
              <w:tc>
                <w:tcPr>
                  <w:tcW w:w="173" w:type="pct"/>
                  <w:tcBorders>
                    <w:tl2br w:val="nil"/>
                    <w:tr2bl w:val="nil"/>
                  </w:tcBorders>
                  <w:shd w:val="clear" w:color="auto" w:fill="auto"/>
                  <w:tcMar>
                    <w:top w:w="0" w:type="dxa"/>
                    <w:left w:w="0" w:type="dxa"/>
                    <w:bottom w:w="0" w:type="dxa"/>
                    <w:right w:w="0" w:type="dxa"/>
                  </w:tcMar>
                  <w:vAlign w:val="center"/>
                </w:tcPr>
                <w:p w14:paraId="4DF2E134">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39.1</w:t>
                  </w:r>
                </w:p>
              </w:tc>
              <w:tc>
                <w:tcPr>
                  <w:tcW w:w="173" w:type="pct"/>
                  <w:tcBorders>
                    <w:tl2br w:val="nil"/>
                    <w:tr2bl w:val="nil"/>
                  </w:tcBorders>
                  <w:shd w:val="clear" w:color="auto" w:fill="auto"/>
                  <w:tcMar>
                    <w:top w:w="0" w:type="dxa"/>
                    <w:left w:w="0" w:type="dxa"/>
                    <w:bottom w:w="0" w:type="dxa"/>
                    <w:right w:w="0" w:type="dxa"/>
                  </w:tcMar>
                  <w:vAlign w:val="center"/>
                </w:tcPr>
                <w:p w14:paraId="744539D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3.4</w:t>
                  </w:r>
                </w:p>
              </w:tc>
              <w:tc>
                <w:tcPr>
                  <w:tcW w:w="173" w:type="pct"/>
                  <w:tcBorders>
                    <w:tl2br w:val="nil"/>
                    <w:tr2bl w:val="nil"/>
                  </w:tcBorders>
                  <w:shd w:val="clear" w:color="auto" w:fill="auto"/>
                  <w:tcMar>
                    <w:top w:w="0" w:type="dxa"/>
                    <w:left w:w="0" w:type="dxa"/>
                    <w:bottom w:w="0" w:type="dxa"/>
                    <w:right w:w="0" w:type="dxa"/>
                  </w:tcMar>
                  <w:vAlign w:val="center"/>
                </w:tcPr>
                <w:p w14:paraId="33E1F063">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18.5</w:t>
                  </w:r>
                </w:p>
              </w:tc>
              <w:tc>
                <w:tcPr>
                  <w:tcW w:w="179" w:type="pct"/>
                  <w:tcBorders>
                    <w:tl2br w:val="nil"/>
                    <w:tr2bl w:val="nil"/>
                  </w:tcBorders>
                  <w:shd w:val="clear" w:color="auto" w:fill="auto"/>
                  <w:tcMar>
                    <w:top w:w="0" w:type="dxa"/>
                    <w:left w:w="0" w:type="dxa"/>
                    <w:bottom w:w="0" w:type="dxa"/>
                    <w:right w:w="0" w:type="dxa"/>
                  </w:tcMar>
                  <w:vAlign w:val="center"/>
                </w:tcPr>
                <w:p w14:paraId="0874906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54.9</w:t>
                  </w:r>
                </w:p>
              </w:tc>
              <w:tc>
                <w:tcPr>
                  <w:tcW w:w="173" w:type="pct"/>
                  <w:tcBorders>
                    <w:tl2br w:val="nil"/>
                    <w:tr2bl w:val="nil"/>
                  </w:tcBorders>
                  <w:shd w:val="clear" w:color="auto" w:fill="auto"/>
                  <w:tcMar>
                    <w:top w:w="0" w:type="dxa"/>
                    <w:left w:w="0" w:type="dxa"/>
                    <w:bottom w:w="0" w:type="dxa"/>
                    <w:right w:w="0" w:type="dxa"/>
                  </w:tcMar>
                  <w:vAlign w:val="center"/>
                </w:tcPr>
                <w:p w14:paraId="141A0CE5">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68.4</w:t>
                  </w:r>
                </w:p>
              </w:tc>
              <w:tc>
                <w:tcPr>
                  <w:tcW w:w="173" w:type="pct"/>
                  <w:tcBorders>
                    <w:tl2br w:val="nil"/>
                    <w:tr2bl w:val="nil"/>
                  </w:tcBorders>
                  <w:shd w:val="clear" w:color="auto" w:fill="auto"/>
                  <w:tcMar>
                    <w:top w:w="0" w:type="dxa"/>
                    <w:left w:w="0" w:type="dxa"/>
                    <w:bottom w:w="0" w:type="dxa"/>
                    <w:right w:w="0" w:type="dxa"/>
                  </w:tcMar>
                  <w:vAlign w:val="center"/>
                </w:tcPr>
                <w:p w14:paraId="1780F427">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68.8</w:t>
                  </w:r>
                </w:p>
              </w:tc>
              <w:tc>
                <w:tcPr>
                  <w:tcW w:w="173" w:type="pct"/>
                  <w:tcBorders>
                    <w:tl2br w:val="nil"/>
                    <w:tr2bl w:val="nil"/>
                  </w:tcBorders>
                  <w:shd w:val="clear" w:color="auto" w:fill="auto"/>
                  <w:tcMar>
                    <w:top w:w="0" w:type="dxa"/>
                    <w:left w:w="0" w:type="dxa"/>
                    <w:bottom w:w="0" w:type="dxa"/>
                    <w:right w:w="0" w:type="dxa"/>
                  </w:tcMar>
                  <w:vAlign w:val="center"/>
                </w:tcPr>
                <w:p w14:paraId="3FF22C47">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68.4</w:t>
                  </w:r>
                </w:p>
              </w:tc>
              <w:tc>
                <w:tcPr>
                  <w:tcW w:w="181" w:type="pct"/>
                  <w:tcBorders>
                    <w:tl2br w:val="nil"/>
                    <w:tr2bl w:val="nil"/>
                  </w:tcBorders>
                  <w:shd w:val="clear" w:color="auto" w:fill="auto"/>
                  <w:tcMar>
                    <w:top w:w="0" w:type="dxa"/>
                    <w:left w:w="0" w:type="dxa"/>
                    <w:bottom w:w="0" w:type="dxa"/>
                    <w:right w:w="0" w:type="dxa"/>
                  </w:tcMar>
                  <w:vAlign w:val="center"/>
                </w:tcPr>
                <w:p w14:paraId="7925EA5B">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68.4</w:t>
                  </w:r>
                </w:p>
              </w:tc>
              <w:tc>
                <w:tcPr>
                  <w:tcW w:w="170" w:type="pct"/>
                  <w:vMerge w:val="continue"/>
                  <w:tcBorders>
                    <w:tl2br w:val="nil"/>
                    <w:tr2bl w:val="nil"/>
                  </w:tcBorders>
                  <w:shd w:val="clear" w:color="auto" w:fill="auto"/>
                  <w:tcMar>
                    <w:top w:w="0" w:type="dxa"/>
                    <w:left w:w="0" w:type="dxa"/>
                    <w:bottom w:w="0" w:type="dxa"/>
                    <w:right w:w="0" w:type="dxa"/>
                  </w:tcMar>
                  <w:vAlign w:val="center"/>
                </w:tcPr>
                <w:p w14:paraId="6BBC7CFA">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2A0F992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625A4D7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0463554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1C65AC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213" w:type="pct"/>
                  <w:vMerge w:val="continue"/>
                  <w:tcBorders>
                    <w:tl2br w:val="nil"/>
                    <w:tr2bl w:val="nil"/>
                  </w:tcBorders>
                  <w:shd w:val="clear" w:color="auto" w:fill="auto"/>
                  <w:tcMar>
                    <w:top w:w="0" w:type="dxa"/>
                    <w:left w:w="0" w:type="dxa"/>
                    <w:bottom w:w="0" w:type="dxa"/>
                    <w:right w:w="0" w:type="dxa"/>
                  </w:tcMar>
                  <w:vAlign w:val="center"/>
                </w:tcPr>
                <w:p w14:paraId="3DBB2F4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60839E9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392E6D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6F31DB5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00B48F1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203" w:type="pct"/>
                  <w:vMerge w:val="continue"/>
                  <w:tcBorders>
                    <w:tl2br w:val="nil"/>
                    <w:tr2bl w:val="nil"/>
                  </w:tcBorders>
                  <w:shd w:val="clear" w:color="auto" w:fill="auto"/>
                  <w:tcMar>
                    <w:top w:w="0" w:type="dxa"/>
                    <w:left w:w="0" w:type="dxa"/>
                    <w:bottom w:w="0" w:type="dxa"/>
                    <w:right w:w="0" w:type="dxa"/>
                  </w:tcMar>
                  <w:vAlign w:val="center"/>
                </w:tcPr>
                <w:p w14:paraId="149DD78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r>
            <w:tr w14:paraId="0A6FA7F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 w:type="pct"/>
                  <w:tcBorders>
                    <w:tl2br w:val="nil"/>
                    <w:tr2bl w:val="nil"/>
                  </w:tcBorders>
                  <w:shd w:val="clear" w:color="auto" w:fill="auto"/>
                  <w:tcMar>
                    <w:top w:w="0" w:type="dxa"/>
                    <w:left w:w="0" w:type="dxa"/>
                    <w:bottom w:w="0" w:type="dxa"/>
                    <w:right w:w="0" w:type="dxa"/>
                  </w:tcMar>
                  <w:vAlign w:val="center"/>
                </w:tcPr>
                <w:p w14:paraId="1EF45296">
                  <w:pPr>
                    <w:keepNext w:val="0"/>
                    <w:keepLines w:val="0"/>
                    <w:pageBreakBefore w:val="0"/>
                    <w:widowControl w:val="0"/>
                    <w:numPr>
                      <w:ilvl w:val="0"/>
                      <w:numId w:val="2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0" w:type="pct"/>
                  <w:vMerge w:val="continue"/>
                  <w:tcBorders>
                    <w:tl2br w:val="nil"/>
                    <w:tr2bl w:val="nil"/>
                  </w:tcBorders>
                  <w:shd w:val="clear" w:color="auto" w:fill="auto"/>
                  <w:tcMar>
                    <w:top w:w="0" w:type="dxa"/>
                    <w:left w:w="0" w:type="dxa"/>
                    <w:bottom w:w="0" w:type="dxa"/>
                    <w:right w:w="0" w:type="dxa"/>
                  </w:tcMar>
                  <w:vAlign w:val="center"/>
                </w:tcPr>
                <w:p w14:paraId="259CE98A">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294" w:type="pct"/>
                  <w:tcBorders>
                    <w:tl2br w:val="nil"/>
                    <w:tr2bl w:val="nil"/>
                  </w:tcBorders>
                  <w:shd w:val="clear" w:color="auto" w:fill="auto"/>
                  <w:tcMar>
                    <w:top w:w="0" w:type="dxa"/>
                    <w:left w:w="0" w:type="dxa"/>
                    <w:bottom w:w="0" w:type="dxa"/>
                    <w:right w:w="0" w:type="dxa"/>
                  </w:tcMar>
                  <w:vAlign w:val="center"/>
                </w:tcPr>
                <w:p w14:paraId="4C60F44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lang w:eastAsia="zh-TW"/>
                      <w14:textFill>
                        <w14:solidFill>
                          <w14:schemeClr w14:val="tx1"/>
                        </w14:solidFill>
                      </w14:textFill>
                    </w:rPr>
                    <w:t>热风</w:t>
                  </w:r>
                  <w:r>
                    <w:rPr>
                      <w:rFonts w:hint="default" w:ascii="Times New Roman" w:hAnsi="Times New Roman" w:eastAsia="宋体" w:cs="Times New Roman"/>
                      <w:color w:val="000000" w:themeColor="text1"/>
                      <w:kern w:val="0"/>
                      <w:szCs w:val="21"/>
                      <w:lang w:eastAsia="zh-TW"/>
                      <w14:textFill>
                        <w14:solidFill>
                          <w14:schemeClr w14:val="tx1"/>
                        </w14:solidFill>
                      </w14:textFill>
                    </w:rPr>
                    <w:t>循环烘箱</w:t>
                  </w:r>
                </w:p>
              </w:tc>
              <w:tc>
                <w:tcPr>
                  <w:tcW w:w="249" w:type="pct"/>
                  <w:tcBorders>
                    <w:tl2br w:val="nil"/>
                    <w:tr2bl w:val="nil"/>
                  </w:tcBorders>
                  <w:shd w:val="clear" w:color="auto" w:fill="auto"/>
                  <w:tcMar>
                    <w:top w:w="0" w:type="dxa"/>
                    <w:left w:w="0" w:type="dxa"/>
                    <w:bottom w:w="0" w:type="dxa"/>
                    <w:right w:w="0" w:type="dxa"/>
                  </w:tcMar>
                  <w:vAlign w:val="center"/>
                </w:tcPr>
                <w:p w14:paraId="15DD7DE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lang w:eastAsia="zh-TW"/>
                      <w14:textFill>
                        <w14:solidFill>
                          <w14:schemeClr w14:val="tx1"/>
                        </w14:solidFill>
                      </w14:textFill>
                    </w:rPr>
                    <w:t>HX-Ⅱ</w:t>
                  </w:r>
                </w:p>
              </w:tc>
              <w:tc>
                <w:tcPr>
                  <w:tcW w:w="254" w:type="pct"/>
                  <w:tcBorders>
                    <w:tl2br w:val="nil"/>
                    <w:tr2bl w:val="nil"/>
                  </w:tcBorders>
                  <w:shd w:val="clear" w:color="auto" w:fill="auto"/>
                  <w:tcMar>
                    <w:top w:w="0" w:type="dxa"/>
                    <w:left w:w="0" w:type="dxa"/>
                    <w:bottom w:w="0" w:type="dxa"/>
                    <w:right w:w="0" w:type="dxa"/>
                  </w:tcMar>
                  <w:vAlign w:val="center"/>
                </w:tcPr>
                <w:p w14:paraId="07504DE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r>
                    <w:rPr>
                      <w:rFonts w:hint="eastAsia" w:cs="Times New Roman"/>
                      <w:color w:val="000000" w:themeColor="text1"/>
                      <w:sz w:val="21"/>
                      <w:szCs w:val="21"/>
                      <w:highlight w:val="none"/>
                      <w:shd w:val="clear" w:color="auto" w:fill="auto"/>
                      <w:lang w:val="en-US" w:eastAsia="zh-CN"/>
                      <w14:textFill>
                        <w14:solidFill>
                          <w14:schemeClr w14:val="tx1"/>
                        </w14:solidFill>
                      </w14:textFill>
                    </w:rPr>
                    <w:t>80</w:t>
                  </w:r>
                </w:p>
              </w:tc>
              <w:tc>
                <w:tcPr>
                  <w:tcW w:w="173" w:type="pct"/>
                  <w:vMerge w:val="continue"/>
                  <w:tcBorders>
                    <w:tl2br w:val="nil"/>
                    <w:tr2bl w:val="nil"/>
                  </w:tcBorders>
                  <w:shd w:val="clear" w:color="auto" w:fill="auto"/>
                  <w:tcMar>
                    <w:top w:w="0" w:type="dxa"/>
                    <w:left w:w="0" w:type="dxa"/>
                    <w:bottom w:w="0" w:type="dxa"/>
                    <w:right w:w="0" w:type="dxa"/>
                  </w:tcMar>
                  <w:vAlign w:val="center"/>
                </w:tcPr>
                <w:p w14:paraId="7B8194D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80" w:type="pct"/>
                  <w:tcBorders>
                    <w:tl2br w:val="nil"/>
                    <w:tr2bl w:val="nil"/>
                  </w:tcBorders>
                  <w:shd w:val="clear" w:color="auto" w:fill="auto"/>
                  <w:tcMar>
                    <w:top w:w="0" w:type="dxa"/>
                    <w:left w:w="0" w:type="dxa"/>
                    <w:bottom w:w="0" w:type="dxa"/>
                    <w:right w:w="0" w:type="dxa"/>
                  </w:tcMar>
                  <w:vAlign w:val="center"/>
                </w:tcPr>
                <w:p w14:paraId="17499C8D">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17.6</w:t>
                  </w:r>
                </w:p>
              </w:tc>
              <w:tc>
                <w:tcPr>
                  <w:tcW w:w="180" w:type="pct"/>
                  <w:tcBorders>
                    <w:tl2br w:val="nil"/>
                    <w:tr2bl w:val="nil"/>
                  </w:tcBorders>
                  <w:shd w:val="clear" w:color="auto" w:fill="auto"/>
                  <w:tcMar>
                    <w:top w:w="0" w:type="dxa"/>
                    <w:left w:w="0" w:type="dxa"/>
                    <w:bottom w:w="0" w:type="dxa"/>
                    <w:right w:w="0" w:type="dxa"/>
                  </w:tcMar>
                  <w:vAlign w:val="center"/>
                </w:tcPr>
                <w:p w14:paraId="0F5D627F">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130.4</w:t>
                  </w:r>
                </w:p>
              </w:tc>
              <w:tc>
                <w:tcPr>
                  <w:tcW w:w="194" w:type="pct"/>
                  <w:tcBorders>
                    <w:tl2br w:val="nil"/>
                    <w:tr2bl w:val="nil"/>
                  </w:tcBorders>
                  <w:shd w:val="clear" w:color="auto" w:fill="auto"/>
                  <w:tcMar>
                    <w:top w:w="0" w:type="dxa"/>
                    <w:left w:w="0" w:type="dxa"/>
                    <w:bottom w:w="0" w:type="dxa"/>
                    <w:right w:w="0" w:type="dxa"/>
                  </w:tcMar>
                  <w:vAlign w:val="center"/>
                </w:tcPr>
                <w:p w14:paraId="5DCF192A">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0.8</w:t>
                  </w:r>
                </w:p>
              </w:tc>
              <w:tc>
                <w:tcPr>
                  <w:tcW w:w="173" w:type="pct"/>
                  <w:tcBorders>
                    <w:tl2br w:val="nil"/>
                    <w:tr2bl w:val="nil"/>
                  </w:tcBorders>
                  <w:shd w:val="clear" w:color="auto" w:fill="auto"/>
                  <w:tcMar>
                    <w:top w:w="0" w:type="dxa"/>
                    <w:left w:w="0" w:type="dxa"/>
                    <w:bottom w:w="0" w:type="dxa"/>
                    <w:right w:w="0" w:type="dxa"/>
                  </w:tcMar>
                  <w:vAlign w:val="center"/>
                </w:tcPr>
                <w:p w14:paraId="41DDF843">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35.5</w:t>
                  </w:r>
                </w:p>
              </w:tc>
              <w:tc>
                <w:tcPr>
                  <w:tcW w:w="173" w:type="pct"/>
                  <w:tcBorders>
                    <w:tl2br w:val="nil"/>
                    <w:tr2bl w:val="nil"/>
                  </w:tcBorders>
                  <w:shd w:val="clear" w:color="auto" w:fill="auto"/>
                  <w:tcMar>
                    <w:top w:w="0" w:type="dxa"/>
                    <w:left w:w="0" w:type="dxa"/>
                    <w:bottom w:w="0" w:type="dxa"/>
                    <w:right w:w="0" w:type="dxa"/>
                  </w:tcMar>
                  <w:vAlign w:val="center"/>
                </w:tcPr>
                <w:p w14:paraId="3C731EA7">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3.3</w:t>
                  </w:r>
                </w:p>
              </w:tc>
              <w:tc>
                <w:tcPr>
                  <w:tcW w:w="173" w:type="pct"/>
                  <w:tcBorders>
                    <w:tl2br w:val="nil"/>
                    <w:tr2bl w:val="nil"/>
                  </w:tcBorders>
                  <w:shd w:val="clear" w:color="auto" w:fill="auto"/>
                  <w:tcMar>
                    <w:top w:w="0" w:type="dxa"/>
                    <w:left w:w="0" w:type="dxa"/>
                    <w:bottom w:w="0" w:type="dxa"/>
                    <w:right w:w="0" w:type="dxa"/>
                  </w:tcMar>
                  <w:vAlign w:val="center"/>
                </w:tcPr>
                <w:p w14:paraId="4D8E9E88">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18.6</w:t>
                  </w:r>
                </w:p>
              </w:tc>
              <w:tc>
                <w:tcPr>
                  <w:tcW w:w="179" w:type="pct"/>
                  <w:tcBorders>
                    <w:tl2br w:val="nil"/>
                    <w:tr2bl w:val="nil"/>
                  </w:tcBorders>
                  <w:shd w:val="clear" w:color="auto" w:fill="auto"/>
                  <w:tcMar>
                    <w:top w:w="0" w:type="dxa"/>
                    <w:left w:w="0" w:type="dxa"/>
                    <w:bottom w:w="0" w:type="dxa"/>
                    <w:right w:w="0" w:type="dxa"/>
                  </w:tcMar>
                  <w:vAlign w:val="center"/>
                </w:tcPr>
                <w:p w14:paraId="619E65E4">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51.1</w:t>
                  </w:r>
                </w:p>
              </w:tc>
              <w:tc>
                <w:tcPr>
                  <w:tcW w:w="173" w:type="pct"/>
                  <w:tcBorders>
                    <w:tl2br w:val="nil"/>
                    <w:tr2bl w:val="nil"/>
                  </w:tcBorders>
                  <w:shd w:val="clear" w:color="auto" w:fill="auto"/>
                  <w:tcMar>
                    <w:top w:w="0" w:type="dxa"/>
                    <w:left w:w="0" w:type="dxa"/>
                    <w:bottom w:w="0" w:type="dxa"/>
                    <w:right w:w="0" w:type="dxa"/>
                  </w:tcMar>
                  <w:vAlign w:val="center"/>
                </w:tcPr>
                <w:p w14:paraId="309C976D">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68.4</w:t>
                  </w:r>
                </w:p>
              </w:tc>
              <w:tc>
                <w:tcPr>
                  <w:tcW w:w="173" w:type="pct"/>
                  <w:tcBorders>
                    <w:tl2br w:val="nil"/>
                    <w:tr2bl w:val="nil"/>
                  </w:tcBorders>
                  <w:shd w:val="clear" w:color="auto" w:fill="auto"/>
                  <w:tcMar>
                    <w:top w:w="0" w:type="dxa"/>
                    <w:left w:w="0" w:type="dxa"/>
                    <w:bottom w:w="0" w:type="dxa"/>
                    <w:right w:w="0" w:type="dxa"/>
                  </w:tcMar>
                  <w:vAlign w:val="center"/>
                </w:tcPr>
                <w:p w14:paraId="5F5CE228">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68.9</w:t>
                  </w:r>
                </w:p>
              </w:tc>
              <w:tc>
                <w:tcPr>
                  <w:tcW w:w="173" w:type="pct"/>
                  <w:tcBorders>
                    <w:tl2br w:val="nil"/>
                    <w:tr2bl w:val="nil"/>
                  </w:tcBorders>
                  <w:shd w:val="clear" w:color="auto" w:fill="auto"/>
                  <w:tcMar>
                    <w:top w:w="0" w:type="dxa"/>
                    <w:left w:w="0" w:type="dxa"/>
                    <w:bottom w:w="0" w:type="dxa"/>
                    <w:right w:w="0" w:type="dxa"/>
                  </w:tcMar>
                  <w:vAlign w:val="center"/>
                </w:tcPr>
                <w:p w14:paraId="7F73B005">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68.4</w:t>
                  </w:r>
                </w:p>
              </w:tc>
              <w:tc>
                <w:tcPr>
                  <w:tcW w:w="181" w:type="pct"/>
                  <w:tcBorders>
                    <w:tl2br w:val="nil"/>
                    <w:tr2bl w:val="nil"/>
                  </w:tcBorders>
                  <w:shd w:val="clear" w:color="auto" w:fill="auto"/>
                  <w:tcMar>
                    <w:top w:w="0" w:type="dxa"/>
                    <w:left w:w="0" w:type="dxa"/>
                    <w:bottom w:w="0" w:type="dxa"/>
                    <w:right w:w="0" w:type="dxa"/>
                  </w:tcMar>
                  <w:vAlign w:val="center"/>
                </w:tcPr>
                <w:p w14:paraId="05902C9B">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68.4</w:t>
                  </w:r>
                </w:p>
              </w:tc>
              <w:tc>
                <w:tcPr>
                  <w:tcW w:w="170" w:type="pct"/>
                  <w:vMerge w:val="continue"/>
                  <w:tcBorders>
                    <w:tl2br w:val="nil"/>
                    <w:tr2bl w:val="nil"/>
                  </w:tcBorders>
                  <w:shd w:val="clear" w:color="auto" w:fill="auto"/>
                  <w:tcMar>
                    <w:top w:w="0" w:type="dxa"/>
                    <w:left w:w="0" w:type="dxa"/>
                    <w:bottom w:w="0" w:type="dxa"/>
                    <w:right w:w="0" w:type="dxa"/>
                  </w:tcMar>
                  <w:vAlign w:val="center"/>
                </w:tcPr>
                <w:p w14:paraId="2D1A2D8F">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27C5DFA5">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67575D0C">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5979AB07">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7910FFD0">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213" w:type="pct"/>
                  <w:vMerge w:val="continue"/>
                  <w:tcBorders>
                    <w:tl2br w:val="nil"/>
                    <w:tr2bl w:val="nil"/>
                  </w:tcBorders>
                  <w:shd w:val="clear" w:color="auto" w:fill="auto"/>
                  <w:tcMar>
                    <w:top w:w="0" w:type="dxa"/>
                    <w:left w:w="0" w:type="dxa"/>
                    <w:bottom w:w="0" w:type="dxa"/>
                    <w:right w:w="0" w:type="dxa"/>
                  </w:tcMar>
                  <w:vAlign w:val="center"/>
                </w:tcPr>
                <w:p w14:paraId="5BB1F6F1">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0C705B2A">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3404781E">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3E7F8E51">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01F36EEC">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203" w:type="pct"/>
                  <w:vMerge w:val="continue"/>
                  <w:tcBorders>
                    <w:tl2br w:val="nil"/>
                    <w:tr2bl w:val="nil"/>
                  </w:tcBorders>
                  <w:shd w:val="clear" w:color="auto" w:fill="auto"/>
                  <w:tcMar>
                    <w:top w:w="0" w:type="dxa"/>
                    <w:left w:w="0" w:type="dxa"/>
                    <w:bottom w:w="0" w:type="dxa"/>
                    <w:right w:w="0" w:type="dxa"/>
                  </w:tcMar>
                  <w:vAlign w:val="center"/>
                </w:tcPr>
                <w:p w14:paraId="43440C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52FC54D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 w:type="pct"/>
                  <w:tcBorders>
                    <w:tl2br w:val="nil"/>
                    <w:tr2bl w:val="nil"/>
                  </w:tcBorders>
                  <w:shd w:val="clear" w:color="auto" w:fill="auto"/>
                  <w:tcMar>
                    <w:top w:w="0" w:type="dxa"/>
                    <w:left w:w="0" w:type="dxa"/>
                    <w:bottom w:w="0" w:type="dxa"/>
                    <w:right w:w="0" w:type="dxa"/>
                  </w:tcMar>
                  <w:vAlign w:val="center"/>
                </w:tcPr>
                <w:p w14:paraId="5A719D37">
                  <w:pPr>
                    <w:keepNext w:val="0"/>
                    <w:keepLines w:val="0"/>
                    <w:pageBreakBefore w:val="0"/>
                    <w:widowControl w:val="0"/>
                    <w:numPr>
                      <w:ilvl w:val="0"/>
                      <w:numId w:val="2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0" w:type="pct"/>
                  <w:vMerge w:val="continue"/>
                  <w:tcBorders>
                    <w:tl2br w:val="nil"/>
                    <w:tr2bl w:val="nil"/>
                  </w:tcBorders>
                  <w:shd w:val="clear" w:color="auto" w:fill="auto"/>
                  <w:tcMar>
                    <w:top w:w="0" w:type="dxa"/>
                    <w:left w:w="0" w:type="dxa"/>
                    <w:bottom w:w="0" w:type="dxa"/>
                    <w:right w:w="0" w:type="dxa"/>
                  </w:tcMar>
                  <w:vAlign w:val="center"/>
                </w:tcPr>
                <w:p w14:paraId="0C5415EC">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294" w:type="pct"/>
                  <w:tcBorders>
                    <w:tl2br w:val="nil"/>
                    <w:tr2bl w:val="nil"/>
                  </w:tcBorders>
                  <w:shd w:val="clear" w:color="auto" w:fill="auto"/>
                  <w:tcMar>
                    <w:top w:w="0" w:type="dxa"/>
                    <w:left w:w="0" w:type="dxa"/>
                    <w:bottom w:w="0" w:type="dxa"/>
                    <w:right w:w="0" w:type="dxa"/>
                  </w:tcMar>
                  <w:vAlign w:val="center"/>
                </w:tcPr>
                <w:p w14:paraId="208A3DB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lang w:eastAsia="zh-TW"/>
                      <w14:textFill>
                        <w14:solidFill>
                          <w14:schemeClr w14:val="tx1"/>
                        </w14:solidFill>
                      </w14:textFill>
                    </w:rPr>
                    <w:t>筛选机</w:t>
                  </w:r>
                </w:p>
              </w:tc>
              <w:tc>
                <w:tcPr>
                  <w:tcW w:w="249" w:type="pct"/>
                  <w:tcBorders>
                    <w:tl2br w:val="nil"/>
                    <w:tr2bl w:val="nil"/>
                  </w:tcBorders>
                  <w:shd w:val="clear" w:color="auto" w:fill="auto"/>
                  <w:tcMar>
                    <w:top w:w="0" w:type="dxa"/>
                    <w:left w:w="0" w:type="dxa"/>
                    <w:bottom w:w="0" w:type="dxa"/>
                    <w:right w:w="0" w:type="dxa"/>
                  </w:tcMar>
                  <w:vAlign w:val="center"/>
                </w:tcPr>
                <w:p w14:paraId="5C896B1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Cs w:val="21"/>
                      <w:lang w:eastAsia="zh-TW"/>
                      <w14:textFill>
                        <w14:solidFill>
                          <w14:schemeClr w14:val="tx1"/>
                        </w14:solidFill>
                      </w14:textFill>
                    </w:rPr>
                    <w:t>SX-3</w:t>
                  </w:r>
                </w:p>
              </w:tc>
              <w:tc>
                <w:tcPr>
                  <w:tcW w:w="254" w:type="pct"/>
                  <w:tcBorders>
                    <w:tl2br w:val="nil"/>
                    <w:tr2bl w:val="nil"/>
                  </w:tcBorders>
                  <w:shd w:val="clear" w:color="auto" w:fill="auto"/>
                  <w:tcMar>
                    <w:top w:w="0" w:type="dxa"/>
                    <w:left w:w="0" w:type="dxa"/>
                    <w:bottom w:w="0" w:type="dxa"/>
                    <w:right w:w="0" w:type="dxa"/>
                  </w:tcMar>
                  <w:vAlign w:val="center"/>
                </w:tcPr>
                <w:p w14:paraId="375787F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r>
                    <w:rPr>
                      <w:rFonts w:hint="eastAsia" w:cs="Times New Roman"/>
                      <w:color w:val="000000" w:themeColor="text1"/>
                      <w:sz w:val="21"/>
                      <w:szCs w:val="21"/>
                      <w:highlight w:val="none"/>
                      <w:shd w:val="clear" w:color="auto" w:fill="auto"/>
                      <w:lang w:val="en-US" w:eastAsia="zh-CN"/>
                      <w14:textFill>
                        <w14:solidFill>
                          <w14:schemeClr w14:val="tx1"/>
                        </w14:solidFill>
                      </w14:textFill>
                    </w:rPr>
                    <w:t>80</w:t>
                  </w:r>
                </w:p>
              </w:tc>
              <w:tc>
                <w:tcPr>
                  <w:tcW w:w="173" w:type="pct"/>
                  <w:vMerge w:val="continue"/>
                  <w:tcBorders>
                    <w:tl2br w:val="nil"/>
                    <w:tr2bl w:val="nil"/>
                  </w:tcBorders>
                  <w:shd w:val="clear" w:color="auto" w:fill="auto"/>
                  <w:tcMar>
                    <w:top w:w="0" w:type="dxa"/>
                    <w:left w:w="0" w:type="dxa"/>
                    <w:bottom w:w="0" w:type="dxa"/>
                    <w:right w:w="0" w:type="dxa"/>
                  </w:tcMar>
                  <w:vAlign w:val="center"/>
                </w:tcPr>
                <w:p w14:paraId="4202BD2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80" w:type="pct"/>
                  <w:tcBorders>
                    <w:tl2br w:val="nil"/>
                    <w:tr2bl w:val="nil"/>
                  </w:tcBorders>
                  <w:shd w:val="clear" w:color="auto" w:fill="auto"/>
                  <w:tcMar>
                    <w:top w:w="0" w:type="dxa"/>
                    <w:left w:w="0" w:type="dxa"/>
                    <w:bottom w:w="0" w:type="dxa"/>
                    <w:right w:w="0" w:type="dxa"/>
                  </w:tcMar>
                  <w:vAlign w:val="center"/>
                </w:tcPr>
                <w:p w14:paraId="42C11F5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29.3</w:t>
                  </w:r>
                </w:p>
              </w:tc>
              <w:tc>
                <w:tcPr>
                  <w:tcW w:w="180" w:type="pct"/>
                  <w:tcBorders>
                    <w:tl2br w:val="nil"/>
                    <w:tr2bl w:val="nil"/>
                  </w:tcBorders>
                  <w:shd w:val="clear" w:color="auto" w:fill="auto"/>
                  <w:tcMar>
                    <w:top w:w="0" w:type="dxa"/>
                    <w:left w:w="0" w:type="dxa"/>
                    <w:bottom w:w="0" w:type="dxa"/>
                    <w:right w:w="0" w:type="dxa"/>
                  </w:tcMar>
                  <w:vAlign w:val="center"/>
                </w:tcPr>
                <w:p w14:paraId="6FBBF9D3">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132.6</w:t>
                  </w:r>
                </w:p>
              </w:tc>
              <w:tc>
                <w:tcPr>
                  <w:tcW w:w="194" w:type="pct"/>
                  <w:tcBorders>
                    <w:tl2br w:val="nil"/>
                    <w:tr2bl w:val="nil"/>
                  </w:tcBorders>
                  <w:shd w:val="clear" w:color="auto" w:fill="auto"/>
                  <w:tcMar>
                    <w:top w:w="0" w:type="dxa"/>
                    <w:left w:w="0" w:type="dxa"/>
                    <w:bottom w:w="0" w:type="dxa"/>
                    <w:right w:w="0" w:type="dxa"/>
                  </w:tcMar>
                  <w:vAlign w:val="center"/>
                </w:tcPr>
                <w:p w14:paraId="1840612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0.8</w:t>
                  </w:r>
                </w:p>
              </w:tc>
              <w:tc>
                <w:tcPr>
                  <w:tcW w:w="173" w:type="pct"/>
                  <w:tcBorders>
                    <w:tl2br w:val="nil"/>
                    <w:tr2bl w:val="nil"/>
                  </w:tcBorders>
                  <w:shd w:val="clear" w:color="auto" w:fill="auto"/>
                  <w:tcMar>
                    <w:top w:w="0" w:type="dxa"/>
                    <w:left w:w="0" w:type="dxa"/>
                    <w:bottom w:w="0" w:type="dxa"/>
                    <w:right w:w="0" w:type="dxa"/>
                  </w:tcMar>
                  <w:vAlign w:val="center"/>
                </w:tcPr>
                <w:p w14:paraId="2D93EFC2">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23.8</w:t>
                  </w:r>
                </w:p>
              </w:tc>
              <w:tc>
                <w:tcPr>
                  <w:tcW w:w="173" w:type="pct"/>
                  <w:tcBorders>
                    <w:tl2br w:val="nil"/>
                    <w:tr2bl w:val="nil"/>
                  </w:tcBorders>
                  <w:shd w:val="clear" w:color="auto" w:fill="auto"/>
                  <w:tcMar>
                    <w:top w:w="0" w:type="dxa"/>
                    <w:left w:w="0" w:type="dxa"/>
                    <w:bottom w:w="0" w:type="dxa"/>
                    <w:right w:w="0" w:type="dxa"/>
                  </w:tcMar>
                  <w:vAlign w:val="center"/>
                </w:tcPr>
                <w:p w14:paraId="74FA2A38">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4.2</w:t>
                  </w:r>
                </w:p>
              </w:tc>
              <w:tc>
                <w:tcPr>
                  <w:tcW w:w="173" w:type="pct"/>
                  <w:tcBorders>
                    <w:tl2br w:val="nil"/>
                    <w:tr2bl w:val="nil"/>
                  </w:tcBorders>
                  <w:shd w:val="clear" w:color="auto" w:fill="auto"/>
                  <w:tcMar>
                    <w:top w:w="0" w:type="dxa"/>
                    <w:left w:w="0" w:type="dxa"/>
                    <w:bottom w:w="0" w:type="dxa"/>
                    <w:right w:w="0" w:type="dxa"/>
                  </w:tcMar>
                  <w:vAlign w:val="center"/>
                </w:tcPr>
                <w:p w14:paraId="370E7C5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17.9</w:t>
                  </w:r>
                </w:p>
              </w:tc>
              <w:tc>
                <w:tcPr>
                  <w:tcW w:w="179" w:type="pct"/>
                  <w:tcBorders>
                    <w:tl2br w:val="nil"/>
                    <w:tr2bl w:val="nil"/>
                  </w:tcBorders>
                  <w:shd w:val="clear" w:color="auto" w:fill="auto"/>
                  <w:tcMar>
                    <w:top w:w="0" w:type="dxa"/>
                    <w:left w:w="0" w:type="dxa"/>
                    <w:bottom w:w="0" w:type="dxa"/>
                    <w:right w:w="0" w:type="dxa"/>
                  </w:tcMar>
                  <w:vAlign w:val="center"/>
                </w:tcPr>
                <w:p w14:paraId="58B6E305">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39.3</w:t>
                  </w:r>
                </w:p>
              </w:tc>
              <w:tc>
                <w:tcPr>
                  <w:tcW w:w="173" w:type="pct"/>
                  <w:tcBorders>
                    <w:tl2br w:val="nil"/>
                    <w:tr2bl w:val="nil"/>
                  </w:tcBorders>
                  <w:shd w:val="clear" w:color="auto" w:fill="auto"/>
                  <w:tcMar>
                    <w:top w:w="0" w:type="dxa"/>
                    <w:left w:w="0" w:type="dxa"/>
                    <w:bottom w:w="0" w:type="dxa"/>
                    <w:right w:w="0" w:type="dxa"/>
                  </w:tcMar>
                  <w:vAlign w:val="center"/>
                </w:tcPr>
                <w:p w14:paraId="4697BC2E">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68.4</w:t>
                  </w:r>
                </w:p>
              </w:tc>
              <w:tc>
                <w:tcPr>
                  <w:tcW w:w="173" w:type="pct"/>
                  <w:tcBorders>
                    <w:tl2br w:val="nil"/>
                    <w:tr2bl w:val="nil"/>
                  </w:tcBorders>
                  <w:shd w:val="clear" w:color="auto" w:fill="auto"/>
                  <w:tcMar>
                    <w:top w:w="0" w:type="dxa"/>
                    <w:left w:w="0" w:type="dxa"/>
                    <w:bottom w:w="0" w:type="dxa"/>
                    <w:right w:w="0" w:type="dxa"/>
                  </w:tcMar>
                  <w:vAlign w:val="center"/>
                </w:tcPr>
                <w:p w14:paraId="3557CC8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68.7</w:t>
                  </w:r>
                </w:p>
              </w:tc>
              <w:tc>
                <w:tcPr>
                  <w:tcW w:w="173" w:type="pct"/>
                  <w:tcBorders>
                    <w:tl2br w:val="nil"/>
                    <w:tr2bl w:val="nil"/>
                  </w:tcBorders>
                  <w:shd w:val="clear" w:color="auto" w:fill="auto"/>
                  <w:tcMar>
                    <w:top w:w="0" w:type="dxa"/>
                    <w:left w:w="0" w:type="dxa"/>
                    <w:bottom w:w="0" w:type="dxa"/>
                    <w:right w:w="0" w:type="dxa"/>
                  </w:tcMar>
                  <w:vAlign w:val="center"/>
                </w:tcPr>
                <w:p w14:paraId="77C6CDA5">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68.4</w:t>
                  </w:r>
                </w:p>
              </w:tc>
              <w:tc>
                <w:tcPr>
                  <w:tcW w:w="181" w:type="pct"/>
                  <w:tcBorders>
                    <w:tl2br w:val="nil"/>
                    <w:tr2bl w:val="nil"/>
                  </w:tcBorders>
                  <w:shd w:val="clear" w:color="auto" w:fill="auto"/>
                  <w:tcMar>
                    <w:top w:w="0" w:type="dxa"/>
                    <w:left w:w="0" w:type="dxa"/>
                    <w:bottom w:w="0" w:type="dxa"/>
                    <w:right w:w="0" w:type="dxa"/>
                  </w:tcMar>
                  <w:vAlign w:val="center"/>
                </w:tcPr>
                <w:p w14:paraId="4C8F0D8E">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68.4</w:t>
                  </w:r>
                </w:p>
              </w:tc>
              <w:tc>
                <w:tcPr>
                  <w:tcW w:w="170" w:type="pct"/>
                  <w:vMerge w:val="continue"/>
                  <w:tcBorders>
                    <w:tl2br w:val="nil"/>
                    <w:tr2bl w:val="nil"/>
                  </w:tcBorders>
                  <w:shd w:val="clear" w:color="auto" w:fill="auto"/>
                  <w:tcMar>
                    <w:top w:w="0" w:type="dxa"/>
                    <w:left w:w="0" w:type="dxa"/>
                    <w:bottom w:w="0" w:type="dxa"/>
                    <w:right w:w="0" w:type="dxa"/>
                  </w:tcMar>
                  <w:vAlign w:val="center"/>
                </w:tcPr>
                <w:p w14:paraId="5F75684B">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31ADCD1F">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4F2518EE">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3C47B182">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3B833E72">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213" w:type="pct"/>
                  <w:vMerge w:val="continue"/>
                  <w:tcBorders>
                    <w:tl2br w:val="nil"/>
                    <w:tr2bl w:val="nil"/>
                  </w:tcBorders>
                  <w:shd w:val="clear" w:color="auto" w:fill="auto"/>
                  <w:tcMar>
                    <w:top w:w="0" w:type="dxa"/>
                    <w:left w:w="0" w:type="dxa"/>
                    <w:bottom w:w="0" w:type="dxa"/>
                    <w:right w:w="0" w:type="dxa"/>
                  </w:tcMar>
                  <w:vAlign w:val="center"/>
                </w:tcPr>
                <w:p w14:paraId="61ED73E5">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5757EC53">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257ECEAB">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426736E9">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5F4E1CE5">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203" w:type="pct"/>
                  <w:vMerge w:val="continue"/>
                  <w:tcBorders>
                    <w:tl2br w:val="nil"/>
                    <w:tr2bl w:val="nil"/>
                  </w:tcBorders>
                  <w:shd w:val="clear" w:color="auto" w:fill="auto"/>
                  <w:tcMar>
                    <w:top w:w="0" w:type="dxa"/>
                    <w:left w:w="0" w:type="dxa"/>
                    <w:bottom w:w="0" w:type="dxa"/>
                    <w:right w:w="0" w:type="dxa"/>
                  </w:tcMar>
                  <w:vAlign w:val="center"/>
                </w:tcPr>
                <w:p w14:paraId="053BDF2F">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r>
            <w:tr w14:paraId="53DBD5B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 w:type="pct"/>
                  <w:tcBorders>
                    <w:tl2br w:val="nil"/>
                    <w:tr2bl w:val="nil"/>
                  </w:tcBorders>
                  <w:shd w:val="clear" w:color="auto" w:fill="auto"/>
                  <w:tcMar>
                    <w:top w:w="0" w:type="dxa"/>
                    <w:left w:w="0" w:type="dxa"/>
                    <w:bottom w:w="0" w:type="dxa"/>
                    <w:right w:w="0" w:type="dxa"/>
                  </w:tcMar>
                  <w:vAlign w:val="center"/>
                </w:tcPr>
                <w:p w14:paraId="130BB0EC">
                  <w:pPr>
                    <w:keepNext w:val="0"/>
                    <w:keepLines w:val="0"/>
                    <w:pageBreakBefore w:val="0"/>
                    <w:widowControl w:val="0"/>
                    <w:numPr>
                      <w:ilvl w:val="0"/>
                      <w:numId w:val="2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0" w:type="pct"/>
                  <w:vMerge w:val="continue"/>
                  <w:tcBorders>
                    <w:tl2br w:val="nil"/>
                    <w:tr2bl w:val="nil"/>
                  </w:tcBorders>
                  <w:shd w:val="clear" w:color="auto" w:fill="auto"/>
                  <w:tcMar>
                    <w:top w:w="0" w:type="dxa"/>
                    <w:left w:w="0" w:type="dxa"/>
                    <w:bottom w:w="0" w:type="dxa"/>
                    <w:right w:w="0" w:type="dxa"/>
                  </w:tcMar>
                  <w:vAlign w:val="center"/>
                </w:tcPr>
                <w:p w14:paraId="32C54F9C">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294" w:type="pct"/>
                  <w:tcBorders>
                    <w:tl2br w:val="nil"/>
                    <w:tr2bl w:val="nil"/>
                  </w:tcBorders>
                  <w:shd w:val="clear" w:color="auto" w:fill="auto"/>
                  <w:tcMar>
                    <w:top w:w="0" w:type="dxa"/>
                    <w:left w:w="0" w:type="dxa"/>
                    <w:bottom w:w="0" w:type="dxa"/>
                    <w:right w:w="0" w:type="dxa"/>
                  </w:tcMar>
                  <w:vAlign w:val="center"/>
                </w:tcPr>
                <w:p w14:paraId="0673888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lang w:eastAsia="zh-TW"/>
                      <w14:textFill>
                        <w14:solidFill>
                          <w14:schemeClr w14:val="tx1"/>
                        </w14:solidFill>
                      </w14:textFill>
                    </w:rPr>
                    <w:t>中药破碎机</w:t>
                  </w:r>
                </w:p>
              </w:tc>
              <w:tc>
                <w:tcPr>
                  <w:tcW w:w="249" w:type="pct"/>
                  <w:tcBorders>
                    <w:tl2br w:val="nil"/>
                    <w:tr2bl w:val="nil"/>
                  </w:tcBorders>
                  <w:shd w:val="clear" w:color="auto" w:fill="auto"/>
                  <w:tcMar>
                    <w:top w:w="0" w:type="dxa"/>
                    <w:left w:w="0" w:type="dxa"/>
                    <w:bottom w:w="0" w:type="dxa"/>
                    <w:right w:w="0" w:type="dxa"/>
                  </w:tcMar>
                  <w:vAlign w:val="center"/>
                </w:tcPr>
                <w:p w14:paraId="6C5A00D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lang w:eastAsia="zh-TW"/>
                      <w14:textFill>
                        <w14:solidFill>
                          <w14:schemeClr w14:val="tx1"/>
                        </w14:solidFill>
                      </w14:textFill>
                    </w:rPr>
                    <w:t>PS-240</w:t>
                  </w:r>
                </w:p>
              </w:tc>
              <w:tc>
                <w:tcPr>
                  <w:tcW w:w="254" w:type="pct"/>
                  <w:tcBorders>
                    <w:tl2br w:val="nil"/>
                    <w:tr2bl w:val="nil"/>
                  </w:tcBorders>
                  <w:shd w:val="clear" w:color="auto" w:fill="auto"/>
                  <w:tcMar>
                    <w:top w:w="0" w:type="dxa"/>
                    <w:left w:w="0" w:type="dxa"/>
                    <w:bottom w:w="0" w:type="dxa"/>
                    <w:right w:w="0" w:type="dxa"/>
                  </w:tcMar>
                  <w:vAlign w:val="center"/>
                </w:tcPr>
                <w:p w14:paraId="5D88C93B">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r>
                    <w:rPr>
                      <w:rFonts w:hint="default" w:ascii="Times New Roman" w:hAnsi="Times New Roman" w:eastAsia="Arial" w:cs="Times New Roman"/>
                      <w:color w:val="000000" w:themeColor="text1"/>
                      <w:sz w:val="21"/>
                      <w:szCs w:val="21"/>
                      <w:highlight w:val="none"/>
                      <w:shd w:val="clear" w:color="auto" w:fill="auto"/>
                      <w14:textFill>
                        <w14:solidFill>
                          <w14:schemeClr w14:val="tx1"/>
                        </w14:solidFill>
                      </w14:textFill>
                    </w:rPr>
                    <w:t>85</w:t>
                  </w:r>
                </w:p>
              </w:tc>
              <w:tc>
                <w:tcPr>
                  <w:tcW w:w="173" w:type="pct"/>
                  <w:vMerge w:val="continue"/>
                  <w:tcBorders>
                    <w:tl2br w:val="nil"/>
                    <w:tr2bl w:val="nil"/>
                  </w:tcBorders>
                  <w:shd w:val="clear" w:color="auto" w:fill="auto"/>
                  <w:tcMar>
                    <w:top w:w="0" w:type="dxa"/>
                    <w:left w:w="0" w:type="dxa"/>
                    <w:bottom w:w="0" w:type="dxa"/>
                    <w:right w:w="0" w:type="dxa"/>
                  </w:tcMar>
                  <w:vAlign w:val="center"/>
                </w:tcPr>
                <w:p w14:paraId="74A028E9">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80" w:type="pct"/>
                  <w:tcBorders>
                    <w:tl2br w:val="nil"/>
                    <w:tr2bl w:val="nil"/>
                  </w:tcBorders>
                  <w:shd w:val="clear" w:color="auto" w:fill="auto"/>
                  <w:tcMar>
                    <w:top w:w="0" w:type="dxa"/>
                    <w:left w:w="0" w:type="dxa"/>
                    <w:bottom w:w="0" w:type="dxa"/>
                    <w:right w:w="0" w:type="dxa"/>
                  </w:tcMar>
                  <w:vAlign w:val="center"/>
                </w:tcPr>
                <w:p w14:paraId="131007A2">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24.7</w:t>
                  </w:r>
                </w:p>
              </w:tc>
              <w:tc>
                <w:tcPr>
                  <w:tcW w:w="180" w:type="pct"/>
                  <w:tcBorders>
                    <w:tl2br w:val="nil"/>
                    <w:tr2bl w:val="nil"/>
                  </w:tcBorders>
                  <w:shd w:val="clear" w:color="auto" w:fill="auto"/>
                  <w:tcMar>
                    <w:top w:w="0" w:type="dxa"/>
                    <w:left w:w="0" w:type="dxa"/>
                    <w:bottom w:w="0" w:type="dxa"/>
                    <w:right w:w="0" w:type="dxa"/>
                  </w:tcMar>
                  <w:vAlign w:val="center"/>
                </w:tcPr>
                <w:p w14:paraId="427DDE3D">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134.7</w:t>
                  </w:r>
                </w:p>
              </w:tc>
              <w:tc>
                <w:tcPr>
                  <w:tcW w:w="194" w:type="pct"/>
                  <w:tcBorders>
                    <w:tl2br w:val="nil"/>
                    <w:tr2bl w:val="nil"/>
                  </w:tcBorders>
                  <w:shd w:val="clear" w:color="auto" w:fill="auto"/>
                  <w:tcMar>
                    <w:top w:w="0" w:type="dxa"/>
                    <w:left w:w="0" w:type="dxa"/>
                    <w:bottom w:w="0" w:type="dxa"/>
                    <w:right w:w="0" w:type="dxa"/>
                  </w:tcMar>
                  <w:vAlign w:val="center"/>
                </w:tcPr>
                <w:p w14:paraId="36EE8CD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08</w:t>
                  </w:r>
                </w:p>
              </w:tc>
              <w:tc>
                <w:tcPr>
                  <w:tcW w:w="173" w:type="pct"/>
                  <w:tcBorders>
                    <w:tl2br w:val="nil"/>
                    <w:tr2bl w:val="nil"/>
                  </w:tcBorders>
                  <w:shd w:val="clear" w:color="auto" w:fill="auto"/>
                  <w:tcMar>
                    <w:top w:w="0" w:type="dxa"/>
                    <w:left w:w="0" w:type="dxa"/>
                    <w:bottom w:w="0" w:type="dxa"/>
                    <w:right w:w="0" w:type="dxa"/>
                  </w:tcMar>
                  <w:vAlign w:val="center"/>
                </w:tcPr>
                <w:p w14:paraId="702EA5BA">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27.2</w:t>
                  </w:r>
                </w:p>
              </w:tc>
              <w:tc>
                <w:tcPr>
                  <w:tcW w:w="173" w:type="pct"/>
                  <w:tcBorders>
                    <w:tl2br w:val="nil"/>
                    <w:tr2bl w:val="nil"/>
                  </w:tcBorders>
                  <w:shd w:val="clear" w:color="auto" w:fill="auto"/>
                  <w:tcMar>
                    <w:top w:w="0" w:type="dxa"/>
                    <w:left w:w="0" w:type="dxa"/>
                    <w:bottom w:w="0" w:type="dxa"/>
                    <w:right w:w="0" w:type="dxa"/>
                  </w:tcMar>
                  <w:vAlign w:val="center"/>
                </w:tcPr>
                <w:p w14:paraId="58C3E2F2">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6.8</w:t>
                  </w:r>
                </w:p>
              </w:tc>
              <w:tc>
                <w:tcPr>
                  <w:tcW w:w="173" w:type="pct"/>
                  <w:tcBorders>
                    <w:tl2br w:val="nil"/>
                    <w:tr2bl w:val="nil"/>
                  </w:tcBorders>
                  <w:shd w:val="clear" w:color="auto" w:fill="auto"/>
                  <w:tcMar>
                    <w:top w:w="0" w:type="dxa"/>
                    <w:left w:w="0" w:type="dxa"/>
                    <w:bottom w:w="0" w:type="dxa"/>
                    <w:right w:w="0" w:type="dxa"/>
                  </w:tcMar>
                  <w:vAlign w:val="center"/>
                </w:tcPr>
                <w:p w14:paraId="419829C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15.2</w:t>
                  </w:r>
                </w:p>
              </w:tc>
              <w:tc>
                <w:tcPr>
                  <w:tcW w:w="179" w:type="pct"/>
                  <w:tcBorders>
                    <w:tl2br w:val="nil"/>
                    <w:tr2bl w:val="nil"/>
                  </w:tcBorders>
                  <w:shd w:val="clear" w:color="auto" w:fill="auto"/>
                  <w:tcMar>
                    <w:top w:w="0" w:type="dxa"/>
                    <w:left w:w="0" w:type="dxa"/>
                    <w:bottom w:w="0" w:type="dxa"/>
                    <w:right w:w="0" w:type="dxa"/>
                  </w:tcMar>
                  <w:vAlign w:val="center"/>
                </w:tcPr>
                <w:p w14:paraId="1C1CA307">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43.8</w:t>
                  </w:r>
                </w:p>
              </w:tc>
              <w:tc>
                <w:tcPr>
                  <w:tcW w:w="173" w:type="pct"/>
                  <w:tcBorders>
                    <w:tl2br w:val="nil"/>
                    <w:tr2bl w:val="nil"/>
                  </w:tcBorders>
                  <w:shd w:val="clear" w:color="auto" w:fill="auto"/>
                  <w:tcMar>
                    <w:top w:w="0" w:type="dxa"/>
                    <w:left w:w="0" w:type="dxa"/>
                    <w:bottom w:w="0" w:type="dxa"/>
                    <w:right w:w="0" w:type="dxa"/>
                  </w:tcMar>
                  <w:vAlign w:val="center"/>
                </w:tcPr>
                <w:p w14:paraId="06774F37">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73.4</w:t>
                  </w:r>
                </w:p>
              </w:tc>
              <w:tc>
                <w:tcPr>
                  <w:tcW w:w="173" w:type="pct"/>
                  <w:tcBorders>
                    <w:tl2br w:val="nil"/>
                    <w:tr2bl w:val="nil"/>
                  </w:tcBorders>
                  <w:shd w:val="clear" w:color="auto" w:fill="auto"/>
                  <w:tcMar>
                    <w:top w:w="0" w:type="dxa"/>
                    <w:left w:w="0" w:type="dxa"/>
                    <w:bottom w:w="0" w:type="dxa"/>
                    <w:right w:w="0" w:type="dxa"/>
                  </w:tcMar>
                  <w:vAlign w:val="center"/>
                </w:tcPr>
                <w:p w14:paraId="0F54AE45">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73.5</w:t>
                  </w:r>
                </w:p>
              </w:tc>
              <w:tc>
                <w:tcPr>
                  <w:tcW w:w="173" w:type="pct"/>
                  <w:tcBorders>
                    <w:tl2br w:val="nil"/>
                    <w:tr2bl w:val="nil"/>
                  </w:tcBorders>
                  <w:shd w:val="clear" w:color="auto" w:fill="auto"/>
                  <w:tcMar>
                    <w:top w:w="0" w:type="dxa"/>
                    <w:left w:w="0" w:type="dxa"/>
                    <w:bottom w:w="0" w:type="dxa"/>
                    <w:right w:w="0" w:type="dxa"/>
                  </w:tcMar>
                  <w:vAlign w:val="center"/>
                </w:tcPr>
                <w:p w14:paraId="13EE63F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73.4</w:t>
                  </w:r>
                </w:p>
              </w:tc>
              <w:tc>
                <w:tcPr>
                  <w:tcW w:w="181" w:type="pct"/>
                  <w:tcBorders>
                    <w:tl2br w:val="nil"/>
                    <w:tr2bl w:val="nil"/>
                  </w:tcBorders>
                  <w:shd w:val="clear" w:color="auto" w:fill="auto"/>
                  <w:tcMar>
                    <w:top w:w="0" w:type="dxa"/>
                    <w:left w:w="0" w:type="dxa"/>
                    <w:bottom w:w="0" w:type="dxa"/>
                    <w:right w:w="0" w:type="dxa"/>
                  </w:tcMar>
                  <w:vAlign w:val="center"/>
                </w:tcPr>
                <w:p w14:paraId="2E4778D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73.4</w:t>
                  </w:r>
                </w:p>
              </w:tc>
              <w:tc>
                <w:tcPr>
                  <w:tcW w:w="170" w:type="pct"/>
                  <w:vMerge w:val="continue"/>
                  <w:tcBorders>
                    <w:tl2br w:val="nil"/>
                    <w:tr2bl w:val="nil"/>
                  </w:tcBorders>
                  <w:shd w:val="clear" w:color="auto" w:fill="auto"/>
                  <w:tcMar>
                    <w:top w:w="0" w:type="dxa"/>
                    <w:left w:w="0" w:type="dxa"/>
                    <w:bottom w:w="0" w:type="dxa"/>
                    <w:right w:w="0" w:type="dxa"/>
                  </w:tcMar>
                  <w:vAlign w:val="center"/>
                </w:tcPr>
                <w:p w14:paraId="6B244CD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38CAC60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7A9D4477">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2C902B2E">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0231D776">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213" w:type="pct"/>
                  <w:vMerge w:val="continue"/>
                  <w:tcBorders>
                    <w:tl2br w:val="nil"/>
                    <w:tr2bl w:val="nil"/>
                  </w:tcBorders>
                  <w:shd w:val="clear" w:color="auto" w:fill="auto"/>
                  <w:tcMar>
                    <w:top w:w="0" w:type="dxa"/>
                    <w:left w:w="0" w:type="dxa"/>
                    <w:bottom w:w="0" w:type="dxa"/>
                    <w:right w:w="0" w:type="dxa"/>
                  </w:tcMar>
                  <w:vAlign w:val="center"/>
                </w:tcPr>
                <w:p w14:paraId="6D5635C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45461B45">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623E4119">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1D306B8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60461E16">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203" w:type="pct"/>
                  <w:vMerge w:val="continue"/>
                  <w:tcBorders>
                    <w:tl2br w:val="nil"/>
                    <w:tr2bl w:val="nil"/>
                  </w:tcBorders>
                  <w:shd w:val="clear" w:color="auto" w:fill="auto"/>
                  <w:tcMar>
                    <w:top w:w="0" w:type="dxa"/>
                    <w:left w:w="0" w:type="dxa"/>
                    <w:bottom w:w="0" w:type="dxa"/>
                    <w:right w:w="0" w:type="dxa"/>
                  </w:tcMar>
                  <w:vAlign w:val="center"/>
                </w:tcPr>
                <w:p w14:paraId="347DF03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r>
            <w:tr w14:paraId="085E320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 w:type="pct"/>
                  <w:tcBorders>
                    <w:tl2br w:val="nil"/>
                    <w:tr2bl w:val="nil"/>
                  </w:tcBorders>
                  <w:shd w:val="clear" w:color="auto" w:fill="auto"/>
                  <w:tcMar>
                    <w:top w:w="0" w:type="dxa"/>
                    <w:left w:w="0" w:type="dxa"/>
                    <w:bottom w:w="0" w:type="dxa"/>
                    <w:right w:w="0" w:type="dxa"/>
                  </w:tcMar>
                  <w:vAlign w:val="center"/>
                </w:tcPr>
                <w:p w14:paraId="43938473">
                  <w:pPr>
                    <w:keepNext w:val="0"/>
                    <w:keepLines w:val="0"/>
                    <w:pageBreakBefore w:val="0"/>
                    <w:widowControl w:val="0"/>
                    <w:numPr>
                      <w:ilvl w:val="0"/>
                      <w:numId w:val="2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0" w:type="pct"/>
                  <w:vMerge w:val="continue"/>
                  <w:tcBorders>
                    <w:tl2br w:val="nil"/>
                    <w:tr2bl w:val="nil"/>
                  </w:tcBorders>
                  <w:shd w:val="clear" w:color="auto" w:fill="auto"/>
                  <w:tcMar>
                    <w:top w:w="0" w:type="dxa"/>
                    <w:left w:w="0" w:type="dxa"/>
                    <w:bottom w:w="0" w:type="dxa"/>
                    <w:right w:w="0" w:type="dxa"/>
                  </w:tcMar>
                  <w:vAlign w:val="center"/>
                </w:tcPr>
                <w:p w14:paraId="2050B7A5">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294" w:type="pct"/>
                  <w:tcBorders>
                    <w:tl2br w:val="nil"/>
                    <w:tr2bl w:val="nil"/>
                  </w:tcBorders>
                  <w:shd w:val="clear" w:color="auto" w:fill="auto"/>
                  <w:tcMar>
                    <w:top w:w="0" w:type="dxa"/>
                    <w:left w:w="0" w:type="dxa"/>
                    <w:bottom w:w="0" w:type="dxa"/>
                    <w:right w:w="0" w:type="dxa"/>
                  </w:tcMar>
                  <w:vAlign w:val="center"/>
                </w:tcPr>
                <w:p w14:paraId="4C6549B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Cs w:val="21"/>
                      <w:lang w:eastAsia="zh-TW"/>
                      <w14:textFill>
                        <w14:solidFill>
                          <w14:schemeClr w14:val="tx1"/>
                        </w14:solidFill>
                      </w14:textFill>
                    </w:rPr>
                    <w:t>对辊式</w:t>
                  </w:r>
                  <w:r>
                    <w:rPr>
                      <w:rFonts w:hint="default" w:ascii="Times New Roman" w:hAnsi="Times New Roman" w:eastAsia="宋体" w:cs="Times New Roman"/>
                      <w:color w:val="000000" w:themeColor="text1"/>
                      <w:kern w:val="0"/>
                      <w:szCs w:val="21"/>
                      <w:lang w:eastAsia="zh-TW"/>
                      <w14:textFill>
                        <w14:solidFill>
                          <w14:schemeClr w14:val="tx1"/>
                        </w14:solidFill>
                      </w14:textFill>
                    </w:rPr>
                    <w:t>破碎机</w:t>
                  </w:r>
                </w:p>
              </w:tc>
              <w:tc>
                <w:tcPr>
                  <w:tcW w:w="249" w:type="pct"/>
                  <w:tcBorders>
                    <w:tl2br w:val="nil"/>
                    <w:tr2bl w:val="nil"/>
                  </w:tcBorders>
                  <w:shd w:val="clear" w:color="auto" w:fill="auto"/>
                  <w:tcMar>
                    <w:top w:w="0" w:type="dxa"/>
                    <w:left w:w="0" w:type="dxa"/>
                    <w:bottom w:w="0" w:type="dxa"/>
                    <w:right w:w="0" w:type="dxa"/>
                  </w:tcMar>
                  <w:vAlign w:val="center"/>
                </w:tcPr>
                <w:p w14:paraId="5C45A24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lang w:eastAsia="zh-TW"/>
                      <w14:textFill>
                        <w14:solidFill>
                          <w14:schemeClr w14:val="tx1"/>
                        </w14:solidFill>
                      </w14:textFill>
                    </w:rPr>
                    <w:t>（斜齿）</w:t>
                  </w:r>
                </w:p>
              </w:tc>
              <w:tc>
                <w:tcPr>
                  <w:tcW w:w="254" w:type="pct"/>
                  <w:tcBorders>
                    <w:tl2br w:val="nil"/>
                    <w:tr2bl w:val="nil"/>
                  </w:tcBorders>
                  <w:shd w:val="clear" w:color="auto" w:fill="auto"/>
                  <w:tcMar>
                    <w:top w:w="0" w:type="dxa"/>
                    <w:left w:w="0" w:type="dxa"/>
                    <w:bottom w:w="0" w:type="dxa"/>
                    <w:right w:w="0" w:type="dxa"/>
                  </w:tcMar>
                  <w:vAlign w:val="center"/>
                </w:tcPr>
                <w:p w14:paraId="1253D89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r>
                    <w:rPr>
                      <w:rFonts w:hint="default" w:ascii="Times New Roman" w:hAnsi="Times New Roman" w:eastAsia="Arial" w:cs="Times New Roman"/>
                      <w:color w:val="000000" w:themeColor="text1"/>
                      <w:sz w:val="21"/>
                      <w:szCs w:val="21"/>
                      <w:highlight w:val="none"/>
                      <w:shd w:val="clear" w:color="auto" w:fill="auto"/>
                      <w14:textFill>
                        <w14:solidFill>
                          <w14:schemeClr w14:val="tx1"/>
                        </w14:solidFill>
                      </w14:textFill>
                    </w:rPr>
                    <w:t>85</w:t>
                  </w:r>
                </w:p>
              </w:tc>
              <w:tc>
                <w:tcPr>
                  <w:tcW w:w="173" w:type="pct"/>
                  <w:vMerge w:val="continue"/>
                  <w:tcBorders>
                    <w:tl2br w:val="nil"/>
                    <w:tr2bl w:val="nil"/>
                  </w:tcBorders>
                  <w:shd w:val="clear" w:color="auto" w:fill="auto"/>
                  <w:tcMar>
                    <w:top w:w="0" w:type="dxa"/>
                    <w:left w:w="0" w:type="dxa"/>
                    <w:bottom w:w="0" w:type="dxa"/>
                    <w:right w:w="0" w:type="dxa"/>
                  </w:tcMar>
                  <w:vAlign w:val="center"/>
                </w:tcPr>
                <w:p w14:paraId="0263DF7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80" w:type="pct"/>
                  <w:tcBorders>
                    <w:tl2br w:val="nil"/>
                    <w:tr2bl w:val="nil"/>
                  </w:tcBorders>
                  <w:shd w:val="clear" w:color="auto" w:fill="auto"/>
                  <w:tcMar>
                    <w:top w:w="0" w:type="dxa"/>
                    <w:left w:w="0" w:type="dxa"/>
                    <w:bottom w:w="0" w:type="dxa"/>
                    <w:right w:w="0" w:type="dxa"/>
                  </w:tcMar>
                  <w:vAlign w:val="center"/>
                </w:tcPr>
                <w:p w14:paraId="294D940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20.5</w:t>
                  </w:r>
                </w:p>
              </w:tc>
              <w:tc>
                <w:tcPr>
                  <w:tcW w:w="180" w:type="pct"/>
                  <w:tcBorders>
                    <w:tl2br w:val="nil"/>
                    <w:tr2bl w:val="nil"/>
                  </w:tcBorders>
                  <w:shd w:val="clear" w:color="auto" w:fill="auto"/>
                  <w:tcMar>
                    <w:top w:w="0" w:type="dxa"/>
                    <w:left w:w="0" w:type="dxa"/>
                    <w:bottom w:w="0" w:type="dxa"/>
                    <w:right w:w="0" w:type="dxa"/>
                  </w:tcMar>
                  <w:vAlign w:val="center"/>
                </w:tcPr>
                <w:p w14:paraId="1DFAC95D">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133.9</w:t>
                  </w:r>
                </w:p>
              </w:tc>
              <w:tc>
                <w:tcPr>
                  <w:tcW w:w="194" w:type="pct"/>
                  <w:tcBorders>
                    <w:tl2br w:val="nil"/>
                    <w:tr2bl w:val="nil"/>
                  </w:tcBorders>
                  <w:shd w:val="clear" w:color="auto" w:fill="auto"/>
                  <w:tcMar>
                    <w:top w:w="0" w:type="dxa"/>
                    <w:left w:w="0" w:type="dxa"/>
                    <w:bottom w:w="0" w:type="dxa"/>
                    <w:right w:w="0" w:type="dxa"/>
                  </w:tcMar>
                  <w:vAlign w:val="center"/>
                </w:tcPr>
                <w:p w14:paraId="294BB7AD">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0.8</w:t>
                  </w:r>
                </w:p>
              </w:tc>
              <w:tc>
                <w:tcPr>
                  <w:tcW w:w="173" w:type="pct"/>
                  <w:tcBorders>
                    <w:tl2br w:val="nil"/>
                    <w:tr2bl w:val="nil"/>
                  </w:tcBorders>
                  <w:shd w:val="clear" w:color="auto" w:fill="auto"/>
                  <w:tcMar>
                    <w:top w:w="0" w:type="dxa"/>
                    <w:left w:w="0" w:type="dxa"/>
                    <w:bottom w:w="0" w:type="dxa"/>
                    <w:right w:w="0" w:type="dxa"/>
                  </w:tcMar>
                  <w:vAlign w:val="center"/>
                </w:tcPr>
                <w:p w14:paraId="1BD1AD0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31.4</w:t>
                  </w:r>
                </w:p>
              </w:tc>
              <w:tc>
                <w:tcPr>
                  <w:tcW w:w="173" w:type="pct"/>
                  <w:tcBorders>
                    <w:tl2br w:val="nil"/>
                    <w:tr2bl w:val="nil"/>
                  </w:tcBorders>
                  <w:shd w:val="clear" w:color="auto" w:fill="auto"/>
                  <w:tcMar>
                    <w:top w:w="0" w:type="dxa"/>
                    <w:left w:w="0" w:type="dxa"/>
                    <w:bottom w:w="0" w:type="dxa"/>
                    <w:right w:w="0" w:type="dxa"/>
                  </w:tcMar>
                  <w:vAlign w:val="center"/>
                </w:tcPr>
                <w:p w14:paraId="73CBEBB8">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6.5</w:t>
                  </w:r>
                </w:p>
              </w:tc>
              <w:tc>
                <w:tcPr>
                  <w:tcW w:w="173" w:type="pct"/>
                  <w:tcBorders>
                    <w:tl2br w:val="nil"/>
                    <w:tr2bl w:val="nil"/>
                  </w:tcBorders>
                  <w:shd w:val="clear" w:color="auto" w:fill="auto"/>
                  <w:tcMar>
                    <w:top w:w="0" w:type="dxa"/>
                    <w:left w:w="0" w:type="dxa"/>
                    <w:bottom w:w="0" w:type="dxa"/>
                    <w:right w:w="0" w:type="dxa"/>
                  </w:tcMar>
                  <w:vAlign w:val="center"/>
                </w:tcPr>
                <w:p w14:paraId="7F3A81D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15.5</w:t>
                  </w:r>
                </w:p>
              </w:tc>
              <w:tc>
                <w:tcPr>
                  <w:tcW w:w="179" w:type="pct"/>
                  <w:tcBorders>
                    <w:tl2br w:val="nil"/>
                    <w:tr2bl w:val="nil"/>
                  </w:tcBorders>
                  <w:shd w:val="clear" w:color="auto" w:fill="auto"/>
                  <w:tcMar>
                    <w:top w:w="0" w:type="dxa"/>
                    <w:left w:w="0" w:type="dxa"/>
                    <w:bottom w:w="0" w:type="dxa"/>
                    <w:right w:w="0" w:type="dxa"/>
                  </w:tcMar>
                  <w:vAlign w:val="center"/>
                </w:tcPr>
                <w:p w14:paraId="7CB4E9C2">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48.1</w:t>
                  </w:r>
                </w:p>
              </w:tc>
              <w:tc>
                <w:tcPr>
                  <w:tcW w:w="173" w:type="pct"/>
                  <w:tcBorders>
                    <w:tl2br w:val="nil"/>
                    <w:tr2bl w:val="nil"/>
                  </w:tcBorders>
                  <w:shd w:val="clear" w:color="auto" w:fill="auto"/>
                  <w:tcMar>
                    <w:top w:w="0" w:type="dxa"/>
                    <w:left w:w="0" w:type="dxa"/>
                    <w:bottom w:w="0" w:type="dxa"/>
                    <w:right w:w="0" w:type="dxa"/>
                  </w:tcMar>
                  <w:vAlign w:val="center"/>
                </w:tcPr>
                <w:p w14:paraId="33AC1C3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73.4</w:t>
                  </w:r>
                </w:p>
              </w:tc>
              <w:tc>
                <w:tcPr>
                  <w:tcW w:w="173" w:type="pct"/>
                  <w:tcBorders>
                    <w:tl2br w:val="nil"/>
                    <w:tr2bl w:val="nil"/>
                  </w:tcBorders>
                  <w:shd w:val="clear" w:color="auto" w:fill="auto"/>
                  <w:tcMar>
                    <w:top w:w="0" w:type="dxa"/>
                    <w:left w:w="0" w:type="dxa"/>
                    <w:bottom w:w="0" w:type="dxa"/>
                    <w:right w:w="0" w:type="dxa"/>
                  </w:tcMar>
                  <w:vAlign w:val="center"/>
                </w:tcPr>
                <w:p w14:paraId="38B3D03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73.5</w:t>
                  </w:r>
                </w:p>
              </w:tc>
              <w:tc>
                <w:tcPr>
                  <w:tcW w:w="173" w:type="pct"/>
                  <w:tcBorders>
                    <w:tl2br w:val="nil"/>
                    <w:tr2bl w:val="nil"/>
                  </w:tcBorders>
                  <w:shd w:val="clear" w:color="auto" w:fill="auto"/>
                  <w:tcMar>
                    <w:top w:w="0" w:type="dxa"/>
                    <w:left w:w="0" w:type="dxa"/>
                    <w:bottom w:w="0" w:type="dxa"/>
                    <w:right w:w="0" w:type="dxa"/>
                  </w:tcMar>
                  <w:vAlign w:val="center"/>
                </w:tcPr>
                <w:p w14:paraId="20C90F3B">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73.4</w:t>
                  </w:r>
                </w:p>
              </w:tc>
              <w:tc>
                <w:tcPr>
                  <w:tcW w:w="181" w:type="pct"/>
                  <w:tcBorders>
                    <w:tl2br w:val="nil"/>
                    <w:tr2bl w:val="nil"/>
                  </w:tcBorders>
                  <w:shd w:val="clear" w:color="auto" w:fill="auto"/>
                  <w:tcMar>
                    <w:top w:w="0" w:type="dxa"/>
                    <w:left w:w="0" w:type="dxa"/>
                    <w:bottom w:w="0" w:type="dxa"/>
                    <w:right w:w="0" w:type="dxa"/>
                  </w:tcMar>
                  <w:vAlign w:val="center"/>
                </w:tcPr>
                <w:p w14:paraId="112DBF7A">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73.4</w:t>
                  </w:r>
                </w:p>
              </w:tc>
              <w:tc>
                <w:tcPr>
                  <w:tcW w:w="170" w:type="pct"/>
                  <w:vMerge w:val="continue"/>
                  <w:tcBorders>
                    <w:tl2br w:val="nil"/>
                    <w:tr2bl w:val="nil"/>
                  </w:tcBorders>
                  <w:shd w:val="clear" w:color="auto" w:fill="auto"/>
                  <w:tcMar>
                    <w:top w:w="0" w:type="dxa"/>
                    <w:left w:w="0" w:type="dxa"/>
                    <w:bottom w:w="0" w:type="dxa"/>
                    <w:right w:w="0" w:type="dxa"/>
                  </w:tcMar>
                  <w:vAlign w:val="center"/>
                </w:tcPr>
                <w:p w14:paraId="52286187">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0CA71B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0DB2C81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155DE4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33A1EBF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213" w:type="pct"/>
                  <w:vMerge w:val="continue"/>
                  <w:tcBorders>
                    <w:tl2br w:val="nil"/>
                    <w:tr2bl w:val="nil"/>
                  </w:tcBorders>
                  <w:shd w:val="clear" w:color="auto" w:fill="auto"/>
                  <w:tcMar>
                    <w:top w:w="0" w:type="dxa"/>
                    <w:left w:w="0" w:type="dxa"/>
                    <w:bottom w:w="0" w:type="dxa"/>
                    <w:right w:w="0" w:type="dxa"/>
                  </w:tcMar>
                  <w:vAlign w:val="center"/>
                </w:tcPr>
                <w:p w14:paraId="042B808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455B909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317AB0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0CCAF2F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639F2D6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203" w:type="pct"/>
                  <w:vMerge w:val="continue"/>
                  <w:tcBorders>
                    <w:tl2br w:val="nil"/>
                    <w:tr2bl w:val="nil"/>
                  </w:tcBorders>
                  <w:shd w:val="clear" w:color="auto" w:fill="auto"/>
                  <w:tcMar>
                    <w:top w:w="0" w:type="dxa"/>
                    <w:left w:w="0" w:type="dxa"/>
                    <w:bottom w:w="0" w:type="dxa"/>
                    <w:right w:w="0" w:type="dxa"/>
                  </w:tcMar>
                  <w:vAlign w:val="center"/>
                </w:tcPr>
                <w:p w14:paraId="6D8344C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r>
            <w:tr w14:paraId="27137EF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 w:type="pct"/>
                  <w:tcBorders>
                    <w:tl2br w:val="nil"/>
                    <w:tr2bl w:val="nil"/>
                  </w:tcBorders>
                  <w:shd w:val="clear" w:color="auto" w:fill="auto"/>
                  <w:tcMar>
                    <w:top w:w="0" w:type="dxa"/>
                    <w:left w:w="0" w:type="dxa"/>
                    <w:bottom w:w="0" w:type="dxa"/>
                    <w:right w:w="0" w:type="dxa"/>
                  </w:tcMar>
                  <w:vAlign w:val="center"/>
                </w:tcPr>
                <w:p w14:paraId="56D3A59B">
                  <w:pPr>
                    <w:keepNext w:val="0"/>
                    <w:keepLines w:val="0"/>
                    <w:pageBreakBefore w:val="0"/>
                    <w:widowControl w:val="0"/>
                    <w:numPr>
                      <w:ilvl w:val="0"/>
                      <w:numId w:val="2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0" w:type="pct"/>
                  <w:vMerge w:val="continue"/>
                  <w:tcBorders>
                    <w:tl2br w:val="nil"/>
                    <w:tr2bl w:val="nil"/>
                  </w:tcBorders>
                  <w:shd w:val="clear" w:color="auto" w:fill="auto"/>
                  <w:tcMar>
                    <w:top w:w="0" w:type="dxa"/>
                    <w:left w:w="0" w:type="dxa"/>
                    <w:bottom w:w="0" w:type="dxa"/>
                    <w:right w:w="0" w:type="dxa"/>
                  </w:tcMar>
                  <w:vAlign w:val="center"/>
                </w:tcPr>
                <w:p w14:paraId="291AFA15">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294" w:type="pct"/>
                  <w:tcBorders>
                    <w:tl2br w:val="nil"/>
                    <w:tr2bl w:val="nil"/>
                  </w:tcBorders>
                  <w:shd w:val="clear" w:color="auto" w:fill="auto"/>
                  <w:tcMar>
                    <w:top w:w="0" w:type="dxa"/>
                    <w:left w:w="0" w:type="dxa"/>
                    <w:bottom w:w="0" w:type="dxa"/>
                    <w:right w:w="0" w:type="dxa"/>
                  </w:tcMar>
                  <w:vAlign w:val="center"/>
                </w:tcPr>
                <w:p w14:paraId="6CF5DCF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lang w:eastAsia="zh-TW"/>
                      <w14:textFill>
                        <w14:solidFill>
                          <w14:schemeClr w14:val="tx1"/>
                        </w14:solidFill>
                      </w14:textFill>
                    </w:rPr>
                    <w:t>磁吸式磨刀机</w:t>
                  </w:r>
                </w:p>
              </w:tc>
              <w:tc>
                <w:tcPr>
                  <w:tcW w:w="249" w:type="pct"/>
                  <w:tcBorders>
                    <w:tl2br w:val="nil"/>
                    <w:tr2bl w:val="nil"/>
                  </w:tcBorders>
                  <w:shd w:val="clear" w:color="auto" w:fill="auto"/>
                  <w:tcMar>
                    <w:top w:w="0" w:type="dxa"/>
                    <w:left w:w="0" w:type="dxa"/>
                    <w:bottom w:w="0" w:type="dxa"/>
                    <w:right w:w="0" w:type="dxa"/>
                  </w:tcMar>
                  <w:vAlign w:val="center"/>
                </w:tcPr>
                <w:p w14:paraId="2443AD4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lang w:eastAsia="zh-TW"/>
                      <w14:textFill>
                        <w14:solidFill>
                          <w14:schemeClr w14:val="tx1"/>
                        </w14:solidFill>
                      </w14:textFill>
                    </w:rPr>
                    <w:t>ZMD-500</w:t>
                  </w:r>
                </w:p>
              </w:tc>
              <w:tc>
                <w:tcPr>
                  <w:tcW w:w="254" w:type="pct"/>
                  <w:tcBorders>
                    <w:tl2br w:val="nil"/>
                    <w:tr2bl w:val="nil"/>
                  </w:tcBorders>
                  <w:shd w:val="clear" w:color="auto" w:fill="auto"/>
                  <w:tcMar>
                    <w:top w:w="0" w:type="dxa"/>
                    <w:left w:w="0" w:type="dxa"/>
                    <w:bottom w:w="0" w:type="dxa"/>
                    <w:right w:w="0" w:type="dxa"/>
                  </w:tcMar>
                  <w:vAlign w:val="center"/>
                </w:tcPr>
                <w:p w14:paraId="602D7B5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r>
                    <w:rPr>
                      <w:rFonts w:hint="eastAsia" w:eastAsia="宋体" w:cs="Times New Roman"/>
                      <w:color w:val="000000" w:themeColor="text1"/>
                      <w:sz w:val="21"/>
                      <w:szCs w:val="21"/>
                      <w:highlight w:val="none"/>
                      <w:shd w:val="clear" w:color="auto" w:fill="auto"/>
                      <w:lang w:val="en-US" w:eastAsia="zh-CN"/>
                      <w14:textFill>
                        <w14:solidFill>
                          <w14:schemeClr w14:val="tx1"/>
                        </w14:solidFill>
                      </w14:textFill>
                    </w:rPr>
                    <w:t>80</w:t>
                  </w:r>
                </w:p>
              </w:tc>
              <w:tc>
                <w:tcPr>
                  <w:tcW w:w="173" w:type="pct"/>
                  <w:vMerge w:val="continue"/>
                  <w:tcBorders>
                    <w:tl2br w:val="nil"/>
                    <w:tr2bl w:val="nil"/>
                  </w:tcBorders>
                  <w:shd w:val="clear" w:color="auto" w:fill="auto"/>
                  <w:tcMar>
                    <w:top w:w="0" w:type="dxa"/>
                    <w:left w:w="0" w:type="dxa"/>
                    <w:bottom w:w="0" w:type="dxa"/>
                    <w:right w:w="0" w:type="dxa"/>
                  </w:tcMar>
                  <w:vAlign w:val="center"/>
                </w:tcPr>
                <w:p w14:paraId="5398F93C">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80" w:type="pct"/>
                  <w:tcBorders>
                    <w:tl2br w:val="nil"/>
                    <w:tr2bl w:val="nil"/>
                  </w:tcBorders>
                  <w:shd w:val="clear" w:color="auto" w:fill="auto"/>
                  <w:tcMar>
                    <w:top w:w="0" w:type="dxa"/>
                    <w:left w:w="0" w:type="dxa"/>
                    <w:bottom w:w="0" w:type="dxa"/>
                    <w:right w:w="0" w:type="dxa"/>
                  </w:tcMar>
                  <w:vAlign w:val="center"/>
                </w:tcPr>
                <w:p w14:paraId="3FBCAB7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16.2</w:t>
                  </w:r>
                </w:p>
              </w:tc>
              <w:tc>
                <w:tcPr>
                  <w:tcW w:w="180" w:type="pct"/>
                  <w:tcBorders>
                    <w:tl2br w:val="nil"/>
                    <w:tr2bl w:val="nil"/>
                  </w:tcBorders>
                  <w:shd w:val="clear" w:color="auto" w:fill="auto"/>
                  <w:tcMar>
                    <w:top w:w="0" w:type="dxa"/>
                    <w:left w:w="0" w:type="dxa"/>
                    <w:bottom w:w="0" w:type="dxa"/>
                    <w:right w:w="0" w:type="dxa"/>
                  </w:tcMar>
                  <w:vAlign w:val="center"/>
                </w:tcPr>
                <w:p w14:paraId="4C31FB48">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145.5</w:t>
                  </w:r>
                </w:p>
              </w:tc>
              <w:tc>
                <w:tcPr>
                  <w:tcW w:w="194" w:type="pct"/>
                  <w:tcBorders>
                    <w:tl2br w:val="nil"/>
                    <w:tr2bl w:val="nil"/>
                  </w:tcBorders>
                  <w:shd w:val="clear" w:color="auto" w:fill="auto"/>
                  <w:tcMar>
                    <w:top w:w="0" w:type="dxa"/>
                    <w:left w:w="0" w:type="dxa"/>
                    <w:bottom w:w="0" w:type="dxa"/>
                    <w:right w:w="0" w:type="dxa"/>
                  </w:tcMar>
                  <w:vAlign w:val="center"/>
                </w:tcPr>
                <w:p w14:paraId="7C966F3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0.6</w:t>
                  </w:r>
                </w:p>
              </w:tc>
              <w:tc>
                <w:tcPr>
                  <w:tcW w:w="173" w:type="pct"/>
                  <w:tcBorders>
                    <w:tl2br w:val="nil"/>
                    <w:tr2bl w:val="nil"/>
                  </w:tcBorders>
                  <w:shd w:val="clear" w:color="auto" w:fill="auto"/>
                  <w:tcMar>
                    <w:top w:w="0" w:type="dxa"/>
                    <w:left w:w="0" w:type="dxa"/>
                    <w:bottom w:w="0" w:type="dxa"/>
                    <w:right w:w="0" w:type="dxa"/>
                  </w:tcMar>
                  <w:vAlign w:val="center"/>
                </w:tcPr>
                <w:p w14:paraId="01D08EF4">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30.9</w:t>
                  </w:r>
                </w:p>
              </w:tc>
              <w:tc>
                <w:tcPr>
                  <w:tcW w:w="173" w:type="pct"/>
                  <w:tcBorders>
                    <w:tl2br w:val="nil"/>
                    <w:tr2bl w:val="nil"/>
                  </w:tcBorders>
                  <w:shd w:val="clear" w:color="auto" w:fill="auto"/>
                  <w:tcMar>
                    <w:top w:w="0" w:type="dxa"/>
                    <w:left w:w="0" w:type="dxa"/>
                    <w:bottom w:w="0" w:type="dxa"/>
                    <w:right w:w="0" w:type="dxa"/>
                  </w:tcMar>
                  <w:vAlign w:val="center"/>
                </w:tcPr>
                <w:p w14:paraId="1009771F">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18.5</w:t>
                  </w:r>
                </w:p>
              </w:tc>
              <w:tc>
                <w:tcPr>
                  <w:tcW w:w="173" w:type="pct"/>
                  <w:tcBorders>
                    <w:tl2br w:val="nil"/>
                    <w:tr2bl w:val="nil"/>
                  </w:tcBorders>
                  <w:shd w:val="clear" w:color="auto" w:fill="auto"/>
                  <w:tcMar>
                    <w:top w:w="0" w:type="dxa"/>
                    <w:left w:w="0" w:type="dxa"/>
                    <w:bottom w:w="0" w:type="dxa"/>
                    <w:right w:w="0" w:type="dxa"/>
                  </w:tcMar>
                  <w:vAlign w:val="center"/>
                </w:tcPr>
                <w:p w14:paraId="4FFAFAD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3.5</w:t>
                  </w:r>
                </w:p>
              </w:tc>
              <w:tc>
                <w:tcPr>
                  <w:tcW w:w="179" w:type="pct"/>
                  <w:tcBorders>
                    <w:tl2br w:val="nil"/>
                    <w:tr2bl w:val="nil"/>
                  </w:tcBorders>
                  <w:shd w:val="clear" w:color="auto" w:fill="auto"/>
                  <w:tcMar>
                    <w:top w:w="0" w:type="dxa"/>
                    <w:left w:w="0" w:type="dxa"/>
                    <w:bottom w:w="0" w:type="dxa"/>
                    <w:right w:w="0" w:type="dxa"/>
                  </w:tcMar>
                  <w:vAlign w:val="center"/>
                </w:tcPr>
                <w:p w14:paraId="49C780EE">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51.8</w:t>
                  </w:r>
                </w:p>
              </w:tc>
              <w:tc>
                <w:tcPr>
                  <w:tcW w:w="173" w:type="pct"/>
                  <w:tcBorders>
                    <w:tl2br w:val="nil"/>
                    <w:tr2bl w:val="nil"/>
                  </w:tcBorders>
                  <w:shd w:val="clear" w:color="auto" w:fill="auto"/>
                  <w:tcMar>
                    <w:top w:w="0" w:type="dxa"/>
                    <w:left w:w="0" w:type="dxa"/>
                    <w:bottom w:w="0" w:type="dxa"/>
                    <w:right w:w="0" w:type="dxa"/>
                  </w:tcMar>
                  <w:vAlign w:val="center"/>
                </w:tcPr>
                <w:p w14:paraId="762E3EF2">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68.4</w:t>
                  </w:r>
                </w:p>
              </w:tc>
              <w:tc>
                <w:tcPr>
                  <w:tcW w:w="173" w:type="pct"/>
                  <w:tcBorders>
                    <w:tl2br w:val="nil"/>
                    <w:tr2bl w:val="nil"/>
                  </w:tcBorders>
                  <w:shd w:val="clear" w:color="auto" w:fill="auto"/>
                  <w:tcMar>
                    <w:top w:w="0" w:type="dxa"/>
                    <w:left w:w="0" w:type="dxa"/>
                    <w:bottom w:w="0" w:type="dxa"/>
                    <w:right w:w="0" w:type="dxa"/>
                  </w:tcMar>
                  <w:vAlign w:val="center"/>
                </w:tcPr>
                <w:p w14:paraId="176F7A6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68.4</w:t>
                  </w:r>
                </w:p>
              </w:tc>
              <w:tc>
                <w:tcPr>
                  <w:tcW w:w="173" w:type="pct"/>
                  <w:tcBorders>
                    <w:tl2br w:val="nil"/>
                    <w:tr2bl w:val="nil"/>
                  </w:tcBorders>
                  <w:shd w:val="clear" w:color="auto" w:fill="auto"/>
                  <w:tcMar>
                    <w:top w:w="0" w:type="dxa"/>
                    <w:left w:w="0" w:type="dxa"/>
                    <w:bottom w:w="0" w:type="dxa"/>
                    <w:right w:w="0" w:type="dxa"/>
                  </w:tcMar>
                  <w:vAlign w:val="center"/>
                </w:tcPr>
                <w:p w14:paraId="06170FEF">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68.8</w:t>
                  </w:r>
                </w:p>
              </w:tc>
              <w:tc>
                <w:tcPr>
                  <w:tcW w:w="181" w:type="pct"/>
                  <w:tcBorders>
                    <w:tl2br w:val="nil"/>
                    <w:tr2bl w:val="nil"/>
                  </w:tcBorders>
                  <w:shd w:val="clear" w:color="auto" w:fill="auto"/>
                  <w:tcMar>
                    <w:top w:w="0" w:type="dxa"/>
                    <w:left w:w="0" w:type="dxa"/>
                    <w:bottom w:w="0" w:type="dxa"/>
                    <w:right w:w="0" w:type="dxa"/>
                  </w:tcMar>
                  <w:vAlign w:val="center"/>
                </w:tcPr>
                <w:p w14:paraId="2F8DD76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68.4</w:t>
                  </w:r>
                </w:p>
              </w:tc>
              <w:tc>
                <w:tcPr>
                  <w:tcW w:w="170" w:type="pct"/>
                  <w:vMerge w:val="continue"/>
                  <w:tcBorders>
                    <w:tl2br w:val="nil"/>
                    <w:tr2bl w:val="nil"/>
                  </w:tcBorders>
                  <w:shd w:val="clear" w:color="auto" w:fill="auto"/>
                  <w:tcMar>
                    <w:top w:w="0" w:type="dxa"/>
                    <w:left w:w="0" w:type="dxa"/>
                    <w:bottom w:w="0" w:type="dxa"/>
                    <w:right w:w="0" w:type="dxa"/>
                  </w:tcMar>
                  <w:vAlign w:val="center"/>
                </w:tcPr>
                <w:p w14:paraId="3F7E5F7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66AE2EB1">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7BD40821">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280D34F5">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7CA9D90F">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213" w:type="pct"/>
                  <w:vMerge w:val="continue"/>
                  <w:tcBorders>
                    <w:tl2br w:val="nil"/>
                    <w:tr2bl w:val="nil"/>
                  </w:tcBorders>
                  <w:shd w:val="clear" w:color="auto" w:fill="auto"/>
                  <w:tcMar>
                    <w:top w:w="0" w:type="dxa"/>
                    <w:left w:w="0" w:type="dxa"/>
                    <w:bottom w:w="0" w:type="dxa"/>
                    <w:right w:w="0" w:type="dxa"/>
                  </w:tcMar>
                  <w:vAlign w:val="center"/>
                </w:tcPr>
                <w:p w14:paraId="3F1BEA35">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650E96DE">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3F5580A5">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1BDE8586">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37C7A50A">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203" w:type="pct"/>
                  <w:vMerge w:val="continue"/>
                  <w:tcBorders>
                    <w:tl2br w:val="nil"/>
                    <w:tr2bl w:val="nil"/>
                  </w:tcBorders>
                  <w:shd w:val="clear" w:color="auto" w:fill="auto"/>
                  <w:tcMar>
                    <w:top w:w="0" w:type="dxa"/>
                    <w:left w:w="0" w:type="dxa"/>
                    <w:bottom w:w="0" w:type="dxa"/>
                    <w:right w:w="0" w:type="dxa"/>
                  </w:tcMar>
                  <w:vAlign w:val="center"/>
                </w:tcPr>
                <w:p w14:paraId="10C41EAC">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r>
            <w:tr w14:paraId="3277FB7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 w:type="pct"/>
                  <w:tcBorders>
                    <w:tl2br w:val="nil"/>
                    <w:tr2bl w:val="nil"/>
                  </w:tcBorders>
                  <w:shd w:val="clear" w:color="auto" w:fill="auto"/>
                  <w:tcMar>
                    <w:top w:w="0" w:type="dxa"/>
                    <w:left w:w="0" w:type="dxa"/>
                    <w:bottom w:w="0" w:type="dxa"/>
                    <w:right w:w="0" w:type="dxa"/>
                  </w:tcMar>
                  <w:vAlign w:val="center"/>
                </w:tcPr>
                <w:p w14:paraId="1FFA4006">
                  <w:pPr>
                    <w:keepNext w:val="0"/>
                    <w:keepLines w:val="0"/>
                    <w:pageBreakBefore w:val="0"/>
                    <w:widowControl w:val="0"/>
                    <w:numPr>
                      <w:ilvl w:val="0"/>
                      <w:numId w:val="2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0" w:type="pct"/>
                  <w:vMerge w:val="continue"/>
                  <w:tcBorders>
                    <w:tl2br w:val="nil"/>
                    <w:tr2bl w:val="nil"/>
                  </w:tcBorders>
                  <w:shd w:val="clear" w:color="auto" w:fill="auto"/>
                  <w:tcMar>
                    <w:top w:w="0" w:type="dxa"/>
                    <w:left w:w="0" w:type="dxa"/>
                    <w:bottom w:w="0" w:type="dxa"/>
                    <w:right w:w="0" w:type="dxa"/>
                  </w:tcMar>
                  <w:vAlign w:val="center"/>
                </w:tcPr>
                <w:p w14:paraId="54B61CE0">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294" w:type="pct"/>
                  <w:tcBorders>
                    <w:tl2br w:val="nil"/>
                    <w:tr2bl w:val="nil"/>
                  </w:tcBorders>
                  <w:shd w:val="clear" w:color="auto" w:fill="auto"/>
                  <w:tcMar>
                    <w:top w:w="0" w:type="dxa"/>
                    <w:left w:w="0" w:type="dxa"/>
                    <w:bottom w:w="0" w:type="dxa"/>
                    <w:right w:w="0" w:type="dxa"/>
                  </w:tcMar>
                  <w:vAlign w:val="center"/>
                </w:tcPr>
                <w:p w14:paraId="328E629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lang w:eastAsia="zh-TW"/>
                      <w14:textFill>
                        <w14:solidFill>
                          <w14:schemeClr w14:val="tx1"/>
                        </w14:solidFill>
                      </w14:textFill>
                    </w:rPr>
                    <w:t>风选机</w:t>
                  </w:r>
                </w:p>
              </w:tc>
              <w:tc>
                <w:tcPr>
                  <w:tcW w:w="249" w:type="pct"/>
                  <w:tcBorders>
                    <w:tl2br w:val="nil"/>
                    <w:tr2bl w:val="nil"/>
                  </w:tcBorders>
                  <w:shd w:val="clear" w:color="auto" w:fill="auto"/>
                  <w:tcMar>
                    <w:top w:w="0" w:type="dxa"/>
                    <w:left w:w="0" w:type="dxa"/>
                    <w:bottom w:w="0" w:type="dxa"/>
                    <w:right w:w="0" w:type="dxa"/>
                  </w:tcMar>
                  <w:vAlign w:val="center"/>
                </w:tcPr>
                <w:p w14:paraId="426C17F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lang w:eastAsia="zh-TW"/>
                      <w14:textFill>
                        <w14:solidFill>
                          <w14:schemeClr w14:val="tx1"/>
                        </w14:solidFill>
                      </w14:textFill>
                    </w:rPr>
                    <w:t>FX-500</w:t>
                  </w:r>
                </w:p>
              </w:tc>
              <w:tc>
                <w:tcPr>
                  <w:tcW w:w="254" w:type="pct"/>
                  <w:tcBorders>
                    <w:tl2br w:val="nil"/>
                    <w:tr2bl w:val="nil"/>
                  </w:tcBorders>
                  <w:shd w:val="clear" w:color="auto" w:fill="auto"/>
                  <w:tcMar>
                    <w:top w:w="0" w:type="dxa"/>
                    <w:left w:w="0" w:type="dxa"/>
                    <w:bottom w:w="0" w:type="dxa"/>
                    <w:right w:w="0" w:type="dxa"/>
                  </w:tcMar>
                  <w:vAlign w:val="center"/>
                </w:tcPr>
                <w:p w14:paraId="0DDCF4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85</w:t>
                  </w:r>
                </w:p>
              </w:tc>
              <w:tc>
                <w:tcPr>
                  <w:tcW w:w="173" w:type="pct"/>
                  <w:vMerge w:val="continue"/>
                  <w:tcBorders>
                    <w:tl2br w:val="nil"/>
                    <w:tr2bl w:val="nil"/>
                  </w:tcBorders>
                  <w:shd w:val="clear" w:color="auto" w:fill="auto"/>
                  <w:tcMar>
                    <w:top w:w="0" w:type="dxa"/>
                    <w:left w:w="0" w:type="dxa"/>
                    <w:bottom w:w="0" w:type="dxa"/>
                    <w:right w:w="0" w:type="dxa"/>
                  </w:tcMar>
                  <w:vAlign w:val="center"/>
                </w:tcPr>
                <w:p w14:paraId="2EE74D7C">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80" w:type="pct"/>
                  <w:tcBorders>
                    <w:tl2br w:val="nil"/>
                    <w:tr2bl w:val="nil"/>
                  </w:tcBorders>
                  <w:shd w:val="clear" w:color="auto" w:fill="auto"/>
                  <w:tcMar>
                    <w:top w:w="0" w:type="dxa"/>
                    <w:left w:w="0" w:type="dxa"/>
                    <w:bottom w:w="0" w:type="dxa"/>
                    <w:right w:w="0" w:type="dxa"/>
                  </w:tcMar>
                  <w:vAlign w:val="center"/>
                </w:tcPr>
                <w:p w14:paraId="5F2530B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25.4</w:t>
                  </w:r>
                </w:p>
              </w:tc>
              <w:tc>
                <w:tcPr>
                  <w:tcW w:w="180" w:type="pct"/>
                  <w:tcBorders>
                    <w:tl2br w:val="nil"/>
                    <w:tr2bl w:val="nil"/>
                  </w:tcBorders>
                  <w:shd w:val="clear" w:color="auto" w:fill="auto"/>
                  <w:tcMar>
                    <w:top w:w="0" w:type="dxa"/>
                    <w:left w:w="0" w:type="dxa"/>
                    <w:bottom w:w="0" w:type="dxa"/>
                    <w:right w:w="0" w:type="dxa"/>
                  </w:tcMar>
                  <w:vAlign w:val="center"/>
                </w:tcPr>
                <w:p w14:paraId="269A431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131.6</w:t>
                  </w:r>
                </w:p>
              </w:tc>
              <w:tc>
                <w:tcPr>
                  <w:tcW w:w="194" w:type="pct"/>
                  <w:tcBorders>
                    <w:tl2br w:val="nil"/>
                    <w:tr2bl w:val="nil"/>
                  </w:tcBorders>
                  <w:shd w:val="clear" w:color="auto" w:fill="auto"/>
                  <w:tcMar>
                    <w:top w:w="0" w:type="dxa"/>
                    <w:left w:w="0" w:type="dxa"/>
                    <w:bottom w:w="0" w:type="dxa"/>
                    <w:right w:w="0" w:type="dxa"/>
                  </w:tcMar>
                  <w:vAlign w:val="center"/>
                </w:tcPr>
                <w:p w14:paraId="68FB9958">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0.8</w:t>
                  </w:r>
                </w:p>
              </w:tc>
              <w:tc>
                <w:tcPr>
                  <w:tcW w:w="173" w:type="pct"/>
                  <w:tcBorders>
                    <w:tl2br w:val="nil"/>
                    <w:tr2bl w:val="nil"/>
                  </w:tcBorders>
                  <w:shd w:val="clear" w:color="auto" w:fill="auto"/>
                  <w:tcMar>
                    <w:top w:w="0" w:type="dxa"/>
                    <w:left w:w="0" w:type="dxa"/>
                    <w:bottom w:w="0" w:type="dxa"/>
                    <w:right w:w="0" w:type="dxa"/>
                  </w:tcMar>
                  <w:vAlign w:val="center"/>
                </w:tcPr>
                <w:p w14:paraId="5AA5A60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27.8</w:t>
                  </w:r>
                </w:p>
              </w:tc>
              <w:tc>
                <w:tcPr>
                  <w:tcW w:w="173" w:type="pct"/>
                  <w:tcBorders>
                    <w:tl2br w:val="nil"/>
                    <w:tr2bl w:val="nil"/>
                  </w:tcBorders>
                  <w:shd w:val="clear" w:color="auto" w:fill="auto"/>
                  <w:tcMar>
                    <w:top w:w="0" w:type="dxa"/>
                    <w:left w:w="0" w:type="dxa"/>
                    <w:bottom w:w="0" w:type="dxa"/>
                    <w:right w:w="0" w:type="dxa"/>
                  </w:tcMar>
                  <w:vAlign w:val="center"/>
                </w:tcPr>
                <w:p w14:paraId="62724CA4">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3.6</w:t>
                  </w:r>
                </w:p>
              </w:tc>
              <w:tc>
                <w:tcPr>
                  <w:tcW w:w="173" w:type="pct"/>
                  <w:tcBorders>
                    <w:tl2br w:val="nil"/>
                    <w:tr2bl w:val="nil"/>
                  </w:tcBorders>
                  <w:shd w:val="clear" w:color="auto" w:fill="auto"/>
                  <w:tcMar>
                    <w:top w:w="0" w:type="dxa"/>
                    <w:left w:w="0" w:type="dxa"/>
                    <w:bottom w:w="0" w:type="dxa"/>
                    <w:right w:w="0" w:type="dxa"/>
                  </w:tcMar>
                  <w:vAlign w:val="center"/>
                </w:tcPr>
                <w:p w14:paraId="23E4BF8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18.4</w:t>
                  </w:r>
                </w:p>
              </w:tc>
              <w:tc>
                <w:tcPr>
                  <w:tcW w:w="179" w:type="pct"/>
                  <w:tcBorders>
                    <w:tl2br w:val="nil"/>
                    <w:tr2bl w:val="nil"/>
                  </w:tcBorders>
                  <w:shd w:val="clear" w:color="auto" w:fill="auto"/>
                  <w:tcMar>
                    <w:top w:w="0" w:type="dxa"/>
                    <w:left w:w="0" w:type="dxa"/>
                    <w:bottom w:w="0" w:type="dxa"/>
                    <w:right w:w="0" w:type="dxa"/>
                  </w:tcMar>
                  <w:vAlign w:val="center"/>
                </w:tcPr>
                <w:p w14:paraId="3F98714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43.3</w:t>
                  </w:r>
                </w:p>
              </w:tc>
              <w:tc>
                <w:tcPr>
                  <w:tcW w:w="173" w:type="pct"/>
                  <w:tcBorders>
                    <w:tl2br w:val="nil"/>
                    <w:tr2bl w:val="nil"/>
                  </w:tcBorders>
                  <w:shd w:val="clear" w:color="auto" w:fill="auto"/>
                  <w:tcMar>
                    <w:top w:w="0" w:type="dxa"/>
                    <w:left w:w="0" w:type="dxa"/>
                    <w:bottom w:w="0" w:type="dxa"/>
                    <w:right w:w="0" w:type="dxa"/>
                  </w:tcMar>
                  <w:vAlign w:val="center"/>
                </w:tcPr>
                <w:p w14:paraId="6012641D">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73.4</w:t>
                  </w:r>
                </w:p>
              </w:tc>
              <w:tc>
                <w:tcPr>
                  <w:tcW w:w="173" w:type="pct"/>
                  <w:tcBorders>
                    <w:tl2br w:val="nil"/>
                    <w:tr2bl w:val="nil"/>
                  </w:tcBorders>
                  <w:shd w:val="clear" w:color="auto" w:fill="auto"/>
                  <w:tcMar>
                    <w:top w:w="0" w:type="dxa"/>
                    <w:left w:w="0" w:type="dxa"/>
                    <w:bottom w:w="0" w:type="dxa"/>
                    <w:right w:w="0" w:type="dxa"/>
                  </w:tcMar>
                  <w:vAlign w:val="center"/>
                </w:tcPr>
                <w:p w14:paraId="1E48A2C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73.8</w:t>
                  </w:r>
                </w:p>
              </w:tc>
              <w:tc>
                <w:tcPr>
                  <w:tcW w:w="173" w:type="pct"/>
                  <w:tcBorders>
                    <w:tl2br w:val="nil"/>
                    <w:tr2bl w:val="nil"/>
                  </w:tcBorders>
                  <w:shd w:val="clear" w:color="auto" w:fill="auto"/>
                  <w:tcMar>
                    <w:top w:w="0" w:type="dxa"/>
                    <w:left w:w="0" w:type="dxa"/>
                    <w:bottom w:w="0" w:type="dxa"/>
                    <w:right w:w="0" w:type="dxa"/>
                  </w:tcMar>
                  <w:vAlign w:val="center"/>
                </w:tcPr>
                <w:p w14:paraId="13082C7B">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73.4</w:t>
                  </w:r>
                </w:p>
              </w:tc>
              <w:tc>
                <w:tcPr>
                  <w:tcW w:w="181" w:type="pct"/>
                  <w:tcBorders>
                    <w:tl2br w:val="nil"/>
                    <w:tr2bl w:val="nil"/>
                  </w:tcBorders>
                  <w:shd w:val="clear" w:color="auto" w:fill="auto"/>
                  <w:tcMar>
                    <w:top w:w="0" w:type="dxa"/>
                    <w:left w:w="0" w:type="dxa"/>
                    <w:bottom w:w="0" w:type="dxa"/>
                    <w:right w:w="0" w:type="dxa"/>
                  </w:tcMar>
                  <w:vAlign w:val="center"/>
                </w:tcPr>
                <w:p w14:paraId="0D184245">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73.4</w:t>
                  </w:r>
                </w:p>
              </w:tc>
              <w:tc>
                <w:tcPr>
                  <w:tcW w:w="170" w:type="pct"/>
                  <w:vMerge w:val="continue"/>
                  <w:tcBorders>
                    <w:tl2br w:val="nil"/>
                    <w:tr2bl w:val="nil"/>
                  </w:tcBorders>
                  <w:shd w:val="clear" w:color="auto" w:fill="auto"/>
                  <w:tcMar>
                    <w:top w:w="0" w:type="dxa"/>
                    <w:left w:w="0" w:type="dxa"/>
                    <w:bottom w:w="0" w:type="dxa"/>
                    <w:right w:w="0" w:type="dxa"/>
                  </w:tcMar>
                  <w:vAlign w:val="center"/>
                </w:tcPr>
                <w:p w14:paraId="2DBAF42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78FF744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48E4B636">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2705BCB2">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42CBC71E">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213" w:type="pct"/>
                  <w:vMerge w:val="continue"/>
                  <w:tcBorders>
                    <w:tl2br w:val="nil"/>
                    <w:tr2bl w:val="nil"/>
                  </w:tcBorders>
                  <w:shd w:val="clear" w:color="auto" w:fill="auto"/>
                  <w:tcMar>
                    <w:top w:w="0" w:type="dxa"/>
                    <w:left w:w="0" w:type="dxa"/>
                    <w:bottom w:w="0" w:type="dxa"/>
                    <w:right w:w="0" w:type="dxa"/>
                  </w:tcMar>
                  <w:vAlign w:val="center"/>
                </w:tcPr>
                <w:p w14:paraId="279E9839">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735E0A9F">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01581C14">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365F87FE">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3D73271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203" w:type="pct"/>
                  <w:vMerge w:val="continue"/>
                  <w:tcBorders>
                    <w:tl2br w:val="nil"/>
                    <w:tr2bl w:val="nil"/>
                  </w:tcBorders>
                  <w:shd w:val="clear" w:color="auto" w:fill="auto"/>
                  <w:tcMar>
                    <w:top w:w="0" w:type="dxa"/>
                    <w:left w:w="0" w:type="dxa"/>
                    <w:bottom w:w="0" w:type="dxa"/>
                    <w:right w:w="0" w:type="dxa"/>
                  </w:tcMar>
                  <w:vAlign w:val="center"/>
                </w:tcPr>
                <w:p w14:paraId="52D20078">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r>
            <w:tr w14:paraId="1E8A65E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 w:type="pct"/>
                  <w:tcBorders>
                    <w:tl2br w:val="nil"/>
                    <w:tr2bl w:val="nil"/>
                  </w:tcBorders>
                  <w:shd w:val="clear" w:color="auto" w:fill="auto"/>
                  <w:tcMar>
                    <w:top w:w="0" w:type="dxa"/>
                    <w:left w:w="0" w:type="dxa"/>
                    <w:bottom w:w="0" w:type="dxa"/>
                    <w:right w:w="0" w:type="dxa"/>
                  </w:tcMar>
                  <w:vAlign w:val="center"/>
                </w:tcPr>
                <w:p w14:paraId="0F25ABAC">
                  <w:pPr>
                    <w:keepNext w:val="0"/>
                    <w:keepLines w:val="0"/>
                    <w:pageBreakBefore w:val="0"/>
                    <w:widowControl w:val="0"/>
                    <w:numPr>
                      <w:ilvl w:val="0"/>
                      <w:numId w:val="2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0" w:type="pct"/>
                  <w:vMerge w:val="continue"/>
                  <w:tcBorders>
                    <w:tl2br w:val="nil"/>
                    <w:tr2bl w:val="nil"/>
                  </w:tcBorders>
                  <w:shd w:val="clear" w:color="auto" w:fill="auto"/>
                  <w:tcMar>
                    <w:top w:w="0" w:type="dxa"/>
                    <w:left w:w="0" w:type="dxa"/>
                    <w:bottom w:w="0" w:type="dxa"/>
                    <w:right w:w="0" w:type="dxa"/>
                  </w:tcMar>
                  <w:vAlign w:val="center"/>
                </w:tcPr>
                <w:p w14:paraId="6EC91AA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294" w:type="pct"/>
                  <w:tcBorders>
                    <w:tl2br w:val="nil"/>
                    <w:tr2bl w:val="nil"/>
                  </w:tcBorders>
                  <w:shd w:val="clear" w:color="auto" w:fill="auto"/>
                  <w:tcMar>
                    <w:top w:w="0" w:type="dxa"/>
                    <w:left w:w="0" w:type="dxa"/>
                    <w:bottom w:w="0" w:type="dxa"/>
                    <w:right w:w="0" w:type="dxa"/>
                  </w:tcMar>
                  <w:vAlign w:val="center"/>
                </w:tcPr>
                <w:p w14:paraId="105253B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Cs w:val="21"/>
                      <w:lang w:eastAsia="zh-TW"/>
                      <w14:textFill>
                        <w14:solidFill>
                          <w14:schemeClr w14:val="tx1"/>
                        </w14:solidFill>
                      </w14:textFill>
                    </w:rPr>
                    <w:t>炒药机</w:t>
                  </w:r>
                  <w:r>
                    <w:rPr>
                      <w:rFonts w:hint="eastAsia" w:ascii="Times New Roman" w:hAnsi="Times New Roman" w:eastAsia="宋体" w:cs="Times New Roman"/>
                      <w:color w:val="000000" w:themeColor="text1"/>
                      <w:kern w:val="0"/>
                      <w:szCs w:val="21"/>
                      <w:lang w:val="en-US" w:eastAsia="zh-CN"/>
                      <w14:textFill>
                        <w14:solidFill>
                          <w14:schemeClr w14:val="tx1"/>
                        </w14:solidFill>
                      </w14:textFill>
                    </w:rPr>
                    <w:t>1#</w:t>
                  </w:r>
                </w:p>
              </w:tc>
              <w:tc>
                <w:tcPr>
                  <w:tcW w:w="249" w:type="pct"/>
                  <w:tcBorders>
                    <w:tl2br w:val="nil"/>
                    <w:tr2bl w:val="nil"/>
                  </w:tcBorders>
                  <w:shd w:val="clear" w:color="auto" w:fill="auto"/>
                  <w:tcMar>
                    <w:top w:w="0" w:type="dxa"/>
                    <w:left w:w="0" w:type="dxa"/>
                    <w:bottom w:w="0" w:type="dxa"/>
                    <w:right w:w="0" w:type="dxa"/>
                  </w:tcMar>
                  <w:vAlign w:val="center"/>
                </w:tcPr>
                <w:p w14:paraId="16F03DE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r>
                    <w:rPr>
                      <w:rFonts w:hint="eastAsia" w:cs="Times New Roman"/>
                      <w:color w:val="000000" w:themeColor="text1"/>
                      <w:sz w:val="21"/>
                      <w:szCs w:val="21"/>
                      <w:highlight w:val="none"/>
                      <w:shd w:val="clear" w:color="auto" w:fill="auto"/>
                      <w:lang w:val="en-US" w:eastAsia="zh-CN"/>
                      <w14:textFill>
                        <w14:solidFill>
                          <w14:schemeClr w14:val="tx1"/>
                        </w14:solidFill>
                      </w14:textFill>
                    </w:rPr>
                    <w:t>/</w:t>
                  </w:r>
                </w:p>
              </w:tc>
              <w:tc>
                <w:tcPr>
                  <w:tcW w:w="254" w:type="pct"/>
                  <w:tcBorders>
                    <w:tl2br w:val="nil"/>
                    <w:tr2bl w:val="nil"/>
                  </w:tcBorders>
                  <w:shd w:val="clear" w:color="auto" w:fill="auto"/>
                  <w:tcMar>
                    <w:top w:w="0" w:type="dxa"/>
                    <w:left w:w="0" w:type="dxa"/>
                    <w:bottom w:w="0" w:type="dxa"/>
                    <w:right w:w="0" w:type="dxa"/>
                  </w:tcMar>
                  <w:vAlign w:val="center"/>
                </w:tcPr>
                <w:p w14:paraId="0996C61A">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lang w:val="en-US"/>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75</w:t>
                  </w:r>
                </w:p>
              </w:tc>
              <w:tc>
                <w:tcPr>
                  <w:tcW w:w="173" w:type="pct"/>
                  <w:vMerge w:val="continue"/>
                  <w:tcBorders>
                    <w:tl2br w:val="nil"/>
                    <w:tr2bl w:val="nil"/>
                  </w:tcBorders>
                  <w:shd w:val="clear" w:color="auto" w:fill="auto"/>
                  <w:tcMar>
                    <w:top w:w="0" w:type="dxa"/>
                    <w:left w:w="0" w:type="dxa"/>
                    <w:bottom w:w="0" w:type="dxa"/>
                    <w:right w:w="0" w:type="dxa"/>
                  </w:tcMar>
                  <w:vAlign w:val="center"/>
                </w:tcPr>
                <w:p w14:paraId="456CFE19">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80" w:type="pct"/>
                  <w:tcBorders>
                    <w:tl2br w:val="nil"/>
                    <w:tr2bl w:val="nil"/>
                  </w:tcBorders>
                  <w:shd w:val="clear" w:color="auto" w:fill="auto"/>
                  <w:tcMar>
                    <w:top w:w="0" w:type="dxa"/>
                    <w:left w:w="0" w:type="dxa"/>
                    <w:bottom w:w="0" w:type="dxa"/>
                    <w:right w:w="0" w:type="dxa"/>
                  </w:tcMar>
                  <w:vAlign w:val="center"/>
                </w:tcPr>
                <w:p w14:paraId="0660E942">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31.7</w:t>
                  </w:r>
                </w:p>
              </w:tc>
              <w:tc>
                <w:tcPr>
                  <w:tcW w:w="180" w:type="pct"/>
                  <w:tcBorders>
                    <w:tl2br w:val="nil"/>
                    <w:tr2bl w:val="nil"/>
                  </w:tcBorders>
                  <w:shd w:val="clear" w:color="auto" w:fill="auto"/>
                  <w:tcMar>
                    <w:top w:w="0" w:type="dxa"/>
                    <w:left w:w="0" w:type="dxa"/>
                    <w:bottom w:w="0" w:type="dxa"/>
                    <w:right w:w="0" w:type="dxa"/>
                  </w:tcMar>
                  <w:vAlign w:val="center"/>
                </w:tcPr>
                <w:p w14:paraId="3956A40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148.3</w:t>
                  </w:r>
                </w:p>
              </w:tc>
              <w:tc>
                <w:tcPr>
                  <w:tcW w:w="194" w:type="pct"/>
                  <w:tcBorders>
                    <w:tl2br w:val="nil"/>
                    <w:tr2bl w:val="nil"/>
                  </w:tcBorders>
                  <w:shd w:val="clear" w:color="auto" w:fill="auto"/>
                  <w:tcMar>
                    <w:top w:w="0" w:type="dxa"/>
                    <w:left w:w="0" w:type="dxa"/>
                    <w:bottom w:w="0" w:type="dxa"/>
                    <w:right w:w="0" w:type="dxa"/>
                  </w:tcMar>
                  <w:vAlign w:val="center"/>
                </w:tcPr>
                <w:p w14:paraId="1D190923">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0.7</w:t>
                  </w:r>
                </w:p>
              </w:tc>
              <w:tc>
                <w:tcPr>
                  <w:tcW w:w="173" w:type="pct"/>
                  <w:tcBorders>
                    <w:tl2br w:val="nil"/>
                    <w:tr2bl w:val="nil"/>
                  </w:tcBorders>
                  <w:shd w:val="clear" w:color="auto" w:fill="auto"/>
                  <w:tcMar>
                    <w:top w:w="0" w:type="dxa"/>
                    <w:left w:w="0" w:type="dxa"/>
                    <w:bottom w:w="0" w:type="dxa"/>
                    <w:right w:w="0" w:type="dxa"/>
                  </w:tcMar>
                  <w:vAlign w:val="center"/>
                </w:tcPr>
                <w:p w14:paraId="434EDC8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15.4</w:t>
                  </w:r>
                </w:p>
              </w:tc>
              <w:tc>
                <w:tcPr>
                  <w:tcW w:w="173" w:type="pct"/>
                  <w:tcBorders>
                    <w:tl2br w:val="nil"/>
                    <w:tr2bl w:val="nil"/>
                  </w:tcBorders>
                  <w:shd w:val="clear" w:color="auto" w:fill="auto"/>
                  <w:tcMar>
                    <w:top w:w="0" w:type="dxa"/>
                    <w:left w:w="0" w:type="dxa"/>
                    <w:bottom w:w="0" w:type="dxa"/>
                    <w:right w:w="0" w:type="dxa"/>
                  </w:tcMar>
                  <w:vAlign w:val="center"/>
                </w:tcPr>
                <w:p w14:paraId="7072850D">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19.5</w:t>
                  </w:r>
                </w:p>
              </w:tc>
              <w:tc>
                <w:tcPr>
                  <w:tcW w:w="173" w:type="pct"/>
                  <w:tcBorders>
                    <w:tl2br w:val="nil"/>
                    <w:tr2bl w:val="nil"/>
                  </w:tcBorders>
                  <w:shd w:val="clear" w:color="auto" w:fill="auto"/>
                  <w:tcMar>
                    <w:top w:w="0" w:type="dxa"/>
                    <w:left w:w="0" w:type="dxa"/>
                    <w:bottom w:w="0" w:type="dxa"/>
                    <w:right w:w="0" w:type="dxa"/>
                  </w:tcMar>
                  <w:vAlign w:val="center"/>
                </w:tcPr>
                <w:p w14:paraId="48B5FCD5">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2.6</w:t>
                  </w:r>
                </w:p>
              </w:tc>
              <w:tc>
                <w:tcPr>
                  <w:tcW w:w="179" w:type="pct"/>
                  <w:tcBorders>
                    <w:tl2br w:val="nil"/>
                    <w:tr2bl w:val="nil"/>
                  </w:tcBorders>
                  <w:shd w:val="clear" w:color="auto" w:fill="auto"/>
                  <w:tcMar>
                    <w:top w:w="0" w:type="dxa"/>
                    <w:left w:w="0" w:type="dxa"/>
                    <w:bottom w:w="0" w:type="dxa"/>
                    <w:right w:w="0" w:type="dxa"/>
                  </w:tcMar>
                  <w:vAlign w:val="center"/>
                </w:tcPr>
                <w:p w14:paraId="1357337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36.1</w:t>
                  </w:r>
                </w:p>
              </w:tc>
              <w:tc>
                <w:tcPr>
                  <w:tcW w:w="173" w:type="pct"/>
                  <w:tcBorders>
                    <w:tl2br w:val="nil"/>
                    <w:tr2bl w:val="nil"/>
                  </w:tcBorders>
                  <w:shd w:val="clear" w:color="auto" w:fill="auto"/>
                  <w:tcMar>
                    <w:top w:w="0" w:type="dxa"/>
                    <w:left w:w="0" w:type="dxa"/>
                    <w:bottom w:w="0" w:type="dxa"/>
                    <w:right w:w="0" w:type="dxa"/>
                  </w:tcMar>
                  <w:vAlign w:val="center"/>
                </w:tcPr>
                <w:p w14:paraId="33DD9374">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63.4</w:t>
                  </w:r>
                </w:p>
              </w:tc>
              <w:tc>
                <w:tcPr>
                  <w:tcW w:w="173" w:type="pct"/>
                  <w:tcBorders>
                    <w:tl2br w:val="nil"/>
                    <w:tr2bl w:val="nil"/>
                  </w:tcBorders>
                  <w:shd w:val="clear" w:color="auto" w:fill="auto"/>
                  <w:tcMar>
                    <w:top w:w="0" w:type="dxa"/>
                    <w:left w:w="0" w:type="dxa"/>
                    <w:bottom w:w="0" w:type="dxa"/>
                    <w:right w:w="0" w:type="dxa"/>
                  </w:tcMar>
                  <w:vAlign w:val="center"/>
                </w:tcPr>
                <w:p w14:paraId="11DACF14">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63.4</w:t>
                  </w:r>
                </w:p>
              </w:tc>
              <w:tc>
                <w:tcPr>
                  <w:tcW w:w="173" w:type="pct"/>
                  <w:tcBorders>
                    <w:tl2br w:val="nil"/>
                    <w:tr2bl w:val="nil"/>
                  </w:tcBorders>
                  <w:shd w:val="clear" w:color="auto" w:fill="auto"/>
                  <w:tcMar>
                    <w:top w:w="0" w:type="dxa"/>
                    <w:left w:w="0" w:type="dxa"/>
                    <w:bottom w:w="0" w:type="dxa"/>
                    <w:right w:w="0" w:type="dxa"/>
                  </w:tcMar>
                  <w:vAlign w:val="center"/>
                </w:tcPr>
                <w:p w14:paraId="20AFABBD">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64.1</w:t>
                  </w:r>
                </w:p>
              </w:tc>
              <w:tc>
                <w:tcPr>
                  <w:tcW w:w="181" w:type="pct"/>
                  <w:tcBorders>
                    <w:tl2br w:val="nil"/>
                    <w:tr2bl w:val="nil"/>
                  </w:tcBorders>
                  <w:shd w:val="clear" w:color="auto" w:fill="auto"/>
                  <w:tcMar>
                    <w:top w:w="0" w:type="dxa"/>
                    <w:left w:w="0" w:type="dxa"/>
                    <w:bottom w:w="0" w:type="dxa"/>
                    <w:right w:w="0" w:type="dxa"/>
                  </w:tcMar>
                  <w:vAlign w:val="center"/>
                </w:tcPr>
                <w:p w14:paraId="6FD479AA">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63.4</w:t>
                  </w:r>
                </w:p>
              </w:tc>
              <w:tc>
                <w:tcPr>
                  <w:tcW w:w="170" w:type="pct"/>
                  <w:vMerge w:val="continue"/>
                  <w:tcBorders>
                    <w:tl2br w:val="nil"/>
                    <w:tr2bl w:val="nil"/>
                  </w:tcBorders>
                  <w:shd w:val="clear" w:color="auto" w:fill="auto"/>
                  <w:tcMar>
                    <w:top w:w="0" w:type="dxa"/>
                    <w:left w:w="0" w:type="dxa"/>
                    <w:bottom w:w="0" w:type="dxa"/>
                    <w:right w:w="0" w:type="dxa"/>
                  </w:tcMar>
                  <w:vAlign w:val="center"/>
                </w:tcPr>
                <w:p w14:paraId="2301137E">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52A018F7">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473E164E">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7507CD14">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7067615F">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213" w:type="pct"/>
                  <w:vMerge w:val="continue"/>
                  <w:tcBorders>
                    <w:tl2br w:val="nil"/>
                    <w:tr2bl w:val="nil"/>
                  </w:tcBorders>
                  <w:shd w:val="clear" w:color="auto" w:fill="auto"/>
                  <w:tcMar>
                    <w:top w:w="0" w:type="dxa"/>
                    <w:left w:w="0" w:type="dxa"/>
                    <w:bottom w:w="0" w:type="dxa"/>
                    <w:right w:w="0" w:type="dxa"/>
                  </w:tcMar>
                  <w:vAlign w:val="center"/>
                </w:tcPr>
                <w:p w14:paraId="663817F5">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60457E69">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3783071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72EA6F85">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4B6442D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203" w:type="pct"/>
                  <w:vMerge w:val="continue"/>
                  <w:tcBorders>
                    <w:tl2br w:val="nil"/>
                    <w:tr2bl w:val="nil"/>
                  </w:tcBorders>
                  <w:shd w:val="clear" w:color="auto" w:fill="auto"/>
                  <w:tcMar>
                    <w:top w:w="0" w:type="dxa"/>
                    <w:left w:w="0" w:type="dxa"/>
                    <w:bottom w:w="0" w:type="dxa"/>
                    <w:right w:w="0" w:type="dxa"/>
                  </w:tcMar>
                  <w:vAlign w:val="center"/>
                </w:tcPr>
                <w:p w14:paraId="0A9F71C0">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r>
            <w:tr w14:paraId="6CF10D3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 w:type="pct"/>
                  <w:tcBorders>
                    <w:tl2br w:val="nil"/>
                    <w:tr2bl w:val="nil"/>
                  </w:tcBorders>
                  <w:shd w:val="clear" w:color="auto" w:fill="auto"/>
                  <w:tcMar>
                    <w:top w:w="0" w:type="dxa"/>
                    <w:left w:w="0" w:type="dxa"/>
                    <w:bottom w:w="0" w:type="dxa"/>
                    <w:right w:w="0" w:type="dxa"/>
                  </w:tcMar>
                  <w:vAlign w:val="center"/>
                </w:tcPr>
                <w:p w14:paraId="252AA9D1">
                  <w:pPr>
                    <w:keepNext w:val="0"/>
                    <w:keepLines w:val="0"/>
                    <w:pageBreakBefore w:val="0"/>
                    <w:widowControl w:val="0"/>
                    <w:numPr>
                      <w:ilvl w:val="0"/>
                      <w:numId w:val="2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0" w:type="pct"/>
                  <w:vMerge w:val="continue"/>
                  <w:tcBorders>
                    <w:tl2br w:val="nil"/>
                    <w:tr2bl w:val="nil"/>
                  </w:tcBorders>
                  <w:shd w:val="clear" w:color="auto" w:fill="auto"/>
                  <w:tcMar>
                    <w:top w:w="0" w:type="dxa"/>
                    <w:left w:w="0" w:type="dxa"/>
                    <w:bottom w:w="0" w:type="dxa"/>
                    <w:right w:w="0" w:type="dxa"/>
                  </w:tcMar>
                  <w:vAlign w:val="center"/>
                </w:tcPr>
                <w:p w14:paraId="7D1662C0">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294" w:type="pct"/>
                  <w:tcBorders>
                    <w:tl2br w:val="nil"/>
                    <w:tr2bl w:val="nil"/>
                  </w:tcBorders>
                  <w:shd w:val="clear" w:color="auto" w:fill="auto"/>
                  <w:tcMar>
                    <w:top w:w="0" w:type="dxa"/>
                    <w:left w:w="0" w:type="dxa"/>
                    <w:bottom w:w="0" w:type="dxa"/>
                    <w:right w:w="0" w:type="dxa"/>
                  </w:tcMar>
                  <w:vAlign w:val="center"/>
                </w:tcPr>
                <w:p w14:paraId="029E3A81">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r>
                    <w:rPr>
                      <w:rFonts w:hint="eastAsia" w:ascii="Times New Roman" w:hAnsi="Times New Roman" w:eastAsia="宋体" w:cs="Times New Roman"/>
                      <w:color w:val="000000" w:themeColor="text1"/>
                      <w:kern w:val="0"/>
                      <w:szCs w:val="21"/>
                      <w:lang w:eastAsia="zh-TW"/>
                      <w14:textFill>
                        <w14:solidFill>
                          <w14:schemeClr w14:val="tx1"/>
                        </w14:solidFill>
                      </w14:textFill>
                    </w:rPr>
                    <w:t>炒药机</w:t>
                  </w:r>
                  <w:r>
                    <w:rPr>
                      <w:rFonts w:hint="eastAsia" w:ascii="Times New Roman" w:hAnsi="Times New Roman" w:eastAsia="宋体" w:cs="Times New Roman"/>
                      <w:color w:val="000000" w:themeColor="text1"/>
                      <w:kern w:val="0"/>
                      <w:szCs w:val="21"/>
                      <w:lang w:val="en-US" w:eastAsia="zh-CN"/>
                      <w14:textFill>
                        <w14:solidFill>
                          <w14:schemeClr w14:val="tx1"/>
                        </w14:solidFill>
                      </w14:textFill>
                    </w:rPr>
                    <w:t>2#</w:t>
                  </w:r>
                </w:p>
              </w:tc>
              <w:tc>
                <w:tcPr>
                  <w:tcW w:w="249" w:type="pct"/>
                  <w:tcBorders>
                    <w:tl2br w:val="nil"/>
                    <w:tr2bl w:val="nil"/>
                  </w:tcBorders>
                  <w:shd w:val="clear" w:color="auto" w:fill="auto"/>
                  <w:tcMar>
                    <w:top w:w="0" w:type="dxa"/>
                    <w:left w:w="0" w:type="dxa"/>
                    <w:bottom w:w="0" w:type="dxa"/>
                    <w:right w:w="0" w:type="dxa"/>
                  </w:tcMar>
                  <w:vAlign w:val="center"/>
                </w:tcPr>
                <w:p w14:paraId="16A9D2E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r>
                    <w:rPr>
                      <w:rFonts w:hint="eastAsia" w:cs="Times New Roman"/>
                      <w:color w:val="000000" w:themeColor="text1"/>
                      <w:sz w:val="21"/>
                      <w:szCs w:val="21"/>
                      <w:highlight w:val="none"/>
                      <w:shd w:val="clear" w:color="auto" w:fill="auto"/>
                      <w:lang w:val="en-US" w:eastAsia="zh-CN"/>
                      <w14:textFill>
                        <w14:solidFill>
                          <w14:schemeClr w14:val="tx1"/>
                        </w14:solidFill>
                      </w14:textFill>
                    </w:rPr>
                    <w:t>/</w:t>
                  </w:r>
                </w:p>
              </w:tc>
              <w:tc>
                <w:tcPr>
                  <w:tcW w:w="254" w:type="pct"/>
                  <w:tcBorders>
                    <w:tl2br w:val="nil"/>
                    <w:tr2bl w:val="nil"/>
                  </w:tcBorders>
                  <w:shd w:val="clear" w:color="auto" w:fill="auto"/>
                  <w:tcMar>
                    <w:top w:w="0" w:type="dxa"/>
                    <w:left w:w="0" w:type="dxa"/>
                    <w:bottom w:w="0" w:type="dxa"/>
                    <w:right w:w="0" w:type="dxa"/>
                  </w:tcMar>
                  <w:vAlign w:val="center"/>
                </w:tcPr>
                <w:p w14:paraId="254FA660">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lang w:val="en-US"/>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75</w:t>
                  </w:r>
                </w:p>
              </w:tc>
              <w:tc>
                <w:tcPr>
                  <w:tcW w:w="173" w:type="pct"/>
                  <w:vMerge w:val="continue"/>
                  <w:tcBorders>
                    <w:tl2br w:val="nil"/>
                    <w:tr2bl w:val="nil"/>
                  </w:tcBorders>
                  <w:shd w:val="clear" w:color="auto" w:fill="auto"/>
                  <w:tcMar>
                    <w:top w:w="0" w:type="dxa"/>
                    <w:left w:w="0" w:type="dxa"/>
                    <w:bottom w:w="0" w:type="dxa"/>
                    <w:right w:w="0" w:type="dxa"/>
                  </w:tcMar>
                  <w:vAlign w:val="center"/>
                </w:tcPr>
                <w:p w14:paraId="1FCB0E2E">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80" w:type="pct"/>
                  <w:tcBorders>
                    <w:tl2br w:val="nil"/>
                    <w:tr2bl w:val="nil"/>
                  </w:tcBorders>
                  <w:shd w:val="clear" w:color="auto" w:fill="auto"/>
                  <w:tcMar>
                    <w:top w:w="0" w:type="dxa"/>
                    <w:left w:w="0" w:type="dxa"/>
                    <w:bottom w:w="0" w:type="dxa"/>
                    <w:right w:w="0" w:type="dxa"/>
                  </w:tcMar>
                  <w:vAlign w:val="center"/>
                </w:tcPr>
                <w:p w14:paraId="1F698B6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36.6</w:t>
                  </w:r>
                </w:p>
              </w:tc>
              <w:tc>
                <w:tcPr>
                  <w:tcW w:w="180" w:type="pct"/>
                  <w:tcBorders>
                    <w:tl2br w:val="nil"/>
                    <w:tr2bl w:val="nil"/>
                  </w:tcBorders>
                  <w:shd w:val="clear" w:color="auto" w:fill="auto"/>
                  <w:tcMar>
                    <w:top w:w="0" w:type="dxa"/>
                    <w:left w:w="0" w:type="dxa"/>
                    <w:bottom w:w="0" w:type="dxa"/>
                    <w:right w:w="0" w:type="dxa"/>
                  </w:tcMar>
                  <w:vAlign w:val="center"/>
                </w:tcPr>
                <w:p w14:paraId="7780C724">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149.1</w:t>
                  </w:r>
                </w:p>
              </w:tc>
              <w:tc>
                <w:tcPr>
                  <w:tcW w:w="194" w:type="pct"/>
                  <w:tcBorders>
                    <w:tl2br w:val="nil"/>
                    <w:tr2bl w:val="nil"/>
                  </w:tcBorders>
                  <w:shd w:val="clear" w:color="auto" w:fill="auto"/>
                  <w:tcMar>
                    <w:top w:w="0" w:type="dxa"/>
                    <w:left w:w="0" w:type="dxa"/>
                    <w:bottom w:w="0" w:type="dxa"/>
                    <w:right w:w="0" w:type="dxa"/>
                  </w:tcMar>
                  <w:vAlign w:val="center"/>
                </w:tcPr>
                <w:p w14:paraId="2E116B33">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0.7</w:t>
                  </w:r>
                </w:p>
              </w:tc>
              <w:tc>
                <w:tcPr>
                  <w:tcW w:w="173" w:type="pct"/>
                  <w:tcBorders>
                    <w:tl2br w:val="nil"/>
                    <w:tr2bl w:val="nil"/>
                  </w:tcBorders>
                  <w:shd w:val="clear" w:color="auto" w:fill="auto"/>
                  <w:tcMar>
                    <w:top w:w="0" w:type="dxa"/>
                    <w:left w:w="0" w:type="dxa"/>
                    <w:bottom w:w="0" w:type="dxa"/>
                    <w:right w:w="0" w:type="dxa"/>
                  </w:tcMar>
                  <w:vAlign w:val="center"/>
                </w:tcPr>
                <w:p w14:paraId="42996FDA">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10.5</w:t>
                  </w:r>
                </w:p>
              </w:tc>
              <w:tc>
                <w:tcPr>
                  <w:tcW w:w="173" w:type="pct"/>
                  <w:tcBorders>
                    <w:tl2br w:val="nil"/>
                    <w:tr2bl w:val="nil"/>
                  </w:tcBorders>
                  <w:shd w:val="clear" w:color="auto" w:fill="auto"/>
                  <w:tcMar>
                    <w:top w:w="0" w:type="dxa"/>
                    <w:left w:w="0" w:type="dxa"/>
                    <w:bottom w:w="0" w:type="dxa"/>
                    <w:right w:w="0" w:type="dxa"/>
                  </w:tcMar>
                  <w:vAlign w:val="center"/>
                </w:tcPr>
                <w:p w14:paraId="2480BCBE">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19.7</w:t>
                  </w:r>
                </w:p>
              </w:tc>
              <w:tc>
                <w:tcPr>
                  <w:tcW w:w="173" w:type="pct"/>
                  <w:tcBorders>
                    <w:tl2br w:val="nil"/>
                    <w:tr2bl w:val="nil"/>
                  </w:tcBorders>
                  <w:shd w:val="clear" w:color="auto" w:fill="auto"/>
                  <w:tcMar>
                    <w:top w:w="0" w:type="dxa"/>
                    <w:left w:w="0" w:type="dxa"/>
                    <w:bottom w:w="0" w:type="dxa"/>
                    <w:right w:w="0" w:type="dxa"/>
                  </w:tcMar>
                  <w:vAlign w:val="center"/>
                </w:tcPr>
                <w:p w14:paraId="7B1906B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2.4</w:t>
                  </w:r>
                </w:p>
              </w:tc>
              <w:tc>
                <w:tcPr>
                  <w:tcW w:w="179" w:type="pct"/>
                  <w:tcBorders>
                    <w:tl2br w:val="nil"/>
                    <w:tr2bl w:val="nil"/>
                  </w:tcBorders>
                  <w:shd w:val="clear" w:color="auto" w:fill="auto"/>
                  <w:tcMar>
                    <w:top w:w="0" w:type="dxa"/>
                    <w:left w:w="0" w:type="dxa"/>
                    <w:bottom w:w="0" w:type="dxa"/>
                    <w:right w:w="0" w:type="dxa"/>
                  </w:tcMar>
                  <w:vAlign w:val="center"/>
                </w:tcPr>
                <w:p w14:paraId="04B44ED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31.2</w:t>
                  </w:r>
                </w:p>
              </w:tc>
              <w:tc>
                <w:tcPr>
                  <w:tcW w:w="173" w:type="pct"/>
                  <w:tcBorders>
                    <w:tl2br w:val="nil"/>
                    <w:tr2bl w:val="nil"/>
                  </w:tcBorders>
                  <w:shd w:val="clear" w:color="auto" w:fill="auto"/>
                  <w:tcMar>
                    <w:top w:w="0" w:type="dxa"/>
                    <w:left w:w="0" w:type="dxa"/>
                    <w:bottom w:w="0" w:type="dxa"/>
                    <w:right w:w="0" w:type="dxa"/>
                  </w:tcMar>
                  <w:vAlign w:val="center"/>
                </w:tcPr>
                <w:p w14:paraId="6C1CCD2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63.5</w:t>
                  </w:r>
                </w:p>
              </w:tc>
              <w:tc>
                <w:tcPr>
                  <w:tcW w:w="173" w:type="pct"/>
                  <w:tcBorders>
                    <w:tl2br w:val="nil"/>
                    <w:tr2bl w:val="nil"/>
                  </w:tcBorders>
                  <w:shd w:val="clear" w:color="auto" w:fill="auto"/>
                  <w:tcMar>
                    <w:top w:w="0" w:type="dxa"/>
                    <w:left w:w="0" w:type="dxa"/>
                    <w:bottom w:w="0" w:type="dxa"/>
                    <w:right w:w="0" w:type="dxa"/>
                  </w:tcMar>
                  <w:vAlign w:val="center"/>
                </w:tcPr>
                <w:p w14:paraId="2657358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63.4</w:t>
                  </w:r>
                </w:p>
              </w:tc>
              <w:tc>
                <w:tcPr>
                  <w:tcW w:w="173" w:type="pct"/>
                  <w:tcBorders>
                    <w:tl2br w:val="nil"/>
                    <w:tr2bl w:val="nil"/>
                  </w:tcBorders>
                  <w:shd w:val="clear" w:color="auto" w:fill="auto"/>
                  <w:tcMar>
                    <w:top w:w="0" w:type="dxa"/>
                    <w:left w:w="0" w:type="dxa"/>
                    <w:bottom w:w="0" w:type="dxa"/>
                    <w:right w:w="0" w:type="dxa"/>
                  </w:tcMar>
                  <w:vAlign w:val="center"/>
                </w:tcPr>
                <w:p w14:paraId="548A0D8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64.2</w:t>
                  </w:r>
                </w:p>
              </w:tc>
              <w:tc>
                <w:tcPr>
                  <w:tcW w:w="181" w:type="pct"/>
                  <w:tcBorders>
                    <w:tl2br w:val="nil"/>
                    <w:tr2bl w:val="nil"/>
                  </w:tcBorders>
                  <w:shd w:val="clear" w:color="auto" w:fill="auto"/>
                  <w:tcMar>
                    <w:top w:w="0" w:type="dxa"/>
                    <w:left w:w="0" w:type="dxa"/>
                    <w:bottom w:w="0" w:type="dxa"/>
                    <w:right w:w="0" w:type="dxa"/>
                  </w:tcMar>
                  <w:vAlign w:val="center"/>
                </w:tcPr>
                <w:p w14:paraId="2F110AA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63.4</w:t>
                  </w:r>
                </w:p>
              </w:tc>
              <w:tc>
                <w:tcPr>
                  <w:tcW w:w="170" w:type="pct"/>
                  <w:vMerge w:val="continue"/>
                  <w:tcBorders>
                    <w:tl2br w:val="nil"/>
                    <w:tr2bl w:val="nil"/>
                  </w:tcBorders>
                  <w:shd w:val="clear" w:color="auto" w:fill="auto"/>
                  <w:tcMar>
                    <w:top w:w="0" w:type="dxa"/>
                    <w:left w:w="0" w:type="dxa"/>
                    <w:bottom w:w="0" w:type="dxa"/>
                    <w:right w:w="0" w:type="dxa"/>
                  </w:tcMar>
                  <w:vAlign w:val="center"/>
                </w:tcPr>
                <w:p w14:paraId="52E48CA5">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408238B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7DC7A4C6">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1045E5D5">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24FD3B8B">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213" w:type="pct"/>
                  <w:vMerge w:val="continue"/>
                  <w:tcBorders>
                    <w:tl2br w:val="nil"/>
                    <w:tr2bl w:val="nil"/>
                  </w:tcBorders>
                  <w:shd w:val="clear" w:color="auto" w:fill="auto"/>
                  <w:tcMar>
                    <w:top w:w="0" w:type="dxa"/>
                    <w:left w:w="0" w:type="dxa"/>
                    <w:bottom w:w="0" w:type="dxa"/>
                    <w:right w:w="0" w:type="dxa"/>
                  </w:tcMar>
                  <w:vAlign w:val="center"/>
                </w:tcPr>
                <w:p w14:paraId="35B79C44">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1C7398BA">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038FC122">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3E6451C4">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285C382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203" w:type="pct"/>
                  <w:vMerge w:val="continue"/>
                  <w:tcBorders>
                    <w:tl2br w:val="nil"/>
                    <w:tr2bl w:val="nil"/>
                  </w:tcBorders>
                  <w:shd w:val="clear" w:color="auto" w:fill="auto"/>
                  <w:tcMar>
                    <w:top w:w="0" w:type="dxa"/>
                    <w:left w:w="0" w:type="dxa"/>
                    <w:bottom w:w="0" w:type="dxa"/>
                    <w:right w:w="0" w:type="dxa"/>
                  </w:tcMar>
                  <w:vAlign w:val="center"/>
                </w:tcPr>
                <w:p w14:paraId="4D66242F">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r>
            <w:tr w14:paraId="3E02EA4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 w:type="pct"/>
                  <w:tcBorders>
                    <w:tl2br w:val="nil"/>
                    <w:tr2bl w:val="nil"/>
                  </w:tcBorders>
                  <w:shd w:val="clear" w:color="auto" w:fill="auto"/>
                  <w:tcMar>
                    <w:top w:w="0" w:type="dxa"/>
                    <w:left w:w="0" w:type="dxa"/>
                    <w:bottom w:w="0" w:type="dxa"/>
                    <w:right w:w="0" w:type="dxa"/>
                  </w:tcMar>
                  <w:vAlign w:val="center"/>
                </w:tcPr>
                <w:p w14:paraId="7BCF1CD4">
                  <w:pPr>
                    <w:keepNext w:val="0"/>
                    <w:keepLines w:val="0"/>
                    <w:pageBreakBefore w:val="0"/>
                    <w:widowControl w:val="0"/>
                    <w:numPr>
                      <w:ilvl w:val="0"/>
                      <w:numId w:val="2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0" w:type="pct"/>
                  <w:vMerge w:val="continue"/>
                  <w:tcBorders>
                    <w:tl2br w:val="nil"/>
                    <w:tr2bl w:val="nil"/>
                  </w:tcBorders>
                  <w:shd w:val="clear" w:color="auto" w:fill="auto"/>
                  <w:tcMar>
                    <w:top w:w="0" w:type="dxa"/>
                    <w:left w:w="0" w:type="dxa"/>
                    <w:bottom w:w="0" w:type="dxa"/>
                    <w:right w:w="0" w:type="dxa"/>
                  </w:tcMar>
                  <w:vAlign w:val="center"/>
                </w:tcPr>
                <w:p w14:paraId="346D8F8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294" w:type="pct"/>
                  <w:tcBorders>
                    <w:tl2br w:val="nil"/>
                    <w:tr2bl w:val="nil"/>
                  </w:tcBorders>
                  <w:shd w:val="clear" w:color="auto" w:fill="auto"/>
                  <w:tcMar>
                    <w:top w:w="0" w:type="dxa"/>
                    <w:left w:w="0" w:type="dxa"/>
                    <w:bottom w:w="0" w:type="dxa"/>
                    <w:right w:w="0" w:type="dxa"/>
                  </w:tcMar>
                  <w:vAlign w:val="center"/>
                </w:tcPr>
                <w:p w14:paraId="42197C36">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r>
                    <w:rPr>
                      <w:rFonts w:hint="eastAsia" w:ascii="Times New Roman" w:hAnsi="Times New Roman" w:eastAsia="宋体" w:cs="Times New Roman"/>
                      <w:color w:val="000000" w:themeColor="text1"/>
                      <w:kern w:val="0"/>
                      <w:szCs w:val="21"/>
                      <w:lang w:val="en-US" w:eastAsia="zh-CN"/>
                      <w14:textFill>
                        <w14:solidFill>
                          <w14:schemeClr w14:val="tx1"/>
                        </w14:solidFill>
                      </w14:textFill>
                    </w:rPr>
                    <w:t>洗药机</w:t>
                  </w:r>
                </w:p>
              </w:tc>
              <w:tc>
                <w:tcPr>
                  <w:tcW w:w="249" w:type="pct"/>
                  <w:tcBorders>
                    <w:tl2br w:val="nil"/>
                    <w:tr2bl w:val="nil"/>
                  </w:tcBorders>
                  <w:shd w:val="clear" w:color="auto" w:fill="auto"/>
                  <w:tcMar>
                    <w:top w:w="0" w:type="dxa"/>
                    <w:left w:w="0" w:type="dxa"/>
                    <w:bottom w:w="0" w:type="dxa"/>
                    <w:right w:w="0" w:type="dxa"/>
                  </w:tcMar>
                  <w:vAlign w:val="center"/>
                </w:tcPr>
                <w:p w14:paraId="3EC288E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r>
                    <w:rPr>
                      <w:rFonts w:hint="eastAsia" w:cs="Times New Roman"/>
                      <w:color w:val="000000" w:themeColor="text1"/>
                      <w:sz w:val="21"/>
                      <w:szCs w:val="21"/>
                      <w:highlight w:val="none"/>
                      <w:shd w:val="clear" w:color="auto" w:fill="auto"/>
                      <w:lang w:val="en-US" w:eastAsia="zh-CN"/>
                      <w14:textFill>
                        <w14:solidFill>
                          <w14:schemeClr w14:val="tx1"/>
                        </w14:solidFill>
                      </w14:textFill>
                    </w:rPr>
                    <w:t>/</w:t>
                  </w:r>
                </w:p>
              </w:tc>
              <w:tc>
                <w:tcPr>
                  <w:tcW w:w="254" w:type="pct"/>
                  <w:tcBorders>
                    <w:tl2br w:val="nil"/>
                    <w:tr2bl w:val="nil"/>
                  </w:tcBorders>
                  <w:shd w:val="clear" w:color="auto" w:fill="auto"/>
                  <w:tcMar>
                    <w:top w:w="0" w:type="dxa"/>
                    <w:left w:w="0" w:type="dxa"/>
                    <w:bottom w:w="0" w:type="dxa"/>
                    <w:right w:w="0" w:type="dxa"/>
                  </w:tcMar>
                  <w:vAlign w:val="center"/>
                </w:tcPr>
                <w:p w14:paraId="28FD6582">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lang w:val="en-US"/>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75</w:t>
                  </w:r>
                </w:p>
              </w:tc>
              <w:tc>
                <w:tcPr>
                  <w:tcW w:w="173" w:type="pct"/>
                  <w:vMerge w:val="continue"/>
                  <w:tcBorders>
                    <w:tl2br w:val="nil"/>
                    <w:tr2bl w:val="nil"/>
                  </w:tcBorders>
                  <w:shd w:val="clear" w:color="auto" w:fill="auto"/>
                  <w:tcMar>
                    <w:top w:w="0" w:type="dxa"/>
                    <w:left w:w="0" w:type="dxa"/>
                    <w:bottom w:w="0" w:type="dxa"/>
                    <w:right w:w="0" w:type="dxa"/>
                  </w:tcMar>
                  <w:vAlign w:val="center"/>
                </w:tcPr>
                <w:p w14:paraId="35C4A3C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80" w:type="pct"/>
                  <w:tcBorders>
                    <w:tl2br w:val="nil"/>
                    <w:tr2bl w:val="nil"/>
                  </w:tcBorders>
                  <w:shd w:val="clear" w:color="auto" w:fill="auto"/>
                  <w:tcMar>
                    <w:top w:w="0" w:type="dxa"/>
                    <w:left w:w="0" w:type="dxa"/>
                    <w:bottom w:w="0" w:type="dxa"/>
                    <w:right w:w="0" w:type="dxa"/>
                  </w:tcMar>
                  <w:vAlign w:val="center"/>
                </w:tcPr>
                <w:p w14:paraId="2B5EA31A">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21.2</w:t>
                  </w:r>
                </w:p>
              </w:tc>
              <w:tc>
                <w:tcPr>
                  <w:tcW w:w="180" w:type="pct"/>
                  <w:tcBorders>
                    <w:tl2br w:val="nil"/>
                    <w:tr2bl w:val="nil"/>
                  </w:tcBorders>
                  <w:shd w:val="clear" w:color="auto" w:fill="auto"/>
                  <w:tcMar>
                    <w:top w:w="0" w:type="dxa"/>
                    <w:left w:w="0" w:type="dxa"/>
                    <w:bottom w:w="0" w:type="dxa"/>
                    <w:right w:w="0" w:type="dxa"/>
                  </w:tcMar>
                  <w:vAlign w:val="center"/>
                </w:tcPr>
                <w:p w14:paraId="74DD55F3">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130.9</w:t>
                  </w:r>
                </w:p>
              </w:tc>
              <w:tc>
                <w:tcPr>
                  <w:tcW w:w="194" w:type="pct"/>
                  <w:tcBorders>
                    <w:tl2br w:val="nil"/>
                    <w:tr2bl w:val="nil"/>
                  </w:tcBorders>
                  <w:shd w:val="clear" w:color="auto" w:fill="auto"/>
                  <w:tcMar>
                    <w:top w:w="0" w:type="dxa"/>
                    <w:left w:w="0" w:type="dxa"/>
                    <w:bottom w:w="0" w:type="dxa"/>
                    <w:right w:w="0" w:type="dxa"/>
                  </w:tcMar>
                  <w:vAlign w:val="center"/>
                </w:tcPr>
                <w:p w14:paraId="238375AF">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0.6</w:t>
                  </w:r>
                </w:p>
              </w:tc>
              <w:tc>
                <w:tcPr>
                  <w:tcW w:w="173" w:type="pct"/>
                  <w:tcBorders>
                    <w:tl2br w:val="nil"/>
                    <w:tr2bl w:val="nil"/>
                  </w:tcBorders>
                  <w:shd w:val="clear" w:color="auto" w:fill="auto"/>
                  <w:tcMar>
                    <w:top w:w="0" w:type="dxa"/>
                    <w:left w:w="0" w:type="dxa"/>
                    <w:bottom w:w="0" w:type="dxa"/>
                    <w:right w:w="0" w:type="dxa"/>
                  </w:tcMar>
                  <w:vAlign w:val="center"/>
                </w:tcPr>
                <w:p w14:paraId="71FEA3A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32.0</w:t>
                  </w:r>
                </w:p>
              </w:tc>
              <w:tc>
                <w:tcPr>
                  <w:tcW w:w="173" w:type="pct"/>
                  <w:tcBorders>
                    <w:tl2br w:val="nil"/>
                    <w:tr2bl w:val="nil"/>
                  </w:tcBorders>
                  <w:shd w:val="clear" w:color="auto" w:fill="auto"/>
                  <w:tcMar>
                    <w:top w:w="0" w:type="dxa"/>
                    <w:left w:w="0" w:type="dxa"/>
                    <w:bottom w:w="0" w:type="dxa"/>
                    <w:right w:w="0" w:type="dxa"/>
                  </w:tcMar>
                  <w:vAlign w:val="center"/>
                </w:tcPr>
                <w:p w14:paraId="5D4AC975">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3.4</w:t>
                  </w:r>
                </w:p>
              </w:tc>
              <w:tc>
                <w:tcPr>
                  <w:tcW w:w="173" w:type="pct"/>
                  <w:tcBorders>
                    <w:tl2br w:val="nil"/>
                    <w:tr2bl w:val="nil"/>
                  </w:tcBorders>
                  <w:shd w:val="clear" w:color="auto" w:fill="auto"/>
                  <w:tcMar>
                    <w:top w:w="0" w:type="dxa"/>
                    <w:left w:w="0" w:type="dxa"/>
                    <w:bottom w:w="0" w:type="dxa"/>
                    <w:right w:w="0" w:type="dxa"/>
                  </w:tcMar>
                  <w:vAlign w:val="center"/>
                </w:tcPr>
                <w:p w14:paraId="67D4705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18.6</w:t>
                  </w:r>
                </w:p>
              </w:tc>
              <w:tc>
                <w:tcPr>
                  <w:tcW w:w="179" w:type="pct"/>
                  <w:tcBorders>
                    <w:tl2br w:val="nil"/>
                    <w:tr2bl w:val="nil"/>
                  </w:tcBorders>
                  <w:shd w:val="clear" w:color="auto" w:fill="auto"/>
                  <w:tcMar>
                    <w:top w:w="0" w:type="dxa"/>
                    <w:left w:w="0" w:type="dxa"/>
                    <w:bottom w:w="0" w:type="dxa"/>
                    <w:right w:w="0" w:type="dxa"/>
                  </w:tcMar>
                  <w:vAlign w:val="center"/>
                </w:tcPr>
                <w:p w14:paraId="4AF2C1D5">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47.5</w:t>
                  </w:r>
                </w:p>
              </w:tc>
              <w:tc>
                <w:tcPr>
                  <w:tcW w:w="173" w:type="pct"/>
                  <w:tcBorders>
                    <w:tl2br w:val="nil"/>
                    <w:tr2bl w:val="nil"/>
                  </w:tcBorders>
                  <w:shd w:val="clear" w:color="auto" w:fill="auto"/>
                  <w:tcMar>
                    <w:top w:w="0" w:type="dxa"/>
                    <w:left w:w="0" w:type="dxa"/>
                    <w:bottom w:w="0" w:type="dxa"/>
                    <w:right w:w="0" w:type="dxa"/>
                  </w:tcMar>
                  <w:vAlign w:val="center"/>
                </w:tcPr>
                <w:p w14:paraId="513D09F7">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63.4</w:t>
                  </w:r>
                </w:p>
              </w:tc>
              <w:tc>
                <w:tcPr>
                  <w:tcW w:w="173" w:type="pct"/>
                  <w:tcBorders>
                    <w:tl2br w:val="nil"/>
                    <w:tr2bl w:val="nil"/>
                  </w:tcBorders>
                  <w:shd w:val="clear" w:color="auto" w:fill="auto"/>
                  <w:tcMar>
                    <w:top w:w="0" w:type="dxa"/>
                    <w:left w:w="0" w:type="dxa"/>
                    <w:bottom w:w="0" w:type="dxa"/>
                    <w:right w:w="0" w:type="dxa"/>
                  </w:tcMar>
                  <w:vAlign w:val="center"/>
                </w:tcPr>
                <w:p w14:paraId="6B0183B5">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63.8</w:t>
                  </w:r>
                </w:p>
              </w:tc>
              <w:tc>
                <w:tcPr>
                  <w:tcW w:w="173" w:type="pct"/>
                  <w:tcBorders>
                    <w:tl2br w:val="nil"/>
                    <w:tr2bl w:val="nil"/>
                  </w:tcBorders>
                  <w:shd w:val="clear" w:color="auto" w:fill="auto"/>
                  <w:tcMar>
                    <w:top w:w="0" w:type="dxa"/>
                    <w:left w:w="0" w:type="dxa"/>
                    <w:bottom w:w="0" w:type="dxa"/>
                    <w:right w:w="0" w:type="dxa"/>
                  </w:tcMar>
                  <w:vAlign w:val="center"/>
                </w:tcPr>
                <w:p w14:paraId="63C3D08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63.4</w:t>
                  </w:r>
                </w:p>
              </w:tc>
              <w:tc>
                <w:tcPr>
                  <w:tcW w:w="181" w:type="pct"/>
                  <w:tcBorders>
                    <w:tl2br w:val="nil"/>
                    <w:tr2bl w:val="nil"/>
                  </w:tcBorders>
                  <w:shd w:val="clear" w:color="auto" w:fill="auto"/>
                  <w:tcMar>
                    <w:top w:w="0" w:type="dxa"/>
                    <w:left w:w="0" w:type="dxa"/>
                    <w:bottom w:w="0" w:type="dxa"/>
                    <w:right w:w="0" w:type="dxa"/>
                  </w:tcMar>
                  <w:vAlign w:val="center"/>
                </w:tcPr>
                <w:p w14:paraId="7EBD92BD">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63.4</w:t>
                  </w:r>
                </w:p>
              </w:tc>
              <w:tc>
                <w:tcPr>
                  <w:tcW w:w="170" w:type="pct"/>
                  <w:vMerge w:val="continue"/>
                  <w:tcBorders>
                    <w:tl2br w:val="nil"/>
                    <w:tr2bl w:val="nil"/>
                  </w:tcBorders>
                  <w:shd w:val="clear" w:color="auto" w:fill="auto"/>
                  <w:tcMar>
                    <w:top w:w="0" w:type="dxa"/>
                    <w:left w:w="0" w:type="dxa"/>
                    <w:bottom w:w="0" w:type="dxa"/>
                    <w:right w:w="0" w:type="dxa"/>
                  </w:tcMar>
                  <w:vAlign w:val="center"/>
                </w:tcPr>
                <w:p w14:paraId="09C7D4FB">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6B95CD5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0654418E">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65F2CA7F">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5BD71C6E">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213" w:type="pct"/>
                  <w:vMerge w:val="continue"/>
                  <w:tcBorders>
                    <w:tl2br w:val="nil"/>
                    <w:tr2bl w:val="nil"/>
                  </w:tcBorders>
                  <w:shd w:val="clear" w:color="auto" w:fill="auto"/>
                  <w:tcMar>
                    <w:top w:w="0" w:type="dxa"/>
                    <w:left w:w="0" w:type="dxa"/>
                    <w:bottom w:w="0" w:type="dxa"/>
                    <w:right w:w="0" w:type="dxa"/>
                  </w:tcMar>
                  <w:vAlign w:val="center"/>
                </w:tcPr>
                <w:p w14:paraId="72A1C1B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05F4B79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0562DF3F">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4B1E7A62">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1AA4660E">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203" w:type="pct"/>
                  <w:vMerge w:val="continue"/>
                  <w:tcBorders>
                    <w:tl2br w:val="nil"/>
                    <w:tr2bl w:val="nil"/>
                  </w:tcBorders>
                  <w:shd w:val="clear" w:color="auto" w:fill="auto"/>
                  <w:tcMar>
                    <w:top w:w="0" w:type="dxa"/>
                    <w:left w:w="0" w:type="dxa"/>
                    <w:bottom w:w="0" w:type="dxa"/>
                    <w:right w:w="0" w:type="dxa"/>
                  </w:tcMar>
                  <w:vAlign w:val="center"/>
                </w:tcPr>
                <w:p w14:paraId="1C1167CA">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r>
            <w:tr w14:paraId="47F0B33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 w:type="pct"/>
                  <w:tcBorders>
                    <w:tl2br w:val="nil"/>
                    <w:tr2bl w:val="nil"/>
                  </w:tcBorders>
                  <w:shd w:val="clear" w:color="auto" w:fill="auto"/>
                  <w:tcMar>
                    <w:top w:w="0" w:type="dxa"/>
                    <w:left w:w="0" w:type="dxa"/>
                    <w:bottom w:w="0" w:type="dxa"/>
                    <w:right w:w="0" w:type="dxa"/>
                  </w:tcMar>
                  <w:vAlign w:val="center"/>
                </w:tcPr>
                <w:p w14:paraId="0DD46F92">
                  <w:pPr>
                    <w:keepNext w:val="0"/>
                    <w:keepLines w:val="0"/>
                    <w:pageBreakBefore w:val="0"/>
                    <w:widowControl w:val="0"/>
                    <w:numPr>
                      <w:ilvl w:val="0"/>
                      <w:numId w:val="2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0" w:type="pct"/>
                  <w:vMerge w:val="continue"/>
                  <w:tcBorders>
                    <w:tl2br w:val="nil"/>
                    <w:tr2bl w:val="nil"/>
                  </w:tcBorders>
                  <w:shd w:val="clear" w:color="auto" w:fill="auto"/>
                  <w:tcMar>
                    <w:top w:w="0" w:type="dxa"/>
                    <w:left w:w="0" w:type="dxa"/>
                    <w:bottom w:w="0" w:type="dxa"/>
                    <w:right w:w="0" w:type="dxa"/>
                  </w:tcMar>
                  <w:vAlign w:val="center"/>
                </w:tcPr>
                <w:p w14:paraId="487C0C14">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294" w:type="pct"/>
                  <w:tcBorders>
                    <w:tl2br w:val="nil"/>
                    <w:tr2bl w:val="nil"/>
                  </w:tcBorders>
                  <w:shd w:val="clear" w:color="auto" w:fill="auto"/>
                  <w:tcMar>
                    <w:top w:w="0" w:type="dxa"/>
                    <w:left w:w="0" w:type="dxa"/>
                    <w:bottom w:w="0" w:type="dxa"/>
                    <w:right w:w="0" w:type="dxa"/>
                  </w:tcMar>
                  <w:vAlign w:val="center"/>
                </w:tcPr>
                <w:p w14:paraId="08A77129">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r>
                    <w:rPr>
                      <w:rFonts w:hint="default" w:ascii="Times New Roman" w:hAnsi="Times New Roman" w:eastAsia="Arial" w:cs="Times New Roman"/>
                      <w:color w:val="000000" w:themeColor="text1"/>
                      <w:sz w:val="21"/>
                      <w:szCs w:val="21"/>
                      <w:highlight w:val="none"/>
                      <w14:textFill>
                        <w14:solidFill>
                          <w14:schemeClr w14:val="tx1"/>
                        </w14:solidFill>
                      </w14:textFill>
                    </w:rPr>
                    <w:t>风机</w:t>
                  </w:r>
                </w:p>
              </w:tc>
              <w:tc>
                <w:tcPr>
                  <w:tcW w:w="249" w:type="pct"/>
                  <w:tcBorders>
                    <w:tl2br w:val="nil"/>
                    <w:tr2bl w:val="nil"/>
                  </w:tcBorders>
                  <w:shd w:val="clear" w:color="auto" w:fill="auto"/>
                  <w:tcMar>
                    <w:top w:w="0" w:type="dxa"/>
                    <w:left w:w="0" w:type="dxa"/>
                    <w:bottom w:w="0" w:type="dxa"/>
                    <w:right w:w="0" w:type="dxa"/>
                  </w:tcMar>
                  <w:vAlign w:val="center"/>
                </w:tcPr>
                <w:p w14:paraId="49578AF8">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/h</w:t>
                  </w:r>
                </w:p>
              </w:tc>
              <w:tc>
                <w:tcPr>
                  <w:tcW w:w="254" w:type="pct"/>
                  <w:tcBorders>
                    <w:tl2br w:val="nil"/>
                    <w:tr2bl w:val="nil"/>
                  </w:tcBorders>
                  <w:shd w:val="clear" w:color="auto" w:fill="auto"/>
                  <w:tcMar>
                    <w:top w:w="0" w:type="dxa"/>
                    <w:left w:w="0" w:type="dxa"/>
                    <w:bottom w:w="0" w:type="dxa"/>
                    <w:right w:w="0" w:type="dxa"/>
                  </w:tcMar>
                  <w:vAlign w:val="center"/>
                </w:tcPr>
                <w:p w14:paraId="534A9E9F">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lang w:val="en-US"/>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85</w:t>
                  </w:r>
                </w:p>
              </w:tc>
              <w:tc>
                <w:tcPr>
                  <w:tcW w:w="173" w:type="pct"/>
                  <w:vMerge w:val="continue"/>
                  <w:tcBorders>
                    <w:tl2br w:val="nil"/>
                    <w:tr2bl w:val="nil"/>
                  </w:tcBorders>
                  <w:shd w:val="clear" w:color="auto" w:fill="auto"/>
                  <w:tcMar>
                    <w:top w:w="0" w:type="dxa"/>
                    <w:left w:w="0" w:type="dxa"/>
                    <w:bottom w:w="0" w:type="dxa"/>
                    <w:right w:w="0" w:type="dxa"/>
                  </w:tcMar>
                  <w:vAlign w:val="center"/>
                </w:tcPr>
                <w:p w14:paraId="36439BD7">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80" w:type="pct"/>
                  <w:tcBorders>
                    <w:tl2br w:val="nil"/>
                    <w:tr2bl w:val="nil"/>
                  </w:tcBorders>
                  <w:shd w:val="clear" w:color="auto" w:fill="auto"/>
                  <w:tcMar>
                    <w:top w:w="0" w:type="dxa"/>
                    <w:left w:w="0" w:type="dxa"/>
                    <w:bottom w:w="0" w:type="dxa"/>
                    <w:right w:w="0" w:type="dxa"/>
                  </w:tcMar>
                  <w:vAlign w:val="center"/>
                </w:tcPr>
                <w:p w14:paraId="35C50592">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35.5</w:t>
                  </w:r>
                </w:p>
              </w:tc>
              <w:tc>
                <w:tcPr>
                  <w:tcW w:w="180" w:type="pct"/>
                  <w:tcBorders>
                    <w:tl2br w:val="nil"/>
                    <w:tr2bl w:val="nil"/>
                  </w:tcBorders>
                  <w:shd w:val="clear" w:color="auto" w:fill="auto"/>
                  <w:tcMar>
                    <w:top w:w="0" w:type="dxa"/>
                    <w:left w:w="0" w:type="dxa"/>
                    <w:bottom w:w="0" w:type="dxa"/>
                    <w:right w:w="0" w:type="dxa"/>
                  </w:tcMar>
                  <w:vAlign w:val="center"/>
                </w:tcPr>
                <w:p w14:paraId="4C07A54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131.3</w:t>
                  </w:r>
                </w:p>
              </w:tc>
              <w:tc>
                <w:tcPr>
                  <w:tcW w:w="194" w:type="pct"/>
                  <w:tcBorders>
                    <w:tl2br w:val="nil"/>
                    <w:tr2bl w:val="nil"/>
                  </w:tcBorders>
                  <w:shd w:val="clear" w:color="auto" w:fill="auto"/>
                  <w:tcMar>
                    <w:top w:w="0" w:type="dxa"/>
                    <w:left w:w="0" w:type="dxa"/>
                    <w:bottom w:w="0" w:type="dxa"/>
                    <w:right w:w="0" w:type="dxa"/>
                  </w:tcMar>
                  <w:vAlign w:val="center"/>
                </w:tcPr>
                <w:p w14:paraId="276143FD">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0.6</w:t>
                  </w:r>
                </w:p>
              </w:tc>
              <w:tc>
                <w:tcPr>
                  <w:tcW w:w="173" w:type="pct"/>
                  <w:tcBorders>
                    <w:tl2br w:val="nil"/>
                    <w:tr2bl w:val="nil"/>
                  </w:tcBorders>
                  <w:shd w:val="clear" w:color="auto" w:fill="auto"/>
                  <w:tcMar>
                    <w:top w:w="0" w:type="dxa"/>
                    <w:left w:w="0" w:type="dxa"/>
                    <w:bottom w:w="0" w:type="dxa"/>
                    <w:right w:w="0" w:type="dxa"/>
                  </w:tcMar>
                  <w:vAlign w:val="center"/>
                </w:tcPr>
                <w:p w14:paraId="3F5286B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18.5</w:t>
                  </w:r>
                </w:p>
              </w:tc>
              <w:tc>
                <w:tcPr>
                  <w:tcW w:w="173" w:type="pct"/>
                  <w:tcBorders>
                    <w:tl2br w:val="nil"/>
                    <w:tr2bl w:val="nil"/>
                  </w:tcBorders>
                  <w:shd w:val="clear" w:color="auto" w:fill="auto"/>
                  <w:tcMar>
                    <w:top w:w="0" w:type="dxa"/>
                    <w:left w:w="0" w:type="dxa"/>
                    <w:bottom w:w="0" w:type="dxa"/>
                    <w:right w:w="0" w:type="dxa"/>
                  </w:tcMar>
                  <w:vAlign w:val="center"/>
                </w:tcPr>
                <w:p w14:paraId="7F4A3395">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2.2</w:t>
                  </w:r>
                </w:p>
              </w:tc>
              <w:tc>
                <w:tcPr>
                  <w:tcW w:w="173" w:type="pct"/>
                  <w:tcBorders>
                    <w:tl2br w:val="nil"/>
                    <w:tr2bl w:val="nil"/>
                  </w:tcBorders>
                  <w:shd w:val="clear" w:color="auto" w:fill="auto"/>
                  <w:tcMar>
                    <w:top w:w="0" w:type="dxa"/>
                    <w:left w:w="0" w:type="dxa"/>
                    <w:bottom w:w="0" w:type="dxa"/>
                    <w:right w:w="0" w:type="dxa"/>
                  </w:tcMar>
                  <w:vAlign w:val="center"/>
                </w:tcPr>
                <w:p w14:paraId="17325BA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19.9</w:t>
                  </w:r>
                </w:p>
              </w:tc>
              <w:tc>
                <w:tcPr>
                  <w:tcW w:w="179" w:type="pct"/>
                  <w:tcBorders>
                    <w:tl2br w:val="nil"/>
                    <w:tr2bl w:val="nil"/>
                  </w:tcBorders>
                  <w:shd w:val="clear" w:color="auto" w:fill="auto"/>
                  <w:tcMar>
                    <w:top w:w="0" w:type="dxa"/>
                    <w:left w:w="0" w:type="dxa"/>
                    <w:bottom w:w="0" w:type="dxa"/>
                    <w:right w:w="0" w:type="dxa"/>
                  </w:tcMar>
                  <w:vAlign w:val="center"/>
                </w:tcPr>
                <w:p w14:paraId="68277A9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33.2</w:t>
                  </w:r>
                </w:p>
              </w:tc>
              <w:tc>
                <w:tcPr>
                  <w:tcW w:w="173" w:type="pct"/>
                  <w:tcBorders>
                    <w:tl2br w:val="nil"/>
                    <w:tr2bl w:val="nil"/>
                  </w:tcBorders>
                  <w:shd w:val="clear" w:color="auto" w:fill="auto"/>
                  <w:tcMar>
                    <w:top w:w="0" w:type="dxa"/>
                    <w:left w:w="0" w:type="dxa"/>
                    <w:bottom w:w="0" w:type="dxa"/>
                    <w:right w:w="0" w:type="dxa"/>
                  </w:tcMar>
                  <w:vAlign w:val="center"/>
                </w:tcPr>
                <w:p w14:paraId="4FD8166D">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73.4</w:t>
                  </w:r>
                </w:p>
              </w:tc>
              <w:tc>
                <w:tcPr>
                  <w:tcW w:w="173" w:type="pct"/>
                  <w:tcBorders>
                    <w:tl2br w:val="nil"/>
                    <w:tr2bl w:val="nil"/>
                  </w:tcBorders>
                  <w:shd w:val="clear" w:color="auto" w:fill="auto"/>
                  <w:tcMar>
                    <w:top w:w="0" w:type="dxa"/>
                    <w:left w:w="0" w:type="dxa"/>
                    <w:bottom w:w="0" w:type="dxa"/>
                    <w:right w:w="0" w:type="dxa"/>
                  </w:tcMar>
                  <w:vAlign w:val="center"/>
                </w:tcPr>
                <w:p w14:paraId="647CC372">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74.3</w:t>
                  </w:r>
                </w:p>
              </w:tc>
              <w:tc>
                <w:tcPr>
                  <w:tcW w:w="173" w:type="pct"/>
                  <w:tcBorders>
                    <w:tl2br w:val="nil"/>
                    <w:tr2bl w:val="nil"/>
                  </w:tcBorders>
                  <w:shd w:val="clear" w:color="auto" w:fill="auto"/>
                  <w:tcMar>
                    <w:top w:w="0" w:type="dxa"/>
                    <w:left w:w="0" w:type="dxa"/>
                    <w:bottom w:w="0" w:type="dxa"/>
                    <w:right w:w="0" w:type="dxa"/>
                  </w:tcMar>
                  <w:vAlign w:val="center"/>
                </w:tcPr>
                <w:p w14:paraId="5D8AD527">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73.4</w:t>
                  </w:r>
                </w:p>
              </w:tc>
              <w:tc>
                <w:tcPr>
                  <w:tcW w:w="181" w:type="pct"/>
                  <w:tcBorders>
                    <w:tl2br w:val="nil"/>
                    <w:tr2bl w:val="nil"/>
                  </w:tcBorders>
                  <w:shd w:val="clear" w:color="auto" w:fill="auto"/>
                  <w:tcMar>
                    <w:top w:w="0" w:type="dxa"/>
                    <w:left w:w="0" w:type="dxa"/>
                    <w:bottom w:w="0" w:type="dxa"/>
                    <w:right w:w="0" w:type="dxa"/>
                  </w:tcMar>
                  <w:vAlign w:val="center"/>
                </w:tcPr>
                <w:p w14:paraId="40A5F3C4">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73.4</w:t>
                  </w:r>
                </w:p>
              </w:tc>
              <w:tc>
                <w:tcPr>
                  <w:tcW w:w="170" w:type="pct"/>
                  <w:vMerge w:val="continue"/>
                  <w:tcBorders>
                    <w:tl2br w:val="nil"/>
                    <w:tr2bl w:val="nil"/>
                  </w:tcBorders>
                  <w:shd w:val="clear" w:color="auto" w:fill="auto"/>
                  <w:tcMar>
                    <w:top w:w="0" w:type="dxa"/>
                    <w:left w:w="0" w:type="dxa"/>
                    <w:bottom w:w="0" w:type="dxa"/>
                    <w:right w:w="0" w:type="dxa"/>
                  </w:tcMar>
                  <w:vAlign w:val="center"/>
                </w:tcPr>
                <w:p w14:paraId="1B54FDEB">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77AA7971">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67A6F739">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64428D74">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7A153359">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213" w:type="pct"/>
                  <w:vMerge w:val="continue"/>
                  <w:tcBorders>
                    <w:tl2br w:val="nil"/>
                    <w:tr2bl w:val="nil"/>
                  </w:tcBorders>
                  <w:shd w:val="clear" w:color="auto" w:fill="auto"/>
                  <w:tcMar>
                    <w:top w:w="0" w:type="dxa"/>
                    <w:left w:w="0" w:type="dxa"/>
                    <w:bottom w:w="0" w:type="dxa"/>
                    <w:right w:w="0" w:type="dxa"/>
                  </w:tcMar>
                  <w:vAlign w:val="center"/>
                </w:tcPr>
                <w:p w14:paraId="2C5C7639">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689A1804">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48030924">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53049494">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744755D9">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203" w:type="pct"/>
                  <w:vMerge w:val="continue"/>
                  <w:tcBorders>
                    <w:tl2br w:val="nil"/>
                    <w:tr2bl w:val="nil"/>
                  </w:tcBorders>
                  <w:shd w:val="clear" w:color="auto" w:fill="auto"/>
                  <w:tcMar>
                    <w:top w:w="0" w:type="dxa"/>
                    <w:left w:w="0" w:type="dxa"/>
                    <w:bottom w:w="0" w:type="dxa"/>
                    <w:right w:w="0" w:type="dxa"/>
                  </w:tcMar>
                  <w:vAlign w:val="center"/>
                </w:tcPr>
                <w:p w14:paraId="329AFE0B">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r>
            <w:tr w14:paraId="345C69F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 w:type="pct"/>
                  <w:tcBorders>
                    <w:tl2br w:val="nil"/>
                    <w:tr2bl w:val="nil"/>
                  </w:tcBorders>
                  <w:shd w:val="clear" w:color="auto" w:fill="auto"/>
                  <w:tcMar>
                    <w:top w:w="0" w:type="dxa"/>
                    <w:left w:w="0" w:type="dxa"/>
                    <w:bottom w:w="0" w:type="dxa"/>
                    <w:right w:w="0" w:type="dxa"/>
                  </w:tcMar>
                  <w:vAlign w:val="center"/>
                </w:tcPr>
                <w:p w14:paraId="54BDD495">
                  <w:pPr>
                    <w:keepNext w:val="0"/>
                    <w:keepLines w:val="0"/>
                    <w:pageBreakBefore w:val="0"/>
                    <w:widowControl w:val="0"/>
                    <w:numPr>
                      <w:ilvl w:val="0"/>
                      <w:numId w:val="2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0" w:type="pct"/>
                  <w:vMerge w:val="restart"/>
                  <w:tcBorders>
                    <w:tl2br w:val="nil"/>
                    <w:tr2bl w:val="nil"/>
                  </w:tcBorders>
                  <w:shd w:val="clear" w:color="auto" w:fill="auto"/>
                  <w:tcMar>
                    <w:top w:w="0" w:type="dxa"/>
                    <w:left w:w="0" w:type="dxa"/>
                    <w:bottom w:w="0" w:type="dxa"/>
                    <w:right w:w="0" w:type="dxa"/>
                  </w:tcMar>
                  <w:vAlign w:val="center"/>
                </w:tcPr>
                <w:p w14:paraId="39A5ADE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t>创新制剂车间</w:t>
                  </w:r>
                </w:p>
              </w:tc>
              <w:tc>
                <w:tcPr>
                  <w:tcW w:w="294" w:type="pct"/>
                  <w:tcBorders>
                    <w:tl2br w:val="nil"/>
                    <w:tr2bl w:val="nil"/>
                  </w:tcBorders>
                  <w:shd w:val="clear" w:color="auto" w:fill="auto"/>
                  <w:tcMar>
                    <w:top w:w="0" w:type="dxa"/>
                    <w:left w:w="0" w:type="dxa"/>
                    <w:bottom w:w="0" w:type="dxa"/>
                    <w:right w:w="0" w:type="dxa"/>
                  </w:tcMar>
                  <w:vAlign w:val="center"/>
                </w:tcPr>
                <w:p w14:paraId="62230E6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szCs w:val="21"/>
                      <w14:textFill>
                        <w14:solidFill>
                          <w14:schemeClr w14:val="tx1"/>
                        </w14:solidFill>
                      </w14:textFill>
                    </w:rPr>
                    <w:t>万能粉碎机</w:t>
                  </w:r>
                </w:p>
              </w:tc>
              <w:tc>
                <w:tcPr>
                  <w:tcW w:w="249" w:type="pct"/>
                  <w:tcBorders>
                    <w:tl2br w:val="nil"/>
                    <w:tr2bl w:val="nil"/>
                  </w:tcBorders>
                  <w:shd w:val="clear" w:color="auto" w:fill="auto"/>
                  <w:tcMar>
                    <w:top w:w="0" w:type="dxa"/>
                    <w:left w:w="0" w:type="dxa"/>
                    <w:bottom w:w="0" w:type="dxa"/>
                    <w:right w:w="0" w:type="dxa"/>
                  </w:tcMar>
                  <w:vAlign w:val="center"/>
                </w:tcPr>
                <w:p w14:paraId="07EF5DD6">
                  <w:pPr>
                    <w:keepNext w:val="0"/>
                    <w:keepLines w:val="0"/>
                    <w:suppressLineNumbers w:val="0"/>
                    <w:spacing w:before="0" w:beforeAutospacing="0" w:after="0" w:afterAutospacing="0"/>
                    <w:ind w:left="0" w:leftChars="0" w:right="0" w:rightChars="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olor w:val="000000" w:themeColor="text1"/>
                      <w:szCs w:val="21"/>
                      <w14:textFill>
                        <w14:solidFill>
                          <w14:schemeClr w14:val="tx1"/>
                        </w14:solidFill>
                      </w14:textFill>
                    </w:rPr>
                    <w:t>WF-40B</w:t>
                  </w:r>
                </w:p>
              </w:tc>
              <w:tc>
                <w:tcPr>
                  <w:tcW w:w="254" w:type="pct"/>
                  <w:tcBorders>
                    <w:tl2br w:val="nil"/>
                    <w:tr2bl w:val="nil"/>
                  </w:tcBorders>
                  <w:shd w:val="clear" w:color="auto" w:fill="auto"/>
                  <w:tcMar>
                    <w:top w:w="0" w:type="dxa"/>
                    <w:left w:w="0" w:type="dxa"/>
                    <w:bottom w:w="0" w:type="dxa"/>
                    <w:right w:w="0" w:type="dxa"/>
                  </w:tcMar>
                  <w:vAlign w:val="center"/>
                </w:tcPr>
                <w:p w14:paraId="255AEC4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85</w:t>
                  </w:r>
                </w:p>
              </w:tc>
              <w:tc>
                <w:tcPr>
                  <w:tcW w:w="173" w:type="pct"/>
                  <w:vMerge w:val="continue"/>
                  <w:tcBorders>
                    <w:tl2br w:val="nil"/>
                    <w:tr2bl w:val="nil"/>
                  </w:tcBorders>
                  <w:shd w:val="clear" w:color="auto" w:fill="auto"/>
                  <w:tcMar>
                    <w:top w:w="0" w:type="dxa"/>
                    <w:left w:w="0" w:type="dxa"/>
                    <w:bottom w:w="0" w:type="dxa"/>
                    <w:right w:w="0" w:type="dxa"/>
                  </w:tcMar>
                  <w:vAlign w:val="center"/>
                </w:tcPr>
                <w:p w14:paraId="484D19C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80" w:type="pct"/>
                  <w:tcBorders>
                    <w:tl2br w:val="nil"/>
                    <w:tr2bl w:val="nil"/>
                  </w:tcBorders>
                  <w:shd w:val="clear" w:color="auto" w:fill="auto"/>
                  <w:tcMar>
                    <w:top w:w="0" w:type="dxa"/>
                    <w:left w:w="0" w:type="dxa"/>
                    <w:bottom w:w="0" w:type="dxa"/>
                    <w:right w:w="0" w:type="dxa"/>
                  </w:tcMar>
                  <w:vAlign w:val="center"/>
                </w:tcPr>
                <w:p w14:paraId="002E64AB">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27.9</w:t>
                  </w:r>
                </w:p>
              </w:tc>
              <w:tc>
                <w:tcPr>
                  <w:tcW w:w="180" w:type="pct"/>
                  <w:tcBorders>
                    <w:tl2br w:val="nil"/>
                    <w:tr2bl w:val="nil"/>
                  </w:tcBorders>
                  <w:shd w:val="clear" w:color="auto" w:fill="auto"/>
                  <w:tcMar>
                    <w:top w:w="0" w:type="dxa"/>
                    <w:left w:w="0" w:type="dxa"/>
                    <w:bottom w:w="0" w:type="dxa"/>
                    <w:right w:w="0" w:type="dxa"/>
                  </w:tcMar>
                  <w:vAlign w:val="center"/>
                </w:tcPr>
                <w:p w14:paraId="469CD61E">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-79.8</w:t>
                  </w:r>
                </w:p>
              </w:tc>
              <w:tc>
                <w:tcPr>
                  <w:tcW w:w="194" w:type="pct"/>
                  <w:tcBorders>
                    <w:tl2br w:val="nil"/>
                    <w:tr2bl w:val="nil"/>
                  </w:tcBorders>
                  <w:shd w:val="clear" w:color="auto" w:fill="auto"/>
                  <w:tcMar>
                    <w:top w:w="0" w:type="dxa"/>
                    <w:left w:w="0" w:type="dxa"/>
                    <w:bottom w:w="0" w:type="dxa"/>
                    <w:right w:w="0" w:type="dxa"/>
                  </w:tcMar>
                  <w:vAlign w:val="center"/>
                </w:tcPr>
                <w:p w14:paraId="621A964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0.8</w:t>
                  </w:r>
                </w:p>
              </w:tc>
              <w:tc>
                <w:tcPr>
                  <w:tcW w:w="173" w:type="pct"/>
                  <w:tcBorders>
                    <w:tl2br w:val="nil"/>
                    <w:tr2bl w:val="nil"/>
                  </w:tcBorders>
                  <w:shd w:val="clear" w:color="auto" w:fill="auto"/>
                  <w:tcMar>
                    <w:top w:w="0" w:type="dxa"/>
                    <w:left w:w="0" w:type="dxa"/>
                    <w:bottom w:w="0" w:type="dxa"/>
                    <w:right w:w="0" w:type="dxa"/>
                  </w:tcMar>
                  <w:vAlign w:val="center"/>
                </w:tcPr>
                <w:p w14:paraId="41B95A7B">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42.3</w:t>
                  </w:r>
                </w:p>
              </w:tc>
              <w:tc>
                <w:tcPr>
                  <w:tcW w:w="173" w:type="pct"/>
                  <w:tcBorders>
                    <w:tl2br w:val="nil"/>
                    <w:tr2bl w:val="nil"/>
                  </w:tcBorders>
                  <w:shd w:val="clear" w:color="auto" w:fill="auto"/>
                  <w:tcMar>
                    <w:top w:w="0" w:type="dxa"/>
                    <w:left w:w="0" w:type="dxa"/>
                    <w:bottom w:w="0" w:type="dxa"/>
                    <w:right w:w="0" w:type="dxa"/>
                  </w:tcMar>
                  <w:vAlign w:val="center"/>
                </w:tcPr>
                <w:p w14:paraId="61EB4B9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9.9</w:t>
                  </w:r>
                </w:p>
              </w:tc>
              <w:tc>
                <w:tcPr>
                  <w:tcW w:w="173" w:type="pct"/>
                  <w:tcBorders>
                    <w:tl2br w:val="nil"/>
                    <w:tr2bl w:val="nil"/>
                  </w:tcBorders>
                  <w:shd w:val="clear" w:color="auto" w:fill="auto"/>
                  <w:tcMar>
                    <w:top w:w="0" w:type="dxa"/>
                    <w:left w:w="0" w:type="dxa"/>
                    <w:bottom w:w="0" w:type="dxa"/>
                    <w:right w:w="0" w:type="dxa"/>
                  </w:tcMar>
                  <w:vAlign w:val="center"/>
                </w:tcPr>
                <w:p w14:paraId="14308D6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10.8</w:t>
                  </w:r>
                </w:p>
              </w:tc>
              <w:tc>
                <w:tcPr>
                  <w:tcW w:w="179" w:type="pct"/>
                  <w:tcBorders>
                    <w:tl2br w:val="nil"/>
                    <w:tr2bl w:val="nil"/>
                  </w:tcBorders>
                  <w:shd w:val="clear" w:color="auto" w:fill="auto"/>
                  <w:tcMar>
                    <w:top w:w="0" w:type="dxa"/>
                    <w:left w:w="0" w:type="dxa"/>
                    <w:bottom w:w="0" w:type="dxa"/>
                    <w:right w:w="0" w:type="dxa"/>
                  </w:tcMar>
                  <w:vAlign w:val="center"/>
                </w:tcPr>
                <w:p w14:paraId="0CC2C4AA">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59.5</w:t>
                  </w:r>
                </w:p>
              </w:tc>
              <w:tc>
                <w:tcPr>
                  <w:tcW w:w="173" w:type="pct"/>
                  <w:tcBorders>
                    <w:tl2br w:val="nil"/>
                    <w:tr2bl w:val="nil"/>
                  </w:tcBorders>
                  <w:shd w:val="clear" w:color="auto" w:fill="auto"/>
                  <w:tcMar>
                    <w:top w:w="0" w:type="dxa"/>
                    <w:left w:w="0" w:type="dxa"/>
                    <w:bottom w:w="0" w:type="dxa"/>
                    <w:right w:w="0" w:type="dxa"/>
                  </w:tcMar>
                  <w:vAlign w:val="center"/>
                </w:tcPr>
                <w:p w14:paraId="3DD42F7D">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72.1</w:t>
                  </w:r>
                </w:p>
              </w:tc>
              <w:tc>
                <w:tcPr>
                  <w:tcW w:w="173" w:type="pct"/>
                  <w:tcBorders>
                    <w:tl2br w:val="nil"/>
                    <w:tr2bl w:val="nil"/>
                  </w:tcBorders>
                  <w:shd w:val="clear" w:color="auto" w:fill="auto"/>
                  <w:tcMar>
                    <w:top w:w="0" w:type="dxa"/>
                    <w:left w:w="0" w:type="dxa"/>
                    <w:bottom w:w="0" w:type="dxa"/>
                    <w:right w:w="0" w:type="dxa"/>
                  </w:tcMar>
                  <w:vAlign w:val="center"/>
                </w:tcPr>
                <w:p w14:paraId="7DD2403F">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72.2</w:t>
                  </w:r>
                </w:p>
              </w:tc>
              <w:tc>
                <w:tcPr>
                  <w:tcW w:w="173" w:type="pct"/>
                  <w:tcBorders>
                    <w:tl2br w:val="nil"/>
                    <w:tr2bl w:val="nil"/>
                  </w:tcBorders>
                  <w:shd w:val="clear" w:color="auto" w:fill="auto"/>
                  <w:tcMar>
                    <w:top w:w="0" w:type="dxa"/>
                    <w:left w:w="0" w:type="dxa"/>
                    <w:bottom w:w="0" w:type="dxa"/>
                    <w:right w:w="0" w:type="dxa"/>
                  </w:tcMar>
                  <w:vAlign w:val="center"/>
                </w:tcPr>
                <w:p w14:paraId="3B615B9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72.2</w:t>
                  </w:r>
                </w:p>
              </w:tc>
              <w:tc>
                <w:tcPr>
                  <w:tcW w:w="181" w:type="pct"/>
                  <w:tcBorders>
                    <w:tl2br w:val="nil"/>
                    <w:tr2bl w:val="nil"/>
                  </w:tcBorders>
                  <w:shd w:val="clear" w:color="auto" w:fill="auto"/>
                  <w:tcMar>
                    <w:top w:w="0" w:type="dxa"/>
                    <w:left w:w="0" w:type="dxa"/>
                    <w:bottom w:w="0" w:type="dxa"/>
                    <w:right w:w="0" w:type="dxa"/>
                  </w:tcMar>
                  <w:vAlign w:val="center"/>
                </w:tcPr>
                <w:p w14:paraId="2071938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72.1</w:t>
                  </w:r>
                </w:p>
              </w:tc>
              <w:tc>
                <w:tcPr>
                  <w:tcW w:w="170" w:type="pct"/>
                  <w:vMerge w:val="restart"/>
                  <w:tcBorders>
                    <w:tl2br w:val="nil"/>
                    <w:tr2bl w:val="nil"/>
                  </w:tcBorders>
                  <w:shd w:val="clear" w:color="auto" w:fill="auto"/>
                  <w:tcMar>
                    <w:top w:w="0" w:type="dxa"/>
                    <w:left w:w="0" w:type="dxa"/>
                    <w:bottom w:w="0" w:type="dxa"/>
                    <w:right w:w="0" w:type="dxa"/>
                  </w:tcMar>
                  <w:vAlign w:val="center"/>
                </w:tcPr>
                <w:p w14:paraId="5EDF0E9F">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r>
                    <w:rPr>
                      <w:rFonts w:hint="eastAsia" w:cs="Times New Roman"/>
                      <w:color w:val="000000" w:themeColor="text1"/>
                      <w:sz w:val="21"/>
                      <w:szCs w:val="21"/>
                      <w:highlight w:val="none"/>
                      <w:shd w:val="clear" w:color="auto" w:fill="auto"/>
                      <w:lang w:val="en-US" w:eastAsia="zh-CN"/>
                      <w14:textFill>
                        <w14:solidFill>
                          <w14:schemeClr w14:val="tx1"/>
                        </w14:solidFill>
                      </w14:textFill>
                    </w:rPr>
                    <w:t>12</w:t>
                  </w:r>
                  <w: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t>h</w:t>
                  </w:r>
                </w:p>
              </w:tc>
              <w:tc>
                <w:tcPr>
                  <w:tcW w:w="136" w:type="pct"/>
                  <w:vMerge w:val="restart"/>
                  <w:tcBorders>
                    <w:tl2br w:val="nil"/>
                    <w:tr2bl w:val="nil"/>
                  </w:tcBorders>
                  <w:shd w:val="clear" w:color="auto" w:fill="auto"/>
                  <w:tcMar>
                    <w:top w:w="0" w:type="dxa"/>
                    <w:left w:w="0" w:type="dxa"/>
                    <w:bottom w:w="0" w:type="dxa"/>
                    <w:right w:w="0" w:type="dxa"/>
                  </w:tcMar>
                  <w:vAlign w:val="center"/>
                </w:tcPr>
                <w:p w14:paraId="616F087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81</w:t>
                  </w:r>
                </w:p>
              </w:tc>
              <w:tc>
                <w:tcPr>
                  <w:tcW w:w="136" w:type="pct"/>
                  <w:vMerge w:val="restart"/>
                  <w:tcBorders>
                    <w:tl2br w:val="nil"/>
                    <w:tr2bl w:val="nil"/>
                  </w:tcBorders>
                  <w:shd w:val="clear" w:color="auto" w:fill="auto"/>
                  <w:tcMar>
                    <w:top w:w="0" w:type="dxa"/>
                    <w:left w:w="0" w:type="dxa"/>
                    <w:bottom w:w="0" w:type="dxa"/>
                    <w:right w:w="0" w:type="dxa"/>
                  </w:tcMar>
                  <w:vAlign w:val="center"/>
                </w:tcPr>
                <w:p w14:paraId="254DEFE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81</w:t>
                  </w:r>
                </w:p>
              </w:tc>
              <w:tc>
                <w:tcPr>
                  <w:tcW w:w="136" w:type="pct"/>
                  <w:vMerge w:val="restart"/>
                  <w:tcBorders>
                    <w:tl2br w:val="nil"/>
                    <w:tr2bl w:val="nil"/>
                  </w:tcBorders>
                  <w:shd w:val="clear" w:color="auto" w:fill="auto"/>
                  <w:tcMar>
                    <w:top w:w="0" w:type="dxa"/>
                    <w:left w:w="0" w:type="dxa"/>
                    <w:bottom w:w="0" w:type="dxa"/>
                    <w:right w:w="0" w:type="dxa"/>
                  </w:tcMar>
                  <w:vAlign w:val="center"/>
                </w:tcPr>
                <w:p w14:paraId="23E7A27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81</w:t>
                  </w:r>
                </w:p>
              </w:tc>
              <w:tc>
                <w:tcPr>
                  <w:tcW w:w="136" w:type="pct"/>
                  <w:vMerge w:val="restart"/>
                  <w:tcBorders>
                    <w:tl2br w:val="nil"/>
                    <w:tr2bl w:val="nil"/>
                  </w:tcBorders>
                  <w:shd w:val="clear" w:color="auto" w:fill="auto"/>
                  <w:tcMar>
                    <w:top w:w="0" w:type="dxa"/>
                    <w:left w:w="0" w:type="dxa"/>
                    <w:bottom w:w="0" w:type="dxa"/>
                    <w:right w:w="0" w:type="dxa"/>
                  </w:tcMar>
                  <w:vAlign w:val="center"/>
                </w:tcPr>
                <w:p w14:paraId="179A18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81</w:t>
                  </w:r>
                </w:p>
              </w:tc>
              <w:tc>
                <w:tcPr>
                  <w:tcW w:w="213" w:type="pct"/>
                  <w:vMerge w:val="restart"/>
                  <w:tcBorders>
                    <w:tl2br w:val="nil"/>
                    <w:tr2bl w:val="nil"/>
                  </w:tcBorders>
                  <w:shd w:val="clear" w:color="auto" w:fill="auto"/>
                  <w:tcMar>
                    <w:top w:w="0" w:type="dxa"/>
                    <w:left w:w="0" w:type="dxa"/>
                    <w:bottom w:w="0" w:type="dxa"/>
                    <w:right w:w="0" w:type="dxa"/>
                  </w:tcMar>
                  <w:vAlign w:val="center"/>
                </w:tcPr>
                <w:p w14:paraId="345030A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Arial" w:cs="Times New Roman"/>
                      <w:color w:val="000000" w:themeColor="text1"/>
                      <w:sz w:val="21"/>
                      <w:szCs w:val="21"/>
                      <w:highlight w:val="none"/>
                      <w14:textFill>
                        <w14:solidFill>
                          <w14:schemeClr w14:val="tx1"/>
                        </w14:solidFill>
                      </w14:textFill>
                    </w:rPr>
                    <w:t>26</w:t>
                  </w:r>
                </w:p>
              </w:tc>
              <w:tc>
                <w:tcPr>
                  <w:tcW w:w="149" w:type="pct"/>
                  <w:vMerge w:val="restart"/>
                  <w:tcBorders>
                    <w:tl2br w:val="nil"/>
                    <w:tr2bl w:val="nil"/>
                  </w:tcBorders>
                  <w:shd w:val="clear" w:color="auto" w:fill="auto"/>
                  <w:tcMar>
                    <w:top w:w="0" w:type="dxa"/>
                    <w:left w:w="0" w:type="dxa"/>
                    <w:bottom w:w="0" w:type="dxa"/>
                    <w:right w:w="0" w:type="dxa"/>
                  </w:tcMar>
                  <w:vAlign w:val="center"/>
                </w:tcPr>
                <w:p w14:paraId="0475D9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55</w:t>
                  </w:r>
                </w:p>
              </w:tc>
              <w:tc>
                <w:tcPr>
                  <w:tcW w:w="149" w:type="pct"/>
                  <w:vMerge w:val="restart"/>
                  <w:tcBorders>
                    <w:tl2br w:val="nil"/>
                    <w:tr2bl w:val="nil"/>
                  </w:tcBorders>
                  <w:shd w:val="clear" w:color="auto" w:fill="auto"/>
                  <w:tcMar>
                    <w:top w:w="0" w:type="dxa"/>
                    <w:left w:w="0" w:type="dxa"/>
                    <w:bottom w:w="0" w:type="dxa"/>
                    <w:right w:w="0" w:type="dxa"/>
                  </w:tcMar>
                  <w:vAlign w:val="center"/>
                </w:tcPr>
                <w:p w14:paraId="488FB65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55</w:t>
                  </w:r>
                </w:p>
              </w:tc>
              <w:tc>
                <w:tcPr>
                  <w:tcW w:w="149" w:type="pct"/>
                  <w:vMerge w:val="restart"/>
                  <w:tcBorders>
                    <w:tl2br w:val="nil"/>
                    <w:tr2bl w:val="nil"/>
                  </w:tcBorders>
                  <w:shd w:val="clear" w:color="auto" w:fill="auto"/>
                  <w:tcMar>
                    <w:top w:w="0" w:type="dxa"/>
                    <w:left w:w="0" w:type="dxa"/>
                    <w:bottom w:w="0" w:type="dxa"/>
                    <w:right w:w="0" w:type="dxa"/>
                  </w:tcMar>
                  <w:vAlign w:val="center"/>
                </w:tcPr>
                <w:p w14:paraId="344DAD8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55</w:t>
                  </w:r>
                </w:p>
              </w:tc>
              <w:tc>
                <w:tcPr>
                  <w:tcW w:w="149" w:type="pct"/>
                  <w:vMerge w:val="restart"/>
                  <w:tcBorders>
                    <w:tl2br w:val="nil"/>
                    <w:tr2bl w:val="nil"/>
                  </w:tcBorders>
                  <w:shd w:val="clear" w:color="auto" w:fill="auto"/>
                  <w:tcMar>
                    <w:top w:w="0" w:type="dxa"/>
                    <w:left w:w="0" w:type="dxa"/>
                    <w:bottom w:w="0" w:type="dxa"/>
                    <w:right w:w="0" w:type="dxa"/>
                  </w:tcMar>
                  <w:vAlign w:val="center"/>
                </w:tcPr>
                <w:p w14:paraId="767BF8E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55</w:t>
                  </w:r>
                </w:p>
              </w:tc>
              <w:tc>
                <w:tcPr>
                  <w:tcW w:w="203" w:type="pct"/>
                  <w:vMerge w:val="restart"/>
                  <w:tcBorders>
                    <w:tl2br w:val="nil"/>
                    <w:tr2bl w:val="nil"/>
                  </w:tcBorders>
                  <w:shd w:val="clear" w:color="auto" w:fill="auto"/>
                  <w:tcMar>
                    <w:top w:w="0" w:type="dxa"/>
                    <w:left w:w="0" w:type="dxa"/>
                    <w:bottom w:w="0" w:type="dxa"/>
                    <w:right w:w="0" w:type="dxa"/>
                  </w:tcMar>
                  <w:vAlign w:val="center"/>
                </w:tcPr>
                <w:p w14:paraId="06ABB22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Arial" w:cs="Times New Roman"/>
                      <w:color w:val="000000" w:themeColor="text1"/>
                      <w:sz w:val="21"/>
                      <w:szCs w:val="21"/>
                      <w:highlight w:val="none"/>
                      <w14:textFill>
                        <w14:solidFill>
                          <w14:schemeClr w14:val="tx1"/>
                        </w14:solidFill>
                      </w14:textFill>
                    </w:rPr>
                    <w:t>1</w:t>
                  </w:r>
                </w:p>
              </w:tc>
            </w:tr>
            <w:tr w14:paraId="3D5CA2A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 w:type="pct"/>
                  <w:tcBorders>
                    <w:tl2br w:val="nil"/>
                    <w:tr2bl w:val="nil"/>
                  </w:tcBorders>
                  <w:shd w:val="clear" w:color="auto" w:fill="auto"/>
                  <w:tcMar>
                    <w:top w:w="0" w:type="dxa"/>
                    <w:left w:w="0" w:type="dxa"/>
                    <w:bottom w:w="0" w:type="dxa"/>
                    <w:right w:w="0" w:type="dxa"/>
                  </w:tcMar>
                  <w:vAlign w:val="center"/>
                </w:tcPr>
                <w:p w14:paraId="0FCB0DCC">
                  <w:pPr>
                    <w:keepNext w:val="0"/>
                    <w:keepLines w:val="0"/>
                    <w:pageBreakBefore w:val="0"/>
                    <w:widowControl w:val="0"/>
                    <w:numPr>
                      <w:ilvl w:val="0"/>
                      <w:numId w:val="2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0" w:type="pct"/>
                  <w:vMerge w:val="continue"/>
                  <w:tcBorders>
                    <w:tl2br w:val="nil"/>
                    <w:tr2bl w:val="nil"/>
                  </w:tcBorders>
                  <w:shd w:val="clear" w:color="auto" w:fill="auto"/>
                  <w:tcMar>
                    <w:top w:w="0" w:type="dxa"/>
                    <w:left w:w="0" w:type="dxa"/>
                    <w:bottom w:w="0" w:type="dxa"/>
                    <w:right w:w="0" w:type="dxa"/>
                  </w:tcMar>
                  <w:vAlign w:val="center"/>
                </w:tcPr>
                <w:p w14:paraId="75DC37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p>
              </w:tc>
              <w:tc>
                <w:tcPr>
                  <w:tcW w:w="294" w:type="pct"/>
                  <w:tcBorders>
                    <w:tl2br w:val="nil"/>
                    <w:tr2bl w:val="nil"/>
                  </w:tcBorders>
                  <w:shd w:val="clear" w:color="auto" w:fill="auto"/>
                  <w:tcMar>
                    <w:top w:w="0" w:type="dxa"/>
                    <w:left w:w="0" w:type="dxa"/>
                    <w:bottom w:w="0" w:type="dxa"/>
                    <w:right w:w="0" w:type="dxa"/>
                  </w:tcMar>
                  <w:vAlign w:val="center"/>
                </w:tcPr>
                <w:p w14:paraId="260974D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color w:val="000000" w:themeColor="text1"/>
                      <w:szCs w:val="21"/>
                      <w14:textFill>
                        <w14:solidFill>
                          <w14:schemeClr w14:val="tx1"/>
                        </w14:solidFill>
                      </w14:textFill>
                    </w:rPr>
                    <w:t>振动筛粉机</w:t>
                  </w:r>
                </w:p>
              </w:tc>
              <w:tc>
                <w:tcPr>
                  <w:tcW w:w="249" w:type="pct"/>
                  <w:tcBorders>
                    <w:tl2br w:val="nil"/>
                    <w:tr2bl w:val="nil"/>
                  </w:tcBorders>
                  <w:shd w:val="clear" w:color="auto" w:fill="auto"/>
                  <w:tcMar>
                    <w:top w:w="0" w:type="dxa"/>
                    <w:left w:w="0" w:type="dxa"/>
                    <w:bottom w:w="0" w:type="dxa"/>
                    <w:right w:w="0" w:type="dxa"/>
                  </w:tcMar>
                  <w:vAlign w:val="center"/>
                </w:tcPr>
                <w:p w14:paraId="6A425511">
                  <w:pPr>
                    <w:keepNext w:val="0"/>
                    <w:keepLines w:val="0"/>
                    <w:widowControl/>
                    <w:suppressLineNumbers w:val="0"/>
                    <w:spacing w:before="0" w:beforeAutospacing="0" w:after="0" w:afterAutospacing="0"/>
                    <w:ind w:left="0" w:leftChars="0" w:right="0" w:rightChars="0"/>
                    <w:jc w:val="center"/>
                    <w:rPr>
                      <w:rFonts w:hint="default" w:cs="Times New Roman"/>
                      <w:color w:val="000000" w:themeColor="text1"/>
                      <w:sz w:val="21"/>
                      <w:szCs w:val="21"/>
                      <w:highlight w:val="none"/>
                      <w:lang w:val="en-US" w:eastAsia="zh-CN"/>
                      <w14:textFill>
                        <w14:solidFill>
                          <w14:schemeClr w14:val="tx1"/>
                        </w14:solidFill>
                      </w14:textFill>
                    </w:rPr>
                  </w:pPr>
                  <w:r>
                    <w:rPr>
                      <w:rFonts w:hint="default"/>
                      <w:color w:val="000000" w:themeColor="text1"/>
                      <w:szCs w:val="21"/>
                      <w14:textFill>
                        <w14:solidFill>
                          <w14:schemeClr w14:val="tx1"/>
                        </w14:solidFill>
                      </w14:textFill>
                    </w:rPr>
                    <w:t>S-800</w:t>
                  </w:r>
                </w:p>
              </w:tc>
              <w:tc>
                <w:tcPr>
                  <w:tcW w:w="254" w:type="pct"/>
                  <w:tcBorders>
                    <w:tl2br w:val="nil"/>
                    <w:tr2bl w:val="nil"/>
                  </w:tcBorders>
                  <w:shd w:val="clear" w:color="auto" w:fill="auto"/>
                  <w:tcMar>
                    <w:top w:w="0" w:type="dxa"/>
                    <w:left w:w="0" w:type="dxa"/>
                    <w:bottom w:w="0" w:type="dxa"/>
                    <w:right w:w="0" w:type="dxa"/>
                  </w:tcMar>
                  <w:vAlign w:val="center"/>
                </w:tcPr>
                <w:p w14:paraId="25B05C09">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lang w:val="en-US" w:eastAsia="zh-CN"/>
                      <w14:textFill>
                        <w14:solidFill>
                          <w14:schemeClr w14:val="tx1"/>
                        </w14:solidFill>
                      </w14:textFill>
                    </w:rPr>
                  </w:pPr>
                  <w:r>
                    <w:rPr>
                      <w:rFonts w:hint="default" w:ascii="Times New Roman" w:hAnsi="Times New Roman" w:eastAsia="Arial" w:cs="Times New Roman"/>
                      <w:color w:val="000000" w:themeColor="text1"/>
                      <w:sz w:val="21"/>
                      <w:szCs w:val="21"/>
                      <w14:textFill>
                        <w14:solidFill>
                          <w14:schemeClr w14:val="tx1"/>
                        </w14:solidFill>
                      </w14:textFill>
                    </w:rPr>
                    <w:t>85</w:t>
                  </w:r>
                </w:p>
              </w:tc>
              <w:tc>
                <w:tcPr>
                  <w:tcW w:w="173" w:type="pct"/>
                  <w:vMerge w:val="continue"/>
                  <w:tcBorders>
                    <w:tl2br w:val="nil"/>
                    <w:tr2bl w:val="nil"/>
                  </w:tcBorders>
                  <w:shd w:val="clear" w:color="auto" w:fill="auto"/>
                  <w:tcMar>
                    <w:top w:w="0" w:type="dxa"/>
                    <w:left w:w="0" w:type="dxa"/>
                    <w:bottom w:w="0" w:type="dxa"/>
                    <w:right w:w="0" w:type="dxa"/>
                  </w:tcMar>
                  <w:vAlign w:val="center"/>
                </w:tcPr>
                <w:p w14:paraId="331F9F8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80" w:type="pct"/>
                  <w:tcBorders>
                    <w:tl2br w:val="nil"/>
                    <w:tr2bl w:val="nil"/>
                  </w:tcBorders>
                  <w:shd w:val="clear" w:color="auto" w:fill="auto"/>
                  <w:tcMar>
                    <w:top w:w="0" w:type="dxa"/>
                    <w:left w:w="0" w:type="dxa"/>
                    <w:bottom w:w="0" w:type="dxa"/>
                    <w:right w:w="0" w:type="dxa"/>
                  </w:tcMar>
                  <w:vAlign w:val="center"/>
                </w:tcPr>
                <w:p w14:paraId="28B43812">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30.7</w:t>
                  </w:r>
                </w:p>
              </w:tc>
              <w:tc>
                <w:tcPr>
                  <w:tcW w:w="180" w:type="pct"/>
                  <w:tcBorders>
                    <w:tl2br w:val="nil"/>
                    <w:tr2bl w:val="nil"/>
                  </w:tcBorders>
                  <w:shd w:val="clear" w:color="auto" w:fill="auto"/>
                  <w:tcMar>
                    <w:top w:w="0" w:type="dxa"/>
                    <w:left w:w="0" w:type="dxa"/>
                    <w:bottom w:w="0" w:type="dxa"/>
                    <w:right w:w="0" w:type="dxa"/>
                  </w:tcMar>
                  <w:vAlign w:val="center"/>
                </w:tcPr>
                <w:p w14:paraId="5B58173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-39.6</w:t>
                  </w:r>
                </w:p>
              </w:tc>
              <w:tc>
                <w:tcPr>
                  <w:tcW w:w="194" w:type="pct"/>
                  <w:tcBorders>
                    <w:tl2br w:val="nil"/>
                    <w:tr2bl w:val="nil"/>
                  </w:tcBorders>
                  <w:shd w:val="clear" w:color="auto" w:fill="auto"/>
                  <w:tcMar>
                    <w:top w:w="0" w:type="dxa"/>
                    <w:left w:w="0" w:type="dxa"/>
                    <w:bottom w:w="0" w:type="dxa"/>
                    <w:right w:w="0" w:type="dxa"/>
                  </w:tcMar>
                  <w:vAlign w:val="center"/>
                </w:tcPr>
                <w:p w14:paraId="36AF2B8A">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0.7</w:t>
                  </w:r>
                </w:p>
              </w:tc>
              <w:tc>
                <w:tcPr>
                  <w:tcW w:w="173" w:type="pct"/>
                  <w:tcBorders>
                    <w:tl2br w:val="nil"/>
                    <w:tr2bl w:val="nil"/>
                  </w:tcBorders>
                  <w:shd w:val="clear" w:color="auto" w:fill="auto"/>
                  <w:tcMar>
                    <w:top w:w="0" w:type="dxa"/>
                    <w:left w:w="0" w:type="dxa"/>
                    <w:bottom w:w="0" w:type="dxa"/>
                    <w:right w:w="0" w:type="dxa"/>
                  </w:tcMar>
                  <w:vAlign w:val="center"/>
                </w:tcPr>
                <w:p w14:paraId="0F735C2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34.4</w:t>
                  </w:r>
                </w:p>
              </w:tc>
              <w:tc>
                <w:tcPr>
                  <w:tcW w:w="173" w:type="pct"/>
                  <w:tcBorders>
                    <w:tl2br w:val="nil"/>
                    <w:tr2bl w:val="nil"/>
                  </w:tcBorders>
                  <w:shd w:val="clear" w:color="auto" w:fill="auto"/>
                  <w:tcMar>
                    <w:top w:w="0" w:type="dxa"/>
                    <w:left w:w="0" w:type="dxa"/>
                    <w:bottom w:w="0" w:type="dxa"/>
                    <w:right w:w="0" w:type="dxa"/>
                  </w:tcMar>
                  <w:vAlign w:val="center"/>
                </w:tcPr>
                <w:p w14:paraId="78B13BA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49.6</w:t>
                  </w:r>
                </w:p>
              </w:tc>
              <w:tc>
                <w:tcPr>
                  <w:tcW w:w="173" w:type="pct"/>
                  <w:tcBorders>
                    <w:tl2br w:val="nil"/>
                    <w:tr2bl w:val="nil"/>
                  </w:tcBorders>
                  <w:shd w:val="clear" w:color="auto" w:fill="auto"/>
                  <w:tcMar>
                    <w:top w:w="0" w:type="dxa"/>
                    <w:left w:w="0" w:type="dxa"/>
                    <w:bottom w:w="0" w:type="dxa"/>
                    <w:right w:w="0" w:type="dxa"/>
                  </w:tcMar>
                  <w:vAlign w:val="center"/>
                </w:tcPr>
                <w:p w14:paraId="55ACD78F">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17.6</w:t>
                  </w:r>
                </w:p>
              </w:tc>
              <w:tc>
                <w:tcPr>
                  <w:tcW w:w="179" w:type="pct"/>
                  <w:tcBorders>
                    <w:tl2br w:val="nil"/>
                    <w:tr2bl w:val="nil"/>
                  </w:tcBorders>
                  <w:shd w:val="clear" w:color="auto" w:fill="auto"/>
                  <w:tcMar>
                    <w:top w:w="0" w:type="dxa"/>
                    <w:left w:w="0" w:type="dxa"/>
                    <w:bottom w:w="0" w:type="dxa"/>
                    <w:right w:w="0" w:type="dxa"/>
                  </w:tcMar>
                  <w:vAlign w:val="center"/>
                </w:tcPr>
                <w:p w14:paraId="06AC9754">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19.9</w:t>
                  </w:r>
                </w:p>
              </w:tc>
              <w:tc>
                <w:tcPr>
                  <w:tcW w:w="173" w:type="pct"/>
                  <w:tcBorders>
                    <w:tl2br w:val="nil"/>
                    <w:tr2bl w:val="nil"/>
                  </w:tcBorders>
                  <w:shd w:val="clear" w:color="auto" w:fill="auto"/>
                  <w:tcMar>
                    <w:top w:w="0" w:type="dxa"/>
                    <w:left w:w="0" w:type="dxa"/>
                    <w:bottom w:w="0" w:type="dxa"/>
                    <w:right w:w="0" w:type="dxa"/>
                  </w:tcMar>
                  <w:vAlign w:val="center"/>
                </w:tcPr>
                <w:p w14:paraId="24F7A77B">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72.1</w:t>
                  </w:r>
                </w:p>
              </w:tc>
              <w:tc>
                <w:tcPr>
                  <w:tcW w:w="173" w:type="pct"/>
                  <w:tcBorders>
                    <w:tl2br w:val="nil"/>
                    <w:tr2bl w:val="nil"/>
                  </w:tcBorders>
                  <w:shd w:val="clear" w:color="auto" w:fill="auto"/>
                  <w:tcMar>
                    <w:top w:w="0" w:type="dxa"/>
                    <w:left w:w="0" w:type="dxa"/>
                    <w:bottom w:w="0" w:type="dxa"/>
                    <w:right w:w="0" w:type="dxa"/>
                  </w:tcMar>
                  <w:vAlign w:val="center"/>
                </w:tcPr>
                <w:p w14:paraId="0682E98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72.1</w:t>
                  </w:r>
                </w:p>
              </w:tc>
              <w:tc>
                <w:tcPr>
                  <w:tcW w:w="173" w:type="pct"/>
                  <w:tcBorders>
                    <w:tl2br w:val="nil"/>
                    <w:tr2bl w:val="nil"/>
                  </w:tcBorders>
                  <w:shd w:val="clear" w:color="auto" w:fill="auto"/>
                  <w:tcMar>
                    <w:top w:w="0" w:type="dxa"/>
                    <w:left w:w="0" w:type="dxa"/>
                    <w:bottom w:w="0" w:type="dxa"/>
                    <w:right w:w="0" w:type="dxa"/>
                  </w:tcMar>
                  <w:vAlign w:val="center"/>
                </w:tcPr>
                <w:p w14:paraId="08D149B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72.1</w:t>
                  </w:r>
                </w:p>
              </w:tc>
              <w:tc>
                <w:tcPr>
                  <w:tcW w:w="181" w:type="pct"/>
                  <w:tcBorders>
                    <w:tl2br w:val="nil"/>
                    <w:tr2bl w:val="nil"/>
                  </w:tcBorders>
                  <w:shd w:val="clear" w:color="auto" w:fill="auto"/>
                  <w:tcMar>
                    <w:top w:w="0" w:type="dxa"/>
                    <w:left w:w="0" w:type="dxa"/>
                    <w:bottom w:w="0" w:type="dxa"/>
                    <w:right w:w="0" w:type="dxa"/>
                  </w:tcMar>
                  <w:vAlign w:val="center"/>
                </w:tcPr>
                <w:p w14:paraId="06EEB36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72.1</w:t>
                  </w:r>
                </w:p>
              </w:tc>
              <w:tc>
                <w:tcPr>
                  <w:tcW w:w="170" w:type="pct"/>
                  <w:vMerge w:val="continue"/>
                  <w:tcBorders>
                    <w:tl2br w:val="nil"/>
                    <w:tr2bl w:val="nil"/>
                  </w:tcBorders>
                  <w:shd w:val="clear" w:color="auto" w:fill="auto"/>
                  <w:tcMar>
                    <w:top w:w="0" w:type="dxa"/>
                    <w:left w:w="0" w:type="dxa"/>
                    <w:bottom w:w="0" w:type="dxa"/>
                    <w:right w:w="0" w:type="dxa"/>
                  </w:tcMar>
                  <w:vAlign w:val="center"/>
                </w:tcPr>
                <w:p w14:paraId="3B2772C8">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544EFCAA">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7AFED109">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491E36CA">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3A12F889">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213" w:type="pct"/>
                  <w:vMerge w:val="continue"/>
                  <w:tcBorders>
                    <w:tl2br w:val="nil"/>
                    <w:tr2bl w:val="nil"/>
                  </w:tcBorders>
                  <w:shd w:val="clear" w:color="auto" w:fill="auto"/>
                  <w:tcMar>
                    <w:top w:w="0" w:type="dxa"/>
                    <w:left w:w="0" w:type="dxa"/>
                    <w:bottom w:w="0" w:type="dxa"/>
                    <w:right w:w="0" w:type="dxa"/>
                  </w:tcMar>
                  <w:vAlign w:val="center"/>
                </w:tcPr>
                <w:p w14:paraId="3CB64EC6">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3ED90A83">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33AAB97E">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312391C9">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01D1E511">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203" w:type="pct"/>
                  <w:vMerge w:val="continue"/>
                  <w:tcBorders>
                    <w:tl2br w:val="nil"/>
                    <w:tr2bl w:val="nil"/>
                  </w:tcBorders>
                  <w:shd w:val="clear" w:color="auto" w:fill="auto"/>
                  <w:tcMar>
                    <w:top w:w="0" w:type="dxa"/>
                    <w:left w:w="0" w:type="dxa"/>
                    <w:bottom w:w="0" w:type="dxa"/>
                    <w:right w:w="0" w:type="dxa"/>
                  </w:tcMar>
                  <w:vAlign w:val="center"/>
                </w:tcPr>
                <w:p w14:paraId="1D738272">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r>
            <w:tr w14:paraId="17BD130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 w:type="pct"/>
                  <w:tcBorders>
                    <w:tl2br w:val="nil"/>
                    <w:tr2bl w:val="nil"/>
                  </w:tcBorders>
                  <w:shd w:val="clear" w:color="auto" w:fill="auto"/>
                  <w:tcMar>
                    <w:top w:w="0" w:type="dxa"/>
                    <w:left w:w="0" w:type="dxa"/>
                    <w:bottom w:w="0" w:type="dxa"/>
                    <w:right w:w="0" w:type="dxa"/>
                  </w:tcMar>
                  <w:vAlign w:val="center"/>
                </w:tcPr>
                <w:p w14:paraId="74FFE954">
                  <w:pPr>
                    <w:keepNext w:val="0"/>
                    <w:keepLines w:val="0"/>
                    <w:pageBreakBefore w:val="0"/>
                    <w:widowControl w:val="0"/>
                    <w:numPr>
                      <w:ilvl w:val="0"/>
                      <w:numId w:val="2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0" w:type="pct"/>
                  <w:vMerge w:val="continue"/>
                  <w:tcBorders>
                    <w:tl2br w:val="nil"/>
                    <w:tr2bl w:val="nil"/>
                  </w:tcBorders>
                  <w:shd w:val="clear" w:color="auto" w:fill="auto"/>
                  <w:tcMar>
                    <w:top w:w="0" w:type="dxa"/>
                    <w:left w:w="0" w:type="dxa"/>
                    <w:bottom w:w="0" w:type="dxa"/>
                    <w:right w:w="0" w:type="dxa"/>
                  </w:tcMar>
                  <w:vAlign w:val="center"/>
                </w:tcPr>
                <w:p w14:paraId="1A7F324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p>
              </w:tc>
              <w:tc>
                <w:tcPr>
                  <w:tcW w:w="294" w:type="pct"/>
                  <w:tcBorders>
                    <w:tl2br w:val="nil"/>
                    <w:tr2bl w:val="nil"/>
                  </w:tcBorders>
                  <w:shd w:val="clear" w:color="auto" w:fill="auto"/>
                  <w:tcMar>
                    <w:top w:w="0" w:type="dxa"/>
                    <w:left w:w="0" w:type="dxa"/>
                    <w:bottom w:w="0" w:type="dxa"/>
                    <w:right w:w="0" w:type="dxa"/>
                  </w:tcMar>
                  <w:vAlign w:val="center"/>
                </w:tcPr>
                <w:p w14:paraId="59E7FE8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color w:val="000000" w:themeColor="text1"/>
                      <w:szCs w:val="21"/>
                      <w14:textFill>
                        <w14:solidFill>
                          <w14:schemeClr w14:val="tx1"/>
                        </w14:solidFill>
                      </w14:textFill>
                    </w:rPr>
                    <w:t>三维运动混合机</w:t>
                  </w:r>
                </w:p>
              </w:tc>
              <w:tc>
                <w:tcPr>
                  <w:tcW w:w="249" w:type="pct"/>
                  <w:tcBorders>
                    <w:tl2br w:val="nil"/>
                    <w:tr2bl w:val="nil"/>
                  </w:tcBorders>
                  <w:shd w:val="clear" w:color="auto" w:fill="auto"/>
                  <w:tcMar>
                    <w:top w:w="0" w:type="dxa"/>
                    <w:left w:w="0" w:type="dxa"/>
                    <w:bottom w:w="0" w:type="dxa"/>
                    <w:right w:w="0" w:type="dxa"/>
                  </w:tcMar>
                  <w:vAlign w:val="center"/>
                </w:tcPr>
                <w:p w14:paraId="78E8E3E0">
                  <w:pPr>
                    <w:keepNext w:val="0"/>
                    <w:keepLines w:val="0"/>
                    <w:widowControl/>
                    <w:suppressLineNumbers w:val="0"/>
                    <w:spacing w:before="0" w:beforeAutospacing="0" w:after="0" w:afterAutospacing="0"/>
                    <w:ind w:left="0" w:leftChars="0" w:right="0" w:rightChars="0"/>
                    <w:jc w:val="center"/>
                    <w:rPr>
                      <w:rFonts w:hint="default" w:cs="Times New Roman"/>
                      <w:color w:val="000000" w:themeColor="text1"/>
                      <w:sz w:val="21"/>
                      <w:szCs w:val="21"/>
                      <w:highlight w:val="none"/>
                      <w:lang w:val="en-US" w:eastAsia="zh-CN"/>
                      <w14:textFill>
                        <w14:solidFill>
                          <w14:schemeClr w14:val="tx1"/>
                        </w14:solidFill>
                      </w14:textFill>
                    </w:rPr>
                  </w:pPr>
                  <w:r>
                    <w:rPr>
                      <w:rFonts w:hint="default"/>
                      <w:color w:val="000000" w:themeColor="text1"/>
                      <w:szCs w:val="21"/>
                      <w14:textFill>
                        <w14:solidFill>
                          <w14:schemeClr w14:val="tx1"/>
                        </w14:solidFill>
                      </w14:textFill>
                    </w:rPr>
                    <w:t>GH-400</w:t>
                  </w:r>
                </w:p>
              </w:tc>
              <w:tc>
                <w:tcPr>
                  <w:tcW w:w="254" w:type="pct"/>
                  <w:tcBorders>
                    <w:tl2br w:val="nil"/>
                    <w:tr2bl w:val="nil"/>
                  </w:tcBorders>
                  <w:shd w:val="clear" w:color="auto" w:fill="auto"/>
                  <w:tcMar>
                    <w:top w:w="0" w:type="dxa"/>
                    <w:left w:w="0" w:type="dxa"/>
                    <w:bottom w:w="0" w:type="dxa"/>
                    <w:right w:w="0" w:type="dxa"/>
                  </w:tcMar>
                  <w:vAlign w:val="center"/>
                </w:tcPr>
                <w:p w14:paraId="3CE705E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80</w:t>
                  </w:r>
                </w:p>
              </w:tc>
              <w:tc>
                <w:tcPr>
                  <w:tcW w:w="173" w:type="pct"/>
                  <w:vMerge w:val="continue"/>
                  <w:tcBorders>
                    <w:tl2br w:val="nil"/>
                    <w:tr2bl w:val="nil"/>
                  </w:tcBorders>
                  <w:shd w:val="clear" w:color="auto" w:fill="auto"/>
                  <w:tcMar>
                    <w:top w:w="0" w:type="dxa"/>
                    <w:left w:w="0" w:type="dxa"/>
                    <w:bottom w:w="0" w:type="dxa"/>
                    <w:right w:w="0" w:type="dxa"/>
                  </w:tcMar>
                  <w:vAlign w:val="center"/>
                </w:tcPr>
                <w:p w14:paraId="66D91A9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80" w:type="pct"/>
                  <w:tcBorders>
                    <w:tl2br w:val="nil"/>
                    <w:tr2bl w:val="nil"/>
                  </w:tcBorders>
                  <w:shd w:val="clear" w:color="auto" w:fill="auto"/>
                  <w:tcMar>
                    <w:top w:w="0" w:type="dxa"/>
                    <w:left w:w="0" w:type="dxa"/>
                    <w:bottom w:w="0" w:type="dxa"/>
                    <w:right w:w="0" w:type="dxa"/>
                  </w:tcMar>
                  <w:vAlign w:val="center"/>
                </w:tcPr>
                <w:p w14:paraId="71A3FFCA">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35.3</w:t>
                  </w:r>
                </w:p>
              </w:tc>
              <w:tc>
                <w:tcPr>
                  <w:tcW w:w="180" w:type="pct"/>
                  <w:tcBorders>
                    <w:tl2br w:val="nil"/>
                    <w:tr2bl w:val="nil"/>
                  </w:tcBorders>
                  <w:shd w:val="clear" w:color="auto" w:fill="auto"/>
                  <w:tcMar>
                    <w:top w:w="0" w:type="dxa"/>
                    <w:left w:w="0" w:type="dxa"/>
                    <w:bottom w:w="0" w:type="dxa"/>
                    <w:right w:w="0" w:type="dxa"/>
                  </w:tcMar>
                  <w:vAlign w:val="center"/>
                </w:tcPr>
                <w:p w14:paraId="6D084BF7">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-65.3</w:t>
                  </w:r>
                </w:p>
              </w:tc>
              <w:tc>
                <w:tcPr>
                  <w:tcW w:w="194" w:type="pct"/>
                  <w:tcBorders>
                    <w:tl2br w:val="nil"/>
                    <w:tr2bl w:val="nil"/>
                  </w:tcBorders>
                  <w:shd w:val="clear" w:color="auto" w:fill="auto"/>
                  <w:tcMar>
                    <w:top w:w="0" w:type="dxa"/>
                    <w:left w:w="0" w:type="dxa"/>
                    <w:bottom w:w="0" w:type="dxa"/>
                    <w:right w:w="0" w:type="dxa"/>
                  </w:tcMar>
                  <w:vAlign w:val="center"/>
                </w:tcPr>
                <w:p w14:paraId="2B73669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0.7</w:t>
                  </w:r>
                </w:p>
              </w:tc>
              <w:tc>
                <w:tcPr>
                  <w:tcW w:w="173" w:type="pct"/>
                  <w:tcBorders>
                    <w:tl2br w:val="nil"/>
                    <w:tr2bl w:val="nil"/>
                  </w:tcBorders>
                  <w:shd w:val="clear" w:color="auto" w:fill="auto"/>
                  <w:tcMar>
                    <w:top w:w="0" w:type="dxa"/>
                    <w:left w:w="0" w:type="dxa"/>
                    <w:bottom w:w="0" w:type="dxa"/>
                    <w:right w:w="0" w:type="dxa"/>
                  </w:tcMar>
                  <w:vAlign w:val="center"/>
                </w:tcPr>
                <w:p w14:paraId="60E46912">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33.1</w:t>
                  </w:r>
                </w:p>
              </w:tc>
              <w:tc>
                <w:tcPr>
                  <w:tcW w:w="173" w:type="pct"/>
                  <w:tcBorders>
                    <w:tl2br w:val="nil"/>
                    <w:tr2bl w:val="nil"/>
                  </w:tcBorders>
                  <w:shd w:val="clear" w:color="auto" w:fill="auto"/>
                  <w:tcMar>
                    <w:top w:w="0" w:type="dxa"/>
                    <w:left w:w="0" w:type="dxa"/>
                    <w:bottom w:w="0" w:type="dxa"/>
                    <w:right w:w="0" w:type="dxa"/>
                  </w:tcMar>
                  <w:vAlign w:val="center"/>
                </w:tcPr>
                <w:p w14:paraId="0CAC337D">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23.5</w:t>
                  </w:r>
                </w:p>
              </w:tc>
              <w:tc>
                <w:tcPr>
                  <w:tcW w:w="173" w:type="pct"/>
                  <w:tcBorders>
                    <w:tl2br w:val="nil"/>
                    <w:tr2bl w:val="nil"/>
                  </w:tcBorders>
                  <w:shd w:val="clear" w:color="auto" w:fill="auto"/>
                  <w:tcMar>
                    <w:top w:w="0" w:type="dxa"/>
                    <w:left w:w="0" w:type="dxa"/>
                    <w:bottom w:w="0" w:type="dxa"/>
                    <w:right w:w="0" w:type="dxa"/>
                  </w:tcMar>
                  <w:vAlign w:val="center"/>
                </w:tcPr>
                <w:p w14:paraId="106EAB62">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19.6</w:t>
                  </w:r>
                </w:p>
              </w:tc>
              <w:tc>
                <w:tcPr>
                  <w:tcW w:w="179" w:type="pct"/>
                  <w:tcBorders>
                    <w:tl2br w:val="nil"/>
                    <w:tr2bl w:val="nil"/>
                  </w:tcBorders>
                  <w:shd w:val="clear" w:color="auto" w:fill="auto"/>
                  <w:tcMar>
                    <w:top w:w="0" w:type="dxa"/>
                    <w:left w:w="0" w:type="dxa"/>
                    <w:bottom w:w="0" w:type="dxa"/>
                    <w:right w:w="0" w:type="dxa"/>
                  </w:tcMar>
                  <w:vAlign w:val="center"/>
                </w:tcPr>
                <w:p w14:paraId="62C825E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45.9</w:t>
                  </w:r>
                </w:p>
              </w:tc>
              <w:tc>
                <w:tcPr>
                  <w:tcW w:w="173" w:type="pct"/>
                  <w:tcBorders>
                    <w:tl2br w:val="nil"/>
                    <w:tr2bl w:val="nil"/>
                  </w:tcBorders>
                  <w:shd w:val="clear" w:color="auto" w:fill="auto"/>
                  <w:tcMar>
                    <w:top w:w="0" w:type="dxa"/>
                    <w:left w:w="0" w:type="dxa"/>
                    <w:bottom w:w="0" w:type="dxa"/>
                    <w:right w:w="0" w:type="dxa"/>
                  </w:tcMar>
                  <w:vAlign w:val="center"/>
                </w:tcPr>
                <w:p w14:paraId="7F529B0D">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67.1</w:t>
                  </w:r>
                </w:p>
              </w:tc>
              <w:tc>
                <w:tcPr>
                  <w:tcW w:w="173" w:type="pct"/>
                  <w:tcBorders>
                    <w:tl2br w:val="nil"/>
                    <w:tr2bl w:val="nil"/>
                  </w:tcBorders>
                  <w:shd w:val="clear" w:color="auto" w:fill="auto"/>
                  <w:tcMar>
                    <w:top w:w="0" w:type="dxa"/>
                    <w:left w:w="0" w:type="dxa"/>
                    <w:bottom w:w="0" w:type="dxa"/>
                    <w:right w:w="0" w:type="dxa"/>
                  </w:tcMar>
                  <w:vAlign w:val="center"/>
                </w:tcPr>
                <w:p w14:paraId="3548930A">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67.1</w:t>
                  </w:r>
                </w:p>
              </w:tc>
              <w:tc>
                <w:tcPr>
                  <w:tcW w:w="173" w:type="pct"/>
                  <w:tcBorders>
                    <w:tl2br w:val="nil"/>
                    <w:tr2bl w:val="nil"/>
                  </w:tcBorders>
                  <w:shd w:val="clear" w:color="auto" w:fill="auto"/>
                  <w:tcMar>
                    <w:top w:w="0" w:type="dxa"/>
                    <w:left w:w="0" w:type="dxa"/>
                    <w:bottom w:w="0" w:type="dxa"/>
                    <w:right w:w="0" w:type="dxa"/>
                  </w:tcMar>
                  <w:vAlign w:val="center"/>
                </w:tcPr>
                <w:p w14:paraId="45639C3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67.1</w:t>
                  </w:r>
                </w:p>
              </w:tc>
              <w:tc>
                <w:tcPr>
                  <w:tcW w:w="181" w:type="pct"/>
                  <w:tcBorders>
                    <w:tl2br w:val="nil"/>
                    <w:tr2bl w:val="nil"/>
                  </w:tcBorders>
                  <w:shd w:val="clear" w:color="auto" w:fill="auto"/>
                  <w:tcMar>
                    <w:top w:w="0" w:type="dxa"/>
                    <w:left w:w="0" w:type="dxa"/>
                    <w:bottom w:w="0" w:type="dxa"/>
                    <w:right w:w="0" w:type="dxa"/>
                  </w:tcMar>
                  <w:vAlign w:val="center"/>
                </w:tcPr>
                <w:p w14:paraId="50BAA98F">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67.1</w:t>
                  </w:r>
                </w:p>
              </w:tc>
              <w:tc>
                <w:tcPr>
                  <w:tcW w:w="170" w:type="pct"/>
                  <w:vMerge w:val="continue"/>
                  <w:tcBorders>
                    <w:tl2br w:val="nil"/>
                    <w:tr2bl w:val="nil"/>
                  </w:tcBorders>
                  <w:shd w:val="clear" w:color="auto" w:fill="auto"/>
                  <w:tcMar>
                    <w:top w:w="0" w:type="dxa"/>
                    <w:left w:w="0" w:type="dxa"/>
                    <w:bottom w:w="0" w:type="dxa"/>
                    <w:right w:w="0" w:type="dxa"/>
                  </w:tcMar>
                  <w:vAlign w:val="center"/>
                </w:tcPr>
                <w:p w14:paraId="6C51C760">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0A85CFBF">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173362F2">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5C4CC687">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13C14C42">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213" w:type="pct"/>
                  <w:vMerge w:val="continue"/>
                  <w:tcBorders>
                    <w:tl2br w:val="nil"/>
                    <w:tr2bl w:val="nil"/>
                  </w:tcBorders>
                  <w:shd w:val="clear" w:color="auto" w:fill="auto"/>
                  <w:tcMar>
                    <w:top w:w="0" w:type="dxa"/>
                    <w:left w:w="0" w:type="dxa"/>
                    <w:bottom w:w="0" w:type="dxa"/>
                    <w:right w:w="0" w:type="dxa"/>
                  </w:tcMar>
                  <w:vAlign w:val="center"/>
                </w:tcPr>
                <w:p w14:paraId="73567E8B">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53C9D7BA">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104AE78F">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5B2C3486">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18ADF88D">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203" w:type="pct"/>
                  <w:vMerge w:val="continue"/>
                  <w:tcBorders>
                    <w:tl2br w:val="nil"/>
                    <w:tr2bl w:val="nil"/>
                  </w:tcBorders>
                  <w:shd w:val="clear" w:color="auto" w:fill="auto"/>
                  <w:tcMar>
                    <w:top w:w="0" w:type="dxa"/>
                    <w:left w:w="0" w:type="dxa"/>
                    <w:bottom w:w="0" w:type="dxa"/>
                    <w:right w:w="0" w:type="dxa"/>
                  </w:tcMar>
                  <w:vAlign w:val="center"/>
                </w:tcPr>
                <w:p w14:paraId="7E0F3401">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r>
            <w:tr w14:paraId="74EFB38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 w:type="pct"/>
                  <w:tcBorders>
                    <w:tl2br w:val="nil"/>
                    <w:tr2bl w:val="nil"/>
                  </w:tcBorders>
                  <w:shd w:val="clear" w:color="auto" w:fill="auto"/>
                  <w:tcMar>
                    <w:top w:w="0" w:type="dxa"/>
                    <w:left w:w="0" w:type="dxa"/>
                    <w:bottom w:w="0" w:type="dxa"/>
                    <w:right w:w="0" w:type="dxa"/>
                  </w:tcMar>
                  <w:vAlign w:val="center"/>
                </w:tcPr>
                <w:p w14:paraId="04DF166C">
                  <w:pPr>
                    <w:keepNext w:val="0"/>
                    <w:keepLines w:val="0"/>
                    <w:pageBreakBefore w:val="0"/>
                    <w:widowControl w:val="0"/>
                    <w:numPr>
                      <w:ilvl w:val="0"/>
                      <w:numId w:val="2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0" w:type="pct"/>
                  <w:vMerge w:val="continue"/>
                  <w:tcBorders>
                    <w:tl2br w:val="nil"/>
                    <w:tr2bl w:val="nil"/>
                  </w:tcBorders>
                  <w:shd w:val="clear" w:color="auto" w:fill="auto"/>
                  <w:tcMar>
                    <w:top w:w="0" w:type="dxa"/>
                    <w:left w:w="0" w:type="dxa"/>
                    <w:bottom w:w="0" w:type="dxa"/>
                    <w:right w:w="0" w:type="dxa"/>
                  </w:tcMar>
                  <w:vAlign w:val="center"/>
                </w:tcPr>
                <w:p w14:paraId="1B004AE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p>
              </w:tc>
              <w:tc>
                <w:tcPr>
                  <w:tcW w:w="294" w:type="pct"/>
                  <w:tcBorders>
                    <w:tl2br w:val="nil"/>
                    <w:tr2bl w:val="nil"/>
                  </w:tcBorders>
                  <w:shd w:val="clear" w:color="auto" w:fill="auto"/>
                  <w:tcMar>
                    <w:top w:w="0" w:type="dxa"/>
                    <w:left w:w="0" w:type="dxa"/>
                    <w:bottom w:w="0" w:type="dxa"/>
                    <w:right w:w="0" w:type="dxa"/>
                  </w:tcMar>
                  <w:vAlign w:val="center"/>
                </w:tcPr>
                <w:p w14:paraId="610DADB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color w:val="000000" w:themeColor="text1"/>
                      <w:szCs w:val="21"/>
                      <w14:textFill>
                        <w14:solidFill>
                          <w14:schemeClr w14:val="tx1"/>
                        </w14:solidFill>
                      </w14:textFill>
                    </w:rPr>
                    <w:t>条袋包装机</w:t>
                  </w:r>
                </w:p>
              </w:tc>
              <w:tc>
                <w:tcPr>
                  <w:tcW w:w="249" w:type="pct"/>
                  <w:tcBorders>
                    <w:tl2br w:val="nil"/>
                    <w:tr2bl w:val="nil"/>
                  </w:tcBorders>
                  <w:shd w:val="clear" w:color="auto" w:fill="auto"/>
                  <w:tcMar>
                    <w:top w:w="0" w:type="dxa"/>
                    <w:left w:w="0" w:type="dxa"/>
                    <w:bottom w:w="0" w:type="dxa"/>
                    <w:right w:w="0" w:type="dxa"/>
                  </w:tcMar>
                  <w:vAlign w:val="center"/>
                </w:tcPr>
                <w:p w14:paraId="7C9B4917">
                  <w:pPr>
                    <w:keepNext w:val="0"/>
                    <w:keepLines w:val="0"/>
                    <w:widowControl/>
                    <w:suppressLineNumbers w:val="0"/>
                    <w:spacing w:before="0" w:beforeAutospacing="0" w:after="0" w:afterAutospacing="0"/>
                    <w:ind w:left="0" w:leftChars="0" w:right="0" w:rightChars="0"/>
                    <w:jc w:val="center"/>
                    <w:rPr>
                      <w:rFonts w:hint="default" w:cs="Times New Roman"/>
                      <w:color w:val="000000" w:themeColor="text1"/>
                      <w:sz w:val="21"/>
                      <w:szCs w:val="21"/>
                      <w:highlight w:val="none"/>
                      <w:lang w:val="en-US" w:eastAsia="zh-CN"/>
                      <w14:textFill>
                        <w14:solidFill>
                          <w14:schemeClr w14:val="tx1"/>
                        </w14:solidFill>
                      </w14:textFill>
                    </w:rPr>
                  </w:pPr>
                  <w:r>
                    <w:rPr>
                      <w:rFonts w:hint="default"/>
                      <w:color w:val="000000" w:themeColor="text1"/>
                      <w:szCs w:val="21"/>
                      <w14:textFill>
                        <w14:solidFill>
                          <w14:schemeClr w14:val="tx1"/>
                        </w14:solidFill>
                      </w14:textFill>
                    </w:rPr>
                    <w:t>DXDK900A</w:t>
                  </w:r>
                </w:p>
              </w:tc>
              <w:tc>
                <w:tcPr>
                  <w:tcW w:w="254" w:type="pct"/>
                  <w:tcBorders>
                    <w:tl2br w:val="nil"/>
                    <w:tr2bl w:val="nil"/>
                  </w:tcBorders>
                  <w:shd w:val="clear" w:color="auto" w:fill="auto"/>
                  <w:tcMar>
                    <w:top w:w="0" w:type="dxa"/>
                    <w:left w:w="0" w:type="dxa"/>
                    <w:bottom w:w="0" w:type="dxa"/>
                    <w:right w:w="0" w:type="dxa"/>
                  </w:tcMar>
                  <w:vAlign w:val="center"/>
                </w:tcPr>
                <w:p w14:paraId="313E451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75</w:t>
                  </w:r>
                </w:p>
              </w:tc>
              <w:tc>
                <w:tcPr>
                  <w:tcW w:w="173" w:type="pct"/>
                  <w:vMerge w:val="continue"/>
                  <w:tcBorders>
                    <w:tl2br w:val="nil"/>
                    <w:tr2bl w:val="nil"/>
                  </w:tcBorders>
                  <w:shd w:val="clear" w:color="auto" w:fill="auto"/>
                  <w:tcMar>
                    <w:top w:w="0" w:type="dxa"/>
                    <w:left w:w="0" w:type="dxa"/>
                    <w:bottom w:w="0" w:type="dxa"/>
                    <w:right w:w="0" w:type="dxa"/>
                  </w:tcMar>
                  <w:vAlign w:val="center"/>
                </w:tcPr>
                <w:p w14:paraId="626CDC2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80" w:type="pct"/>
                  <w:tcBorders>
                    <w:tl2br w:val="nil"/>
                    <w:tr2bl w:val="nil"/>
                  </w:tcBorders>
                  <w:shd w:val="clear" w:color="auto" w:fill="auto"/>
                  <w:tcMar>
                    <w:top w:w="0" w:type="dxa"/>
                    <w:left w:w="0" w:type="dxa"/>
                    <w:bottom w:w="0" w:type="dxa"/>
                    <w:right w:w="0" w:type="dxa"/>
                  </w:tcMar>
                  <w:vAlign w:val="center"/>
                </w:tcPr>
                <w:p w14:paraId="26DC76E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34</w:t>
                  </w:r>
                </w:p>
              </w:tc>
              <w:tc>
                <w:tcPr>
                  <w:tcW w:w="180" w:type="pct"/>
                  <w:tcBorders>
                    <w:tl2br w:val="nil"/>
                    <w:tr2bl w:val="nil"/>
                  </w:tcBorders>
                  <w:shd w:val="clear" w:color="auto" w:fill="auto"/>
                  <w:tcMar>
                    <w:top w:w="0" w:type="dxa"/>
                    <w:left w:w="0" w:type="dxa"/>
                    <w:bottom w:w="0" w:type="dxa"/>
                    <w:right w:w="0" w:type="dxa"/>
                  </w:tcMar>
                  <w:vAlign w:val="center"/>
                </w:tcPr>
                <w:p w14:paraId="689F4D7E">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-59.1</w:t>
                  </w:r>
                </w:p>
              </w:tc>
              <w:tc>
                <w:tcPr>
                  <w:tcW w:w="194" w:type="pct"/>
                  <w:tcBorders>
                    <w:tl2br w:val="nil"/>
                    <w:tr2bl w:val="nil"/>
                  </w:tcBorders>
                  <w:shd w:val="clear" w:color="auto" w:fill="auto"/>
                  <w:tcMar>
                    <w:top w:w="0" w:type="dxa"/>
                    <w:left w:w="0" w:type="dxa"/>
                    <w:bottom w:w="0" w:type="dxa"/>
                    <w:right w:w="0" w:type="dxa"/>
                  </w:tcMar>
                  <w:vAlign w:val="center"/>
                </w:tcPr>
                <w:p w14:paraId="3EE1BA4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0.8</w:t>
                  </w:r>
                </w:p>
              </w:tc>
              <w:tc>
                <w:tcPr>
                  <w:tcW w:w="173" w:type="pct"/>
                  <w:tcBorders>
                    <w:tl2br w:val="nil"/>
                    <w:tr2bl w:val="nil"/>
                  </w:tcBorders>
                  <w:shd w:val="clear" w:color="auto" w:fill="auto"/>
                  <w:tcMar>
                    <w:top w:w="0" w:type="dxa"/>
                    <w:left w:w="0" w:type="dxa"/>
                    <w:bottom w:w="0" w:type="dxa"/>
                    <w:right w:w="0" w:type="dxa"/>
                  </w:tcMar>
                  <w:vAlign w:val="center"/>
                </w:tcPr>
                <w:p w14:paraId="523C0AE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33.6</w:t>
                  </w:r>
                </w:p>
              </w:tc>
              <w:tc>
                <w:tcPr>
                  <w:tcW w:w="173" w:type="pct"/>
                  <w:tcBorders>
                    <w:tl2br w:val="nil"/>
                    <w:tr2bl w:val="nil"/>
                  </w:tcBorders>
                  <w:shd w:val="clear" w:color="auto" w:fill="auto"/>
                  <w:tcMar>
                    <w:top w:w="0" w:type="dxa"/>
                    <w:left w:w="0" w:type="dxa"/>
                    <w:bottom w:w="0" w:type="dxa"/>
                    <w:right w:w="0" w:type="dxa"/>
                  </w:tcMar>
                  <w:vAlign w:val="center"/>
                </w:tcPr>
                <w:p w14:paraId="287987E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29.8</w:t>
                  </w:r>
                </w:p>
              </w:tc>
              <w:tc>
                <w:tcPr>
                  <w:tcW w:w="173" w:type="pct"/>
                  <w:tcBorders>
                    <w:tl2br w:val="nil"/>
                    <w:tr2bl w:val="nil"/>
                  </w:tcBorders>
                  <w:shd w:val="clear" w:color="auto" w:fill="auto"/>
                  <w:tcMar>
                    <w:top w:w="0" w:type="dxa"/>
                    <w:left w:w="0" w:type="dxa"/>
                    <w:bottom w:w="0" w:type="dxa"/>
                    <w:right w:w="0" w:type="dxa"/>
                  </w:tcMar>
                  <w:vAlign w:val="center"/>
                </w:tcPr>
                <w:p w14:paraId="5F4084A2">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18.9</w:t>
                  </w:r>
                </w:p>
              </w:tc>
              <w:tc>
                <w:tcPr>
                  <w:tcW w:w="179" w:type="pct"/>
                  <w:tcBorders>
                    <w:tl2br w:val="nil"/>
                    <w:tr2bl w:val="nil"/>
                  </w:tcBorders>
                  <w:shd w:val="clear" w:color="auto" w:fill="auto"/>
                  <w:tcMar>
                    <w:top w:w="0" w:type="dxa"/>
                    <w:left w:w="0" w:type="dxa"/>
                    <w:bottom w:w="0" w:type="dxa"/>
                    <w:right w:w="0" w:type="dxa"/>
                  </w:tcMar>
                  <w:vAlign w:val="center"/>
                </w:tcPr>
                <w:p w14:paraId="33C651F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39.6</w:t>
                  </w:r>
                </w:p>
              </w:tc>
              <w:tc>
                <w:tcPr>
                  <w:tcW w:w="173" w:type="pct"/>
                  <w:tcBorders>
                    <w:tl2br w:val="nil"/>
                    <w:tr2bl w:val="nil"/>
                  </w:tcBorders>
                  <w:shd w:val="clear" w:color="auto" w:fill="auto"/>
                  <w:tcMar>
                    <w:top w:w="0" w:type="dxa"/>
                    <w:left w:w="0" w:type="dxa"/>
                    <w:bottom w:w="0" w:type="dxa"/>
                    <w:right w:w="0" w:type="dxa"/>
                  </w:tcMar>
                  <w:vAlign w:val="center"/>
                </w:tcPr>
                <w:p w14:paraId="044ED11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62.1</w:t>
                  </w:r>
                </w:p>
              </w:tc>
              <w:tc>
                <w:tcPr>
                  <w:tcW w:w="173" w:type="pct"/>
                  <w:tcBorders>
                    <w:tl2br w:val="nil"/>
                    <w:tr2bl w:val="nil"/>
                  </w:tcBorders>
                  <w:shd w:val="clear" w:color="auto" w:fill="auto"/>
                  <w:tcMar>
                    <w:top w:w="0" w:type="dxa"/>
                    <w:left w:w="0" w:type="dxa"/>
                    <w:bottom w:w="0" w:type="dxa"/>
                    <w:right w:w="0" w:type="dxa"/>
                  </w:tcMar>
                  <w:vAlign w:val="center"/>
                </w:tcPr>
                <w:p w14:paraId="25C0B8CF">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62.1</w:t>
                  </w:r>
                </w:p>
              </w:tc>
              <w:tc>
                <w:tcPr>
                  <w:tcW w:w="173" w:type="pct"/>
                  <w:tcBorders>
                    <w:tl2br w:val="nil"/>
                    <w:tr2bl w:val="nil"/>
                  </w:tcBorders>
                  <w:shd w:val="clear" w:color="auto" w:fill="auto"/>
                  <w:tcMar>
                    <w:top w:w="0" w:type="dxa"/>
                    <w:left w:w="0" w:type="dxa"/>
                    <w:bottom w:w="0" w:type="dxa"/>
                    <w:right w:w="0" w:type="dxa"/>
                  </w:tcMar>
                  <w:vAlign w:val="center"/>
                </w:tcPr>
                <w:p w14:paraId="2C468FB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62.1</w:t>
                  </w:r>
                </w:p>
              </w:tc>
              <w:tc>
                <w:tcPr>
                  <w:tcW w:w="181" w:type="pct"/>
                  <w:tcBorders>
                    <w:tl2br w:val="nil"/>
                    <w:tr2bl w:val="nil"/>
                  </w:tcBorders>
                  <w:shd w:val="clear" w:color="auto" w:fill="auto"/>
                  <w:tcMar>
                    <w:top w:w="0" w:type="dxa"/>
                    <w:left w:w="0" w:type="dxa"/>
                    <w:bottom w:w="0" w:type="dxa"/>
                    <w:right w:w="0" w:type="dxa"/>
                  </w:tcMar>
                  <w:vAlign w:val="center"/>
                </w:tcPr>
                <w:p w14:paraId="6D44AE7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62.1</w:t>
                  </w:r>
                </w:p>
              </w:tc>
              <w:tc>
                <w:tcPr>
                  <w:tcW w:w="170" w:type="pct"/>
                  <w:vMerge w:val="continue"/>
                  <w:tcBorders>
                    <w:tl2br w:val="nil"/>
                    <w:tr2bl w:val="nil"/>
                  </w:tcBorders>
                  <w:shd w:val="clear" w:color="auto" w:fill="auto"/>
                  <w:tcMar>
                    <w:top w:w="0" w:type="dxa"/>
                    <w:left w:w="0" w:type="dxa"/>
                    <w:bottom w:w="0" w:type="dxa"/>
                    <w:right w:w="0" w:type="dxa"/>
                  </w:tcMar>
                  <w:vAlign w:val="center"/>
                </w:tcPr>
                <w:p w14:paraId="7EA8D361">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581DCED1">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3D88F346">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3CC2389F">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157E244D">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213" w:type="pct"/>
                  <w:vMerge w:val="continue"/>
                  <w:tcBorders>
                    <w:tl2br w:val="nil"/>
                    <w:tr2bl w:val="nil"/>
                  </w:tcBorders>
                  <w:shd w:val="clear" w:color="auto" w:fill="auto"/>
                  <w:tcMar>
                    <w:top w:w="0" w:type="dxa"/>
                    <w:left w:w="0" w:type="dxa"/>
                    <w:bottom w:w="0" w:type="dxa"/>
                    <w:right w:w="0" w:type="dxa"/>
                  </w:tcMar>
                  <w:vAlign w:val="center"/>
                </w:tcPr>
                <w:p w14:paraId="2085CD67">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778DAF87">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1873B86A">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6FE38827">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1D59396E">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203" w:type="pct"/>
                  <w:vMerge w:val="continue"/>
                  <w:tcBorders>
                    <w:tl2br w:val="nil"/>
                    <w:tr2bl w:val="nil"/>
                  </w:tcBorders>
                  <w:shd w:val="clear" w:color="auto" w:fill="auto"/>
                  <w:tcMar>
                    <w:top w:w="0" w:type="dxa"/>
                    <w:left w:w="0" w:type="dxa"/>
                    <w:bottom w:w="0" w:type="dxa"/>
                    <w:right w:w="0" w:type="dxa"/>
                  </w:tcMar>
                  <w:vAlign w:val="center"/>
                </w:tcPr>
                <w:p w14:paraId="2A0DB4AD">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r>
            <w:tr w14:paraId="12F605A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 w:type="pct"/>
                  <w:tcBorders>
                    <w:tl2br w:val="nil"/>
                    <w:tr2bl w:val="nil"/>
                  </w:tcBorders>
                  <w:shd w:val="clear" w:color="auto" w:fill="auto"/>
                  <w:tcMar>
                    <w:top w:w="0" w:type="dxa"/>
                    <w:left w:w="0" w:type="dxa"/>
                    <w:bottom w:w="0" w:type="dxa"/>
                    <w:right w:w="0" w:type="dxa"/>
                  </w:tcMar>
                  <w:vAlign w:val="center"/>
                </w:tcPr>
                <w:p w14:paraId="4E7AEC68">
                  <w:pPr>
                    <w:keepNext w:val="0"/>
                    <w:keepLines w:val="0"/>
                    <w:pageBreakBefore w:val="0"/>
                    <w:widowControl w:val="0"/>
                    <w:numPr>
                      <w:ilvl w:val="0"/>
                      <w:numId w:val="2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0" w:type="pct"/>
                  <w:vMerge w:val="continue"/>
                  <w:tcBorders>
                    <w:tl2br w:val="nil"/>
                    <w:tr2bl w:val="nil"/>
                  </w:tcBorders>
                  <w:shd w:val="clear" w:color="auto" w:fill="auto"/>
                  <w:tcMar>
                    <w:top w:w="0" w:type="dxa"/>
                    <w:left w:w="0" w:type="dxa"/>
                    <w:bottom w:w="0" w:type="dxa"/>
                    <w:right w:w="0" w:type="dxa"/>
                  </w:tcMar>
                  <w:vAlign w:val="center"/>
                </w:tcPr>
                <w:p w14:paraId="0DEF11E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p>
              </w:tc>
              <w:tc>
                <w:tcPr>
                  <w:tcW w:w="294" w:type="pct"/>
                  <w:tcBorders>
                    <w:tl2br w:val="nil"/>
                    <w:tr2bl w:val="nil"/>
                  </w:tcBorders>
                  <w:shd w:val="clear" w:color="auto" w:fill="auto"/>
                  <w:tcMar>
                    <w:top w:w="0" w:type="dxa"/>
                    <w:left w:w="0" w:type="dxa"/>
                    <w:bottom w:w="0" w:type="dxa"/>
                    <w:right w:w="0" w:type="dxa"/>
                  </w:tcMar>
                  <w:vAlign w:val="center"/>
                </w:tcPr>
                <w:p w14:paraId="6323FFE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color w:val="000000" w:themeColor="text1"/>
                      <w:szCs w:val="21"/>
                      <w14:textFill>
                        <w14:solidFill>
                          <w14:schemeClr w14:val="tx1"/>
                        </w14:solidFill>
                      </w14:textFill>
                    </w:rPr>
                    <w:t>全自动洗脱烘机</w:t>
                  </w:r>
                </w:p>
              </w:tc>
              <w:tc>
                <w:tcPr>
                  <w:tcW w:w="249" w:type="pct"/>
                  <w:tcBorders>
                    <w:tl2br w:val="nil"/>
                    <w:tr2bl w:val="nil"/>
                  </w:tcBorders>
                  <w:shd w:val="clear" w:color="auto" w:fill="auto"/>
                  <w:tcMar>
                    <w:top w:w="0" w:type="dxa"/>
                    <w:left w:w="0" w:type="dxa"/>
                    <w:bottom w:w="0" w:type="dxa"/>
                    <w:right w:w="0" w:type="dxa"/>
                  </w:tcMar>
                  <w:vAlign w:val="center"/>
                </w:tcPr>
                <w:p w14:paraId="67427097">
                  <w:pPr>
                    <w:keepNext w:val="0"/>
                    <w:keepLines w:val="0"/>
                    <w:widowControl/>
                    <w:suppressLineNumbers w:val="0"/>
                    <w:spacing w:before="0" w:beforeAutospacing="0" w:after="0" w:afterAutospacing="0"/>
                    <w:ind w:left="0" w:leftChars="0" w:right="0" w:rightChars="0"/>
                    <w:jc w:val="center"/>
                    <w:rPr>
                      <w:rFonts w:hint="default" w:cs="Times New Roman"/>
                      <w:color w:val="000000" w:themeColor="text1"/>
                      <w:sz w:val="21"/>
                      <w:szCs w:val="21"/>
                      <w:highlight w:val="none"/>
                      <w:lang w:val="en-US" w:eastAsia="zh-CN"/>
                      <w14:textFill>
                        <w14:solidFill>
                          <w14:schemeClr w14:val="tx1"/>
                        </w14:solidFill>
                      </w14:textFill>
                    </w:rPr>
                  </w:pPr>
                  <w:r>
                    <w:rPr>
                      <w:rFonts w:hint="default"/>
                      <w:color w:val="000000" w:themeColor="text1"/>
                      <w:szCs w:val="21"/>
                      <w14:textFill>
                        <w14:solidFill>
                          <w14:schemeClr w14:val="tx1"/>
                        </w14:solidFill>
                      </w14:textFill>
                    </w:rPr>
                    <w:t>XTH-15</w:t>
                  </w:r>
                </w:p>
              </w:tc>
              <w:tc>
                <w:tcPr>
                  <w:tcW w:w="254" w:type="pct"/>
                  <w:tcBorders>
                    <w:tl2br w:val="nil"/>
                    <w:tr2bl w:val="nil"/>
                  </w:tcBorders>
                  <w:shd w:val="clear" w:color="auto" w:fill="auto"/>
                  <w:tcMar>
                    <w:top w:w="0" w:type="dxa"/>
                    <w:left w:w="0" w:type="dxa"/>
                    <w:bottom w:w="0" w:type="dxa"/>
                    <w:right w:w="0" w:type="dxa"/>
                  </w:tcMar>
                  <w:vAlign w:val="center"/>
                </w:tcPr>
                <w:p w14:paraId="64F1D69C">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lang w:val="en-US" w:eastAsia="zh-CN"/>
                      <w14:textFill>
                        <w14:solidFill>
                          <w14:schemeClr w14:val="tx1"/>
                        </w14:solidFill>
                      </w14:textFill>
                    </w:rPr>
                  </w:pPr>
                  <w:r>
                    <w:rPr>
                      <w:rFonts w:hint="default" w:ascii="Times New Roman" w:hAnsi="Times New Roman" w:eastAsia="Arial" w:cs="Times New Roman"/>
                      <w:color w:val="000000" w:themeColor="text1"/>
                      <w:sz w:val="21"/>
                      <w:szCs w:val="21"/>
                      <w14:textFill>
                        <w14:solidFill>
                          <w14:schemeClr w14:val="tx1"/>
                        </w14:solidFill>
                      </w14:textFill>
                    </w:rPr>
                    <w:t>80</w:t>
                  </w:r>
                </w:p>
              </w:tc>
              <w:tc>
                <w:tcPr>
                  <w:tcW w:w="173" w:type="pct"/>
                  <w:vMerge w:val="continue"/>
                  <w:tcBorders>
                    <w:tl2br w:val="nil"/>
                    <w:tr2bl w:val="nil"/>
                  </w:tcBorders>
                  <w:shd w:val="clear" w:color="auto" w:fill="auto"/>
                  <w:tcMar>
                    <w:top w:w="0" w:type="dxa"/>
                    <w:left w:w="0" w:type="dxa"/>
                    <w:bottom w:w="0" w:type="dxa"/>
                    <w:right w:w="0" w:type="dxa"/>
                  </w:tcMar>
                  <w:vAlign w:val="center"/>
                </w:tcPr>
                <w:p w14:paraId="4C22017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80" w:type="pct"/>
                  <w:tcBorders>
                    <w:tl2br w:val="nil"/>
                    <w:tr2bl w:val="nil"/>
                  </w:tcBorders>
                  <w:shd w:val="clear" w:color="auto" w:fill="auto"/>
                  <w:tcMar>
                    <w:top w:w="0" w:type="dxa"/>
                    <w:left w:w="0" w:type="dxa"/>
                    <w:bottom w:w="0" w:type="dxa"/>
                    <w:right w:w="0" w:type="dxa"/>
                  </w:tcMar>
                  <w:vAlign w:val="center"/>
                </w:tcPr>
                <w:p w14:paraId="2D7F957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32.6</w:t>
                  </w:r>
                </w:p>
              </w:tc>
              <w:tc>
                <w:tcPr>
                  <w:tcW w:w="180" w:type="pct"/>
                  <w:tcBorders>
                    <w:tl2br w:val="nil"/>
                    <w:tr2bl w:val="nil"/>
                  </w:tcBorders>
                  <w:shd w:val="clear" w:color="auto" w:fill="auto"/>
                  <w:tcMar>
                    <w:top w:w="0" w:type="dxa"/>
                    <w:left w:w="0" w:type="dxa"/>
                    <w:bottom w:w="0" w:type="dxa"/>
                    <w:right w:w="0" w:type="dxa"/>
                  </w:tcMar>
                  <w:vAlign w:val="center"/>
                </w:tcPr>
                <w:p w14:paraId="77BFE1CB">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-52.5</w:t>
                  </w:r>
                </w:p>
              </w:tc>
              <w:tc>
                <w:tcPr>
                  <w:tcW w:w="194" w:type="pct"/>
                  <w:tcBorders>
                    <w:tl2br w:val="nil"/>
                    <w:tr2bl w:val="nil"/>
                  </w:tcBorders>
                  <w:shd w:val="clear" w:color="auto" w:fill="auto"/>
                  <w:tcMar>
                    <w:top w:w="0" w:type="dxa"/>
                    <w:left w:w="0" w:type="dxa"/>
                    <w:bottom w:w="0" w:type="dxa"/>
                    <w:right w:w="0" w:type="dxa"/>
                  </w:tcMar>
                  <w:vAlign w:val="center"/>
                </w:tcPr>
                <w:p w14:paraId="5C07CBDA">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0.8</w:t>
                  </w:r>
                </w:p>
              </w:tc>
              <w:tc>
                <w:tcPr>
                  <w:tcW w:w="173" w:type="pct"/>
                  <w:tcBorders>
                    <w:tl2br w:val="nil"/>
                    <w:tr2bl w:val="nil"/>
                  </w:tcBorders>
                  <w:shd w:val="clear" w:color="auto" w:fill="auto"/>
                  <w:tcMar>
                    <w:top w:w="0" w:type="dxa"/>
                    <w:left w:w="0" w:type="dxa"/>
                    <w:bottom w:w="0" w:type="dxa"/>
                    <w:right w:w="0" w:type="dxa"/>
                  </w:tcMar>
                  <w:vAlign w:val="center"/>
                </w:tcPr>
                <w:p w14:paraId="19C17DEF">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34.2</w:t>
                  </w:r>
                </w:p>
              </w:tc>
              <w:tc>
                <w:tcPr>
                  <w:tcW w:w="173" w:type="pct"/>
                  <w:tcBorders>
                    <w:tl2br w:val="nil"/>
                    <w:tr2bl w:val="nil"/>
                  </w:tcBorders>
                  <w:shd w:val="clear" w:color="auto" w:fill="auto"/>
                  <w:tcMar>
                    <w:top w:w="0" w:type="dxa"/>
                    <w:left w:w="0" w:type="dxa"/>
                    <w:bottom w:w="0" w:type="dxa"/>
                    <w:right w:w="0" w:type="dxa"/>
                  </w:tcMar>
                  <w:vAlign w:val="center"/>
                </w:tcPr>
                <w:p w14:paraId="00573C43">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36.5</w:t>
                  </w:r>
                </w:p>
              </w:tc>
              <w:tc>
                <w:tcPr>
                  <w:tcW w:w="173" w:type="pct"/>
                  <w:tcBorders>
                    <w:tl2br w:val="nil"/>
                    <w:tr2bl w:val="nil"/>
                  </w:tcBorders>
                  <w:shd w:val="clear" w:color="auto" w:fill="auto"/>
                  <w:tcMar>
                    <w:top w:w="0" w:type="dxa"/>
                    <w:left w:w="0" w:type="dxa"/>
                    <w:bottom w:w="0" w:type="dxa"/>
                    <w:right w:w="0" w:type="dxa"/>
                  </w:tcMar>
                  <w:vAlign w:val="center"/>
                </w:tcPr>
                <w:p w14:paraId="05168B5F">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18.2</w:t>
                  </w:r>
                </w:p>
              </w:tc>
              <w:tc>
                <w:tcPr>
                  <w:tcW w:w="179" w:type="pct"/>
                  <w:tcBorders>
                    <w:tl2br w:val="nil"/>
                    <w:tr2bl w:val="nil"/>
                  </w:tcBorders>
                  <w:shd w:val="clear" w:color="auto" w:fill="auto"/>
                  <w:tcMar>
                    <w:top w:w="0" w:type="dxa"/>
                    <w:left w:w="0" w:type="dxa"/>
                    <w:bottom w:w="0" w:type="dxa"/>
                    <w:right w:w="0" w:type="dxa"/>
                  </w:tcMar>
                  <w:vAlign w:val="center"/>
                </w:tcPr>
                <w:p w14:paraId="5CE0A1F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32.9</w:t>
                  </w:r>
                </w:p>
              </w:tc>
              <w:tc>
                <w:tcPr>
                  <w:tcW w:w="173" w:type="pct"/>
                  <w:tcBorders>
                    <w:tl2br w:val="nil"/>
                    <w:tr2bl w:val="nil"/>
                  </w:tcBorders>
                  <w:shd w:val="clear" w:color="auto" w:fill="auto"/>
                  <w:tcMar>
                    <w:top w:w="0" w:type="dxa"/>
                    <w:left w:w="0" w:type="dxa"/>
                    <w:bottom w:w="0" w:type="dxa"/>
                    <w:right w:w="0" w:type="dxa"/>
                  </w:tcMar>
                  <w:vAlign w:val="center"/>
                </w:tcPr>
                <w:p w14:paraId="7210A55E">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67.1</w:t>
                  </w:r>
                </w:p>
              </w:tc>
              <w:tc>
                <w:tcPr>
                  <w:tcW w:w="173" w:type="pct"/>
                  <w:tcBorders>
                    <w:tl2br w:val="nil"/>
                    <w:tr2bl w:val="nil"/>
                  </w:tcBorders>
                  <w:shd w:val="clear" w:color="auto" w:fill="auto"/>
                  <w:tcMar>
                    <w:top w:w="0" w:type="dxa"/>
                    <w:left w:w="0" w:type="dxa"/>
                    <w:bottom w:w="0" w:type="dxa"/>
                    <w:right w:w="0" w:type="dxa"/>
                  </w:tcMar>
                  <w:vAlign w:val="center"/>
                </w:tcPr>
                <w:p w14:paraId="2992E11E">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67.1</w:t>
                  </w:r>
                </w:p>
              </w:tc>
              <w:tc>
                <w:tcPr>
                  <w:tcW w:w="173" w:type="pct"/>
                  <w:tcBorders>
                    <w:tl2br w:val="nil"/>
                    <w:tr2bl w:val="nil"/>
                  </w:tcBorders>
                  <w:shd w:val="clear" w:color="auto" w:fill="auto"/>
                  <w:tcMar>
                    <w:top w:w="0" w:type="dxa"/>
                    <w:left w:w="0" w:type="dxa"/>
                    <w:bottom w:w="0" w:type="dxa"/>
                    <w:right w:w="0" w:type="dxa"/>
                  </w:tcMar>
                  <w:vAlign w:val="center"/>
                </w:tcPr>
                <w:p w14:paraId="079FD53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67.1</w:t>
                  </w:r>
                </w:p>
              </w:tc>
              <w:tc>
                <w:tcPr>
                  <w:tcW w:w="181" w:type="pct"/>
                  <w:tcBorders>
                    <w:tl2br w:val="nil"/>
                    <w:tr2bl w:val="nil"/>
                  </w:tcBorders>
                  <w:shd w:val="clear" w:color="auto" w:fill="auto"/>
                  <w:tcMar>
                    <w:top w:w="0" w:type="dxa"/>
                    <w:left w:w="0" w:type="dxa"/>
                    <w:bottom w:w="0" w:type="dxa"/>
                    <w:right w:w="0" w:type="dxa"/>
                  </w:tcMar>
                  <w:vAlign w:val="center"/>
                </w:tcPr>
                <w:p w14:paraId="3E041A8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67.1</w:t>
                  </w:r>
                </w:p>
              </w:tc>
              <w:tc>
                <w:tcPr>
                  <w:tcW w:w="170" w:type="pct"/>
                  <w:vMerge w:val="continue"/>
                  <w:tcBorders>
                    <w:tl2br w:val="nil"/>
                    <w:tr2bl w:val="nil"/>
                  </w:tcBorders>
                  <w:shd w:val="clear" w:color="auto" w:fill="auto"/>
                  <w:tcMar>
                    <w:top w:w="0" w:type="dxa"/>
                    <w:left w:w="0" w:type="dxa"/>
                    <w:bottom w:w="0" w:type="dxa"/>
                    <w:right w:w="0" w:type="dxa"/>
                  </w:tcMar>
                  <w:vAlign w:val="center"/>
                </w:tcPr>
                <w:p w14:paraId="6C654C9E">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36B88E35">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6EE1E127">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75FBAFD4">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3D673AA2">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213" w:type="pct"/>
                  <w:vMerge w:val="continue"/>
                  <w:tcBorders>
                    <w:tl2br w:val="nil"/>
                    <w:tr2bl w:val="nil"/>
                  </w:tcBorders>
                  <w:shd w:val="clear" w:color="auto" w:fill="auto"/>
                  <w:tcMar>
                    <w:top w:w="0" w:type="dxa"/>
                    <w:left w:w="0" w:type="dxa"/>
                    <w:bottom w:w="0" w:type="dxa"/>
                    <w:right w:w="0" w:type="dxa"/>
                  </w:tcMar>
                  <w:vAlign w:val="center"/>
                </w:tcPr>
                <w:p w14:paraId="284E3F4A">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3B405E01">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5C725E39">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6255D855">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16EECF87">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203" w:type="pct"/>
                  <w:vMerge w:val="continue"/>
                  <w:tcBorders>
                    <w:tl2br w:val="nil"/>
                    <w:tr2bl w:val="nil"/>
                  </w:tcBorders>
                  <w:shd w:val="clear" w:color="auto" w:fill="auto"/>
                  <w:tcMar>
                    <w:top w:w="0" w:type="dxa"/>
                    <w:left w:w="0" w:type="dxa"/>
                    <w:bottom w:w="0" w:type="dxa"/>
                    <w:right w:w="0" w:type="dxa"/>
                  </w:tcMar>
                  <w:vAlign w:val="center"/>
                </w:tcPr>
                <w:p w14:paraId="3B498E8C">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r>
            <w:tr w14:paraId="34809C6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 w:type="pct"/>
                  <w:tcBorders>
                    <w:tl2br w:val="nil"/>
                    <w:tr2bl w:val="nil"/>
                  </w:tcBorders>
                  <w:shd w:val="clear" w:color="auto" w:fill="auto"/>
                  <w:tcMar>
                    <w:top w:w="0" w:type="dxa"/>
                    <w:left w:w="0" w:type="dxa"/>
                    <w:bottom w:w="0" w:type="dxa"/>
                    <w:right w:w="0" w:type="dxa"/>
                  </w:tcMar>
                  <w:vAlign w:val="center"/>
                </w:tcPr>
                <w:p w14:paraId="59350A88">
                  <w:pPr>
                    <w:keepNext w:val="0"/>
                    <w:keepLines w:val="0"/>
                    <w:pageBreakBefore w:val="0"/>
                    <w:widowControl w:val="0"/>
                    <w:numPr>
                      <w:ilvl w:val="0"/>
                      <w:numId w:val="2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0" w:type="pct"/>
                  <w:vMerge w:val="continue"/>
                  <w:tcBorders>
                    <w:tl2br w:val="nil"/>
                    <w:tr2bl w:val="nil"/>
                  </w:tcBorders>
                  <w:shd w:val="clear" w:color="auto" w:fill="auto"/>
                  <w:tcMar>
                    <w:top w:w="0" w:type="dxa"/>
                    <w:left w:w="0" w:type="dxa"/>
                    <w:bottom w:w="0" w:type="dxa"/>
                    <w:right w:w="0" w:type="dxa"/>
                  </w:tcMar>
                  <w:vAlign w:val="center"/>
                </w:tcPr>
                <w:p w14:paraId="47694AE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p>
              </w:tc>
              <w:tc>
                <w:tcPr>
                  <w:tcW w:w="294" w:type="pct"/>
                  <w:tcBorders>
                    <w:tl2br w:val="nil"/>
                    <w:tr2bl w:val="nil"/>
                  </w:tcBorders>
                  <w:shd w:val="clear" w:color="auto" w:fill="auto"/>
                  <w:tcMar>
                    <w:top w:w="0" w:type="dxa"/>
                    <w:left w:w="0" w:type="dxa"/>
                    <w:bottom w:w="0" w:type="dxa"/>
                    <w:right w:w="0" w:type="dxa"/>
                  </w:tcMar>
                  <w:vAlign w:val="center"/>
                </w:tcPr>
                <w:p w14:paraId="1CE1CDB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color w:val="000000" w:themeColor="text1"/>
                      <w:szCs w:val="21"/>
                      <w14:textFill>
                        <w14:solidFill>
                          <w14:schemeClr w14:val="tx1"/>
                        </w14:solidFill>
                      </w14:textFill>
                    </w:rPr>
                    <w:t>自动颗粒包装机</w:t>
                  </w:r>
                </w:p>
              </w:tc>
              <w:tc>
                <w:tcPr>
                  <w:tcW w:w="249" w:type="pct"/>
                  <w:tcBorders>
                    <w:tl2br w:val="nil"/>
                    <w:tr2bl w:val="nil"/>
                  </w:tcBorders>
                  <w:shd w:val="clear" w:color="auto" w:fill="auto"/>
                  <w:tcMar>
                    <w:top w:w="0" w:type="dxa"/>
                    <w:left w:w="0" w:type="dxa"/>
                    <w:bottom w:w="0" w:type="dxa"/>
                    <w:right w:w="0" w:type="dxa"/>
                  </w:tcMar>
                  <w:vAlign w:val="center"/>
                </w:tcPr>
                <w:p w14:paraId="3D8878D1">
                  <w:pPr>
                    <w:keepNext w:val="0"/>
                    <w:keepLines w:val="0"/>
                    <w:widowControl/>
                    <w:suppressLineNumbers w:val="0"/>
                    <w:spacing w:before="0" w:beforeAutospacing="0" w:after="0" w:afterAutospacing="0"/>
                    <w:ind w:left="0" w:leftChars="0" w:right="0" w:rightChars="0"/>
                    <w:jc w:val="center"/>
                    <w:rPr>
                      <w:rFonts w:hint="default" w:cs="Times New Roman"/>
                      <w:color w:val="000000" w:themeColor="text1"/>
                      <w:sz w:val="21"/>
                      <w:szCs w:val="21"/>
                      <w:highlight w:val="none"/>
                      <w:lang w:val="en-US" w:eastAsia="zh-CN"/>
                      <w14:textFill>
                        <w14:solidFill>
                          <w14:schemeClr w14:val="tx1"/>
                        </w14:solidFill>
                      </w14:textFill>
                    </w:rPr>
                  </w:pPr>
                  <w:r>
                    <w:rPr>
                      <w:rFonts w:hint="default"/>
                      <w:color w:val="000000" w:themeColor="text1"/>
                      <w:szCs w:val="21"/>
                      <w14:textFill>
                        <w14:solidFill>
                          <w14:schemeClr w14:val="tx1"/>
                        </w14:solidFill>
                      </w14:textFill>
                    </w:rPr>
                    <w:t>DXDK40II</w:t>
                  </w:r>
                </w:p>
              </w:tc>
              <w:tc>
                <w:tcPr>
                  <w:tcW w:w="254" w:type="pct"/>
                  <w:tcBorders>
                    <w:tl2br w:val="nil"/>
                    <w:tr2bl w:val="nil"/>
                  </w:tcBorders>
                  <w:shd w:val="clear" w:color="auto" w:fill="auto"/>
                  <w:tcMar>
                    <w:top w:w="0" w:type="dxa"/>
                    <w:left w:w="0" w:type="dxa"/>
                    <w:bottom w:w="0" w:type="dxa"/>
                    <w:right w:w="0" w:type="dxa"/>
                  </w:tcMar>
                  <w:vAlign w:val="center"/>
                </w:tcPr>
                <w:p w14:paraId="716A37E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75</w:t>
                  </w:r>
                </w:p>
              </w:tc>
              <w:tc>
                <w:tcPr>
                  <w:tcW w:w="173" w:type="pct"/>
                  <w:vMerge w:val="continue"/>
                  <w:tcBorders>
                    <w:tl2br w:val="nil"/>
                    <w:tr2bl w:val="nil"/>
                  </w:tcBorders>
                  <w:shd w:val="clear" w:color="auto" w:fill="auto"/>
                  <w:tcMar>
                    <w:top w:w="0" w:type="dxa"/>
                    <w:left w:w="0" w:type="dxa"/>
                    <w:bottom w:w="0" w:type="dxa"/>
                    <w:right w:w="0" w:type="dxa"/>
                  </w:tcMar>
                  <w:vAlign w:val="center"/>
                </w:tcPr>
                <w:p w14:paraId="64FC9FF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80" w:type="pct"/>
                  <w:tcBorders>
                    <w:tl2br w:val="nil"/>
                    <w:tr2bl w:val="nil"/>
                  </w:tcBorders>
                  <w:shd w:val="clear" w:color="auto" w:fill="auto"/>
                  <w:tcMar>
                    <w:top w:w="0" w:type="dxa"/>
                    <w:left w:w="0" w:type="dxa"/>
                    <w:bottom w:w="0" w:type="dxa"/>
                    <w:right w:w="0" w:type="dxa"/>
                  </w:tcMar>
                  <w:vAlign w:val="center"/>
                </w:tcPr>
                <w:p w14:paraId="05F2315D">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40.2</w:t>
                  </w:r>
                </w:p>
              </w:tc>
              <w:tc>
                <w:tcPr>
                  <w:tcW w:w="180" w:type="pct"/>
                  <w:tcBorders>
                    <w:tl2br w:val="nil"/>
                    <w:tr2bl w:val="nil"/>
                  </w:tcBorders>
                  <w:shd w:val="clear" w:color="auto" w:fill="auto"/>
                  <w:tcMar>
                    <w:top w:w="0" w:type="dxa"/>
                    <w:left w:w="0" w:type="dxa"/>
                    <w:bottom w:w="0" w:type="dxa"/>
                    <w:right w:w="0" w:type="dxa"/>
                  </w:tcMar>
                  <w:vAlign w:val="center"/>
                </w:tcPr>
                <w:p w14:paraId="19DF01E8">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-51.9</w:t>
                  </w:r>
                </w:p>
              </w:tc>
              <w:tc>
                <w:tcPr>
                  <w:tcW w:w="194" w:type="pct"/>
                  <w:tcBorders>
                    <w:tl2br w:val="nil"/>
                    <w:tr2bl w:val="nil"/>
                  </w:tcBorders>
                  <w:shd w:val="clear" w:color="auto" w:fill="auto"/>
                  <w:tcMar>
                    <w:top w:w="0" w:type="dxa"/>
                    <w:left w:w="0" w:type="dxa"/>
                    <w:bottom w:w="0" w:type="dxa"/>
                    <w:right w:w="0" w:type="dxa"/>
                  </w:tcMar>
                  <w:vAlign w:val="center"/>
                </w:tcPr>
                <w:p w14:paraId="286A206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0.8</w:t>
                  </w:r>
                </w:p>
              </w:tc>
              <w:tc>
                <w:tcPr>
                  <w:tcW w:w="173" w:type="pct"/>
                  <w:tcBorders>
                    <w:tl2br w:val="nil"/>
                    <w:tr2bl w:val="nil"/>
                  </w:tcBorders>
                  <w:shd w:val="clear" w:color="auto" w:fill="auto"/>
                  <w:tcMar>
                    <w:top w:w="0" w:type="dxa"/>
                    <w:left w:w="0" w:type="dxa"/>
                    <w:bottom w:w="0" w:type="dxa"/>
                    <w:right w:w="0" w:type="dxa"/>
                  </w:tcMar>
                  <w:vAlign w:val="center"/>
                </w:tcPr>
                <w:p w14:paraId="68F72D2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26.5</w:t>
                  </w:r>
                </w:p>
              </w:tc>
              <w:tc>
                <w:tcPr>
                  <w:tcW w:w="173" w:type="pct"/>
                  <w:tcBorders>
                    <w:tl2br w:val="nil"/>
                    <w:tr2bl w:val="nil"/>
                  </w:tcBorders>
                  <w:shd w:val="clear" w:color="auto" w:fill="auto"/>
                  <w:tcMar>
                    <w:top w:w="0" w:type="dxa"/>
                    <w:left w:w="0" w:type="dxa"/>
                    <w:bottom w:w="0" w:type="dxa"/>
                    <w:right w:w="0" w:type="dxa"/>
                  </w:tcMar>
                  <w:vAlign w:val="center"/>
                </w:tcPr>
                <w:p w14:paraId="21D2A868">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36.3</w:t>
                  </w:r>
                </w:p>
              </w:tc>
              <w:tc>
                <w:tcPr>
                  <w:tcW w:w="173" w:type="pct"/>
                  <w:tcBorders>
                    <w:tl2br w:val="nil"/>
                    <w:tr2bl w:val="nil"/>
                  </w:tcBorders>
                  <w:shd w:val="clear" w:color="auto" w:fill="auto"/>
                  <w:tcMar>
                    <w:top w:w="0" w:type="dxa"/>
                    <w:left w:w="0" w:type="dxa"/>
                    <w:bottom w:w="0" w:type="dxa"/>
                    <w:right w:w="0" w:type="dxa"/>
                  </w:tcMar>
                  <w:vAlign w:val="center"/>
                </w:tcPr>
                <w:p w14:paraId="742CF97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25.8</w:t>
                  </w:r>
                </w:p>
              </w:tc>
              <w:tc>
                <w:tcPr>
                  <w:tcW w:w="179" w:type="pct"/>
                  <w:tcBorders>
                    <w:tl2br w:val="nil"/>
                    <w:tr2bl w:val="nil"/>
                  </w:tcBorders>
                  <w:shd w:val="clear" w:color="auto" w:fill="auto"/>
                  <w:tcMar>
                    <w:top w:w="0" w:type="dxa"/>
                    <w:left w:w="0" w:type="dxa"/>
                    <w:bottom w:w="0" w:type="dxa"/>
                    <w:right w:w="0" w:type="dxa"/>
                  </w:tcMar>
                  <w:vAlign w:val="center"/>
                </w:tcPr>
                <w:p w14:paraId="4BF55E23">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33.1</w:t>
                  </w:r>
                </w:p>
              </w:tc>
              <w:tc>
                <w:tcPr>
                  <w:tcW w:w="173" w:type="pct"/>
                  <w:tcBorders>
                    <w:tl2br w:val="nil"/>
                    <w:tr2bl w:val="nil"/>
                  </w:tcBorders>
                  <w:shd w:val="clear" w:color="auto" w:fill="auto"/>
                  <w:tcMar>
                    <w:top w:w="0" w:type="dxa"/>
                    <w:left w:w="0" w:type="dxa"/>
                    <w:bottom w:w="0" w:type="dxa"/>
                    <w:right w:w="0" w:type="dxa"/>
                  </w:tcMar>
                  <w:vAlign w:val="center"/>
                </w:tcPr>
                <w:p w14:paraId="2A43FD6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72.1</w:t>
                  </w:r>
                </w:p>
              </w:tc>
              <w:tc>
                <w:tcPr>
                  <w:tcW w:w="173" w:type="pct"/>
                  <w:tcBorders>
                    <w:tl2br w:val="nil"/>
                    <w:tr2bl w:val="nil"/>
                  </w:tcBorders>
                  <w:shd w:val="clear" w:color="auto" w:fill="auto"/>
                  <w:tcMar>
                    <w:top w:w="0" w:type="dxa"/>
                    <w:left w:w="0" w:type="dxa"/>
                    <w:bottom w:w="0" w:type="dxa"/>
                    <w:right w:w="0" w:type="dxa"/>
                  </w:tcMar>
                  <w:vAlign w:val="center"/>
                </w:tcPr>
                <w:p w14:paraId="06C5A47B">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72.1</w:t>
                  </w:r>
                </w:p>
              </w:tc>
              <w:tc>
                <w:tcPr>
                  <w:tcW w:w="173" w:type="pct"/>
                  <w:tcBorders>
                    <w:tl2br w:val="nil"/>
                    <w:tr2bl w:val="nil"/>
                  </w:tcBorders>
                  <w:shd w:val="clear" w:color="auto" w:fill="auto"/>
                  <w:tcMar>
                    <w:top w:w="0" w:type="dxa"/>
                    <w:left w:w="0" w:type="dxa"/>
                    <w:bottom w:w="0" w:type="dxa"/>
                    <w:right w:w="0" w:type="dxa"/>
                  </w:tcMar>
                  <w:vAlign w:val="center"/>
                </w:tcPr>
                <w:p w14:paraId="156C128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72.1</w:t>
                  </w:r>
                </w:p>
              </w:tc>
              <w:tc>
                <w:tcPr>
                  <w:tcW w:w="181" w:type="pct"/>
                  <w:tcBorders>
                    <w:tl2br w:val="nil"/>
                    <w:tr2bl w:val="nil"/>
                  </w:tcBorders>
                  <w:shd w:val="clear" w:color="auto" w:fill="auto"/>
                  <w:tcMar>
                    <w:top w:w="0" w:type="dxa"/>
                    <w:left w:w="0" w:type="dxa"/>
                    <w:bottom w:w="0" w:type="dxa"/>
                    <w:right w:w="0" w:type="dxa"/>
                  </w:tcMar>
                  <w:vAlign w:val="center"/>
                </w:tcPr>
                <w:p w14:paraId="03B86AC5">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72.1</w:t>
                  </w:r>
                </w:p>
              </w:tc>
              <w:tc>
                <w:tcPr>
                  <w:tcW w:w="170" w:type="pct"/>
                  <w:vMerge w:val="continue"/>
                  <w:tcBorders>
                    <w:tl2br w:val="nil"/>
                    <w:tr2bl w:val="nil"/>
                  </w:tcBorders>
                  <w:shd w:val="clear" w:color="auto" w:fill="auto"/>
                  <w:tcMar>
                    <w:top w:w="0" w:type="dxa"/>
                    <w:left w:w="0" w:type="dxa"/>
                    <w:bottom w:w="0" w:type="dxa"/>
                    <w:right w:w="0" w:type="dxa"/>
                  </w:tcMar>
                  <w:vAlign w:val="center"/>
                </w:tcPr>
                <w:p w14:paraId="1D00D639">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20F2CE92">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468D7996">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147E7EE6">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73E26F3A">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213" w:type="pct"/>
                  <w:vMerge w:val="continue"/>
                  <w:tcBorders>
                    <w:tl2br w:val="nil"/>
                    <w:tr2bl w:val="nil"/>
                  </w:tcBorders>
                  <w:shd w:val="clear" w:color="auto" w:fill="auto"/>
                  <w:tcMar>
                    <w:top w:w="0" w:type="dxa"/>
                    <w:left w:w="0" w:type="dxa"/>
                    <w:bottom w:w="0" w:type="dxa"/>
                    <w:right w:w="0" w:type="dxa"/>
                  </w:tcMar>
                  <w:vAlign w:val="center"/>
                </w:tcPr>
                <w:p w14:paraId="778C2FD5">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6DDBF264">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60F6B92E">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3559BC9A">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0F95D284">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203" w:type="pct"/>
                  <w:vMerge w:val="continue"/>
                  <w:tcBorders>
                    <w:tl2br w:val="nil"/>
                    <w:tr2bl w:val="nil"/>
                  </w:tcBorders>
                  <w:shd w:val="clear" w:color="auto" w:fill="auto"/>
                  <w:tcMar>
                    <w:top w:w="0" w:type="dxa"/>
                    <w:left w:w="0" w:type="dxa"/>
                    <w:bottom w:w="0" w:type="dxa"/>
                    <w:right w:w="0" w:type="dxa"/>
                  </w:tcMar>
                  <w:vAlign w:val="center"/>
                </w:tcPr>
                <w:p w14:paraId="5B2506E9">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r>
            <w:tr w14:paraId="4B1B6BF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 w:type="pct"/>
                  <w:tcBorders>
                    <w:tl2br w:val="nil"/>
                    <w:tr2bl w:val="nil"/>
                  </w:tcBorders>
                  <w:shd w:val="clear" w:color="auto" w:fill="auto"/>
                  <w:tcMar>
                    <w:top w:w="0" w:type="dxa"/>
                    <w:left w:w="0" w:type="dxa"/>
                    <w:bottom w:w="0" w:type="dxa"/>
                    <w:right w:w="0" w:type="dxa"/>
                  </w:tcMar>
                  <w:vAlign w:val="center"/>
                </w:tcPr>
                <w:p w14:paraId="2CF40BAF">
                  <w:pPr>
                    <w:keepNext w:val="0"/>
                    <w:keepLines w:val="0"/>
                    <w:pageBreakBefore w:val="0"/>
                    <w:widowControl w:val="0"/>
                    <w:numPr>
                      <w:ilvl w:val="0"/>
                      <w:numId w:val="2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0" w:type="pct"/>
                  <w:vMerge w:val="continue"/>
                  <w:tcBorders>
                    <w:tl2br w:val="nil"/>
                    <w:tr2bl w:val="nil"/>
                  </w:tcBorders>
                  <w:shd w:val="clear" w:color="auto" w:fill="auto"/>
                  <w:tcMar>
                    <w:top w:w="0" w:type="dxa"/>
                    <w:left w:w="0" w:type="dxa"/>
                    <w:bottom w:w="0" w:type="dxa"/>
                    <w:right w:w="0" w:type="dxa"/>
                  </w:tcMar>
                  <w:vAlign w:val="center"/>
                </w:tcPr>
                <w:p w14:paraId="5B6BE89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p>
              </w:tc>
              <w:tc>
                <w:tcPr>
                  <w:tcW w:w="294" w:type="pct"/>
                  <w:tcBorders>
                    <w:tl2br w:val="nil"/>
                    <w:tr2bl w:val="nil"/>
                  </w:tcBorders>
                  <w:shd w:val="clear" w:color="auto" w:fill="auto"/>
                  <w:tcMar>
                    <w:top w:w="0" w:type="dxa"/>
                    <w:left w:w="0" w:type="dxa"/>
                    <w:bottom w:w="0" w:type="dxa"/>
                    <w:right w:w="0" w:type="dxa"/>
                  </w:tcMar>
                  <w:vAlign w:val="center"/>
                </w:tcPr>
                <w:p w14:paraId="11C7361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color w:val="000000" w:themeColor="text1"/>
                      <w:szCs w:val="21"/>
                      <w14:textFill>
                        <w14:solidFill>
                          <w14:schemeClr w14:val="tx1"/>
                        </w14:solidFill>
                      </w14:textFill>
                    </w:rPr>
                    <w:t>高速离心喷雾干燥机</w:t>
                  </w:r>
                </w:p>
              </w:tc>
              <w:tc>
                <w:tcPr>
                  <w:tcW w:w="249" w:type="pct"/>
                  <w:tcBorders>
                    <w:tl2br w:val="nil"/>
                    <w:tr2bl w:val="nil"/>
                  </w:tcBorders>
                  <w:shd w:val="clear" w:color="auto" w:fill="auto"/>
                  <w:tcMar>
                    <w:top w:w="0" w:type="dxa"/>
                    <w:left w:w="0" w:type="dxa"/>
                    <w:bottom w:w="0" w:type="dxa"/>
                    <w:right w:w="0" w:type="dxa"/>
                  </w:tcMar>
                  <w:vAlign w:val="center"/>
                </w:tcPr>
                <w:p w14:paraId="759E8B8E">
                  <w:pPr>
                    <w:keepNext w:val="0"/>
                    <w:keepLines w:val="0"/>
                    <w:widowControl/>
                    <w:suppressLineNumbers w:val="0"/>
                    <w:spacing w:before="0" w:beforeAutospacing="0" w:after="0" w:afterAutospacing="0"/>
                    <w:ind w:left="0" w:leftChars="0" w:right="0" w:rightChars="0"/>
                    <w:jc w:val="center"/>
                    <w:rPr>
                      <w:rFonts w:hint="default" w:cs="Times New Roman"/>
                      <w:color w:val="000000" w:themeColor="text1"/>
                      <w:sz w:val="21"/>
                      <w:szCs w:val="21"/>
                      <w:highlight w:val="none"/>
                      <w:lang w:val="en-US" w:eastAsia="zh-CN"/>
                      <w14:textFill>
                        <w14:solidFill>
                          <w14:schemeClr w14:val="tx1"/>
                        </w14:solidFill>
                      </w14:textFill>
                    </w:rPr>
                  </w:pPr>
                  <w:r>
                    <w:rPr>
                      <w:rFonts w:hint="default"/>
                      <w:color w:val="000000" w:themeColor="text1"/>
                      <w:szCs w:val="21"/>
                      <w14:textFill>
                        <w14:solidFill>
                          <w14:schemeClr w14:val="tx1"/>
                        </w14:solidFill>
                      </w14:textFill>
                    </w:rPr>
                    <w:t>GLZ-50</w:t>
                  </w:r>
                </w:p>
              </w:tc>
              <w:tc>
                <w:tcPr>
                  <w:tcW w:w="254" w:type="pct"/>
                  <w:tcBorders>
                    <w:tl2br w:val="nil"/>
                    <w:tr2bl w:val="nil"/>
                  </w:tcBorders>
                  <w:shd w:val="clear" w:color="auto" w:fill="auto"/>
                  <w:tcMar>
                    <w:top w:w="0" w:type="dxa"/>
                    <w:left w:w="0" w:type="dxa"/>
                    <w:bottom w:w="0" w:type="dxa"/>
                    <w:right w:w="0" w:type="dxa"/>
                  </w:tcMar>
                  <w:vAlign w:val="center"/>
                </w:tcPr>
                <w:p w14:paraId="2AFC7866">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lang w:val="en-US" w:eastAsia="zh-CN"/>
                      <w14:textFill>
                        <w14:solidFill>
                          <w14:schemeClr w14:val="tx1"/>
                        </w14:solidFill>
                      </w14:textFill>
                    </w:rPr>
                  </w:pPr>
                  <w:r>
                    <w:rPr>
                      <w:rFonts w:hint="default" w:ascii="Times New Roman" w:hAnsi="Times New Roman" w:eastAsia="Arial" w:cs="Times New Roman"/>
                      <w:color w:val="000000" w:themeColor="text1"/>
                      <w:sz w:val="21"/>
                      <w:szCs w:val="21"/>
                      <w14:textFill>
                        <w14:solidFill>
                          <w14:schemeClr w14:val="tx1"/>
                        </w14:solidFill>
                      </w14:textFill>
                    </w:rPr>
                    <w:t>80</w:t>
                  </w:r>
                </w:p>
              </w:tc>
              <w:tc>
                <w:tcPr>
                  <w:tcW w:w="173" w:type="pct"/>
                  <w:vMerge w:val="continue"/>
                  <w:tcBorders>
                    <w:tl2br w:val="nil"/>
                    <w:tr2bl w:val="nil"/>
                  </w:tcBorders>
                  <w:shd w:val="clear" w:color="auto" w:fill="auto"/>
                  <w:tcMar>
                    <w:top w:w="0" w:type="dxa"/>
                    <w:left w:w="0" w:type="dxa"/>
                    <w:bottom w:w="0" w:type="dxa"/>
                    <w:right w:w="0" w:type="dxa"/>
                  </w:tcMar>
                  <w:vAlign w:val="center"/>
                </w:tcPr>
                <w:p w14:paraId="2D36619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80" w:type="pct"/>
                  <w:tcBorders>
                    <w:tl2br w:val="nil"/>
                    <w:tr2bl w:val="nil"/>
                  </w:tcBorders>
                  <w:shd w:val="clear" w:color="auto" w:fill="auto"/>
                  <w:tcMar>
                    <w:top w:w="0" w:type="dxa"/>
                    <w:left w:w="0" w:type="dxa"/>
                    <w:bottom w:w="0" w:type="dxa"/>
                    <w:right w:w="0" w:type="dxa"/>
                  </w:tcMar>
                  <w:vAlign w:val="center"/>
                </w:tcPr>
                <w:p w14:paraId="2600055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39.6</w:t>
                  </w:r>
                </w:p>
              </w:tc>
              <w:tc>
                <w:tcPr>
                  <w:tcW w:w="180" w:type="pct"/>
                  <w:tcBorders>
                    <w:tl2br w:val="nil"/>
                    <w:tr2bl w:val="nil"/>
                  </w:tcBorders>
                  <w:shd w:val="clear" w:color="auto" w:fill="auto"/>
                  <w:tcMar>
                    <w:top w:w="0" w:type="dxa"/>
                    <w:left w:w="0" w:type="dxa"/>
                    <w:bottom w:w="0" w:type="dxa"/>
                    <w:right w:w="0" w:type="dxa"/>
                  </w:tcMar>
                  <w:vAlign w:val="center"/>
                </w:tcPr>
                <w:p w14:paraId="0C00A817">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-44.8</w:t>
                  </w:r>
                </w:p>
              </w:tc>
              <w:tc>
                <w:tcPr>
                  <w:tcW w:w="194" w:type="pct"/>
                  <w:tcBorders>
                    <w:tl2br w:val="nil"/>
                    <w:tr2bl w:val="nil"/>
                  </w:tcBorders>
                  <w:shd w:val="clear" w:color="auto" w:fill="auto"/>
                  <w:tcMar>
                    <w:top w:w="0" w:type="dxa"/>
                    <w:left w:w="0" w:type="dxa"/>
                    <w:bottom w:w="0" w:type="dxa"/>
                    <w:right w:w="0" w:type="dxa"/>
                  </w:tcMar>
                  <w:vAlign w:val="center"/>
                </w:tcPr>
                <w:p w14:paraId="143FCAC5">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0.8</w:t>
                  </w:r>
                </w:p>
              </w:tc>
              <w:tc>
                <w:tcPr>
                  <w:tcW w:w="173" w:type="pct"/>
                  <w:tcBorders>
                    <w:tl2br w:val="nil"/>
                    <w:tr2bl w:val="nil"/>
                  </w:tcBorders>
                  <w:shd w:val="clear" w:color="auto" w:fill="auto"/>
                  <w:tcMar>
                    <w:top w:w="0" w:type="dxa"/>
                    <w:left w:w="0" w:type="dxa"/>
                    <w:bottom w:w="0" w:type="dxa"/>
                    <w:right w:w="0" w:type="dxa"/>
                  </w:tcMar>
                  <w:vAlign w:val="center"/>
                </w:tcPr>
                <w:p w14:paraId="15118DE5">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26.2</w:t>
                  </w:r>
                </w:p>
              </w:tc>
              <w:tc>
                <w:tcPr>
                  <w:tcW w:w="173" w:type="pct"/>
                  <w:tcBorders>
                    <w:tl2br w:val="nil"/>
                    <w:tr2bl w:val="nil"/>
                  </w:tcBorders>
                  <w:shd w:val="clear" w:color="auto" w:fill="auto"/>
                  <w:tcMar>
                    <w:top w:w="0" w:type="dxa"/>
                    <w:left w:w="0" w:type="dxa"/>
                    <w:bottom w:w="0" w:type="dxa"/>
                    <w:right w:w="0" w:type="dxa"/>
                  </w:tcMar>
                  <w:vAlign w:val="center"/>
                </w:tcPr>
                <w:p w14:paraId="2EC0608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43.4</w:t>
                  </w:r>
                </w:p>
              </w:tc>
              <w:tc>
                <w:tcPr>
                  <w:tcW w:w="173" w:type="pct"/>
                  <w:tcBorders>
                    <w:tl2br w:val="nil"/>
                    <w:tr2bl w:val="nil"/>
                  </w:tcBorders>
                  <w:shd w:val="clear" w:color="auto" w:fill="auto"/>
                  <w:tcMar>
                    <w:top w:w="0" w:type="dxa"/>
                    <w:left w:w="0" w:type="dxa"/>
                    <w:bottom w:w="0" w:type="dxa"/>
                    <w:right w:w="0" w:type="dxa"/>
                  </w:tcMar>
                  <w:vAlign w:val="center"/>
                </w:tcPr>
                <w:p w14:paraId="134810E2">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25.9</w:t>
                  </w:r>
                </w:p>
              </w:tc>
              <w:tc>
                <w:tcPr>
                  <w:tcW w:w="179" w:type="pct"/>
                  <w:tcBorders>
                    <w:tl2br w:val="nil"/>
                    <w:tr2bl w:val="nil"/>
                  </w:tcBorders>
                  <w:shd w:val="clear" w:color="auto" w:fill="auto"/>
                  <w:tcMar>
                    <w:top w:w="0" w:type="dxa"/>
                    <w:left w:w="0" w:type="dxa"/>
                    <w:bottom w:w="0" w:type="dxa"/>
                    <w:right w:w="0" w:type="dxa"/>
                  </w:tcMar>
                  <w:vAlign w:val="center"/>
                </w:tcPr>
                <w:p w14:paraId="7A06B96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26.0</w:t>
                  </w:r>
                </w:p>
              </w:tc>
              <w:tc>
                <w:tcPr>
                  <w:tcW w:w="173" w:type="pct"/>
                  <w:tcBorders>
                    <w:tl2br w:val="nil"/>
                    <w:tr2bl w:val="nil"/>
                  </w:tcBorders>
                  <w:shd w:val="clear" w:color="auto" w:fill="auto"/>
                  <w:tcMar>
                    <w:top w:w="0" w:type="dxa"/>
                    <w:left w:w="0" w:type="dxa"/>
                    <w:bottom w:w="0" w:type="dxa"/>
                    <w:right w:w="0" w:type="dxa"/>
                  </w:tcMar>
                  <w:vAlign w:val="center"/>
                </w:tcPr>
                <w:p w14:paraId="5D7DC90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67.1</w:t>
                  </w:r>
                </w:p>
              </w:tc>
              <w:tc>
                <w:tcPr>
                  <w:tcW w:w="173" w:type="pct"/>
                  <w:tcBorders>
                    <w:tl2br w:val="nil"/>
                    <w:tr2bl w:val="nil"/>
                  </w:tcBorders>
                  <w:shd w:val="clear" w:color="auto" w:fill="auto"/>
                  <w:tcMar>
                    <w:top w:w="0" w:type="dxa"/>
                    <w:left w:w="0" w:type="dxa"/>
                    <w:bottom w:w="0" w:type="dxa"/>
                    <w:right w:w="0" w:type="dxa"/>
                  </w:tcMar>
                  <w:vAlign w:val="center"/>
                </w:tcPr>
                <w:p w14:paraId="623BA8F3">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67.1</w:t>
                  </w:r>
                </w:p>
              </w:tc>
              <w:tc>
                <w:tcPr>
                  <w:tcW w:w="173" w:type="pct"/>
                  <w:tcBorders>
                    <w:tl2br w:val="nil"/>
                    <w:tr2bl w:val="nil"/>
                  </w:tcBorders>
                  <w:shd w:val="clear" w:color="auto" w:fill="auto"/>
                  <w:tcMar>
                    <w:top w:w="0" w:type="dxa"/>
                    <w:left w:w="0" w:type="dxa"/>
                    <w:bottom w:w="0" w:type="dxa"/>
                    <w:right w:w="0" w:type="dxa"/>
                  </w:tcMar>
                  <w:vAlign w:val="center"/>
                </w:tcPr>
                <w:p w14:paraId="3A22EB83">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67.1</w:t>
                  </w:r>
                </w:p>
              </w:tc>
              <w:tc>
                <w:tcPr>
                  <w:tcW w:w="181" w:type="pct"/>
                  <w:tcBorders>
                    <w:tl2br w:val="nil"/>
                    <w:tr2bl w:val="nil"/>
                  </w:tcBorders>
                  <w:shd w:val="clear" w:color="auto" w:fill="auto"/>
                  <w:tcMar>
                    <w:top w:w="0" w:type="dxa"/>
                    <w:left w:w="0" w:type="dxa"/>
                    <w:bottom w:w="0" w:type="dxa"/>
                    <w:right w:w="0" w:type="dxa"/>
                  </w:tcMar>
                  <w:vAlign w:val="center"/>
                </w:tcPr>
                <w:p w14:paraId="6373471B">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67.1</w:t>
                  </w:r>
                </w:p>
              </w:tc>
              <w:tc>
                <w:tcPr>
                  <w:tcW w:w="170" w:type="pct"/>
                  <w:vMerge w:val="continue"/>
                  <w:tcBorders>
                    <w:tl2br w:val="nil"/>
                    <w:tr2bl w:val="nil"/>
                  </w:tcBorders>
                  <w:shd w:val="clear" w:color="auto" w:fill="auto"/>
                  <w:tcMar>
                    <w:top w:w="0" w:type="dxa"/>
                    <w:left w:w="0" w:type="dxa"/>
                    <w:bottom w:w="0" w:type="dxa"/>
                    <w:right w:w="0" w:type="dxa"/>
                  </w:tcMar>
                  <w:vAlign w:val="center"/>
                </w:tcPr>
                <w:p w14:paraId="61CD63CB">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49401960">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22460C65">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2E17B94D">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15576B9C">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213" w:type="pct"/>
                  <w:vMerge w:val="continue"/>
                  <w:tcBorders>
                    <w:tl2br w:val="nil"/>
                    <w:tr2bl w:val="nil"/>
                  </w:tcBorders>
                  <w:shd w:val="clear" w:color="auto" w:fill="auto"/>
                  <w:tcMar>
                    <w:top w:w="0" w:type="dxa"/>
                    <w:left w:w="0" w:type="dxa"/>
                    <w:bottom w:w="0" w:type="dxa"/>
                    <w:right w:w="0" w:type="dxa"/>
                  </w:tcMar>
                  <w:vAlign w:val="center"/>
                </w:tcPr>
                <w:p w14:paraId="6122D4F7">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24C157B7">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78176E96">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1BD10AE0">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4E1E5B0B">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203" w:type="pct"/>
                  <w:vMerge w:val="continue"/>
                  <w:tcBorders>
                    <w:tl2br w:val="nil"/>
                    <w:tr2bl w:val="nil"/>
                  </w:tcBorders>
                  <w:shd w:val="clear" w:color="auto" w:fill="auto"/>
                  <w:tcMar>
                    <w:top w:w="0" w:type="dxa"/>
                    <w:left w:w="0" w:type="dxa"/>
                    <w:bottom w:w="0" w:type="dxa"/>
                    <w:right w:w="0" w:type="dxa"/>
                  </w:tcMar>
                  <w:vAlign w:val="center"/>
                </w:tcPr>
                <w:p w14:paraId="10141AC3">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r>
            <w:tr w14:paraId="49EECB6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 w:type="pct"/>
                  <w:tcBorders>
                    <w:tl2br w:val="nil"/>
                    <w:tr2bl w:val="nil"/>
                  </w:tcBorders>
                  <w:shd w:val="clear" w:color="auto" w:fill="auto"/>
                  <w:tcMar>
                    <w:top w:w="0" w:type="dxa"/>
                    <w:left w:w="0" w:type="dxa"/>
                    <w:bottom w:w="0" w:type="dxa"/>
                    <w:right w:w="0" w:type="dxa"/>
                  </w:tcMar>
                  <w:vAlign w:val="center"/>
                </w:tcPr>
                <w:p w14:paraId="4B7AA9B9">
                  <w:pPr>
                    <w:keepNext w:val="0"/>
                    <w:keepLines w:val="0"/>
                    <w:pageBreakBefore w:val="0"/>
                    <w:widowControl w:val="0"/>
                    <w:numPr>
                      <w:ilvl w:val="0"/>
                      <w:numId w:val="2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0" w:type="pct"/>
                  <w:vMerge w:val="continue"/>
                  <w:tcBorders>
                    <w:tl2br w:val="nil"/>
                    <w:tr2bl w:val="nil"/>
                  </w:tcBorders>
                  <w:shd w:val="clear" w:color="auto" w:fill="auto"/>
                  <w:tcMar>
                    <w:top w:w="0" w:type="dxa"/>
                    <w:left w:w="0" w:type="dxa"/>
                    <w:bottom w:w="0" w:type="dxa"/>
                    <w:right w:w="0" w:type="dxa"/>
                  </w:tcMar>
                  <w:vAlign w:val="center"/>
                </w:tcPr>
                <w:p w14:paraId="378B1DC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p>
              </w:tc>
              <w:tc>
                <w:tcPr>
                  <w:tcW w:w="294" w:type="pct"/>
                  <w:tcBorders>
                    <w:tl2br w:val="nil"/>
                    <w:tr2bl w:val="nil"/>
                  </w:tcBorders>
                  <w:shd w:val="clear" w:color="auto" w:fill="auto"/>
                  <w:tcMar>
                    <w:top w:w="0" w:type="dxa"/>
                    <w:left w:w="0" w:type="dxa"/>
                    <w:bottom w:w="0" w:type="dxa"/>
                    <w:right w:w="0" w:type="dxa"/>
                  </w:tcMar>
                  <w:vAlign w:val="center"/>
                </w:tcPr>
                <w:p w14:paraId="7DA2CF7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color w:val="000000" w:themeColor="text1"/>
                      <w:szCs w:val="21"/>
                      <w14:textFill>
                        <w14:solidFill>
                          <w14:schemeClr w14:val="tx1"/>
                        </w14:solidFill>
                      </w14:textFill>
                    </w:rPr>
                    <w:t>全自动硬胶囊充填机</w:t>
                  </w:r>
                </w:p>
              </w:tc>
              <w:tc>
                <w:tcPr>
                  <w:tcW w:w="249" w:type="pct"/>
                  <w:tcBorders>
                    <w:tl2br w:val="nil"/>
                    <w:tr2bl w:val="nil"/>
                  </w:tcBorders>
                  <w:shd w:val="clear" w:color="auto" w:fill="auto"/>
                  <w:tcMar>
                    <w:top w:w="0" w:type="dxa"/>
                    <w:left w:w="0" w:type="dxa"/>
                    <w:bottom w:w="0" w:type="dxa"/>
                    <w:right w:w="0" w:type="dxa"/>
                  </w:tcMar>
                  <w:vAlign w:val="center"/>
                </w:tcPr>
                <w:p w14:paraId="0F742F8B">
                  <w:pPr>
                    <w:keepNext w:val="0"/>
                    <w:keepLines w:val="0"/>
                    <w:widowControl/>
                    <w:suppressLineNumbers w:val="0"/>
                    <w:spacing w:before="0" w:beforeAutospacing="0" w:after="0" w:afterAutospacing="0"/>
                    <w:ind w:left="0" w:leftChars="0" w:right="0" w:rightChars="0"/>
                    <w:jc w:val="center"/>
                    <w:rPr>
                      <w:rFonts w:hint="default" w:cs="Times New Roman"/>
                      <w:color w:val="000000" w:themeColor="text1"/>
                      <w:sz w:val="21"/>
                      <w:szCs w:val="21"/>
                      <w:highlight w:val="none"/>
                      <w:lang w:val="en-US" w:eastAsia="zh-CN"/>
                      <w14:textFill>
                        <w14:solidFill>
                          <w14:schemeClr w14:val="tx1"/>
                        </w14:solidFill>
                      </w14:textFill>
                    </w:rPr>
                  </w:pPr>
                  <w:r>
                    <w:rPr>
                      <w:rFonts w:hint="default"/>
                      <w:color w:val="000000" w:themeColor="text1"/>
                      <w:szCs w:val="21"/>
                      <w14:textFill>
                        <w14:solidFill>
                          <w14:schemeClr w14:val="tx1"/>
                        </w14:solidFill>
                      </w14:textFill>
                    </w:rPr>
                    <w:t>NJP-1200B</w:t>
                  </w:r>
                </w:p>
              </w:tc>
              <w:tc>
                <w:tcPr>
                  <w:tcW w:w="254" w:type="pct"/>
                  <w:tcBorders>
                    <w:tl2br w:val="nil"/>
                    <w:tr2bl w:val="nil"/>
                  </w:tcBorders>
                  <w:shd w:val="clear" w:color="auto" w:fill="auto"/>
                  <w:tcMar>
                    <w:top w:w="0" w:type="dxa"/>
                    <w:left w:w="0" w:type="dxa"/>
                    <w:bottom w:w="0" w:type="dxa"/>
                    <w:right w:w="0" w:type="dxa"/>
                  </w:tcMar>
                  <w:vAlign w:val="center"/>
                </w:tcPr>
                <w:p w14:paraId="03FE32A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80</w:t>
                  </w:r>
                </w:p>
              </w:tc>
              <w:tc>
                <w:tcPr>
                  <w:tcW w:w="173" w:type="pct"/>
                  <w:vMerge w:val="continue"/>
                  <w:tcBorders>
                    <w:tl2br w:val="nil"/>
                    <w:tr2bl w:val="nil"/>
                  </w:tcBorders>
                  <w:shd w:val="clear" w:color="auto" w:fill="auto"/>
                  <w:tcMar>
                    <w:top w:w="0" w:type="dxa"/>
                    <w:left w:w="0" w:type="dxa"/>
                    <w:bottom w:w="0" w:type="dxa"/>
                    <w:right w:w="0" w:type="dxa"/>
                  </w:tcMar>
                  <w:vAlign w:val="center"/>
                </w:tcPr>
                <w:p w14:paraId="609C1F6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80" w:type="pct"/>
                  <w:tcBorders>
                    <w:tl2br w:val="nil"/>
                    <w:tr2bl w:val="nil"/>
                  </w:tcBorders>
                  <w:shd w:val="clear" w:color="auto" w:fill="auto"/>
                  <w:tcMar>
                    <w:top w:w="0" w:type="dxa"/>
                    <w:left w:w="0" w:type="dxa"/>
                    <w:bottom w:w="0" w:type="dxa"/>
                    <w:right w:w="0" w:type="dxa"/>
                  </w:tcMar>
                  <w:vAlign w:val="center"/>
                </w:tcPr>
                <w:p w14:paraId="43F3B867">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en-US" w:bidi="ar-SA"/>
                    </w:rPr>
                  </w:pPr>
                  <w:r>
                    <w:rPr>
                      <w:rFonts w:hint="default" w:ascii="Times New Roman" w:hAnsi="Times New Roman" w:eastAsia="Arial" w:cs="Times New Roman"/>
                      <w:sz w:val="21"/>
                      <w:szCs w:val="21"/>
                    </w:rPr>
                    <w:t>37.6</w:t>
                  </w:r>
                </w:p>
              </w:tc>
              <w:tc>
                <w:tcPr>
                  <w:tcW w:w="180" w:type="pct"/>
                  <w:tcBorders>
                    <w:tl2br w:val="nil"/>
                    <w:tr2bl w:val="nil"/>
                  </w:tcBorders>
                  <w:shd w:val="clear" w:color="auto" w:fill="auto"/>
                  <w:tcMar>
                    <w:top w:w="0" w:type="dxa"/>
                    <w:left w:w="0" w:type="dxa"/>
                    <w:bottom w:w="0" w:type="dxa"/>
                    <w:right w:w="0" w:type="dxa"/>
                  </w:tcMar>
                  <w:vAlign w:val="center"/>
                </w:tcPr>
                <w:p w14:paraId="479F5F7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en-US" w:bidi="ar-SA"/>
                    </w:rPr>
                  </w:pPr>
                  <w:r>
                    <w:rPr>
                      <w:rFonts w:hint="default" w:ascii="Times New Roman" w:hAnsi="Times New Roman" w:eastAsia="Arial" w:cs="Times New Roman"/>
                      <w:sz w:val="21"/>
                      <w:szCs w:val="21"/>
                    </w:rPr>
                    <w:t>-39.1</w:t>
                  </w:r>
                </w:p>
              </w:tc>
              <w:tc>
                <w:tcPr>
                  <w:tcW w:w="194" w:type="pct"/>
                  <w:tcBorders>
                    <w:tl2br w:val="nil"/>
                    <w:tr2bl w:val="nil"/>
                  </w:tcBorders>
                  <w:shd w:val="clear" w:color="auto" w:fill="auto"/>
                  <w:tcMar>
                    <w:top w:w="0" w:type="dxa"/>
                    <w:left w:w="0" w:type="dxa"/>
                    <w:bottom w:w="0" w:type="dxa"/>
                    <w:right w:w="0" w:type="dxa"/>
                  </w:tcMar>
                  <w:vAlign w:val="center"/>
                </w:tcPr>
                <w:p w14:paraId="43B039DB">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en-US" w:bidi="ar-SA"/>
                    </w:rPr>
                  </w:pPr>
                  <w:r>
                    <w:rPr>
                      <w:rFonts w:hint="default" w:ascii="Times New Roman" w:hAnsi="Times New Roman" w:eastAsia="Arial" w:cs="Times New Roman"/>
                      <w:sz w:val="21"/>
                      <w:szCs w:val="21"/>
                    </w:rPr>
                    <w:t>0.8</w:t>
                  </w:r>
                </w:p>
              </w:tc>
              <w:tc>
                <w:tcPr>
                  <w:tcW w:w="173" w:type="pct"/>
                  <w:tcBorders>
                    <w:tl2br w:val="nil"/>
                    <w:tr2bl w:val="nil"/>
                  </w:tcBorders>
                  <w:shd w:val="clear" w:color="auto" w:fill="auto"/>
                  <w:tcMar>
                    <w:top w:w="0" w:type="dxa"/>
                    <w:left w:w="0" w:type="dxa"/>
                    <w:bottom w:w="0" w:type="dxa"/>
                    <w:right w:w="0" w:type="dxa"/>
                  </w:tcMar>
                  <w:vAlign w:val="center"/>
                </w:tcPr>
                <w:p w14:paraId="7D243C77">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en-US" w:bidi="ar-SA"/>
                    </w:rPr>
                  </w:pPr>
                  <w:r>
                    <w:rPr>
                      <w:rFonts w:hint="default" w:ascii="Times New Roman" w:hAnsi="Times New Roman" w:eastAsia="Arial" w:cs="Times New Roman"/>
                      <w:sz w:val="21"/>
                      <w:szCs w:val="21"/>
                    </w:rPr>
                    <w:t>27.5</w:t>
                  </w:r>
                </w:p>
              </w:tc>
              <w:tc>
                <w:tcPr>
                  <w:tcW w:w="173" w:type="pct"/>
                  <w:tcBorders>
                    <w:tl2br w:val="nil"/>
                    <w:tr2bl w:val="nil"/>
                  </w:tcBorders>
                  <w:shd w:val="clear" w:color="auto" w:fill="auto"/>
                  <w:tcMar>
                    <w:top w:w="0" w:type="dxa"/>
                    <w:left w:w="0" w:type="dxa"/>
                    <w:bottom w:w="0" w:type="dxa"/>
                    <w:right w:w="0" w:type="dxa"/>
                  </w:tcMar>
                  <w:vAlign w:val="center"/>
                </w:tcPr>
                <w:p w14:paraId="0DDC4BD3">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en-US" w:bidi="ar-SA"/>
                    </w:rPr>
                  </w:pPr>
                  <w:r>
                    <w:rPr>
                      <w:rFonts w:hint="default" w:ascii="Times New Roman" w:hAnsi="Times New Roman" w:eastAsia="Arial" w:cs="Times New Roman"/>
                      <w:sz w:val="21"/>
                      <w:szCs w:val="21"/>
                    </w:rPr>
                    <w:t>49.3</w:t>
                  </w:r>
                </w:p>
              </w:tc>
              <w:tc>
                <w:tcPr>
                  <w:tcW w:w="173" w:type="pct"/>
                  <w:tcBorders>
                    <w:tl2br w:val="nil"/>
                    <w:tr2bl w:val="nil"/>
                  </w:tcBorders>
                  <w:shd w:val="clear" w:color="auto" w:fill="auto"/>
                  <w:tcMar>
                    <w:top w:w="0" w:type="dxa"/>
                    <w:left w:w="0" w:type="dxa"/>
                    <w:bottom w:w="0" w:type="dxa"/>
                    <w:right w:w="0" w:type="dxa"/>
                  </w:tcMar>
                  <w:vAlign w:val="center"/>
                </w:tcPr>
                <w:p w14:paraId="6B6E2F7E">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en-US" w:bidi="ar-SA"/>
                    </w:rPr>
                  </w:pPr>
                  <w:r>
                    <w:rPr>
                      <w:rFonts w:hint="default" w:ascii="Times New Roman" w:hAnsi="Times New Roman" w:eastAsia="Arial" w:cs="Times New Roman"/>
                      <w:sz w:val="21"/>
                      <w:szCs w:val="21"/>
                    </w:rPr>
                    <w:t>24.5</w:t>
                  </w:r>
                </w:p>
              </w:tc>
              <w:tc>
                <w:tcPr>
                  <w:tcW w:w="179" w:type="pct"/>
                  <w:tcBorders>
                    <w:tl2br w:val="nil"/>
                    <w:tr2bl w:val="nil"/>
                  </w:tcBorders>
                  <w:shd w:val="clear" w:color="auto" w:fill="auto"/>
                  <w:tcMar>
                    <w:top w:w="0" w:type="dxa"/>
                    <w:left w:w="0" w:type="dxa"/>
                    <w:bottom w:w="0" w:type="dxa"/>
                    <w:right w:w="0" w:type="dxa"/>
                  </w:tcMar>
                  <w:vAlign w:val="center"/>
                </w:tcPr>
                <w:p w14:paraId="07FD715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en-US" w:bidi="ar-SA"/>
                    </w:rPr>
                  </w:pPr>
                  <w:r>
                    <w:rPr>
                      <w:rFonts w:hint="default" w:ascii="Times New Roman" w:hAnsi="Times New Roman" w:eastAsia="Arial" w:cs="Times New Roman"/>
                      <w:sz w:val="21"/>
                      <w:szCs w:val="21"/>
                    </w:rPr>
                    <w:t>20.1</w:t>
                  </w:r>
                </w:p>
              </w:tc>
              <w:tc>
                <w:tcPr>
                  <w:tcW w:w="173" w:type="pct"/>
                  <w:tcBorders>
                    <w:tl2br w:val="nil"/>
                    <w:tr2bl w:val="nil"/>
                  </w:tcBorders>
                  <w:shd w:val="clear" w:color="auto" w:fill="auto"/>
                  <w:tcMar>
                    <w:top w:w="0" w:type="dxa"/>
                    <w:left w:w="0" w:type="dxa"/>
                    <w:bottom w:w="0" w:type="dxa"/>
                    <w:right w:w="0" w:type="dxa"/>
                  </w:tcMar>
                  <w:vAlign w:val="center"/>
                </w:tcPr>
                <w:p w14:paraId="325E7B2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67.1</w:t>
                  </w:r>
                </w:p>
              </w:tc>
              <w:tc>
                <w:tcPr>
                  <w:tcW w:w="173" w:type="pct"/>
                  <w:tcBorders>
                    <w:tl2br w:val="nil"/>
                    <w:tr2bl w:val="nil"/>
                  </w:tcBorders>
                  <w:shd w:val="clear" w:color="auto" w:fill="auto"/>
                  <w:tcMar>
                    <w:top w:w="0" w:type="dxa"/>
                    <w:left w:w="0" w:type="dxa"/>
                    <w:bottom w:w="0" w:type="dxa"/>
                    <w:right w:w="0" w:type="dxa"/>
                  </w:tcMar>
                  <w:vAlign w:val="center"/>
                </w:tcPr>
                <w:p w14:paraId="269A326F">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67.1</w:t>
                  </w:r>
                </w:p>
              </w:tc>
              <w:tc>
                <w:tcPr>
                  <w:tcW w:w="173" w:type="pct"/>
                  <w:tcBorders>
                    <w:tl2br w:val="nil"/>
                    <w:tr2bl w:val="nil"/>
                  </w:tcBorders>
                  <w:shd w:val="clear" w:color="auto" w:fill="auto"/>
                  <w:tcMar>
                    <w:top w:w="0" w:type="dxa"/>
                    <w:left w:w="0" w:type="dxa"/>
                    <w:bottom w:w="0" w:type="dxa"/>
                    <w:right w:w="0" w:type="dxa"/>
                  </w:tcMar>
                  <w:vAlign w:val="center"/>
                </w:tcPr>
                <w:p w14:paraId="324919B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67.1</w:t>
                  </w:r>
                </w:p>
              </w:tc>
              <w:tc>
                <w:tcPr>
                  <w:tcW w:w="181" w:type="pct"/>
                  <w:tcBorders>
                    <w:tl2br w:val="nil"/>
                    <w:tr2bl w:val="nil"/>
                  </w:tcBorders>
                  <w:shd w:val="clear" w:color="auto" w:fill="auto"/>
                  <w:tcMar>
                    <w:top w:w="0" w:type="dxa"/>
                    <w:left w:w="0" w:type="dxa"/>
                    <w:bottom w:w="0" w:type="dxa"/>
                    <w:right w:w="0" w:type="dxa"/>
                  </w:tcMar>
                  <w:vAlign w:val="center"/>
                </w:tcPr>
                <w:p w14:paraId="003BE28A">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67.1</w:t>
                  </w:r>
                </w:p>
              </w:tc>
              <w:tc>
                <w:tcPr>
                  <w:tcW w:w="170" w:type="pct"/>
                  <w:vMerge w:val="continue"/>
                  <w:tcBorders>
                    <w:tl2br w:val="nil"/>
                    <w:tr2bl w:val="nil"/>
                  </w:tcBorders>
                  <w:shd w:val="clear" w:color="auto" w:fill="auto"/>
                  <w:tcMar>
                    <w:top w:w="0" w:type="dxa"/>
                    <w:left w:w="0" w:type="dxa"/>
                    <w:bottom w:w="0" w:type="dxa"/>
                    <w:right w:w="0" w:type="dxa"/>
                  </w:tcMar>
                  <w:vAlign w:val="center"/>
                </w:tcPr>
                <w:p w14:paraId="71CDC885">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51A43013">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2D54BE43">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289BFC23">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43B34498">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213" w:type="pct"/>
                  <w:vMerge w:val="continue"/>
                  <w:tcBorders>
                    <w:tl2br w:val="nil"/>
                    <w:tr2bl w:val="nil"/>
                  </w:tcBorders>
                  <w:shd w:val="clear" w:color="auto" w:fill="auto"/>
                  <w:tcMar>
                    <w:top w:w="0" w:type="dxa"/>
                    <w:left w:w="0" w:type="dxa"/>
                    <w:bottom w:w="0" w:type="dxa"/>
                    <w:right w:w="0" w:type="dxa"/>
                  </w:tcMar>
                  <w:vAlign w:val="center"/>
                </w:tcPr>
                <w:p w14:paraId="0DC3BCED">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5388EC2B">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517636DE">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7643FB51">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732CAD33">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203" w:type="pct"/>
                  <w:vMerge w:val="continue"/>
                  <w:tcBorders>
                    <w:tl2br w:val="nil"/>
                    <w:tr2bl w:val="nil"/>
                  </w:tcBorders>
                  <w:shd w:val="clear" w:color="auto" w:fill="auto"/>
                  <w:tcMar>
                    <w:top w:w="0" w:type="dxa"/>
                    <w:left w:w="0" w:type="dxa"/>
                    <w:bottom w:w="0" w:type="dxa"/>
                    <w:right w:w="0" w:type="dxa"/>
                  </w:tcMar>
                  <w:vAlign w:val="center"/>
                </w:tcPr>
                <w:p w14:paraId="08893173">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r>
            <w:tr w14:paraId="0B5ED6E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 w:type="pct"/>
                  <w:tcBorders>
                    <w:tl2br w:val="nil"/>
                    <w:tr2bl w:val="nil"/>
                  </w:tcBorders>
                  <w:shd w:val="clear" w:color="auto" w:fill="auto"/>
                  <w:tcMar>
                    <w:top w:w="0" w:type="dxa"/>
                    <w:left w:w="0" w:type="dxa"/>
                    <w:bottom w:w="0" w:type="dxa"/>
                    <w:right w:w="0" w:type="dxa"/>
                  </w:tcMar>
                  <w:vAlign w:val="center"/>
                </w:tcPr>
                <w:p w14:paraId="606585DA">
                  <w:pPr>
                    <w:keepNext w:val="0"/>
                    <w:keepLines w:val="0"/>
                    <w:pageBreakBefore w:val="0"/>
                    <w:widowControl w:val="0"/>
                    <w:numPr>
                      <w:ilvl w:val="0"/>
                      <w:numId w:val="2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0" w:type="pct"/>
                  <w:vMerge w:val="continue"/>
                  <w:tcBorders>
                    <w:tl2br w:val="nil"/>
                    <w:tr2bl w:val="nil"/>
                  </w:tcBorders>
                  <w:shd w:val="clear" w:color="auto" w:fill="auto"/>
                  <w:tcMar>
                    <w:top w:w="0" w:type="dxa"/>
                    <w:left w:w="0" w:type="dxa"/>
                    <w:bottom w:w="0" w:type="dxa"/>
                    <w:right w:w="0" w:type="dxa"/>
                  </w:tcMar>
                  <w:vAlign w:val="center"/>
                </w:tcPr>
                <w:p w14:paraId="042E241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p>
              </w:tc>
              <w:tc>
                <w:tcPr>
                  <w:tcW w:w="294" w:type="pct"/>
                  <w:tcBorders>
                    <w:tl2br w:val="nil"/>
                    <w:tr2bl w:val="nil"/>
                  </w:tcBorders>
                  <w:shd w:val="clear" w:color="auto" w:fill="auto"/>
                  <w:tcMar>
                    <w:top w:w="0" w:type="dxa"/>
                    <w:left w:w="0" w:type="dxa"/>
                    <w:bottom w:w="0" w:type="dxa"/>
                    <w:right w:w="0" w:type="dxa"/>
                  </w:tcMar>
                  <w:vAlign w:val="center"/>
                </w:tcPr>
                <w:p w14:paraId="00170A8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color w:val="000000" w:themeColor="text1"/>
                      <w:szCs w:val="21"/>
                      <w14:textFill>
                        <w14:solidFill>
                          <w14:schemeClr w14:val="tx1"/>
                        </w14:solidFill>
                      </w14:textFill>
                    </w:rPr>
                    <w:t>泡罩包装机</w:t>
                  </w:r>
                </w:p>
              </w:tc>
              <w:tc>
                <w:tcPr>
                  <w:tcW w:w="249" w:type="pct"/>
                  <w:tcBorders>
                    <w:tl2br w:val="nil"/>
                    <w:tr2bl w:val="nil"/>
                  </w:tcBorders>
                  <w:shd w:val="clear" w:color="auto" w:fill="auto"/>
                  <w:tcMar>
                    <w:top w:w="0" w:type="dxa"/>
                    <w:left w:w="0" w:type="dxa"/>
                    <w:bottom w:w="0" w:type="dxa"/>
                    <w:right w:w="0" w:type="dxa"/>
                  </w:tcMar>
                  <w:vAlign w:val="center"/>
                </w:tcPr>
                <w:p w14:paraId="0463D228">
                  <w:pPr>
                    <w:keepNext w:val="0"/>
                    <w:keepLines w:val="0"/>
                    <w:widowControl/>
                    <w:suppressLineNumbers w:val="0"/>
                    <w:spacing w:before="0" w:beforeAutospacing="0" w:after="0" w:afterAutospacing="0"/>
                    <w:ind w:left="0" w:leftChars="0" w:right="0" w:rightChars="0"/>
                    <w:jc w:val="center"/>
                    <w:rPr>
                      <w:rFonts w:hint="default" w:cs="Times New Roman"/>
                      <w:color w:val="000000" w:themeColor="text1"/>
                      <w:sz w:val="21"/>
                      <w:szCs w:val="21"/>
                      <w:highlight w:val="none"/>
                      <w:lang w:val="en-US" w:eastAsia="zh-CN"/>
                      <w14:textFill>
                        <w14:solidFill>
                          <w14:schemeClr w14:val="tx1"/>
                        </w14:solidFill>
                      </w14:textFill>
                    </w:rPr>
                  </w:pPr>
                  <w:r>
                    <w:rPr>
                      <w:rFonts w:hint="default"/>
                      <w:color w:val="000000" w:themeColor="text1"/>
                      <w:szCs w:val="21"/>
                      <w14:textFill>
                        <w14:solidFill>
                          <w14:schemeClr w14:val="tx1"/>
                        </w14:solidFill>
                      </w14:textFill>
                    </w:rPr>
                    <w:t>DPP-140</w:t>
                  </w:r>
                </w:p>
              </w:tc>
              <w:tc>
                <w:tcPr>
                  <w:tcW w:w="254" w:type="pct"/>
                  <w:tcBorders>
                    <w:tl2br w:val="nil"/>
                    <w:tr2bl w:val="nil"/>
                  </w:tcBorders>
                  <w:shd w:val="clear" w:color="auto" w:fill="auto"/>
                  <w:tcMar>
                    <w:top w:w="0" w:type="dxa"/>
                    <w:left w:w="0" w:type="dxa"/>
                    <w:bottom w:w="0" w:type="dxa"/>
                    <w:right w:w="0" w:type="dxa"/>
                  </w:tcMar>
                  <w:vAlign w:val="center"/>
                </w:tcPr>
                <w:p w14:paraId="2B3A191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75</w:t>
                  </w:r>
                </w:p>
              </w:tc>
              <w:tc>
                <w:tcPr>
                  <w:tcW w:w="173" w:type="pct"/>
                  <w:vMerge w:val="continue"/>
                  <w:tcBorders>
                    <w:tl2br w:val="nil"/>
                    <w:tr2bl w:val="nil"/>
                  </w:tcBorders>
                  <w:shd w:val="clear" w:color="auto" w:fill="auto"/>
                  <w:tcMar>
                    <w:top w:w="0" w:type="dxa"/>
                    <w:left w:w="0" w:type="dxa"/>
                    <w:bottom w:w="0" w:type="dxa"/>
                    <w:right w:w="0" w:type="dxa"/>
                  </w:tcMar>
                  <w:vAlign w:val="center"/>
                </w:tcPr>
                <w:p w14:paraId="55042C8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80" w:type="pct"/>
                  <w:tcBorders>
                    <w:tl2br w:val="nil"/>
                    <w:tr2bl w:val="nil"/>
                  </w:tcBorders>
                  <w:shd w:val="clear" w:color="auto" w:fill="auto"/>
                  <w:tcMar>
                    <w:top w:w="0" w:type="dxa"/>
                    <w:left w:w="0" w:type="dxa"/>
                    <w:bottom w:w="0" w:type="dxa"/>
                    <w:right w:w="0" w:type="dxa"/>
                  </w:tcMar>
                  <w:vAlign w:val="center"/>
                </w:tcPr>
                <w:p w14:paraId="074093F2">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41.1</w:t>
                  </w:r>
                </w:p>
              </w:tc>
              <w:tc>
                <w:tcPr>
                  <w:tcW w:w="180" w:type="pct"/>
                  <w:tcBorders>
                    <w:tl2br w:val="nil"/>
                    <w:tr2bl w:val="nil"/>
                  </w:tcBorders>
                  <w:shd w:val="clear" w:color="auto" w:fill="auto"/>
                  <w:tcMar>
                    <w:top w:w="0" w:type="dxa"/>
                    <w:left w:w="0" w:type="dxa"/>
                    <w:bottom w:w="0" w:type="dxa"/>
                    <w:right w:w="0" w:type="dxa"/>
                  </w:tcMar>
                  <w:vAlign w:val="center"/>
                </w:tcPr>
                <w:p w14:paraId="242A9217">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-58.6</w:t>
                  </w:r>
                </w:p>
              </w:tc>
              <w:tc>
                <w:tcPr>
                  <w:tcW w:w="194" w:type="pct"/>
                  <w:tcBorders>
                    <w:tl2br w:val="nil"/>
                    <w:tr2bl w:val="nil"/>
                  </w:tcBorders>
                  <w:shd w:val="clear" w:color="auto" w:fill="auto"/>
                  <w:tcMar>
                    <w:top w:w="0" w:type="dxa"/>
                    <w:left w:w="0" w:type="dxa"/>
                    <w:bottom w:w="0" w:type="dxa"/>
                    <w:right w:w="0" w:type="dxa"/>
                  </w:tcMar>
                  <w:vAlign w:val="center"/>
                </w:tcPr>
                <w:p w14:paraId="1058259D">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0.8</w:t>
                  </w:r>
                </w:p>
              </w:tc>
              <w:tc>
                <w:tcPr>
                  <w:tcW w:w="173" w:type="pct"/>
                  <w:tcBorders>
                    <w:tl2br w:val="nil"/>
                    <w:tr2bl w:val="nil"/>
                  </w:tcBorders>
                  <w:shd w:val="clear" w:color="auto" w:fill="auto"/>
                  <w:tcMar>
                    <w:top w:w="0" w:type="dxa"/>
                    <w:left w:w="0" w:type="dxa"/>
                    <w:bottom w:w="0" w:type="dxa"/>
                    <w:right w:w="0" w:type="dxa"/>
                  </w:tcMar>
                  <w:vAlign w:val="center"/>
                </w:tcPr>
                <w:p w14:paraId="1961C254">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26.5</w:t>
                  </w:r>
                </w:p>
              </w:tc>
              <w:tc>
                <w:tcPr>
                  <w:tcW w:w="173" w:type="pct"/>
                  <w:tcBorders>
                    <w:tl2br w:val="nil"/>
                    <w:tr2bl w:val="nil"/>
                  </w:tcBorders>
                  <w:shd w:val="clear" w:color="auto" w:fill="auto"/>
                  <w:tcMar>
                    <w:top w:w="0" w:type="dxa"/>
                    <w:left w:w="0" w:type="dxa"/>
                    <w:bottom w:w="0" w:type="dxa"/>
                    <w:right w:w="0" w:type="dxa"/>
                  </w:tcMar>
                  <w:vAlign w:val="center"/>
                </w:tcPr>
                <w:p w14:paraId="55C5EF5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29.5</w:t>
                  </w:r>
                </w:p>
              </w:tc>
              <w:tc>
                <w:tcPr>
                  <w:tcW w:w="173" w:type="pct"/>
                  <w:tcBorders>
                    <w:tl2br w:val="nil"/>
                    <w:tr2bl w:val="nil"/>
                  </w:tcBorders>
                  <w:shd w:val="clear" w:color="auto" w:fill="auto"/>
                  <w:tcMar>
                    <w:top w:w="0" w:type="dxa"/>
                    <w:left w:w="0" w:type="dxa"/>
                    <w:bottom w:w="0" w:type="dxa"/>
                    <w:right w:w="0" w:type="dxa"/>
                  </w:tcMar>
                  <w:vAlign w:val="center"/>
                </w:tcPr>
                <w:p w14:paraId="6596C815">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26.0</w:t>
                  </w:r>
                </w:p>
              </w:tc>
              <w:tc>
                <w:tcPr>
                  <w:tcW w:w="179" w:type="pct"/>
                  <w:tcBorders>
                    <w:tl2br w:val="nil"/>
                    <w:tr2bl w:val="nil"/>
                  </w:tcBorders>
                  <w:shd w:val="clear" w:color="auto" w:fill="auto"/>
                  <w:tcMar>
                    <w:top w:w="0" w:type="dxa"/>
                    <w:left w:w="0" w:type="dxa"/>
                    <w:bottom w:w="0" w:type="dxa"/>
                    <w:right w:w="0" w:type="dxa"/>
                  </w:tcMar>
                  <w:vAlign w:val="center"/>
                </w:tcPr>
                <w:p w14:paraId="7DA2109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39.9</w:t>
                  </w:r>
                </w:p>
              </w:tc>
              <w:tc>
                <w:tcPr>
                  <w:tcW w:w="173" w:type="pct"/>
                  <w:tcBorders>
                    <w:tl2br w:val="nil"/>
                    <w:tr2bl w:val="nil"/>
                  </w:tcBorders>
                  <w:shd w:val="clear" w:color="auto" w:fill="auto"/>
                  <w:tcMar>
                    <w:top w:w="0" w:type="dxa"/>
                    <w:left w:w="0" w:type="dxa"/>
                    <w:bottom w:w="0" w:type="dxa"/>
                    <w:right w:w="0" w:type="dxa"/>
                  </w:tcMar>
                  <w:vAlign w:val="center"/>
                </w:tcPr>
                <w:p w14:paraId="6AADEBC8">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62.1</w:t>
                  </w:r>
                </w:p>
              </w:tc>
              <w:tc>
                <w:tcPr>
                  <w:tcW w:w="173" w:type="pct"/>
                  <w:tcBorders>
                    <w:tl2br w:val="nil"/>
                    <w:tr2bl w:val="nil"/>
                  </w:tcBorders>
                  <w:shd w:val="clear" w:color="auto" w:fill="auto"/>
                  <w:tcMar>
                    <w:top w:w="0" w:type="dxa"/>
                    <w:left w:w="0" w:type="dxa"/>
                    <w:bottom w:w="0" w:type="dxa"/>
                    <w:right w:w="0" w:type="dxa"/>
                  </w:tcMar>
                  <w:vAlign w:val="center"/>
                </w:tcPr>
                <w:p w14:paraId="21198D6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62.1</w:t>
                  </w:r>
                </w:p>
              </w:tc>
              <w:tc>
                <w:tcPr>
                  <w:tcW w:w="173" w:type="pct"/>
                  <w:tcBorders>
                    <w:tl2br w:val="nil"/>
                    <w:tr2bl w:val="nil"/>
                  </w:tcBorders>
                  <w:shd w:val="clear" w:color="auto" w:fill="auto"/>
                  <w:tcMar>
                    <w:top w:w="0" w:type="dxa"/>
                    <w:left w:w="0" w:type="dxa"/>
                    <w:bottom w:w="0" w:type="dxa"/>
                    <w:right w:w="0" w:type="dxa"/>
                  </w:tcMar>
                  <w:vAlign w:val="center"/>
                </w:tcPr>
                <w:p w14:paraId="075C590E">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62.1</w:t>
                  </w:r>
                </w:p>
              </w:tc>
              <w:tc>
                <w:tcPr>
                  <w:tcW w:w="181" w:type="pct"/>
                  <w:tcBorders>
                    <w:tl2br w:val="nil"/>
                    <w:tr2bl w:val="nil"/>
                  </w:tcBorders>
                  <w:shd w:val="clear" w:color="auto" w:fill="auto"/>
                  <w:tcMar>
                    <w:top w:w="0" w:type="dxa"/>
                    <w:left w:w="0" w:type="dxa"/>
                    <w:bottom w:w="0" w:type="dxa"/>
                    <w:right w:w="0" w:type="dxa"/>
                  </w:tcMar>
                  <w:vAlign w:val="center"/>
                </w:tcPr>
                <w:p w14:paraId="37B4125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62.1</w:t>
                  </w:r>
                </w:p>
              </w:tc>
              <w:tc>
                <w:tcPr>
                  <w:tcW w:w="170" w:type="pct"/>
                  <w:vMerge w:val="continue"/>
                  <w:tcBorders>
                    <w:tl2br w:val="nil"/>
                    <w:tr2bl w:val="nil"/>
                  </w:tcBorders>
                  <w:shd w:val="clear" w:color="auto" w:fill="auto"/>
                  <w:tcMar>
                    <w:top w:w="0" w:type="dxa"/>
                    <w:left w:w="0" w:type="dxa"/>
                    <w:bottom w:w="0" w:type="dxa"/>
                    <w:right w:w="0" w:type="dxa"/>
                  </w:tcMar>
                  <w:vAlign w:val="center"/>
                </w:tcPr>
                <w:p w14:paraId="33796490">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0B8284A7">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2B1D5039">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7138454D">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789C4B36">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213" w:type="pct"/>
                  <w:vMerge w:val="continue"/>
                  <w:tcBorders>
                    <w:tl2br w:val="nil"/>
                    <w:tr2bl w:val="nil"/>
                  </w:tcBorders>
                  <w:shd w:val="clear" w:color="auto" w:fill="auto"/>
                  <w:tcMar>
                    <w:top w:w="0" w:type="dxa"/>
                    <w:left w:w="0" w:type="dxa"/>
                    <w:bottom w:w="0" w:type="dxa"/>
                    <w:right w:w="0" w:type="dxa"/>
                  </w:tcMar>
                  <w:vAlign w:val="center"/>
                </w:tcPr>
                <w:p w14:paraId="775648DD">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78120C3F">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226F699B">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0F7AA0A4">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3E79E9DC">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203" w:type="pct"/>
                  <w:vMerge w:val="continue"/>
                  <w:tcBorders>
                    <w:tl2br w:val="nil"/>
                    <w:tr2bl w:val="nil"/>
                  </w:tcBorders>
                  <w:shd w:val="clear" w:color="auto" w:fill="auto"/>
                  <w:tcMar>
                    <w:top w:w="0" w:type="dxa"/>
                    <w:left w:w="0" w:type="dxa"/>
                    <w:bottom w:w="0" w:type="dxa"/>
                    <w:right w:w="0" w:type="dxa"/>
                  </w:tcMar>
                  <w:vAlign w:val="center"/>
                </w:tcPr>
                <w:p w14:paraId="49A85357">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r>
            <w:tr w14:paraId="4CD2F4C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 w:type="pct"/>
                  <w:tcBorders>
                    <w:tl2br w:val="nil"/>
                    <w:tr2bl w:val="nil"/>
                  </w:tcBorders>
                  <w:shd w:val="clear" w:color="auto" w:fill="auto"/>
                  <w:tcMar>
                    <w:top w:w="0" w:type="dxa"/>
                    <w:left w:w="0" w:type="dxa"/>
                    <w:bottom w:w="0" w:type="dxa"/>
                    <w:right w:w="0" w:type="dxa"/>
                  </w:tcMar>
                  <w:vAlign w:val="center"/>
                </w:tcPr>
                <w:p w14:paraId="1B0BF40D">
                  <w:pPr>
                    <w:keepNext w:val="0"/>
                    <w:keepLines w:val="0"/>
                    <w:pageBreakBefore w:val="0"/>
                    <w:widowControl w:val="0"/>
                    <w:numPr>
                      <w:ilvl w:val="0"/>
                      <w:numId w:val="2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0" w:type="pct"/>
                  <w:vMerge w:val="continue"/>
                  <w:tcBorders>
                    <w:tl2br w:val="nil"/>
                    <w:tr2bl w:val="nil"/>
                  </w:tcBorders>
                  <w:shd w:val="clear" w:color="auto" w:fill="auto"/>
                  <w:tcMar>
                    <w:top w:w="0" w:type="dxa"/>
                    <w:left w:w="0" w:type="dxa"/>
                    <w:bottom w:w="0" w:type="dxa"/>
                    <w:right w:w="0" w:type="dxa"/>
                  </w:tcMar>
                  <w:vAlign w:val="center"/>
                </w:tcPr>
                <w:p w14:paraId="6CE9554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p>
              </w:tc>
              <w:tc>
                <w:tcPr>
                  <w:tcW w:w="294" w:type="pct"/>
                  <w:tcBorders>
                    <w:tl2br w:val="nil"/>
                    <w:tr2bl w:val="nil"/>
                  </w:tcBorders>
                  <w:shd w:val="clear" w:color="auto" w:fill="auto"/>
                  <w:tcMar>
                    <w:top w:w="0" w:type="dxa"/>
                    <w:left w:w="0" w:type="dxa"/>
                    <w:bottom w:w="0" w:type="dxa"/>
                    <w:right w:w="0" w:type="dxa"/>
                  </w:tcMar>
                  <w:vAlign w:val="center"/>
                </w:tcPr>
                <w:p w14:paraId="0FE9ABC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color w:val="000000" w:themeColor="text1"/>
                      <w:szCs w:val="21"/>
                      <w14:textFill>
                        <w14:solidFill>
                          <w14:schemeClr w14:val="tx1"/>
                        </w14:solidFill>
                      </w14:textFill>
                    </w:rPr>
                    <w:t>流化床制粒包衣机</w:t>
                  </w:r>
                </w:p>
              </w:tc>
              <w:tc>
                <w:tcPr>
                  <w:tcW w:w="249" w:type="pct"/>
                  <w:tcBorders>
                    <w:tl2br w:val="nil"/>
                    <w:tr2bl w:val="nil"/>
                  </w:tcBorders>
                  <w:shd w:val="clear" w:color="auto" w:fill="auto"/>
                  <w:tcMar>
                    <w:top w:w="0" w:type="dxa"/>
                    <w:left w:w="0" w:type="dxa"/>
                    <w:bottom w:w="0" w:type="dxa"/>
                    <w:right w:w="0" w:type="dxa"/>
                  </w:tcMar>
                  <w:vAlign w:val="center"/>
                </w:tcPr>
                <w:p w14:paraId="5E658431">
                  <w:pPr>
                    <w:keepNext w:val="0"/>
                    <w:keepLines w:val="0"/>
                    <w:widowControl/>
                    <w:suppressLineNumbers w:val="0"/>
                    <w:spacing w:before="0" w:beforeAutospacing="0" w:after="0" w:afterAutospacing="0"/>
                    <w:ind w:left="0" w:leftChars="0" w:right="0" w:rightChars="0"/>
                    <w:jc w:val="center"/>
                    <w:rPr>
                      <w:rFonts w:hint="default" w:cs="Times New Roman"/>
                      <w:color w:val="000000" w:themeColor="text1"/>
                      <w:sz w:val="21"/>
                      <w:szCs w:val="21"/>
                      <w:highlight w:val="none"/>
                      <w:lang w:val="en-US" w:eastAsia="zh-CN"/>
                      <w14:textFill>
                        <w14:solidFill>
                          <w14:schemeClr w14:val="tx1"/>
                        </w14:solidFill>
                      </w14:textFill>
                    </w:rPr>
                  </w:pPr>
                  <w:r>
                    <w:rPr>
                      <w:rFonts w:hint="default"/>
                      <w:color w:val="000000" w:themeColor="text1"/>
                      <w:szCs w:val="21"/>
                      <w14:textFill>
                        <w14:solidFill>
                          <w14:schemeClr w14:val="tx1"/>
                        </w14:solidFill>
                      </w14:textFill>
                    </w:rPr>
                    <w:t>WBF-30</w:t>
                  </w:r>
                </w:p>
              </w:tc>
              <w:tc>
                <w:tcPr>
                  <w:tcW w:w="254" w:type="pct"/>
                  <w:tcBorders>
                    <w:tl2br w:val="nil"/>
                    <w:tr2bl w:val="nil"/>
                  </w:tcBorders>
                  <w:shd w:val="clear" w:color="auto" w:fill="auto"/>
                  <w:tcMar>
                    <w:top w:w="0" w:type="dxa"/>
                    <w:left w:w="0" w:type="dxa"/>
                    <w:bottom w:w="0" w:type="dxa"/>
                    <w:right w:w="0" w:type="dxa"/>
                  </w:tcMar>
                  <w:vAlign w:val="center"/>
                </w:tcPr>
                <w:p w14:paraId="77C21B5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80</w:t>
                  </w:r>
                </w:p>
              </w:tc>
              <w:tc>
                <w:tcPr>
                  <w:tcW w:w="173" w:type="pct"/>
                  <w:vMerge w:val="continue"/>
                  <w:tcBorders>
                    <w:tl2br w:val="nil"/>
                    <w:tr2bl w:val="nil"/>
                  </w:tcBorders>
                  <w:shd w:val="clear" w:color="auto" w:fill="auto"/>
                  <w:tcMar>
                    <w:top w:w="0" w:type="dxa"/>
                    <w:left w:w="0" w:type="dxa"/>
                    <w:bottom w:w="0" w:type="dxa"/>
                    <w:right w:w="0" w:type="dxa"/>
                  </w:tcMar>
                  <w:vAlign w:val="center"/>
                </w:tcPr>
                <w:p w14:paraId="13E4B2D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80" w:type="pct"/>
                  <w:tcBorders>
                    <w:tl2br w:val="nil"/>
                    <w:tr2bl w:val="nil"/>
                  </w:tcBorders>
                  <w:shd w:val="clear" w:color="auto" w:fill="auto"/>
                  <w:tcMar>
                    <w:top w:w="0" w:type="dxa"/>
                    <w:left w:w="0" w:type="dxa"/>
                    <w:bottom w:w="0" w:type="dxa"/>
                    <w:right w:w="0" w:type="dxa"/>
                  </w:tcMar>
                  <w:vAlign w:val="center"/>
                </w:tcPr>
                <w:p w14:paraId="27BC0933">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23.2</w:t>
                  </w:r>
                </w:p>
              </w:tc>
              <w:tc>
                <w:tcPr>
                  <w:tcW w:w="180" w:type="pct"/>
                  <w:tcBorders>
                    <w:tl2br w:val="nil"/>
                    <w:tr2bl w:val="nil"/>
                  </w:tcBorders>
                  <w:shd w:val="clear" w:color="auto" w:fill="auto"/>
                  <w:tcMar>
                    <w:top w:w="0" w:type="dxa"/>
                    <w:left w:w="0" w:type="dxa"/>
                    <w:bottom w:w="0" w:type="dxa"/>
                    <w:right w:w="0" w:type="dxa"/>
                  </w:tcMar>
                  <w:vAlign w:val="center"/>
                </w:tcPr>
                <w:p w14:paraId="6833B75B">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-41.1</w:t>
                  </w:r>
                </w:p>
              </w:tc>
              <w:tc>
                <w:tcPr>
                  <w:tcW w:w="194" w:type="pct"/>
                  <w:tcBorders>
                    <w:tl2br w:val="nil"/>
                    <w:tr2bl w:val="nil"/>
                  </w:tcBorders>
                  <w:shd w:val="clear" w:color="auto" w:fill="auto"/>
                  <w:tcMar>
                    <w:top w:w="0" w:type="dxa"/>
                    <w:left w:w="0" w:type="dxa"/>
                    <w:bottom w:w="0" w:type="dxa"/>
                    <w:right w:w="0" w:type="dxa"/>
                  </w:tcMar>
                  <w:vAlign w:val="center"/>
                </w:tcPr>
                <w:p w14:paraId="54771DF7">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0.6</w:t>
                  </w:r>
                </w:p>
              </w:tc>
              <w:tc>
                <w:tcPr>
                  <w:tcW w:w="173" w:type="pct"/>
                  <w:tcBorders>
                    <w:tl2br w:val="nil"/>
                    <w:tr2bl w:val="nil"/>
                  </w:tcBorders>
                  <w:shd w:val="clear" w:color="auto" w:fill="auto"/>
                  <w:tcMar>
                    <w:top w:w="0" w:type="dxa"/>
                    <w:left w:w="0" w:type="dxa"/>
                    <w:bottom w:w="0" w:type="dxa"/>
                    <w:right w:w="0" w:type="dxa"/>
                  </w:tcMar>
                  <w:vAlign w:val="center"/>
                </w:tcPr>
                <w:p w14:paraId="15431E58">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42.0</w:t>
                  </w:r>
                </w:p>
              </w:tc>
              <w:tc>
                <w:tcPr>
                  <w:tcW w:w="173" w:type="pct"/>
                  <w:tcBorders>
                    <w:tl2br w:val="nil"/>
                    <w:tr2bl w:val="nil"/>
                  </w:tcBorders>
                  <w:shd w:val="clear" w:color="auto" w:fill="auto"/>
                  <w:tcMar>
                    <w:top w:w="0" w:type="dxa"/>
                    <w:left w:w="0" w:type="dxa"/>
                    <w:bottom w:w="0" w:type="dxa"/>
                    <w:right w:w="0" w:type="dxa"/>
                  </w:tcMar>
                  <w:vAlign w:val="center"/>
                </w:tcPr>
                <w:p w14:paraId="18363DE5">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48.9</w:t>
                  </w:r>
                </w:p>
              </w:tc>
              <w:tc>
                <w:tcPr>
                  <w:tcW w:w="173" w:type="pct"/>
                  <w:tcBorders>
                    <w:tl2br w:val="nil"/>
                    <w:tr2bl w:val="nil"/>
                  </w:tcBorders>
                  <w:shd w:val="clear" w:color="auto" w:fill="auto"/>
                  <w:tcMar>
                    <w:top w:w="0" w:type="dxa"/>
                    <w:left w:w="0" w:type="dxa"/>
                    <w:bottom w:w="0" w:type="dxa"/>
                    <w:right w:w="0" w:type="dxa"/>
                  </w:tcMar>
                  <w:vAlign w:val="center"/>
                </w:tcPr>
                <w:p w14:paraId="33AFF26E">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10.0</w:t>
                  </w:r>
                </w:p>
              </w:tc>
              <w:tc>
                <w:tcPr>
                  <w:tcW w:w="179" w:type="pct"/>
                  <w:tcBorders>
                    <w:tl2br w:val="nil"/>
                    <w:tr2bl w:val="nil"/>
                  </w:tcBorders>
                  <w:shd w:val="clear" w:color="auto" w:fill="auto"/>
                  <w:tcMar>
                    <w:top w:w="0" w:type="dxa"/>
                    <w:left w:w="0" w:type="dxa"/>
                    <w:bottom w:w="0" w:type="dxa"/>
                    <w:right w:w="0" w:type="dxa"/>
                  </w:tcMar>
                  <w:vAlign w:val="center"/>
                </w:tcPr>
                <w:p w14:paraId="0805C0E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20.5</w:t>
                  </w:r>
                </w:p>
              </w:tc>
              <w:tc>
                <w:tcPr>
                  <w:tcW w:w="173" w:type="pct"/>
                  <w:tcBorders>
                    <w:tl2br w:val="nil"/>
                    <w:tr2bl w:val="nil"/>
                  </w:tcBorders>
                  <w:shd w:val="clear" w:color="auto" w:fill="auto"/>
                  <w:tcMar>
                    <w:top w:w="0" w:type="dxa"/>
                    <w:left w:w="0" w:type="dxa"/>
                    <w:bottom w:w="0" w:type="dxa"/>
                    <w:right w:w="0" w:type="dxa"/>
                  </w:tcMar>
                  <w:vAlign w:val="center"/>
                </w:tcPr>
                <w:p w14:paraId="5FFD33B4">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67.1</w:t>
                  </w:r>
                </w:p>
              </w:tc>
              <w:tc>
                <w:tcPr>
                  <w:tcW w:w="173" w:type="pct"/>
                  <w:tcBorders>
                    <w:tl2br w:val="nil"/>
                    <w:tr2bl w:val="nil"/>
                  </w:tcBorders>
                  <w:shd w:val="clear" w:color="auto" w:fill="auto"/>
                  <w:tcMar>
                    <w:top w:w="0" w:type="dxa"/>
                    <w:left w:w="0" w:type="dxa"/>
                    <w:bottom w:w="0" w:type="dxa"/>
                    <w:right w:w="0" w:type="dxa"/>
                  </w:tcMar>
                  <w:vAlign w:val="center"/>
                </w:tcPr>
                <w:p w14:paraId="3CBB12D7">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67.1</w:t>
                  </w:r>
                </w:p>
              </w:tc>
              <w:tc>
                <w:tcPr>
                  <w:tcW w:w="173" w:type="pct"/>
                  <w:tcBorders>
                    <w:tl2br w:val="nil"/>
                    <w:tr2bl w:val="nil"/>
                  </w:tcBorders>
                  <w:shd w:val="clear" w:color="auto" w:fill="auto"/>
                  <w:tcMar>
                    <w:top w:w="0" w:type="dxa"/>
                    <w:left w:w="0" w:type="dxa"/>
                    <w:bottom w:w="0" w:type="dxa"/>
                    <w:right w:w="0" w:type="dxa"/>
                  </w:tcMar>
                  <w:vAlign w:val="center"/>
                </w:tcPr>
                <w:p w14:paraId="11AD89FD">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67.2</w:t>
                  </w:r>
                </w:p>
              </w:tc>
              <w:tc>
                <w:tcPr>
                  <w:tcW w:w="181" w:type="pct"/>
                  <w:tcBorders>
                    <w:tl2br w:val="nil"/>
                    <w:tr2bl w:val="nil"/>
                  </w:tcBorders>
                  <w:shd w:val="clear" w:color="auto" w:fill="auto"/>
                  <w:tcMar>
                    <w:top w:w="0" w:type="dxa"/>
                    <w:left w:w="0" w:type="dxa"/>
                    <w:bottom w:w="0" w:type="dxa"/>
                    <w:right w:w="0" w:type="dxa"/>
                  </w:tcMar>
                  <w:vAlign w:val="center"/>
                </w:tcPr>
                <w:p w14:paraId="2EE85CC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67.1</w:t>
                  </w:r>
                </w:p>
              </w:tc>
              <w:tc>
                <w:tcPr>
                  <w:tcW w:w="170" w:type="pct"/>
                  <w:vMerge w:val="continue"/>
                  <w:tcBorders>
                    <w:tl2br w:val="nil"/>
                    <w:tr2bl w:val="nil"/>
                  </w:tcBorders>
                  <w:shd w:val="clear" w:color="auto" w:fill="auto"/>
                  <w:tcMar>
                    <w:top w:w="0" w:type="dxa"/>
                    <w:left w:w="0" w:type="dxa"/>
                    <w:bottom w:w="0" w:type="dxa"/>
                    <w:right w:w="0" w:type="dxa"/>
                  </w:tcMar>
                  <w:vAlign w:val="center"/>
                </w:tcPr>
                <w:p w14:paraId="5FA6DE6C">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65DE2FA6">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1D9D8970">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1B276333">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7F3620ED">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213" w:type="pct"/>
                  <w:vMerge w:val="continue"/>
                  <w:tcBorders>
                    <w:tl2br w:val="nil"/>
                    <w:tr2bl w:val="nil"/>
                  </w:tcBorders>
                  <w:shd w:val="clear" w:color="auto" w:fill="auto"/>
                  <w:tcMar>
                    <w:top w:w="0" w:type="dxa"/>
                    <w:left w:w="0" w:type="dxa"/>
                    <w:bottom w:w="0" w:type="dxa"/>
                    <w:right w:w="0" w:type="dxa"/>
                  </w:tcMar>
                  <w:vAlign w:val="center"/>
                </w:tcPr>
                <w:p w14:paraId="46253396">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6FF7D5FB">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6A6AFF3C">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1B614370">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331D7D15">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203" w:type="pct"/>
                  <w:vMerge w:val="continue"/>
                  <w:tcBorders>
                    <w:tl2br w:val="nil"/>
                    <w:tr2bl w:val="nil"/>
                  </w:tcBorders>
                  <w:shd w:val="clear" w:color="auto" w:fill="auto"/>
                  <w:tcMar>
                    <w:top w:w="0" w:type="dxa"/>
                    <w:left w:w="0" w:type="dxa"/>
                    <w:bottom w:w="0" w:type="dxa"/>
                    <w:right w:w="0" w:type="dxa"/>
                  </w:tcMar>
                  <w:vAlign w:val="center"/>
                </w:tcPr>
                <w:p w14:paraId="44F3F8B1">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r>
            <w:tr w14:paraId="1F13920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 w:type="pct"/>
                  <w:tcBorders>
                    <w:tl2br w:val="nil"/>
                    <w:tr2bl w:val="nil"/>
                  </w:tcBorders>
                  <w:shd w:val="clear" w:color="auto" w:fill="auto"/>
                  <w:tcMar>
                    <w:top w:w="0" w:type="dxa"/>
                    <w:left w:w="0" w:type="dxa"/>
                    <w:bottom w:w="0" w:type="dxa"/>
                    <w:right w:w="0" w:type="dxa"/>
                  </w:tcMar>
                  <w:vAlign w:val="center"/>
                </w:tcPr>
                <w:p w14:paraId="4AE10050">
                  <w:pPr>
                    <w:keepNext w:val="0"/>
                    <w:keepLines w:val="0"/>
                    <w:pageBreakBefore w:val="0"/>
                    <w:widowControl w:val="0"/>
                    <w:numPr>
                      <w:ilvl w:val="0"/>
                      <w:numId w:val="2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0" w:type="pct"/>
                  <w:vMerge w:val="continue"/>
                  <w:tcBorders>
                    <w:tl2br w:val="nil"/>
                    <w:tr2bl w:val="nil"/>
                  </w:tcBorders>
                  <w:shd w:val="clear" w:color="auto" w:fill="auto"/>
                  <w:tcMar>
                    <w:top w:w="0" w:type="dxa"/>
                    <w:left w:w="0" w:type="dxa"/>
                    <w:bottom w:w="0" w:type="dxa"/>
                    <w:right w:w="0" w:type="dxa"/>
                  </w:tcMar>
                  <w:vAlign w:val="center"/>
                </w:tcPr>
                <w:p w14:paraId="49D22BA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p>
              </w:tc>
              <w:tc>
                <w:tcPr>
                  <w:tcW w:w="294" w:type="pct"/>
                  <w:tcBorders>
                    <w:tl2br w:val="nil"/>
                    <w:tr2bl w:val="nil"/>
                  </w:tcBorders>
                  <w:shd w:val="clear" w:color="auto" w:fill="auto"/>
                  <w:tcMar>
                    <w:top w:w="0" w:type="dxa"/>
                    <w:left w:w="0" w:type="dxa"/>
                    <w:bottom w:w="0" w:type="dxa"/>
                    <w:right w:w="0" w:type="dxa"/>
                  </w:tcMar>
                  <w:vAlign w:val="center"/>
                </w:tcPr>
                <w:p w14:paraId="2C097B4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color w:val="000000" w:themeColor="text1"/>
                      <w:szCs w:val="21"/>
                      <w14:textFill>
                        <w14:solidFill>
                          <w14:schemeClr w14:val="tx1"/>
                        </w14:solidFill>
                      </w14:textFill>
                    </w:rPr>
                    <w:t>干法制粒机</w:t>
                  </w:r>
                </w:p>
              </w:tc>
              <w:tc>
                <w:tcPr>
                  <w:tcW w:w="249" w:type="pct"/>
                  <w:tcBorders>
                    <w:tl2br w:val="nil"/>
                    <w:tr2bl w:val="nil"/>
                  </w:tcBorders>
                  <w:shd w:val="clear" w:color="auto" w:fill="auto"/>
                  <w:tcMar>
                    <w:top w:w="0" w:type="dxa"/>
                    <w:left w:w="0" w:type="dxa"/>
                    <w:bottom w:w="0" w:type="dxa"/>
                    <w:right w:w="0" w:type="dxa"/>
                  </w:tcMar>
                  <w:vAlign w:val="center"/>
                </w:tcPr>
                <w:p w14:paraId="3AB11F06">
                  <w:pPr>
                    <w:keepNext w:val="0"/>
                    <w:keepLines w:val="0"/>
                    <w:widowControl/>
                    <w:suppressLineNumbers w:val="0"/>
                    <w:spacing w:before="0" w:beforeAutospacing="0" w:after="0" w:afterAutospacing="0"/>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default"/>
                      <w:color w:val="000000" w:themeColor="text1"/>
                      <w:szCs w:val="21"/>
                      <w14:textFill>
                        <w14:solidFill>
                          <w14:schemeClr w14:val="tx1"/>
                        </w14:solidFill>
                      </w14:textFill>
                    </w:rPr>
                    <w:t>GFS-150</w:t>
                  </w:r>
                </w:p>
              </w:tc>
              <w:tc>
                <w:tcPr>
                  <w:tcW w:w="254" w:type="pct"/>
                  <w:tcBorders>
                    <w:tl2br w:val="nil"/>
                    <w:tr2bl w:val="nil"/>
                  </w:tcBorders>
                  <w:shd w:val="clear" w:color="auto" w:fill="auto"/>
                  <w:tcMar>
                    <w:top w:w="0" w:type="dxa"/>
                    <w:left w:w="0" w:type="dxa"/>
                    <w:bottom w:w="0" w:type="dxa"/>
                    <w:right w:w="0" w:type="dxa"/>
                  </w:tcMar>
                  <w:vAlign w:val="center"/>
                </w:tcPr>
                <w:p w14:paraId="2C1F1F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80</w:t>
                  </w:r>
                </w:p>
              </w:tc>
              <w:tc>
                <w:tcPr>
                  <w:tcW w:w="173" w:type="pct"/>
                  <w:vMerge w:val="continue"/>
                  <w:tcBorders>
                    <w:tl2br w:val="nil"/>
                    <w:tr2bl w:val="nil"/>
                  </w:tcBorders>
                  <w:shd w:val="clear" w:color="auto" w:fill="auto"/>
                  <w:tcMar>
                    <w:top w:w="0" w:type="dxa"/>
                    <w:left w:w="0" w:type="dxa"/>
                    <w:bottom w:w="0" w:type="dxa"/>
                    <w:right w:w="0" w:type="dxa"/>
                  </w:tcMar>
                  <w:vAlign w:val="center"/>
                </w:tcPr>
                <w:p w14:paraId="3130D2D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80" w:type="pct"/>
                  <w:tcBorders>
                    <w:tl2br w:val="nil"/>
                    <w:tr2bl w:val="nil"/>
                  </w:tcBorders>
                  <w:shd w:val="clear" w:color="auto" w:fill="auto"/>
                  <w:tcMar>
                    <w:top w:w="0" w:type="dxa"/>
                    <w:left w:w="0" w:type="dxa"/>
                    <w:bottom w:w="0" w:type="dxa"/>
                    <w:right w:w="0" w:type="dxa"/>
                  </w:tcMar>
                  <w:vAlign w:val="center"/>
                </w:tcPr>
                <w:p w14:paraId="5B4EE41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26.3</w:t>
                  </w:r>
                </w:p>
              </w:tc>
              <w:tc>
                <w:tcPr>
                  <w:tcW w:w="180" w:type="pct"/>
                  <w:tcBorders>
                    <w:tl2br w:val="nil"/>
                    <w:tr2bl w:val="nil"/>
                  </w:tcBorders>
                  <w:shd w:val="clear" w:color="auto" w:fill="auto"/>
                  <w:tcMar>
                    <w:top w:w="0" w:type="dxa"/>
                    <w:left w:w="0" w:type="dxa"/>
                    <w:bottom w:w="0" w:type="dxa"/>
                    <w:right w:w="0" w:type="dxa"/>
                  </w:tcMar>
                  <w:vAlign w:val="center"/>
                </w:tcPr>
                <w:p w14:paraId="570A1FF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-65.1</w:t>
                  </w:r>
                </w:p>
              </w:tc>
              <w:tc>
                <w:tcPr>
                  <w:tcW w:w="194" w:type="pct"/>
                  <w:tcBorders>
                    <w:tl2br w:val="nil"/>
                    <w:tr2bl w:val="nil"/>
                  </w:tcBorders>
                  <w:shd w:val="clear" w:color="auto" w:fill="auto"/>
                  <w:tcMar>
                    <w:top w:w="0" w:type="dxa"/>
                    <w:left w:w="0" w:type="dxa"/>
                    <w:bottom w:w="0" w:type="dxa"/>
                    <w:right w:w="0" w:type="dxa"/>
                  </w:tcMar>
                  <w:vAlign w:val="center"/>
                </w:tcPr>
                <w:p w14:paraId="23E66C12">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0.6</w:t>
                  </w:r>
                </w:p>
              </w:tc>
              <w:tc>
                <w:tcPr>
                  <w:tcW w:w="173" w:type="pct"/>
                  <w:tcBorders>
                    <w:tl2br w:val="nil"/>
                    <w:tr2bl w:val="nil"/>
                  </w:tcBorders>
                  <w:shd w:val="clear" w:color="auto" w:fill="auto"/>
                  <w:tcMar>
                    <w:top w:w="0" w:type="dxa"/>
                    <w:left w:w="0" w:type="dxa"/>
                    <w:bottom w:w="0" w:type="dxa"/>
                    <w:right w:w="0" w:type="dxa"/>
                  </w:tcMar>
                  <w:vAlign w:val="center"/>
                </w:tcPr>
                <w:p w14:paraId="1CB65F6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42.0</w:t>
                  </w:r>
                </w:p>
              </w:tc>
              <w:tc>
                <w:tcPr>
                  <w:tcW w:w="173" w:type="pct"/>
                  <w:tcBorders>
                    <w:tl2br w:val="nil"/>
                    <w:tr2bl w:val="nil"/>
                  </w:tcBorders>
                  <w:shd w:val="clear" w:color="auto" w:fill="auto"/>
                  <w:tcMar>
                    <w:top w:w="0" w:type="dxa"/>
                    <w:left w:w="0" w:type="dxa"/>
                    <w:bottom w:w="0" w:type="dxa"/>
                    <w:right w:w="0" w:type="dxa"/>
                  </w:tcMar>
                  <w:vAlign w:val="center"/>
                </w:tcPr>
                <w:p w14:paraId="7E250938">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24.7</w:t>
                  </w:r>
                </w:p>
              </w:tc>
              <w:tc>
                <w:tcPr>
                  <w:tcW w:w="173" w:type="pct"/>
                  <w:tcBorders>
                    <w:tl2br w:val="nil"/>
                    <w:tr2bl w:val="nil"/>
                  </w:tcBorders>
                  <w:shd w:val="clear" w:color="auto" w:fill="auto"/>
                  <w:tcMar>
                    <w:top w:w="0" w:type="dxa"/>
                    <w:left w:w="0" w:type="dxa"/>
                    <w:bottom w:w="0" w:type="dxa"/>
                    <w:right w:w="0" w:type="dxa"/>
                  </w:tcMar>
                  <w:vAlign w:val="center"/>
                </w:tcPr>
                <w:p w14:paraId="36BA4F5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10.6</w:t>
                  </w:r>
                </w:p>
              </w:tc>
              <w:tc>
                <w:tcPr>
                  <w:tcW w:w="179" w:type="pct"/>
                  <w:tcBorders>
                    <w:tl2br w:val="nil"/>
                    <w:tr2bl w:val="nil"/>
                  </w:tcBorders>
                  <w:shd w:val="clear" w:color="auto" w:fill="auto"/>
                  <w:tcMar>
                    <w:top w:w="0" w:type="dxa"/>
                    <w:left w:w="0" w:type="dxa"/>
                    <w:bottom w:w="0" w:type="dxa"/>
                    <w:right w:w="0" w:type="dxa"/>
                  </w:tcMar>
                  <w:vAlign w:val="center"/>
                </w:tcPr>
                <w:p w14:paraId="1138CB58">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44.7</w:t>
                  </w:r>
                </w:p>
              </w:tc>
              <w:tc>
                <w:tcPr>
                  <w:tcW w:w="173" w:type="pct"/>
                  <w:tcBorders>
                    <w:tl2br w:val="nil"/>
                    <w:tr2bl w:val="nil"/>
                  </w:tcBorders>
                  <w:shd w:val="clear" w:color="auto" w:fill="auto"/>
                  <w:tcMar>
                    <w:top w:w="0" w:type="dxa"/>
                    <w:left w:w="0" w:type="dxa"/>
                    <w:bottom w:w="0" w:type="dxa"/>
                    <w:right w:w="0" w:type="dxa"/>
                  </w:tcMar>
                  <w:vAlign w:val="center"/>
                </w:tcPr>
                <w:p w14:paraId="772C8B18">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67.1</w:t>
                  </w:r>
                </w:p>
              </w:tc>
              <w:tc>
                <w:tcPr>
                  <w:tcW w:w="173" w:type="pct"/>
                  <w:tcBorders>
                    <w:tl2br w:val="nil"/>
                    <w:tr2bl w:val="nil"/>
                  </w:tcBorders>
                  <w:shd w:val="clear" w:color="auto" w:fill="auto"/>
                  <w:tcMar>
                    <w:top w:w="0" w:type="dxa"/>
                    <w:left w:w="0" w:type="dxa"/>
                    <w:bottom w:w="0" w:type="dxa"/>
                    <w:right w:w="0" w:type="dxa"/>
                  </w:tcMar>
                  <w:vAlign w:val="center"/>
                </w:tcPr>
                <w:p w14:paraId="1B66387A">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67.1</w:t>
                  </w:r>
                </w:p>
              </w:tc>
              <w:tc>
                <w:tcPr>
                  <w:tcW w:w="173" w:type="pct"/>
                  <w:tcBorders>
                    <w:tl2br w:val="nil"/>
                    <w:tr2bl w:val="nil"/>
                  </w:tcBorders>
                  <w:shd w:val="clear" w:color="auto" w:fill="auto"/>
                  <w:tcMar>
                    <w:top w:w="0" w:type="dxa"/>
                    <w:left w:w="0" w:type="dxa"/>
                    <w:bottom w:w="0" w:type="dxa"/>
                    <w:right w:w="0" w:type="dxa"/>
                  </w:tcMar>
                  <w:vAlign w:val="center"/>
                </w:tcPr>
                <w:p w14:paraId="4F98CF4A">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67.2</w:t>
                  </w:r>
                </w:p>
              </w:tc>
              <w:tc>
                <w:tcPr>
                  <w:tcW w:w="181" w:type="pct"/>
                  <w:tcBorders>
                    <w:tl2br w:val="nil"/>
                    <w:tr2bl w:val="nil"/>
                  </w:tcBorders>
                  <w:shd w:val="clear" w:color="auto" w:fill="auto"/>
                  <w:tcMar>
                    <w:top w:w="0" w:type="dxa"/>
                    <w:left w:w="0" w:type="dxa"/>
                    <w:bottom w:w="0" w:type="dxa"/>
                    <w:right w:w="0" w:type="dxa"/>
                  </w:tcMar>
                  <w:vAlign w:val="center"/>
                </w:tcPr>
                <w:p w14:paraId="0625AF23">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67.1</w:t>
                  </w:r>
                </w:p>
              </w:tc>
              <w:tc>
                <w:tcPr>
                  <w:tcW w:w="170" w:type="pct"/>
                  <w:vMerge w:val="continue"/>
                  <w:tcBorders>
                    <w:tl2br w:val="nil"/>
                    <w:tr2bl w:val="nil"/>
                  </w:tcBorders>
                  <w:shd w:val="clear" w:color="auto" w:fill="auto"/>
                  <w:tcMar>
                    <w:top w:w="0" w:type="dxa"/>
                    <w:left w:w="0" w:type="dxa"/>
                    <w:bottom w:w="0" w:type="dxa"/>
                    <w:right w:w="0" w:type="dxa"/>
                  </w:tcMar>
                  <w:vAlign w:val="center"/>
                </w:tcPr>
                <w:p w14:paraId="2FB00A1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5E35F36F">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58A05338">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19770332">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71CB7914">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213" w:type="pct"/>
                  <w:vMerge w:val="continue"/>
                  <w:tcBorders>
                    <w:tl2br w:val="nil"/>
                    <w:tr2bl w:val="nil"/>
                  </w:tcBorders>
                  <w:shd w:val="clear" w:color="auto" w:fill="auto"/>
                  <w:tcMar>
                    <w:top w:w="0" w:type="dxa"/>
                    <w:left w:w="0" w:type="dxa"/>
                    <w:bottom w:w="0" w:type="dxa"/>
                    <w:right w:w="0" w:type="dxa"/>
                  </w:tcMar>
                  <w:vAlign w:val="center"/>
                </w:tcPr>
                <w:p w14:paraId="7317B270">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65A60A26">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498F2899">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2C0CEC7A">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2B12D977">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203" w:type="pct"/>
                  <w:vMerge w:val="continue"/>
                  <w:tcBorders>
                    <w:tl2br w:val="nil"/>
                    <w:tr2bl w:val="nil"/>
                  </w:tcBorders>
                  <w:shd w:val="clear" w:color="auto" w:fill="auto"/>
                  <w:tcMar>
                    <w:top w:w="0" w:type="dxa"/>
                    <w:left w:w="0" w:type="dxa"/>
                    <w:bottom w:w="0" w:type="dxa"/>
                    <w:right w:w="0" w:type="dxa"/>
                  </w:tcMar>
                  <w:vAlign w:val="center"/>
                </w:tcPr>
                <w:p w14:paraId="416B5F5C">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r>
            <w:tr w14:paraId="5E625F6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 w:type="pct"/>
                  <w:tcBorders>
                    <w:tl2br w:val="nil"/>
                    <w:tr2bl w:val="nil"/>
                  </w:tcBorders>
                  <w:shd w:val="clear" w:color="auto" w:fill="auto"/>
                  <w:tcMar>
                    <w:top w:w="0" w:type="dxa"/>
                    <w:left w:w="0" w:type="dxa"/>
                    <w:bottom w:w="0" w:type="dxa"/>
                    <w:right w:w="0" w:type="dxa"/>
                  </w:tcMar>
                  <w:vAlign w:val="center"/>
                </w:tcPr>
                <w:p w14:paraId="6AAEDF00">
                  <w:pPr>
                    <w:keepNext w:val="0"/>
                    <w:keepLines w:val="0"/>
                    <w:pageBreakBefore w:val="0"/>
                    <w:widowControl w:val="0"/>
                    <w:numPr>
                      <w:ilvl w:val="0"/>
                      <w:numId w:val="2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0" w:type="pct"/>
                  <w:vMerge w:val="continue"/>
                  <w:tcBorders>
                    <w:tl2br w:val="nil"/>
                    <w:tr2bl w:val="nil"/>
                  </w:tcBorders>
                  <w:shd w:val="clear" w:color="auto" w:fill="auto"/>
                  <w:tcMar>
                    <w:top w:w="0" w:type="dxa"/>
                    <w:left w:w="0" w:type="dxa"/>
                    <w:bottom w:w="0" w:type="dxa"/>
                    <w:right w:w="0" w:type="dxa"/>
                  </w:tcMar>
                  <w:vAlign w:val="center"/>
                </w:tcPr>
                <w:p w14:paraId="22849AE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p>
              </w:tc>
              <w:tc>
                <w:tcPr>
                  <w:tcW w:w="294" w:type="pct"/>
                  <w:tcBorders>
                    <w:tl2br w:val="nil"/>
                    <w:tr2bl w:val="nil"/>
                  </w:tcBorders>
                  <w:shd w:val="clear" w:color="auto" w:fill="auto"/>
                  <w:tcMar>
                    <w:top w:w="0" w:type="dxa"/>
                    <w:left w:w="0" w:type="dxa"/>
                    <w:bottom w:w="0" w:type="dxa"/>
                    <w:right w:w="0" w:type="dxa"/>
                  </w:tcMar>
                  <w:vAlign w:val="center"/>
                </w:tcPr>
                <w:p w14:paraId="6C261AC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color w:val="000000" w:themeColor="text1"/>
                      <w:szCs w:val="21"/>
                      <w14:textFill>
                        <w14:solidFill>
                          <w14:schemeClr w14:val="tx1"/>
                        </w14:solidFill>
                      </w14:textFill>
                    </w:rPr>
                    <w:t>S49系列三元旋振筛</w:t>
                  </w:r>
                </w:p>
              </w:tc>
              <w:tc>
                <w:tcPr>
                  <w:tcW w:w="249" w:type="pct"/>
                  <w:tcBorders>
                    <w:tl2br w:val="nil"/>
                    <w:tr2bl w:val="nil"/>
                  </w:tcBorders>
                  <w:shd w:val="clear" w:color="auto" w:fill="auto"/>
                  <w:tcMar>
                    <w:top w:w="0" w:type="dxa"/>
                    <w:left w:w="0" w:type="dxa"/>
                    <w:bottom w:w="0" w:type="dxa"/>
                    <w:right w:w="0" w:type="dxa"/>
                  </w:tcMar>
                  <w:vAlign w:val="center"/>
                </w:tcPr>
                <w:p w14:paraId="08BB0214">
                  <w:pPr>
                    <w:keepNext w:val="0"/>
                    <w:keepLines w:val="0"/>
                    <w:widowControl/>
                    <w:suppressLineNumbers w:val="0"/>
                    <w:spacing w:before="0" w:beforeAutospacing="0" w:after="0" w:afterAutospacing="0"/>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default"/>
                      <w:color w:val="000000" w:themeColor="text1"/>
                      <w:szCs w:val="21"/>
                      <w14:textFill>
                        <w14:solidFill>
                          <w14:schemeClr w14:val="tx1"/>
                        </w14:solidFill>
                      </w14:textFill>
                    </w:rPr>
                    <w:t>S49-800-2S</w:t>
                  </w:r>
                </w:p>
              </w:tc>
              <w:tc>
                <w:tcPr>
                  <w:tcW w:w="254" w:type="pct"/>
                  <w:tcBorders>
                    <w:tl2br w:val="nil"/>
                    <w:tr2bl w:val="nil"/>
                  </w:tcBorders>
                  <w:shd w:val="clear" w:color="auto" w:fill="auto"/>
                  <w:tcMar>
                    <w:top w:w="0" w:type="dxa"/>
                    <w:left w:w="0" w:type="dxa"/>
                    <w:bottom w:w="0" w:type="dxa"/>
                    <w:right w:w="0" w:type="dxa"/>
                  </w:tcMar>
                  <w:vAlign w:val="center"/>
                </w:tcPr>
                <w:p w14:paraId="2356520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85</w:t>
                  </w:r>
                </w:p>
              </w:tc>
              <w:tc>
                <w:tcPr>
                  <w:tcW w:w="173" w:type="pct"/>
                  <w:vMerge w:val="continue"/>
                  <w:tcBorders>
                    <w:tl2br w:val="nil"/>
                    <w:tr2bl w:val="nil"/>
                  </w:tcBorders>
                  <w:shd w:val="clear" w:color="auto" w:fill="auto"/>
                  <w:tcMar>
                    <w:top w:w="0" w:type="dxa"/>
                    <w:left w:w="0" w:type="dxa"/>
                    <w:bottom w:w="0" w:type="dxa"/>
                    <w:right w:w="0" w:type="dxa"/>
                  </w:tcMar>
                  <w:vAlign w:val="center"/>
                </w:tcPr>
                <w:p w14:paraId="4F7C118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80" w:type="pct"/>
                  <w:tcBorders>
                    <w:tl2br w:val="nil"/>
                    <w:tr2bl w:val="nil"/>
                  </w:tcBorders>
                  <w:shd w:val="clear" w:color="auto" w:fill="auto"/>
                  <w:tcMar>
                    <w:top w:w="0" w:type="dxa"/>
                    <w:left w:w="0" w:type="dxa"/>
                    <w:bottom w:w="0" w:type="dxa"/>
                    <w:right w:w="0" w:type="dxa"/>
                  </w:tcMar>
                  <w:vAlign w:val="center"/>
                </w:tcPr>
                <w:p w14:paraId="48E2E43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30.7</w:t>
                  </w:r>
                </w:p>
              </w:tc>
              <w:tc>
                <w:tcPr>
                  <w:tcW w:w="180" w:type="pct"/>
                  <w:tcBorders>
                    <w:tl2br w:val="nil"/>
                    <w:tr2bl w:val="nil"/>
                  </w:tcBorders>
                  <w:shd w:val="clear" w:color="auto" w:fill="auto"/>
                  <w:tcMar>
                    <w:top w:w="0" w:type="dxa"/>
                    <w:left w:w="0" w:type="dxa"/>
                    <w:bottom w:w="0" w:type="dxa"/>
                    <w:right w:w="0" w:type="dxa"/>
                  </w:tcMar>
                  <w:vAlign w:val="center"/>
                </w:tcPr>
                <w:p w14:paraId="701DDC77">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-45.9</w:t>
                  </w:r>
                </w:p>
              </w:tc>
              <w:tc>
                <w:tcPr>
                  <w:tcW w:w="194" w:type="pct"/>
                  <w:tcBorders>
                    <w:tl2br w:val="nil"/>
                    <w:tr2bl w:val="nil"/>
                  </w:tcBorders>
                  <w:shd w:val="clear" w:color="auto" w:fill="auto"/>
                  <w:tcMar>
                    <w:top w:w="0" w:type="dxa"/>
                    <w:left w:w="0" w:type="dxa"/>
                    <w:bottom w:w="0" w:type="dxa"/>
                    <w:right w:w="0" w:type="dxa"/>
                  </w:tcMar>
                  <w:vAlign w:val="center"/>
                </w:tcPr>
                <w:p w14:paraId="4F5B37B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0.6</w:t>
                  </w:r>
                </w:p>
              </w:tc>
              <w:tc>
                <w:tcPr>
                  <w:tcW w:w="173" w:type="pct"/>
                  <w:tcBorders>
                    <w:tl2br w:val="nil"/>
                    <w:tr2bl w:val="nil"/>
                  </w:tcBorders>
                  <w:shd w:val="clear" w:color="auto" w:fill="auto"/>
                  <w:tcMar>
                    <w:top w:w="0" w:type="dxa"/>
                    <w:left w:w="0" w:type="dxa"/>
                    <w:bottom w:w="0" w:type="dxa"/>
                    <w:right w:w="0" w:type="dxa"/>
                  </w:tcMar>
                  <w:vAlign w:val="center"/>
                </w:tcPr>
                <w:p w14:paraId="4AB09DA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35.2</w:t>
                  </w:r>
                </w:p>
              </w:tc>
              <w:tc>
                <w:tcPr>
                  <w:tcW w:w="173" w:type="pct"/>
                  <w:tcBorders>
                    <w:tl2br w:val="nil"/>
                    <w:tr2bl w:val="nil"/>
                  </w:tcBorders>
                  <w:shd w:val="clear" w:color="auto" w:fill="auto"/>
                  <w:tcMar>
                    <w:top w:w="0" w:type="dxa"/>
                    <w:left w:w="0" w:type="dxa"/>
                    <w:bottom w:w="0" w:type="dxa"/>
                    <w:right w:w="0" w:type="dxa"/>
                  </w:tcMar>
                  <w:vAlign w:val="center"/>
                </w:tcPr>
                <w:p w14:paraId="7AB13893">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43.3</w:t>
                  </w:r>
                </w:p>
              </w:tc>
              <w:tc>
                <w:tcPr>
                  <w:tcW w:w="173" w:type="pct"/>
                  <w:tcBorders>
                    <w:tl2br w:val="nil"/>
                    <w:tr2bl w:val="nil"/>
                  </w:tcBorders>
                  <w:shd w:val="clear" w:color="auto" w:fill="auto"/>
                  <w:tcMar>
                    <w:top w:w="0" w:type="dxa"/>
                    <w:left w:w="0" w:type="dxa"/>
                    <w:bottom w:w="0" w:type="dxa"/>
                    <w:right w:w="0" w:type="dxa"/>
                  </w:tcMar>
                  <w:vAlign w:val="center"/>
                </w:tcPr>
                <w:p w14:paraId="4D80EF6F">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17.0</w:t>
                  </w:r>
                </w:p>
              </w:tc>
              <w:tc>
                <w:tcPr>
                  <w:tcW w:w="179" w:type="pct"/>
                  <w:tcBorders>
                    <w:tl2br w:val="nil"/>
                    <w:tr2bl w:val="nil"/>
                  </w:tcBorders>
                  <w:shd w:val="clear" w:color="auto" w:fill="auto"/>
                  <w:tcMar>
                    <w:top w:w="0" w:type="dxa"/>
                    <w:left w:w="0" w:type="dxa"/>
                    <w:bottom w:w="0" w:type="dxa"/>
                    <w:right w:w="0" w:type="dxa"/>
                  </w:tcMar>
                  <w:vAlign w:val="center"/>
                </w:tcPr>
                <w:p w14:paraId="299E99D2">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26.1</w:t>
                  </w:r>
                </w:p>
              </w:tc>
              <w:tc>
                <w:tcPr>
                  <w:tcW w:w="173" w:type="pct"/>
                  <w:tcBorders>
                    <w:tl2br w:val="nil"/>
                    <w:tr2bl w:val="nil"/>
                  </w:tcBorders>
                  <w:shd w:val="clear" w:color="auto" w:fill="auto"/>
                  <w:tcMar>
                    <w:top w:w="0" w:type="dxa"/>
                    <w:left w:w="0" w:type="dxa"/>
                    <w:bottom w:w="0" w:type="dxa"/>
                    <w:right w:w="0" w:type="dxa"/>
                  </w:tcMar>
                  <w:vAlign w:val="center"/>
                </w:tcPr>
                <w:p w14:paraId="23C96B54">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72.1</w:t>
                  </w:r>
                </w:p>
              </w:tc>
              <w:tc>
                <w:tcPr>
                  <w:tcW w:w="173" w:type="pct"/>
                  <w:tcBorders>
                    <w:tl2br w:val="nil"/>
                    <w:tr2bl w:val="nil"/>
                  </w:tcBorders>
                  <w:shd w:val="clear" w:color="auto" w:fill="auto"/>
                  <w:tcMar>
                    <w:top w:w="0" w:type="dxa"/>
                    <w:left w:w="0" w:type="dxa"/>
                    <w:bottom w:w="0" w:type="dxa"/>
                    <w:right w:w="0" w:type="dxa"/>
                  </w:tcMar>
                  <w:vAlign w:val="center"/>
                </w:tcPr>
                <w:p w14:paraId="5FEA902F">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72.1</w:t>
                  </w:r>
                </w:p>
              </w:tc>
              <w:tc>
                <w:tcPr>
                  <w:tcW w:w="173" w:type="pct"/>
                  <w:tcBorders>
                    <w:tl2br w:val="nil"/>
                    <w:tr2bl w:val="nil"/>
                  </w:tcBorders>
                  <w:shd w:val="clear" w:color="auto" w:fill="auto"/>
                  <w:tcMar>
                    <w:top w:w="0" w:type="dxa"/>
                    <w:left w:w="0" w:type="dxa"/>
                    <w:bottom w:w="0" w:type="dxa"/>
                    <w:right w:w="0" w:type="dxa"/>
                  </w:tcMar>
                  <w:vAlign w:val="center"/>
                </w:tcPr>
                <w:p w14:paraId="75B0E7AE">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72.1</w:t>
                  </w:r>
                </w:p>
              </w:tc>
              <w:tc>
                <w:tcPr>
                  <w:tcW w:w="181" w:type="pct"/>
                  <w:tcBorders>
                    <w:tl2br w:val="nil"/>
                    <w:tr2bl w:val="nil"/>
                  </w:tcBorders>
                  <w:shd w:val="clear" w:color="auto" w:fill="auto"/>
                  <w:tcMar>
                    <w:top w:w="0" w:type="dxa"/>
                    <w:left w:w="0" w:type="dxa"/>
                    <w:bottom w:w="0" w:type="dxa"/>
                    <w:right w:w="0" w:type="dxa"/>
                  </w:tcMar>
                  <w:vAlign w:val="center"/>
                </w:tcPr>
                <w:p w14:paraId="06D67D6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72.1</w:t>
                  </w:r>
                </w:p>
              </w:tc>
              <w:tc>
                <w:tcPr>
                  <w:tcW w:w="170" w:type="pct"/>
                  <w:vMerge w:val="continue"/>
                  <w:tcBorders>
                    <w:tl2br w:val="nil"/>
                    <w:tr2bl w:val="nil"/>
                  </w:tcBorders>
                  <w:shd w:val="clear" w:color="auto" w:fill="auto"/>
                  <w:tcMar>
                    <w:top w:w="0" w:type="dxa"/>
                    <w:left w:w="0" w:type="dxa"/>
                    <w:bottom w:w="0" w:type="dxa"/>
                    <w:right w:w="0" w:type="dxa"/>
                  </w:tcMar>
                  <w:vAlign w:val="center"/>
                </w:tcPr>
                <w:p w14:paraId="3C5026CA">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6F3E57EF">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647D09B3">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0619CDF1">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20398DE3">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213" w:type="pct"/>
                  <w:vMerge w:val="continue"/>
                  <w:tcBorders>
                    <w:tl2br w:val="nil"/>
                    <w:tr2bl w:val="nil"/>
                  </w:tcBorders>
                  <w:shd w:val="clear" w:color="auto" w:fill="auto"/>
                  <w:tcMar>
                    <w:top w:w="0" w:type="dxa"/>
                    <w:left w:w="0" w:type="dxa"/>
                    <w:bottom w:w="0" w:type="dxa"/>
                    <w:right w:w="0" w:type="dxa"/>
                  </w:tcMar>
                  <w:vAlign w:val="center"/>
                </w:tcPr>
                <w:p w14:paraId="0117A7BC">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49903486">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1AC30336">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6722B78A">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1FEA2C91">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203" w:type="pct"/>
                  <w:vMerge w:val="continue"/>
                  <w:tcBorders>
                    <w:tl2br w:val="nil"/>
                    <w:tr2bl w:val="nil"/>
                  </w:tcBorders>
                  <w:shd w:val="clear" w:color="auto" w:fill="auto"/>
                  <w:tcMar>
                    <w:top w:w="0" w:type="dxa"/>
                    <w:left w:w="0" w:type="dxa"/>
                    <w:bottom w:w="0" w:type="dxa"/>
                    <w:right w:w="0" w:type="dxa"/>
                  </w:tcMar>
                  <w:vAlign w:val="center"/>
                </w:tcPr>
                <w:p w14:paraId="05866EE9">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r>
            <w:tr w14:paraId="5492188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 w:type="pct"/>
                  <w:tcBorders>
                    <w:tl2br w:val="nil"/>
                    <w:tr2bl w:val="nil"/>
                  </w:tcBorders>
                  <w:shd w:val="clear" w:color="auto" w:fill="auto"/>
                  <w:tcMar>
                    <w:top w:w="0" w:type="dxa"/>
                    <w:left w:w="0" w:type="dxa"/>
                    <w:bottom w:w="0" w:type="dxa"/>
                    <w:right w:w="0" w:type="dxa"/>
                  </w:tcMar>
                  <w:vAlign w:val="center"/>
                </w:tcPr>
                <w:p w14:paraId="48E79B60">
                  <w:pPr>
                    <w:keepNext w:val="0"/>
                    <w:keepLines w:val="0"/>
                    <w:pageBreakBefore w:val="0"/>
                    <w:widowControl w:val="0"/>
                    <w:numPr>
                      <w:ilvl w:val="0"/>
                      <w:numId w:val="2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0" w:type="pct"/>
                  <w:vMerge w:val="continue"/>
                  <w:tcBorders>
                    <w:tl2br w:val="nil"/>
                    <w:tr2bl w:val="nil"/>
                  </w:tcBorders>
                  <w:shd w:val="clear" w:color="auto" w:fill="auto"/>
                  <w:tcMar>
                    <w:top w:w="0" w:type="dxa"/>
                    <w:left w:w="0" w:type="dxa"/>
                    <w:bottom w:w="0" w:type="dxa"/>
                    <w:right w:w="0" w:type="dxa"/>
                  </w:tcMar>
                  <w:vAlign w:val="center"/>
                </w:tcPr>
                <w:p w14:paraId="10FABF2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p>
              </w:tc>
              <w:tc>
                <w:tcPr>
                  <w:tcW w:w="294" w:type="pct"/>
                  <w:tcBorders>
                    <w:tl2br w:val="nil"/>
                    <w:tr2bl w:val="nil"/>
                  </w:tcBorders>
                  <w:shd w:val="clear" w:color="auto" w:fill="auto"/>
                  <w:tcMar>
                    <w:top w:w="0" w:type="dxa"/>
                    <w:left w:w="0" w:type="dxa"/>
                    <w:bottom w:w="0" w:type="dxa"/>
                    <w:right w:w="0" w:type="dxa"/>
                  </w:tcMar>
                  <w:vAlign w:val="center"/>
                </w:tcPr>
                <w:p w14:paraId="63B5D30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color w:val="000000" w:themeColor="text1"/>
                      <w:szCs w:val="21"/>
                      <w14:textFill>
                        <w14:solidFill>
                          <w14:schemeClr w14:val="tx1"/>
                        </w14:solidFill>
                      </w14:textFill>
                    </w:rPr>
                    <w:t>粉碎整粒机</w:t>
                  </w:r>
                </w:p>
              </w:tc>
              <w:tc>
                <w:tcPr>
                  <w:tcW w:w="249" w:type="pct"/>
                  <w:tcBorders>
                    <w:tl2br w:val="nil"/>
                    <w:tr2bl w:val="nil"/>
                  </w:tcBorders>
                  <w:shd w:val="clear" w:color="auto" w:fill="auto"/>
                  <w:tcMar>
                    <w:top w:w="0" w:type="dxa"/>
                    <w:left w:w="0" w:type="dxa"/>
                    <w:bottom w:w="0" w:type="dxa"/>
                    <w:right w:w="0" w:type="dxa"/>
                  </w:tcMar>
                  <w:vAlign w:val="center"/>
                </w:tcPr>
                <w:p w14:paraId="455EAED3">
                  <w:pPr>
                    <w:keepNext w:val="0"/>
                    <w:keepLines w:val="0"/>
                    <w:widowControl/>
                    <w:suppressLineNumbers w:val="0"/>
                    <w:spacing w:before="0" w:beforeAutospacing="0" w:after="0" w:afterAutospacing="0"/>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default"/>
                      <w:color w:val="000000" w:themeColor="text1"/>
                      <w:szCs w:val="21"/>
                      <w14:textFill>
                        <w14:solidFill>
                          <w14:schemeClr w14:val="tx1"/>
                        </w14:solidFill>
                      </w14:textFill>
                    </w:rPr>
                    <w:t>FZB-150</w:t>
                  </w:r>
                </w:p>
              </w:tc>
              <w:tc>
                <w:tcPr>
                  <w:tcW w:w="254" w:type="pct"/>
                  <w:tcBorders>
                    <w:tl2br w:val="nil"/>
                    <w:tr2bl w:val="nil"/>
                  </w:tcBorders>
                  <w:shd w:val="clear" w:color="auto" w:fill="auto"/>
                  <w:tcMar>
                    <w:top w:w="0" w:type="dxa"/>
                    <w:left w:w="0" w:type="dxa"/>
                    <w:bottom w:w="0" w:type="dxa"/>
                    <w:right w:w="0" w:type="dxa"/>
                  </w:tcMar>
                  <w:vAlign w:val="center"/>
                </w:tcPr>
                <w:p w14:paraId="3BA4C9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80</w:t>
                  </w:r>
                </w:p>
              </w:tc>
              <w:tc>
                <w:tcPr>
                  <w:tcW w:w="173" w:type="pct"/>
                  <w:vMerge w:val="continue"/>
                  <w:tcBorders>
                    <w:tl2br w:val="nil"/>
                    <w:tr2bl w:val="nil"/>
                  </w:tcBorders>
                  <w:shd w:val="clear" w:color="auto" w:fill="auto"/>
                  <w:tcMar>
                    <w:top w:w="0" w:type="dxa"/>
                    <w:left w:w="0" w:type="dxa"/>
                    <w:bottom w:w="0" w:type="dxa"/>
                    <w:right w:w="0" w:type="dxa"/>
                  </w:tcMar>
                  <w:vAlign w:val="center"/>
                </w:tcPr>
                <w:p w14:paraId="701977F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80" w:type="pct"/>
                  <w:tcBorders>
                    <w:tl2br w:val="nil"/>
                    <w:tr2bl w:val="nil"/>
                  </w:tcBorders>
                  <w:shd w:val="clear" w:color="auto" w:fill="auto"/>
                  <w:tcMar>
                    <w:top w:w="0" w:type="dxa"/>
                    <w:left w:w="0" w:type="dxa"/>
                    <w:bottom w:w="0" w:type="dxa"/>
                    <w:right w:w="0" w:type="dxa"/>
                  </w:tcMar>
                  <w:vAlign w:val="center"/>
                </w:tcPr>
                <w:p w14:paraId="73F76B0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25.5</w:t>
                  </w:r>
                </w:p>
              </w:tc>
              <w:tc>
                <w:tcPr>
                  <w:tcW w:w="180" w:type="pct"/>
                  <w:tcBorders>
                    <w:tl2br w:val="nil"/>
                    <w:tr2bl w:val="nil"/>
                  </w:tcBorders>
                  <w:shd w:val="clear" w:color="auto" w:fill="auto"/>
                  <w:tcMar>
                    <w:top w:w="0" w:type="dxa"/>
                    <w:left w:w="0" w:type="dxa"/>
                    <w:bottom w:w="0" w:type="dxa"/>
                    <w:right w:w="0" w:type="dxa"/>
                  </w:tcMar>
                  <w:vAlign w:val="center"/>
                </w:tcPr>
                <w:p w14:paraId="785A566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-59.3</w:t>
                  </w:r>
                </w:p>
              </w:tc>
              <w:tc>
                <w:tcPr>
                  <w:tcW w:w="194" w:type="pct"/>
                  <w:tcBorders>
                    <w:tl2br w:val="nil"/>
                    <w:tr2bl w:val="nil"/>
                  </w:tcBorders>
                  <w:shd w:val="clear" w:color="auto" w:fill="auto"/>
                  <w:tcMar>
                    <w:top w:w="0" w:type="dxa"/>
                    <w:left w:w="0" w:type="dxa"/>
                    <w:bottom w:w="0" w:type="dxa"/>
                    <w:right w:w="0" w:type="dxa"/>
                  </w:tcMar>
                  <w:vAlign w:val="center"/>
                </w:tcPr>
                <w:p w14:paraId="61F616F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0.6</w:t>
                  </w:r>
                </w:p>
              </w:tc>
              <w:tc>
                <w:tcPr>
                  <w:tcW w:w="173" w:type="pct"/>
                  <w:tcBorders>
                    <w:tl2br w:val="nil"/>
                    <w:tr2bl w:val="nil"/>
                  </w:tcBorders>
                  <w:shd w:val="clear" w:color="auto" w:fill="auto"/>
                  <w:tcMar>
                    <w:top w:w="0" w:type="dxa"/>
                    <w:left w:w="0" w:type="dxa"/>
                    <w:bottom w:w="0" w:type="dxa"/>
                    <w:right w:w="0" w:type="dxa"/>
                  </w:tcMar>
                  <w:vAlign w:val="center"/>
                </w:tcPr>
                <w:p w14:paraId="7FF17307">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42.1</w:t>
                  </w:r>
                </w:p>
              </w:tc>
              <w:tc>
                <w:tcPr>
                  <w:tcW w:w="173" w:type="pct"/>
                  <w:tcBorders>
                    <w:tl2br w:val="nil"/>
                    <w:tr2bl w:val="nil"/>
                  </w:tcBorders>
                  <w:shd w:val="clear" w:color="auto" w:fill="auto"/>
                  <w:tcMar>
                    <w:top w:w="0" w:type="dxa"/>
                    <w:left w:w="0" w:type="dxa"/>
                    <w:bottom w:w="0" w:type="dxa"/>
                    <w:right w:w="0" w:type="dxa"/>
                  </w:tcMar>
                  <w:vAlign w:val="center"/>
                </w:tcPr>
                <w:p w14:paraId="64DFCAB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30.5</w:t>
                  </w:r>
                </w:p>
              </w:tc>
              <w:tc>
                <w:tcPr>
                  <w:tcW w:w="173" w:type="pct"/>
                  <w:tcBorders>
                    <w:tl2br w:val="nil"/>
                    <w:tr2bl w:val="nil"/>
                  </w:tcBorders>
                  <w:shd w:val="clear" w:color="auto" w:fill="auto"/>
                  <w:tcMar>
                    <w:top w:w="0" w:type="dxa"/>
                    <w:left w:w="0" w:type="dxa"/>
                    <w:bottom w:w="0" w:type="dxa"/>
                    <w:right w:w="0" w:type="dxa"/>
                  </w:tcMar>
                  <w:vAlign w:val="center"/>
                </w:tcPr>
                <w:p w14:paraId="003607D7">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10.4</w:t>
                  </w:r>
                </w:p>
              </w:tc>
              <w:tc>
                <w:tcPr>
                  <w:tcW w:w="179" w:type="pct"/>
                  <w:tcBorders>
                    <w:tl2br w:val="nil"/>
                    <w:tr2bl w:val="nil"/>
                  </w:tcBorders>
                  <w:shd w:val="clear" w:color="auto" w:fill="auto"/>
                  <w:tcMar>
                    <w:top w:w="0" w:type="dxa"/>
                    <w:left w:w="0" w:type="dxa"/>
                    <w:bottom w:w="0" w:type="dxa"/>
                    <w:right w:w="0" w:type="dxa"/>
                  </w:tcMar>
                  <w:vAlign w:val="center"/>
                </w:tcPr>
                <w:p w14:paraId="199ECAF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38.9</w:t>
                  </w:r>
                </w:p>
              </w:tc>
              <w:tc>
                <w:tcPr>
                  <w:tcW w:w="173" w:type="pct"/>
                  <w:tcBorders>
                    <w:tl2br w:val="nil"/>
                    <w:tr2bl w:val="nil"/>
                  </w:tcBorders>
                  <w:shd w:val="clear" w:color="auto" w:fill="auto"/>
                  <w:tcMar>
                    <w:top w:w="0" w:type="dxa"/>
                    <w:left w:w="0" w:type="dxa"/>
                    <w:bottom w:w="0" w:type="dxa"/>
                    <w:right w:w="0" w:type="dxa"/>
                  </w:tcMar>
                  <w:vAlign w:val="center"/>
                </w:tcPr>
                <w:p w14:paraId="75577A42">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67.1</w:t>
                  </w:r>
                </w:p>
              </w:tc>
              <w:tc>
                <w:tcPr>
                  <w:tcW w:w="173" w:type="pct"/>
                  <w:tcBorders>
                    <w:tl2br w:val="nil"/>
                    <w:tr2bl w:val="nil"/>
                  </w:tcBorders>
                  <w:shd w:val="clear" w:color="auto" w:fill="auto"/>
                  <w:tcMar>
                    <w:top w:w="0" w:type="dxa"/>
                    <w:left w:w="0" w:type="dxa"/>
                    <w:bottom w:w="0" w:type="dxa"/>
                    <w:right w:w="0" w:type="dxa"/>
                  </w:tcMar>
                  <w:vAlign w:val="center"/>
                </w:tcPr>
                <w:p w14:paraId="4D4DE08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67.1</w:t>
                  </w:r>
                </w:p>
              </w:tc>
              <w:tc>
                <w:tcPr>
                  <w:tcW w:w="173" w:type="pct"/>
                  <w:tcBorders>
                    <w:tl2br w:val="nil"/>
                    <w:tr2bl w:val="nil"/>
                  </w:tcBorders>
                  <w:shd w:val="clear" w:color="auto" w:fill="auto"/>
                  <w:tcMar>
                    <w:top w:w="0" w:type="dxa"/>
                    <w:left w:w="0" w:type="dxa"/>
                    <w:bottom w:w="0" w:type="dxa"/>
                    <w:right w:w="0" w:type="dxa"/>
                  </w:tcMar>
                  <w:vAlign w:val="center"/>
                </w:tcPr>
                <w:p w14:paraId="502A49F7">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67.2</w:t>
                  </w:r>
                </w:p>
              </w:tc>
              <w:tc>
                <w:tcPr>
                  <w:tcW w:w="181" w:type="pct"/>
                  <w:tcBorders>
                    <w:tl2br w:val="nil"/>
                    <w:tr2bl w:val="nil"/>
                  </w:tcBorders>
                  <w:shd w:val="clear" w:color="auto" w:fill="auto"/>
                  <w:tcMar>
                    <w:top w:w="0" w:type="dxa"/>
                    <w:left w:w="0" w:type="dxa"/>
                    <w:bottom w:w="0" w:type="dxa"/>
                    <w:right w:w="0" w:type="dxa"/>
                  </w:tcMar>
                  <w:vAlign w:val="center"/>
                </w:tcPr>
                <w:p w14:paraId="560F97B4">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67.1</w:t>
                  </w:r>
                </w:p>
              </w:tc>
              <w:tc>
                <w:tcPr>
                  <w:tcW w:w="170" w:type="pct"/>
                  <w:vMerge w:val="continue"/>
                  <w:tcBorders>
                    <w:tl2br w:val="nil"/>
                    <w:tr2bl w:val="nil"/>
                  </w:tcBorders>
                  <w:shd w:val="clear" w:color="auto" w:fill="auto"/>
                  <w:tcMar>
                    <w:top w:w="0" w:type="dxa"/>
                    <w:left w:w="0" w:type="dxa"/>
                    <w:bottom w:w="0" w:type="dxa"/>
                    <w:right w:w="0" w:type="dxa"/>
                  </w:tcMar>
                  <w:vAlign w:val="center"/>
                </w:tcPr>
                <w:p w14:paraId="6453FADA">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5436A9B4">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45A75E65">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034189D4">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142740EF">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213" w:type="pct"/>
                  <w:vMerge w:val="continue"/>
                  <w:tcBorders>
                    <w:tl2br w:val="nil"/>
                    <w:tr2bl w:val="nil"/>
                  </w:tcBorders>
                  <w:shd w:val="clear" w:color="auto" w:fill="auto"/>
                  <w:tcMar>
                    <w:top w:w="0" w:type="dxa"/>
                    <w:left w:w="0" w:type="dxa"/>
                    <w:bottom w:w="0" w:type="dxa"/>
                    <w:right w:w="0" w:type="dxa"/>
                  </w:tcMar>
                  <w:vAlign w:val="center"/>
                </w:tcPr>
                <w:p w14:paraId="1DA2595F">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2B852231">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30C2D73C">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07EFFB91">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6F05C247">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203" w:type="pct"/>
                  <w:vMerge w:val="continue"/>
                  <w:tcBorders>
                    <w:tl2br w:val="nil"/>
                    <w:tr2bl w:val="nil"/>
                  </w:tcBorders>
                  <w:shd w:val="clear" w:color="auto" w:fill="auto"/>
                  <w:tcMar>
                    <w:top w:w="0" w:type="dxa"/>
                    <w:left w:w="0" w:type="dxa"/>
                    <w:bottom w:w="0" w:type="dxa"/>
                    <w:right w:w="0" w:type="dxa"/>
                  </w:tcMar>
                  <w:vAlign w:val="center"/>
                </w:tcPr>
                <w:p w14:paraId="1C87030A">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r>
            <w:tr w14:paraId="0A7A4FA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 w:type="pct"/>
                  <w:tcBorders>
                    <w:tl2br w:val="nil"/>
                    <w:tr2bl w:val="nil"/>
                  </w:tcBorders>
                  <w:shd w:val="clear" w:color="auto" w:fill="auto"/>
                  <w:tcMar>
                    <w:top w:w="0" w:type="dxa"/>
                    <w:left w:w="0" w:type="dxa"/>
                    <w:bottom w:w="0" w:type="dxa"/>
                    <w:right w:w="0" w:type="dxa"/>
                  </w:tcMar>
                  <w:vAlign w:val="center"/>
                </w:tcPr>
                <w:p w14:paraId="46900C16">
                  <w:pPr>
                    <w:keepNext w:val="0"/>
                    <w:keepLines w:val="0"/>
                    <w:pageBreakBefore w:val="0"/>
                    <w:widowControl w:val="0"/>
                    <w:numPr>
                      <w:ilvl w:val="0"/>
                      <w:numId w:val="2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0" w:type="pct"/>
                  <w:vMerge w:val="continue"/>
                  <w:tcBorders>
                    <w:tl2br w:val="nil"/>
                    <w:tr2bl w:val="nil"/>
                  </w:tcBorders>
                  <w:shd w:val="clear" w:color="auto" w:fill="auto"/>
                  <w:tcMar>
                    <w:top w:w="0" w:type="dxa"/>
                    <w:left w:w="0" w:type="dxa"/>
                    <w:bottom w:w="0" w:type="dxa"/>
                    <w:right w:w="0" w:type="dxa"/>
                  </w:tcMar>
                  <w:vAlign w:val="center"/>
                </w:tcPr>
                <w:p w14:paraId="42BB7F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p>
              </w:tc>
              <w:tc>
                <w:tcPr>
                  <w:tcW w:w="294" w:type="pct"/>
                  <w:tcBorders>
                    <w:tl2br w:val="nil"/>
                    <w:tr2bl w:val="nil"/>
                  </w:tcBorders>
                  <w:shd w:val="clear" w:color="auto" w:fill="auto"/>
                  <w:tcMar>
                    <w:top w:w="0" w:type="dxa"/>
                    <w:left w:w="0" w:type="dxa"/>
                    <w:bottom w:w="0" w:type="dxa"/>
                    <w:right w:w="0" w:type="dxa"/>
                  </w:tcMar>
                  <w:vAlign w:val="center"/>
                </w:tcPr>
                <w:p w14:paraId="1B993F1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color w:val="000000" w:themeColor="text1"/>
                      <w:szCs w:val="21"/>
                      <w14:textFill>
                        <w14:solidFill>
                          <w14:schemeClr w14:val="tx1"/>
                        </w14:solidFill>
                      </w14:textFill>
                    </w:rPr>
                    <w:t>高效薄膜铱机</w:t>
                  </w:r>
                </w:p>
              </w:tc>
              <w:tc>
                <w:tcPr>
                  <w:tcW w:w="249" w:type="pct"/>
                  <w:tcBorders>
                    <w:tl2br w:val="nil"/>
                    <w:tr2bl w:val="nil"/>
                  </w:tcBorders>
                  <w:shd w:val="clear" w:color="auto" w:fill="auto"/>
                  <w:tcMar>
                    <w:top w:w="0" w:type="dxa"/>
                    <w:left w:w="0" w:type="dxa"/>
                    <w:bottom w:w="0" w:type="dxa"/>
                    <w:right w:w="0" w:type="dxa"/>
                  </w:tcMar>
                  <w:vAlign w:val="center"/>
                </w:tcPr>
                <w:p w14:paraId="3E05AC2F">
                  <w:pPr>
                    <w:keepNext w:val="0"/>
                    <w:keepLines w:val="0"/>
                    <w:widowControl/>
                    <w:suppressLineNumbers w:val="0"/>
                    <w:spacing w:before="0" w:beforeAutospacing="0" w:after="0" w:afterAutospacing="0"/>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default"/>
                      <w:color w:val="000000" w:themeColor="text1"/>
                      <w:szCs w:val="21"/>
                      <w14:textFill>
                        <w14:solidFill>
                          <w14:schemeClr w14:val="tx1"/>
                        </w14:solidFill>
                      </w14:textFill>
                    </w:rPr>
                    <w:t>BGB-75B</w:t>
                  </w:r>
                </w:p>
              </w:tc>
              <w:tc>
                <w:tcPr>
                  <w:tcW w:w="254" w:type="pct"/>
                  <w:tcBorders>
                    <w:tl2br w:val="nil"/>
                    <w:tr2bl w:val="nil"/>
                  </w:tcBorders>
                  <w:shd w:val="clear" w:color="auto" w:fill="auto"/>
                  <w:tcMar>
                    <w:top w:w="0" w:type="dxa"/>
                    <w:left w:w="0" w:type="dxa"/>
                    <w:bottom w:w="0" w:type="dxa"/>
                    <w:right w:w="0" w:type="dxa"/>
                  </w:tcMar>
                  <w:vAlign w:val="center"/>
                </w:tcPr>
                <w:p w14:paraId="467E2D9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80</w:t>
                  </w:r>
                </w:p>
              </w:tc>
              <w:tc>
                <w:tcPr>
                  <w:tcW w:w="173" w:type="pct"/>
                  <w:vMerge w:val="continue"/>
                  <w:tcBorders>
                    <w:tl2br w:val="nil"/>
                    <w:tr2bl w:val="nil"/>
                  </w:tcBorders>
                  <w:shd w:val="clear" w:color="auto" w:fill="auto"/>
                  <w:tcMar>
                    <w:top w:w="0" w:type="dxa"/>
                    <w:left w:w="0" w:type="dxa"/>
                    <w:bottom w:w="0" w:type="dxa"/>
                    <w:right w:w="0" w:type="dxa"/>
                  </w:tcMar>
                  <w:vAlign w:val="center"/>
                </w:tcPr>
                <w:p w14:paraId="1ED5FD1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80" w:type="pct"/>
                  <w:tcBorders>
                    <w:tl2br w:val="nil"/>
                    <w:tr2bl w:val="nil"/>
                  </w:tcBorders>
                  <w:shd w:val="clear" w:color="auto" w:fill="auto"/>
                  <w:tcMar>
                    <w:top w:w="0" w:type="dxa"/>
                    <w:left w:w="0" w:type="dxa"/>
                    <w:bottom w:w="0" w:type="dxa"/>
                    <w:right w:w="0" w:type="dxa"/>
                  </w:tcMar>
                  <w:vAlign w:val="center"/>
                </w:tcPr>
                <w:p w14:paraId="7E1A2F0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24.5</w:t>
                  </w:r>
                </w:p>
              </w:tc>
              <w:tc>
                <w:tcPr>
                  <w:tcW w:w="180" w:type="pct"/>
                  <w:tcBorders>
                    <w:tl2br w:val="nil"/>
                    <w:tr2bl w:val="nil"/>
                  </w:tcBorders>
                  <w:shd w:val="clear" w:color="auto" w:fill="auto"/>
                  <w:tcMar>
                    <w:top w:w="0" w:type="dxa"/>
                    <w:left w:w="0" w:type="dxa"/>
                    <w:bottom w:w="0" w:type="dxa"/>
                    <w:right w:w="0" w:type="dxa"/>
                  </w:tcMar>
                  <w:vAlign w:val="center"/>
                </w:tcPr>
                <w:p w14:paraId="66B0712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-53.1</w:t>
                  </w:r>
                </w:p>
              </w:tc>
              <w:tc>
                <w:tcPr>
                  <w:tcW w:w="194" w:type="pct"/>
                  <w:tcBorders>
                    <w:tl2br w:val="nil"/>
                    <w:tr2bl w:val="nil"/>
                  </w:tcBorders>
                  <w:shd w:val="clear" w:color="auto" w:fill="auto"/>
                  <w:tcMar>
                    <w:top w:w="0" w:type="dxa"/>
                    <w:left w:w="0" w:type="dxa"/>
                    <w:bottom w:w="0" w:type="dxa"/>
                    <w:right w:w="0" w:type="dxa"/>
                  </w:tcMar>
                  <w:vAlign w:val="center"/>
                </w:tcPr>
                <w:p w14:paraId="76DEC64A">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0.5</w:t>
                  </w:r>
                </w:p>
              </w:tc>
              <w:tc>
                <w:tcPr>
                  <w:tcW w:w="173" w:type="pct"/>
                  <w:tcBorders>
                    <w:tl2br w:val="nil"/>
                    <w:tr2bl w:val="nil"/>
                  </w:tcBorders>
                  <w:shd w:val="clear" w:color="auto" w:fill="auto"/>
                  <w:tcMar>
                    <w:top w:w="0" w:type="dxa"/>
                    <w:left w:w="0" w:type="dxa"/>
                    <w:bottom w:w="0" w:type="dxa"/>
                    <w:right w:w="0" w:type="dxa"/>
                  </w:tcMar>
                  <w:vAlign w:val="center"/>
                </w:tcPr>
                <w:p w14:paraId="22D90BA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42.3</w:t>
                  </w:r>
                </w:p>
              </w:tc>
              <w:tc>
                <w:tcPr>
                  <w:tcW w:w="173" w:type="pct"/>
                  <w:tcBorders>
                    <w:tl2br w:val="nil"/>
                    <w:tr2bl w:val="nil"/>
                  </w:tcBorders>
                  <w:shd w:val="clear" w:color="auto" w:fill="auto"/>
                  <w:tcMar>
                    <w:top w:w="0" w:type="dxa"/>
                    <w:left w:w="0" w:type="dxa"/>
                    <w:bottom w:w="0" w:type="dxa"/>
                    <w:right w:w="0" w:type="dxa"/>
                  </w:tcMar>
                  <w:vAlign w:val="center"/>
                </w:tcPr>
                <w:p w14:paraId="4FA140E7">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36.8</w:t>
                  </w:r>
                </w:p>
              </w:tc>
              <w:tc>
                <w:tcPr>
                  <w:tcW w:w="173" w:type="pct"/>
                  <w:tcBorders>
                    <w:tl2br w:val="nil"/>
                    <w:tr2bl w:val="nil"/>
                  </w:tcBorders>
                  <w:shd w:val="clear" w:color="auto" w:fill="auto"/>
                  <w:tcMar>
                    <w:top w:w="0" w:type="dxa"/>
                    <w:left w:w="0" w:type="dxa"/>
                    <w:bottom w:w="0" w:type="dxa"/>
                    <w:right w:w="0" w:type="dxa"/>
                  </w:tcMar>
                  <w:vAlign w:val="center"/>
                </w:tcPr>
                <w:p w14:paraId="4871EABA">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10.1</w:t>
                  </w:r>
                </w:p>
              </w:tc>
              <w:tc>
                <w:tcPr>
                  <w:tcW w:w="179" w:type="pct"/>
                  <w:tcBorders>
                    <w:tl2br w:val="nil"/>
                    <w:tr2bl w:val="nil"/>
                  </w:tcBorders>
                  <w:shd w:val="clear" w:color="auto" w:fill="auto"/>
                  <w:tcMar>
                    <w:top w:w="0" w:type="dxa"/>
                    <w:left w:w="0" w:type="dxa"/>
                    <w:bottom w:w="0" w:type="dxa"/>
                    <w:right w:w="0" w:type="dxa"/>
                  </w:tcMar>
                  <w:vAlign w:val="center"/>
                </w:tcPr>
                <w:p w14:paraId="50345492">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32.6</w:t>
                  </w:r>
                </w:p>
              </w:tc>
              <w:tc>
                <w:tcPr>
                  <w:tcW w:w="173" w:type="pct"/>
                  <w:tcBorders>
                    <w:tl2br w:val="nil"/>
                    <w:tr2bl w:val="nil"/>
                  </w:tcBorders>
                  <w:shd w:val="clear" w:color="auto" w:fill="auto"/>
                  <w:tcMar>
                    <w:top w:w="0" w:type="dxa"/>
                    <w:left w:w="0" w:type="dxa"/>
                    <w:bottom w:w="0" w:type="dxa"/>
                    <w:right w:w="0" w:type="dxa"/>
                  </w:tcMar>
                  <w:vAlign w:val="center"/>
                </w:tcPr>
                <w:p w14:paraId="7756F33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67.1</w:t>
                  </w:r>
                </w:p>
              </w:tc>
              <w:tc>
                <w:tcPr>
                  <w:tcW w:w="173" w:type="pct"/>
                  <w:tcBorders>
                    <w:tl2br w:val="nil"/>
                    <w:tr2bl w:val="nil"/>
                  </w:tcBorders>
                  <w:shd w:val="clear" w:color="auto" w:fill="auto"/>
                  <w:tcMar>
                    <w:top w:w="0" w:type="dxa"/>
                    <w:left w:w="0" w:type="dxa"/>
                    <w:bottom w:w="0" w:type="dxa"/>
                    <w:right w:w="0" w:type="dxa"/>
                  </w:tcMar>
                  <w:vAlign w:val="center"/>
                </w:tcPr>
                <w:p w14:paraId="3D12D08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67.1</w:t>
                  </w:r>
                </w:p>
              </w:tc>
              <w:tc>
                <w:tcPr>
                  <w:tcW w:w="173" w:type="pct"/>
                  <w:tcBorders>
                    <w:tl2br w:val="nil"/>
                    <w:tr2bl w:val="nil"/>
                  </w:tcBorders>
                  <w:shd w:val="clear" w:color="auto" w:fill="auto"/>
                  <w:tcMar>
                    <w:top w:w="0" w:type="dxa"/>
                    <w:left w:w="0" w:type="dxa"/>
                    <w:bottom w:w="0" w:type="dxa"/>
                    <w:right w:w="0" w:type="dxa"/>
                  </w:tcMar>
                  <w:vAlign w:val="center"/>
                </w:tcPr>
                <w:p w14:paraId="2E27DA8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67.2</w:t>
                  </w:r>
                </w:p>
              </w:tc>
              <w:tc>
                <w:tcPr>
                  <w:tcW w:w="181" w:type="pct"/>
                  <w:tcBorders>
                    <w:tl2br w:val="nil"/>
                    <w:tr2bl w:val="nil"/>
                  </w:tcBorders>
                  <w:shd w:val="clear" w:color="auto" w:fill="auto"/>
                  <w:tcMar>
                    <w:top w:w="0" w:type="dxa"/>
                    <w:left w:w="0" w:type="dxa"/>
                    <w:bottom w:w="0" w:type="dxa"/>
                    <w:right w:w="0" w:type="dxa"/>
                  </w:tcMar>
                  <w:vAlign w:val="center"/>
                </w:tcPr>
                <w:p w14:paraId="5EBF5673">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67.1</w:t>
                  </w:r>
                </w:p>
              </w:tc>
              <w:tc>
                <w:tcPr>
                  <w:tcW w:w="170" w:type="pct"/>
                  <w:vMerge w:val="continue"/>
                  <w:tcBorders>
                    <w:tl2br w:val="nil"/>
                    <w:tr2bl w:val="nil"/>
                  </w:tcBorders>
                  <w:shd w:val="clear" w:color="auto" w:fill="auto"/>
                  <w:tcMar>
                    <w:top w:w="0" w:type="dxa"/>
                    <w:left w:w="0" w:type="dxa"/>
                    <w:bottom w:w="0" w:type="dxa"/>
                    <w:right w:w="0" w:type="dxa"/>
                  </w:tcMar>
                  <w:vAlign w:val="center"/>
                </w:tcPr>
                <w:p w14:paraId="3C0FA176">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4F2FCC26">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38D2F978">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1F0ABBBD">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4D07D0B2">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213" w:type="pct"/>
                  <w:vMerge w:val="continue"/>
                  <w:tcBorders>
                    <w:tl2br w:val="nil"/>
                    <w:tr2bl w:val="nil"/>
                  </w:tcBorders>
                  <w:shd w:val="clear" w:color="auto" w:fill="auto"/>
                  <w:tcMar>
                    <w:top w:w="0" w:type="dxa"/>
                    <w:left w:w="0" w:type="dxa"/>
                    <w:bottom w:w="0" w:type="dxa"/>
                    <w:right w:w="0" w:type="dxa"/>
                  </w:tcMar>
                  <w:vAlign w:val="center"/>
                </w:tcPr>
                <w:p w14:paraId="5C201C97">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62A5C784">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7DF640F6">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73C284E5">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571D4D39">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203" w:type="pct"/>
                  <w:vMerge w:val="continue"/>
                  <w:tcBorders>
                    <w:tl2br w:val="nil"/>
                    <w:tr2bl w:val="nil"/>
                  </w:tcBorders>
                  <w:shd w:val="clear" w:color="auto" w:fill="auto"/>
                  <w:tcMar>
                    <w:top w:w="0" w:type="dxa"/>
                    <w:left w:w="0" w:type="dxa"/>
                    <w:bottom w:w="0" w:type="dxa"/>
                    <w:right w:w="0" w:type="dxa"/>
                  </w:tcMar>
                  <w:vAlign w:val="center"/>
                </w:tcPr>
                <w:p w14:paraId="35621D77">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r>
            <w:tr w14:paraId="7BD2101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 w:type="pct"/>
                  <w:tcBorders>
                    <w:tl2br w:val="nil"/>
                    <w:tr2bl w:val="nil"/>
                  </w:tcBorders>
                  <w:shd w:val="clear" w:color="auto" w:fill="auto"/>
                  <w:tcMar>
                    <w:top w:w="0" w:type="dxa"/>
                    <w:left w:w="0" w:type="dxa"/>
                    <w:bottom w:w="0" w:type="dxa"/>
                    <w:right w:w="0" w:type="dxa"/>
                  </w:tcMar>
                  <w:vAlign w:val="center"/>
                </w:tcPr>
                <w:p w14:paraId="797BC1D7">
                  <w:pPr>
                    <w:keepNext w:val="0"/>
                    <w:keepLines w:val="0"/>
                    <w:pageBreakBefore w:val="0"/>
                    <w:widowControl w:val="0"/>
                    <w:numPr>
                      <w:ilvl w:val="0"/>
                      <w:numId w:val="2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0" w:type="pct"/>
                  <w:vMerge w:val="continue"/>
                  <w:tcBorders>
                    <w:tl2br w:val="nil"/>
                    <w:tr2bl w:val="nil"/>
                  </w:tcBorders>
                  <w:shd w:val="clear" w:color="auto" w:fill="auto"/>
                  <w:tcMar>
                    <w:top w:w="0" w:type="dxa"/>
                    <w:left w:w="0" w:type="dxa"/>
                    <w:bottom w:w="0" w:type="dxa"/>
                    <w:right w:w="0" w:type="dxa"/>
                  </w:tcMar>
                  <w:vAlign w:val="center"/>
                </w:tcPr>
                <w:p w14:paraId="7078EEC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p>
              </w:tc>
              <w:tc>
                <w:tcPr>
                  <w:tcW w:w="294" w:type="pct"/>
                  <w:tcBorders>
                    <w:tl2br w:val="nil"/>
                    <w:tr2bl w:val="nil"/>
                  </w:tcBorders>
                  <w:shd w:val="clear" w:color="auto" w:fill="auto"/>
                  <w:tcMar>
                    <w:top w:w="0" w:type="dxa"/>
                    <w:left w:w="0" w:type="dxa"/>
                    <w:bottom w:w="0" w:type="dxa"/>
                    <w:right w:w="0" w:type="dxa"/>
                  </w:tcMar>
                  <w:vAlign w:val="center"/>
                </w:tcPr>
                <w:p w14:paraId="68FDD65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color w:val="000000" w:themeColor="text1"/>
                      <w:szCs w:val="21"/>
                      <w14:textFill>
                        <w14:solidFill>
                          <w14:schemeClr w14:val="tx1"/>
                        </w14:solidFill>
                      </w14:textFill>
                    </w:rPr>
                    <w:t>高效湿法造粒机</w:t>
                  </w:r>
                </w:p>
              </w:tc>
              <w:tc>
                <w:tcPr>
                  <w:tcW w:w="249" w:type="pct"/>
                  <w:tcBorders>
                    <w:tl2br w:val="nil"/>
                    <w:tr2bl w:val="nil"/>
                  </w:tcBorders>
                  <w:shd w:val="clear" w:color="auto" w:fill="auto"/>
                  <w:tcMar>
                    <w:top w:w="0" w:type="dxa"/>
                    <w:left w:w="0" w:type="dxa"/>
                    <w:bottom w:w="0" w:type="dxa"/>
                    <w:right w:w="0" w:type="dxa"/>
                  </w:tcMar>
                  <w:vAlign w:val="center"/>
                </w:tcPr>
                <w:p w14:paraId="2CE1FE8F">
                  <w:pPr>
                    <w:keepNext w:val="0"/>
                    <w:keepLines w:val="0"/>
                    <w:widowControl/>
                    <w:suppressLineNumbers w:val="0"/>
                    <w:spacing w:before="0" w:beforeAutospacing="0" w:after="0" w:afterAutospacing="0"/>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default"/>
                      <w:color w:val="000000" w:themeColor="text1"/>
                      <w:szCs w:val="21"/>
                      <w14:textFill>
                        <w14:solidFill>
                          <w14:schemeClr w14:val="tx1"/>
                        </w14:solidFill>
                      </w14:textFill>
                    </w:rPr>
                    <w:t>HZ50B</w:t>
                  </w:r>
                </w:p>
              </w:tc>
              <w:tc>
                <w:tcPr>
                  <w:tcW w:w="254" w:type="pct"/>
                  <w:tcBorders>
                    <w:tl2br w:val="nil"/>
                    <w:tr2bl w:val="nil"/>
                  </w:tcBorders>
                  <w:shd w:val="clear" w:color="auto" w:fill="auto"/>
                  <w:tcMar>
                    <w:top w:w="0" w:type="dxa"/>
                    <w:left w:w="0" w:type="dxa"/>
                    <w:bottom w:w="0" w:type="dxa"/>
                    <w:right w:w="0" w:type="dxa"/>
                  </w:tcMar>
                  <w:vAlign w:val="center"/>
                </w:tcPr>
                <w:p w14:paraId="5DB3ACF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80</w:t>
                  </w:r>
                </w:p>
              </w:tc>
              <w:tc>
                <w:tcPr>
                  <w:tcW w:w="173" w:type="pct"/>
                  <w:vMerge w:val="continue"/>
                  <w:tcBorders>
                    <w:tl2br w:val="nil"/>
                    <w:tr2bl w:val="nil"/>
                  </w:tcBorders>
                  <w:shd w:val="clear" w:color="auto" w:fill="auto"/>
                  <w:tcMar>
                    <w:top w:w="0" w:type="dxa"/>
                    <w:left w:w="0" w:type="dxa"/>
                    <w:bottom w:w="0" w:type="dxa"/>
                    <w:right w:w="0" w:type="dxa"/>
                  </w:tcMar>
                  <w:vAlign w:val="center"/>
                </w:tcPr>
                <w:p w14:paraId="69385A6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80" w:type="pct"/>
                  <w:tcBorders>
                    <w:tl2br w:val="nil"/>
                    <w:tr2bl w:val="nil"/>
                  </w:tcBorders>
                  <w:shd w:val="clear" w:color="auto" w:fill="auto"/>
                  <w:tcMar>
                    <w:top w:w="0" w:type="dxa"/>
                    <w:left w:w="0" w:type="dxa"/>
                    <w:bottom w:w="0" w:type="dxa"/>
                    <w:right w:w="0" w:type="dxa"/>
                  </w:tcMar>
                  <w:vAlign w:val="center"/>
                </w:tcPr>
                <w:p w14:paraId="71D40DED">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24.1</w:t>
                  </w:r>
                </w:p>
              </w:tc>
              <w:tc>
                <w:tcPr>
                  <w:tcW w:w="180" w:type="pct"/>
                  <w:tcBorders>
                    <w:tl2br w:val="nil"/>
                    <w:tr2bl w:val="nil"/>
                  </w:tcBorders>
                  <w:shd w:val="clear" w:color="auto" w:fill="auto"/>
                  <w:tcMar>
                    <w:top w:w="0" w:type="dxa"/>
                    <w:left w:w="0" w:type="dxa"/>
                    <w:bottom w:w="0" w:type="dxa"/>
                    <w:right w:w="0" w:type="dxa"/>
                  </w:tcMar>
                  <w:vAlign w:val="center"/>
                </w:tcPr>
                <w:p w14:paraId="746484B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-47.3</w:t>
                  </w:r>
                </w:p>
              </w:tc>
              <w:tc>
                <w:tcPr>
                  <w:tcW w:w="194" w:type="pct"/>
                  <w:tcBorders>
                    <w:tl2br w:val="nil"/>
                    <w:tr2bl w:val="nil"/>
                  </w:tcBorders>
                  <w:shd w:val="clear" w:color="auto" w:fill="auto"/>
                  <w:tcMar>
                    <w:top w:w="0" w:type="dxa"/>
                    <w:left w:w="0" w:type="dxa"/>
                    <w:bottom w:w="0" w:type="dxa"/>
                    <w:right w:w="0" w:type="dxa"/>
                  </w:tcMar>
                  <w:vAlign w:val="center"/>
                </w:tcPr>
                <w:p w14:paraId="2B6C29FB">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0.5</w:t>
                  </w:r>
                </w:p>
              </w:tc>
              <w:tc>
                <w:tcPr>
                  <w:tcW w:w="173" w:type="pct"/>
                  <w:tcBorders>
                    <w:tl2br w:val="nil"/>
                    <w:tr2bl w:val="nil"/>
                  </w:tcBorders>
                  <w:shd w:val="clear" w:color="auto" w:fill="auto"/>
                  <w:tcMar>
                    <w:top w:w="0" w:type="dxa"/>
                    <w:left w:w="0" w:type="dxa"/>
                    <w:bottom w:w="0" w:type="dxa"/>
                    <w:right w:w="0" w:type="dxa"/>
                  </w:tcMar>
                  <w:vAlign w:val="center"/>
                </w:tcPr>
                <w:p w14:paraId="5801D692">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41.9</w:t>
                  </w:r>
                </w:p>
              </w:tc>
              <w:tc>
                <w:tcPr>
                  <w:tcW w:w="173" w:type="pct"/>
                  <w:tcBorders>
                    <w:tl2br w:val="nil"/>
                    <w:tr2bl w:val="nil"/>
                  </w:tcBorders>
                  <w:shd w:val="clear" w:color="auto" w:fill="auto"/>
                  <w:tcMar>
                    <w:top w:w="0" w:type="dxa"/>
                    <w:left w:w="0" w:type="dxa"/>
                    <w:bottom w:w="0" w:type="dxa"/>
                    <w:right w:w="0" w:type="dxa"/>
                  </w:tcMar>
                  <w:vAlign w:val="center"/>
                </w:tcPr>
                <w:p w14:paraId="652824B7">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42.6</w:t>
                  </w:r>
                </w:p>
              </w:tc>
              <w:tc>
                <w:tcPr>
                  <w:tcW w:w="173" w:type="pct"/>
                  <w:tcBorders>
                    <w:tl2br w:val="nil"/>
                    <w:tr2bl w:val="nil"/>
                  </w:tcBorders>
                  <w:shd w:val="clear" w:color="auto" w:fill="auto"/>
                  <w:tcMar>
                    <w:top w:w="0" w:type="dxa"/>
                    <w:left w:w="0" w:type="dxa"/>
                    <w:bottom w:w="0" w:type="dxa"/>
                    <w:right w:w="0" w:type="dxa"/>
                  </w:tcMar>
                  <w:vAlign w:val="center"/>
                </w:tcPr>
                <w:p w14:paraId="4E38F6BF">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10.3</w:t>
                  </w:r>
                </w:p>
              </w:tc>
              <w:tc>
                <w:tcPr>
                  <w:tcW w:w="179" w:type="pct"/>
                  <w:tcBorders>
                    <w:tl2br w:val="nil"/>
                    <w:tr2bl w:val="nil"/>
                  </w:tcBorders>
                  <w:shd w:val="clear" w:color="auto" w:fill="auto"/>
                  <w:tcMar>
                    <w:top w:w="0" w:type="dxa"/>
                    <w:left w:w="0" w:type="dxa"/>
                    <w:bottom w:w="0" w:type="dxa"/>
                    <w:right w:w="0" w:type="dxa"/>
                  </w:tcMar>
                  <w:vAlign w:val="center"/>
                </w:tcPr>
                <w:p w14:paraId="3D7B626F">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26.8</w:t>
                  </w:r>
                </w:p>
              </w:tc>
              <w:tc>
                <w:tcPr>
                  <w:tcW w:w="173" w:type="pct"/>
                  <w:tcBorders>
                    <w:tl2br w:val="nil"/>
                    <w:tr2bl w:val="nil"/>
                  </w:tcBorders>
                  <w:shd w:val="clear" w:color="auto" w:fill="auto"/>
                  <w:tcMar>
                    <w:top w:w="0" w:type="dxa"/>
                    <w:left w:w="0" w:type="dxa"/>
                    <w:bottom w:w="0" w:type="dxa"/>
                    <w:right w:w="0" w:type="dxa"/>
                  </w:tcMar>
                  <w:vAlign w:val="center"/>
                </w:tcPr>
                <w:p w14:paraId="2D86BDD8">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67.1</w:t>
                  </w:r>
                </w:p>
              </w:tc>
              <w:tc>
                <w:tcPr>
                  <w:tcW w:w="173" w:type="pct"/>
                  <w:tcBorders>
                    <w:tl2br w:val="nil"/>
                    <w:tr2bl w:val="nil"/>
                  </w:tcBorders>
                  <w:shd w:val="clear" w:color="auto" w:fill="auto"/>
                  <w:tcMar>
                    <w:top w:w="0" w:type="dxa"/>
                    <w:left w:w="0" w:type="dxa"/>
                    <w:bottom w:w="0" w:type="dxa"/>
                    <w:right w:w="0" w:type="dxa"/>
                  </w:tcMar>
                  <w:vAlign w:val="center"/>
                </w:tcPr>
                <w:p w14:paraId="660F8D3E">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67.1</w:t>
                  </w:r>
                </w:p>
              </w:tc>
              <w:tc>
                <w:tcPr>
                  <w:tcW w:w="173" w:type="pct"/>
                  <w:tcBorders>
                    <w:tl2br w:val="nil"/>
                    <w:tr2bl w:val="nil"/>
                  </w:tcBorders>
                  <w:shd w:val="clear" w:color="auto" w:fill="auto"/>
                  <w:tcMar>
                    <w:top w:w="0" w:type="dxa"/>
                    <w:left w:w="0" w:type="dxa"/>
                    <w:bottom w:w="0" w:type="dxa"/>
                    <w:right w:w="0" w:type="dxa"/>
                  </w:tcMar>
                  <w:vAlign w:val="center"/>
                </w:tcPr>
                <w:p w14:paraId="6CC55AF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67.2</w:t>
                  </w:r>
                </w:p>
              </w:tc>
              <w:tc>
                <w:tcPr>
                  <w:tcW w:w="181" w:type="pct"/>
                  <w:tcBorders>
                    <w:tl2br w:val="nil"/>
                    <w:tr2bl w:val="nil"/>
                  </w:tcBorders>
                  <w:shd w:val="clear" w:color="auto" w:fill="auto"/>
                  <w:tcMar>
                    <w:top w:w="0" w:type="dxa"/>
                    <w:left w:w="0" w:type="dxa"/>
                    <w:bottom w:w="0" w:type="dxa"/>
                    <w:right w:w="0" w:type="dxa"/>
                  </w:tcMar>
                  <w:vAlign w:val="center"/>
                </w:tcPr>
                <w:p w14:paraId="34F27814">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67.1</w:t>
                  </w:r>
                </w:p>
              </w:tc>
              <w:tc>
                <w:tcPr>
                  <w:tcW w:w="170" w:type="pct"/>
                  <w:vMerge w:val="continue"/>
                  <w:tcBorders>
                    <w:tl2br w:val="nil"/>
                    <w:tr2bl w:val="nil"/>
                  </w:tcBorders>
                  <w:shd w:val="clear" w:color="auto" w:fill="auto"/>
                  <w:tcMar>
                    <w:top w:w="0" w:type="dxa"/>
                    <w:left w:w="0" w:type="dxa"/>
                    <w:bottom w:w="0" w:type="dxa"/>
                    <w:right w:w="0" w:type="dxa"/>
                  </w:tcMar>
                  <w:vAlign w:val="center"/>
                </w:tcPr>
                <w:p w14:paraId="1B98055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10C5852C">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306E32BF">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1C58DFD6">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48F56C1E">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213" w:type="pct"/>
                  <w:vMerge w:val="continue"/>
                  <w:tcBorders>
                    <w:tl2br w:val="nil"/>
                    <w:tr2bl w:val="nil"/>
                  </w:tcBorders>
                  <w:shd w:val="clear" w:color="auto" w:fill="auto"/>
                  <w:tcMar>
                    <w:top w:w="0" w:type="dxa"/>
                    <w:left w:w="0" w:type="dxa"/>
                    <w:bottom w:w="0" w:type="dxa"/>
                    <w:right w:w="0" w:type="dxa"/>
                  </w:tcMar>
                  <w:vAlign w:val="center"/>
                </w:tcPr>
                <w:p w14:paraId="030CD487">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30FFF306">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4A2D9563">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6FF96F43">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35E5F379">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203" w:type="pct"/>
                  <w:vMerge w:val="continue"/>
                  <w:tcBorders>
                    <w:tl2br w:val="nil"/>
                    <w:tr2bl w:val="nil"/>
                  </w:tcBorders>
                  <w:shd w:val="clear" w:color="auto" w:fill="auto"/>
                  <w:tcMar>
                    <w:top w:w="0" w:type="dxa"/>
                    <w:left w:w="0" w:type="dxa"/>
                    <w:bottom w:w="0" w:type="dxa"/>
                    <w:right w:w="0" w:type="dxa"/>
                  </w:tcMar>
                  <w:vAlign w:val="center"/>
                </w:tcPr>
                <w:p w14:paraId="4B7F15EF">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r>
            <w:tr w14:paraId="2E268C7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 w:type="pct"/>
                  <w:tcBorders>
                    <w:tl2br w:val="nil"/>
                    <w:tr2bl w:val="nil"/>
                  </w:tcBorders>
                  <w:shd w:val="clear" w:color="auto" w:fill="auto"/>
                  <w:tcMar>
                    <w:top w:w="0" w:type="dxa"/>
                    <w:left w:w="0" w:type="dxa"/>
                    <w:bottom w:w="0" w:type="dxa"/>
                    <w:right w:w="0" w:type="dxa"/>
                  </w:tcMar>
                  <w:vAlign w:val="center"/>
                </w:tcPr>
                <w:p w14:paraId="6E451202">
                  <w:pPr>
                    <w:keepNext w:val="0"/>
                    <w:keepLines w:val="0"/>
                    <w:pageBreakBefore w:val="0"/>
                    <w:widowControl w:val="0"/>
                    <w:numPr>
                      <w:ilvl w:val="0"/>
                      <w:numId w:val="29"/>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70" w:type="pct"/>
                  <w:vMerge w:val="continue"/>
                  <w:tcBorders>
                    <w:tl2br w:val="nil"/>
                    <w:tr2bl w:val="nil"/>
                  </w:tcBorders>
                  <w:shd w:val="clear" w:color="auto" w:fill="auto"/>
                  <w:tcMar>
                    <w:top w:w="0" w:type="dxa"/>
                    <w:left w:w="0" w:type="dxa"/>
                    <w:bottom w:w="0" w:type="dxa"/>
                    <w:right w:w="0" w:type="dxa"/>
                  </w:tcMar>
                  <w:vAlign w:val="center"/>
                </w:tcPr>
                <w:p w14:paraId="60AD591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p>
              </w:tc>
              <w:tc>
                <w:tcPr>
                  <w:tcW w:w="294" w:type="pct"/>
                  <w:tcBorders>
                    <w:tl2br w:val="nil"/>
                    <w:tr2bl w:val="nil"/>
                  </w:tcBorders>
                  <w:shd w:val="clear" w:color="auto" w:fill="auto"/>
                  <w:tcMar>
                    <w:top w:w="0" w:type="dxa"/>
                    <w:left w:w="0" w:type="dxa"/>
                    <w:bottom w:w="0" w:type="dxa"/>
                    <w:right w:w="0" w:type="dxa"/>
                  </w:tcMar>
                  <w:vAlign w:val="center"/>
                </w:tcPr>
                <w:p w14:paraId="1C01851D">
                  <w:pPr>
                    <w:keepNext w:val="0"/>
                    <w:keepLines w:val="0"/>
                    <w:widowControl/>
                    <w:suppressLineNumbers w:val="0"/>
                    <w:spacing w:before="0" w:beforeAutospacing="0" w:after="0" w:afterAutospacing="0"/>
                    <w:ind w:left="0" w:leftChars="0" w:right="0" w:rightChars="0"/>
                    <w:jc w:val="center"/>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风机</w:t>
                  </w:r>
                </w:p>
              </w:tc>
              <w:tc>
                <w:tcPr>
                  <w:tcW w:w="249" w:type="pct"/>
                  <w:tcBorders>
                    <w:tl2br w:val="nil"/>
                    <w:tr2bl w:val="nil"/>
                  </w:tcBorders>
                  <w:shd w:val="clear" w:color="auto" w:fill="auto"/>
                  <w:tcMar>
                    <w:top w:w="0" w:type="dxa"/>
                    <w:left w:w="0" w:type="dxa"/>
                    <w:bottom w:w="0" w:type="dxa"/>
                    <w:right w:w="0" w:type="dxa"/>
                  </w:tcMar>
                  <w:vAlign w:val="center"/>
                </w:tcPr>
                <w:p w14:paraId="27FA6D84">
                  <w:pPr>
                    <w:keepNext w:val="0"/>
                    <w:keepLines w:val="0"/>
                    <w:widowControl/>
                    <w:suppressLineNumbers w:val="0"/>
                    <w:spacing w:before="0" w:beforeAutospacing="0" w:after="0" w:afterAutospacing="0"/>
                    <w:ind w:left="0" w:leftChars="0" w:right="0" w:rightChars="0"/>
                    <w:jc w:val="center"/>
                    <w:rPr>
                      <w:rFonts w:hint="default"/>
                      <w:color w:val="000000" w:themeColor="text1"/>
                      <w:szCs w:val="21"/>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5000m</w:t>
                  </w:r>
                  <w:r>
                    <w:rPr>
                      <w:rFonts w:hint="eastAsia"/>
                      <w:color w:val="000000" w:themeColor="text1"/>
                      <w:sz w:val="24"/>
                      <w:szCs w:val="24"/>
                      <w:highlight w:val="none"/>
                      <w:vertAlign w:val="superscript"/>
                      <w:lang w:val="en-US" w:eastAsia="zh-CN"/>
                      <w14:textFill>
                        <w14:solidFill>
                          <w14:schemeClr w14:val="tx1"/>
                        </w14:solidFill>
                      </w14:textFill>
                    </w:rPr>
                    <w:t>3</w:t>
                  </w:r>
                  <w:r>
                    <w:rPr>
                      <w:rFonts w:hint="eastAsia"/>
                      <w:color w:val="000000" w:themeColor="text1"/>
                      <w:sz w:val="24"/>
                      <w:szCs w:val="24"/>
                      <w:highlight w:val="none"/>
                      <w:vertAlign w:val="baseline"/>
                      <w:lang w:val="en-US" w:eastAsia="zh-CN"/>
                      <w14:textFill>
                        <w14:solidFill>
                          <w14:schemeClr w14:val="tx1"/>
                        </w14:solidFill>
                      </w14:textFill>
                    </w:rPr>
                    <w:t>/h</w:t>
                  </w:r>
                </w:p>
              </w:tc>
              <w:tc>
                <w:tcPr>
                  <w:tcW w:w="254" w:type="pct"/>
                  <w:tcBorders>
                    <w:tl2br w:val="nil"/>
                    <w:tr2bl w:val="nil"/>
                  </w:tcBorders>
                  <w:shd w:val="clear" w:color="auto" w:fill="auto"/>
                  <w:tcMar>
                    <w:top w:w="0" w:type="dxa"/>
                    <w:left w:w="0" w:type="dxa"/>
                    <w:bottom w:w="0" w:type="dxa"/>
                    <w:right w:w="0" w:type="dxa"/>
                  </w:tcMar>
                  <w:vAlign w:val="center"/>
                </w:tcPr>
                <w:p w14:paraId="264EFEA8">
                  <w:pPr>
                    <w:keepNext w:val="0"/>
                    <w:keepLines w:val="0"/>
                    <w:suppressLineNumbers w:val="0"/>
                    <w:spacing w:before="0" w:beforeAutospacing="0" w:after="0" w:afterAutospacing="0"/>
                    <w:ind w:left="0" w:right="0"/>
                    <w:jc w:val="center"/>
                    <w:rPr>
                      <w:rFonts w:hint="default" w:eastAsia="宋体" w:cs="Times New Roman"/>
                      <w:color w:val="000000" w:themeColor="text1"/>
                      <w:sz w:val="21"/>
                      <w:szCs w:val="21"/>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85</w:t>
                  </w:r>
                </w:p>
              </w:tc>
              <w:tc>
                <w:tcPr>
                  <w:tcW w:w="173" w:type="pct"/>
                  <w:vMerge w:val="continue"/>
                  <w:tcBorders>
                    <w:tl2br w:val="nil"/>
                    <w:tr2bl w:val="nil"/>
                  </w:tcBorders>
                  <w:shd w:val="clear" w:color="auto" w:fill="auto"/>
                  <w:tcMar>
                    <w:top w:w="0" w:type="dxa"/>
                    <w:left w:w="0" w:type="dxa"/>
                    <w:bottom w:w="0" w:type="dxa"/>
                    <w:right w:w="0" w:type="dxa"/>
                  </w:tcMar>
                  <w:vAlign w:val="center"/>
                </w:tcPr>
                <w:p w14:paraId="454F00A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p>
              </w:tc>
              <w:tc>
                <w:tcPr>
                  <w:tcW w:w="180" w:type="pct"/>
                  <w:tcBorders>
                    <w:tl2br w:val="nil"/>
                    <w:tr2bl w:val="nil"/>
                  </w:tcBorders>
                  <w:shd w:val="clear" w:color="auto" w:fill="auto"/>
                  <w:tcMar>
                    <w:top w:w="0" w:type="dxa"/>
                    <w:left w:w="0" w:type="dxa"/>
                    <w:bottom w:w="0" w:type="dxa"/>
                    <w:right w:w="0" w:type="dxa"/>
                  </w:tcMar>
                  <w:vAlign w:val="center"/>
                </w:tcPr>
                <w:p w14:paraId="524A7DCA">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20.8</w:t>
                  </w:r>
                </w:p>
              </w:tc>
              <w:tc>
                <w:tcPr>
                  <w:tcW w:w="180" w:type="pct"/>
                  <w:tcBorders>
                    <w:tl2br w:val="nil"/>
                    <w:tr2bl w:val="nil"/>
                  </w:tcBorders>
                  <w:shd w:val="clear" w:color="auto" w:fill="auto"/>
                  <w:tcMar>
                    <w:top w:w="0" w:type="dxa"/>
                    <w:left w:w="0" w:type="dxa"/>
                    <w:bottom w:w="0" w:type="dxa"/>
                    <w:right w:w="0" w:type="dxa"/>
                  </w:tcMar>
                  <w:vAlign w:val="center"/>
                </w:tcPr>
                <w:p w14:paraId="5844C6F7">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-80.8</w:t>
                  </w:r>
                </w:p>
              </w:tc>
              <w:tc>
                <w:tcPr>
                  <w:tcW w:w="194" w:type="pct"/>
                  <w:tcBorders>
                    <w:tl2br w:val="nil"/>
                    <w:tr2bl w:val="nil"/>
                  </w:tcBorders>
                  <w:shd w:val="clear" w:color="auto" w:fill="auto"/>
                  <w:tcMar>
                    <w:top w:w="0" w:type="dxa"/>
                    <w:left w:w="0" w:type="dxa"/>
                    <w:bottom w:w="0" w:type="dxa"/>
                    <w:right w:w="0" w:type="dxa"/>
                  </w:tcMar>
                  <w:vAlign w:val="center"/>
                </w:tcPr>
                <w:p w14:paraId="1CEC5DF7">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0.5</w:t>
                  </w:r>
                </w:p>
              </w:tc>
              <w:tc>
                <w:tcPr>
                  <w:tcW w:w="173" w:type="pct"/>
                  <w:tcBorders>
                    <w:tl2br w:val="nil"/>
                    <w:tr2bl w:val="nil"/>
                  </w:tcBorders>
                  <w:shd w:val="clear" w:color="auto" w:fill="auto"/>
                  <w:tcMar>
                    <w:top w:w="0" w:type="dxa"/>
                    <w:left w:w="0" w:type="dxa"/>
                    <w:bottom w:w="0" w:type="dxa"/>
                    <w:right w:w="0" w:type="dxa"/>
                  </w:tcMar>
                  <w:vAlign w:val="center"/>
                </w:tcPr>
                <w:p w14:paraId="325C4A92">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49.4</w:t>
                  </w:r>
                </w:p>
              </w:tc>
              <w:tc>
                <w:tcPr>
                  <w:tcW w:w="173" w:type="pct"/>
                  <w:tcBorders>
                    <w:tl2br w:val="nil"/>
                    <w:tr2bl w:val="nil"/>
                  </w:tcBorders>
                  <w:shd w:val="clear" w:color="auto" w:fill="auto"/>
                  <w:tcMar>
                    <w:top w:w="0" w:type="dxa"/>
                    <w:left w:w="0" w:type="dxa"/>
                    <w:bottom w:w="0" w:type="dxa"/>
                    <w:right w:w="0" w:type="dxa"/>
                  </w:tcMar>
                  <w:vAlign w:val="center"/>
                </w:tcPr>
                <w:p w14:paraId="22AD15E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9.7</w:t>
                  </w:r>
                </w:p>
              </w:tc>
              <w:tc>
                <w:tcPr>
                  <w:tcW w:w="173" w:type="pct"/>
                  <w:tcBorders>
                    <w:tl2br w:val="nil"/>
                    <w:tr2bl w:val="nil"/>
                  </w:tcBorders>
                  <w:shd w:val="clear" w:color="auto" w:fill="auto"/>
                  <w:tcMar>
                    <w:top w:w="0" w:type="dxa"/>
                    <w:left w:w="0" w:type="dxa"/>
                    <w:bottom w:w="0" w:type="dxa"/>
                    <w:right w:w="0" w:type="dxa"/>
                  </w:tcMar>
                  <w:vAlign w:val="center"/>
                </w:tcPr>
                <w:p w14:paraId="385BC26B">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3.6</w:t>
                  </w:r>
                </w:p>
              </w:tc>
              <w:tc>
                <w:tcPr>
                  <w:tcW w:w="179" w:type="pct"/>
                  <w:tcBorders>
                    <w:tl2br w:val="nil"/>
                    <w:tr2bl w:val="nil"/>
                  </w:tcBorders>
                  <w:shd w:val="clear" w:color="auto" w:fill="auto"/>
                  <w:tcMar>
                    <w:top w:w="0" w:type="dxa"/>
                    <w:left w:w="0" w:type="dxa"/>
                    <w:bottom w:w="0" w:type="dxa"/>
                    <w:right w:w="0" w:type="dxa"/>
                  </w:tcMar>
                  <w:vAlign w:val="center"/>
                </w:tcPr>
                <w:p w14:paraId="4149351E">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59.7</w:t>
                  </w:r>
                </w:p>
              </w:tc>
              <w:tc>
                <w:tcPr>
                  <w:tcW w:w="173" w:type="pct"/>
                  <w:tcBorders>
                    <w:tl2br w:val="nil"/>
                    <w:tr2bl w:val="nil"/>
                  </w:tcBorders>
                  <w:shd w:val="clear" w:color="auto" w:fill="auto"/>
                  <w:tcMar>
                    <w:top w:w="0" w:type="dxa"/>
                    <w:left w:w="0" w:type="dxa"/>
                    <w:bottom w:w="0" w:type="dxa"/>
                    <w:right w:w="0" w:type="dxa"/>
                  </w:tcMar>
                  <w:vAlign w:val="center"/>
                </w:tcPr>
                <w:p w14:paraId="7F0EAE14">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72.1</w:t>
                  </w:r>
                </w:p>
              </w:tc>
              <w:tc>
                <w:tcPr>
                  <w:tcW w:w="173" w:type="pct"/>
                  <w:tcBorders>
                    <w:tl2br w:val="nil"/>
                    <w:tr2bl w:val="nil"/>
                  </w:tcBorders>
                  <w:shd w:val="clear" w:color="auto" w:fill="auto"/>
                  <w:tcMar>
                    <w:top w:w="0" w:type="dxa"/>
                    <w:left w:w="0" w:type="dxa"/>
                    <w:bottom w:w="0" w:type="dxa"/>
                    <w:right w:w="0" w:type="dxa"/>
                  </w:tcMar>
                  <w:vAlign w:val="center"/>
                </w:tcPr>
                <w:p w14:paraId="513A30FF">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72.2</w:t>
                  </w:r>
                </w:p>
              </w:tc>
              <w:tc>
                <w:tcPr>
                  <w:tcW w:w="173" w:type="pct"/>
                  <w:tcBorders>
                    <w:tl2br w:val="nil"/>
                    <w:tr2bl w:val="nil"/>
                  </w:tcBorders>
                  <w:shd w:val="clear" w:color="auto" w:fill="auto"/>
                  <w:tcMar>
                    <w:top w:w="0" w:type="dxa"/>
                    <w:left w:w="0" w:type="dxa"/>
                    <w:bottom w:w="0" w:type="dxa"/>
                    <w:right w:w="0" w:type="dxa"/>
                  </w:tcMar>
                  <w:vAlign w:val="center"/>
                </w:tcPr>
                <w:p w14:paraId="410706C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72.6</w:t>
                  </w:r>
                </w:p>
              </w:tc>
              <w:tc>
                <w:tcPr>
                  <w:tcW w:w="181" w:type="pct"/>
                  <w:tcBorders>
                    <w:tl2br w:val="nil"/>
                    <w:tr2bl w:val="nil"/>
                  </w:tcBorders>
                  <w:shd w:val="clear" w:color="auto" w:fill="auto"/>
                  <w:tcMar>
                    <w:top w:w="0" w:type="dxa"/>
                    <w:left w:w="0" w:type="dxa"/>
                    <w:bottom w:w="0" w:type="dxa"/>
                    <w:right w:w="0" w:type="dxa"/>
                  </w:tcMar>
                  <w:vAlign w:val="center"/>
                </w:tcPr>
                <w:p w14:paraId="4CCBECC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Arial" w:cs="Times New Roman"/>
                      <w:sz w:val="21"/>
                      <w:szCs w:val="21"/>
                    </w:rPr>
                    <w:t>72.1</w:t>
                  </w:r>
                </w:p>
              </w:tc>
              <w:tc>
                <w:tcPr>
                  <w:tcW w:w="170" w:type="pct"/>
                  <w:vMerge w:val="continue"/>
                  <w:tcBorders>
                    <w:tl2br w:val="nil"/>
                    <w:tr2bl w:val="nil"/>
                  </w:tcBorders>
                  <w:shd w:val="clear" w:color="auto" w:fill="auto"/>
                  <w:tcMar>
                    <w:top w:w="0" w:type="dxa"/>
                    <w:left w:w="0" w:type="dxa"/>
                    <w:bottom w:w="0" w:type="dxa"/>
                    <w:right w:w="0" w:type="dxa"/>
                  </w:tcMar>
                  <w:vAlign w:val="center"/>
                </w:tcPr>
                <w:p w14:paraId="46B12737">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778A9801">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21FD1B95">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562E98B5">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36" w:type="pct"/>
                  <w:vMerge w:val="continue"/>
                  <w:tcBorders>
                    <w:tl2br w:val="nil"/>
                    <w:tr2bl w:val="nil"/>
                  </w:tcBorders>
                  <w:shd w:val="clear" w:color="auto" w:fill="auto"/>
                  <w:tcMar>
                    <w:top w:w="0" w:type="dxa"/>
                    <w:left w:w="0" w:type="dxa"/>
                    <w:bottom w:w="0" w:type="dxa"/>
                    <w:right w:w="0" w:type="dxa"/>
                  </w:tcMar>
                  <w:vAlign w:val="center"/>
                </w:tcPr>
                <w:p w14:paraId="73A56FF8">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213" w:type="pct"/>
                  <w:vMerge w:val="continue"/>
                  <w:tcBorders>
                    <w:tl2br w:val="nil"/>
                    <w:tr2bl w:val="nil"/>
                  </w:tcBorders>
                  <w:shd w:val="clear" w:color="auto" w:fill="auto"/>
                  <w:tcMar>
                    <w:top w:w="0" w:type="dxa"/>
                    <w:left w:w="0" w:type="dxa"/>
                    <w:bottom w:w="0" w:type="dxa"/>
                    <w:right w:w="0" w:type="dxa"/>
                  </w:tcMar>
                  <w:vAlign w:val="center"/>
                </w:tcPr>
                <w:p w14:paraId="5B3BDA2A">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7CDCE122">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7A5C7AE3">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6B00A9E3">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149" w:type="pct"/>
                  <w:vMerge w:val="continue"/>
                  <w:tcBorders>
                    <w:tl2br w:val="nil"/>
                    <w:tr2bl w:val="nil"/>
                  </w:tcBorders>
                  <w:shd w:val="clear" w:color="auto" w:fill="auto"/>
                  <w:tcMar>
                    <w:top w:w="0" w:type="dxa"/>
                    <w:left w:w="0" w:type="dxa"/>
                    <w:bottom w:w="0" w:type="dxa"/>
                    <w:right w:w="0" w:type="dxa"/>
                  </w:tcMar>
                  <w:vAlign w:val="center"/>
                </w:tcPr>
                <w:p w14:paraId="7700D701">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c>
                <w:tcPr>
                  <w:tcW w:w="203" w:type="pct"/>
                  <w:vMerge w:val="continue"/>
                  <w:tcBorders>
                    <w:tl2br w:val="nil"/>
                    <w:tr2bl w:val="nil"/>
                  </w:tcBorders>
                  <w:shd w:val="clear" w:color="auto" w:fill="auto"/>
                  <w:tcMar>
                    <w:top w:w="0" w:type="dxa"/>
                    <w:left w:w="0" w:type="dxa"/>
                    <w:bottom w:w="0" w:type="dxa"/>
                    <w:right w:w="0" w:type="dxa"/>
                  </w:tcMar>
                  <w:vAlign w:val="center"/>
                </w:tcPr>
                <w:p w14:paraId="5C360107">
                  <w:pPr>
                    <w:keepNext w:val="0"/>
                    <w:keepLines w:val="0"/>
                    <w:suppressLineNumbers w:val="0"/>
                    <w:spacing w:before="0" w:beforeAutospacing="0" w:after="0" w:afterAutospacing="0"/>
                    <w:ind w:left="0" w:right="0"/>
                    <w:jc w:val="center"/>
                    <w:rPr>
                      <w:rFonts w:hint="default" w:ascii="Times New Roman" w:hAnsi="Times New Roman" w:eastAsia="Arial" w:cs="Times New Roman"/>
                      <w:color w:val="000000" w:themeColor="text1"/>
                      <w:sz w:val="21"/>
                      <w:szCs w:val="21"/>
                      <w:highlight w:val="none"/>
                      <w14:textFill>
                        <w14:solidFill>
                          <w14:schemeClr w14:val="tx1"/>
                        </w14:solidFill>
                      </w14:textFill>
                    </w:rPr>
                  </w:pPr>
                </w:p>
              </w:tc>
            </w:tr>
            <w:bookmarkEnd w:id="4"/>
          </w:tbl>
          <w:p w14:paraId="6EE34C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color w:val="000000" w:themeColor="text1"/>
                <w:highlight w:val="none"/>
                <w14:textFill>
                  <w14:solidFill>
                    <w14:schemeClr w14:val="tx1"/>
                  </w14:solidFill>
                </w14:textFill>
              </w:rPr>
            </w:pPr>
            <w:r>
              <w:rPr>
                <w:rFonts w:hint="eastAsia" w:ascii="宋体" w:hAnsi="宋体" w:cs="宋体"/>
                <w:bCs/>
                <w:color w:val="000000" w:themeColor="text1"/>
                <w:spacing w:val="-10"/>
                <w:szCs w:val="21"/>
                <w:highlight w:val="none"/>
                <w:lang w:val="en-US" w:eastAsia="zh-CN"/>
                <w14:textFill>
                  <w14:solidFill>
                    <w14:schemeClr w14:val="tx1"/>
                  </w14:solidFill>
                </w14:textFill>
              </w:rPr>
              <w:t>注：</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表中坐标以厂界中心（123.720573,41.463592）为坐标原点，正东向为X轴正方向，正北向为Y轴正方向</w:t>
            </w:r>
            <w:r>
              <w:rPr>
                <w:rFonts w:hint="eastAsia" w:cs="Times New Roman"/>
                <w:b w:val="0"/>
                <w:bCs/>
                <w:color w:val="000000" w:themeColor="text1"/>
                <w:sz w:val="21"/>
                <w:szCs w:val="21"/>
                <w:highlight w:val="none"/>
                <w:lang w:val="en-US" w:eastAsia="zh-CN"/>
                <w14:textFill>
                  <w14:solidFill>
                    <w14:schemeClr w14:val="tx1"/>
                  </w14:solidFill>
                </w14:textFill>
              </w:rPr>
              <w:t>。</w:t>
            </w:r>
          </w:p>
          <w:p w14:paraId="5C4F75B2">
            <w:pPr>
              <w:keepNext w:val="0"/>
              <w:keepLines w:val="0"/>
              <w:suppressLineNumbers w:val="0"/>
              <w:adjustRightInd w:val="0"/>
              <w:snapToGrid w:val="0"/>
              <w:spacing w:before="0" w:beforeAutospacing="0" w:after="0" w:afterAutospacing="0"/>
              <w:ind w:left="0" w:right="0"/>
              <w:rPr>
                <w:rFonts w:hint="default" w:ascii="宋体" w:hAnsi="宋体" w:eastAsia="宋体" w:cs="宋体"/>
                <w:bCs/>
                <w:color w:val="000000" w:themeColor="text1"/>
                <w:spacing w:val="-10"/>
                <w:szCs w:val="21"/>
                <w:highlight w:val="none"/>
                <w:lang w:val="en-US" w:eastAsia="zh-CN"/>
                <w14:textFill>
                  <w14:solidFill>
                    <w14:schemeClr w14:val="tx1"/>
                  </w14:solidFill>
                </w14:textFill>
              </w:rPr>
            </w:pPr>
          </w:p>
        </w:tc>
      </w:tr>
    </w:tbl>
    <w:p w14:paraId="68D125C8">
      <w:pPr>
        <w:adjustRightInd w:val="0"/>
        <w:snapToGrid w:val="0"/>
        <w:spacing w:line="360" w:lineRule="auto"/>
        <w:rPr>
          <w:rFonts w:ascii="宋体" w:cs="宋体"/>
          <w:b/>
          <w:color w:val="000000" w:themeColor="text1"/>
          <w:kern w:val="0"/>
          <w:sz w:val="28"/>
          <w:szCs w:val="28"/>
          <w:highlight w:val="none"/>
          <w14:textFill>
            <w14:solidFill>
              <w14:schemeClr w14:val="tx1"/>
            </w14:solidFill>
          </w14:textFill>
        </w:rPr>
        <w:sectPr>
          <w:pgSz w:w="16840" w:h="11907" w:orient="landscape"/>
          <w:pgMar w:top="1531" w:right="1701" w:bottom="1531" w:left="2126" w:header="851" w:footer="851" w:gutter="0"/>
          <w:pgBorders>
            <w:top w:val="none" w:sz="0" w:space="0"/>
            <w:left w:val="none" w:sz="0" w:space="0"/>
            <w:bottom w:val="none" w:sz="0" w:space="0"/>
            <w:right w:val="none" w:sz="0" w:space="0"/>
          </w:pgBorders>
          <w:pgNumType w:fmt="numberInDash"/>
          <w:cols w:space="720" w:num="1"/>
          <w:docGrid w:linePitch="312" w:charSpace="0"/>
        </w:sectPr>
      </w:pPr>
    </w:p>
    <w:tbl>
      <w:tblPr>
        <w:tblStyle w:val="35"/>
        <w:tblW w:w="890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77"/>
        <w:gridCol w:w="8331"/>
      </w:tblGrid>
      <w:tr w14:paraId="71142C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143" w:hRule="atLeast"/>
          <w:jc w:val="center"/>
        </w:trPr>
        <w:tc>
          <w:tcPr>
            <w:tcW w:w="577" w:type="dxa"/>
            <w:noWrap w:val="0"/>
            <w:tcMar>
              <w:left w:w="28" w:type="dxa"/>
              <w:right w:w="28" w:type="dxa"/>
            </w:tcMar>
            <w:vAlign w:val="center"/>
          </w:tcPr>
          <w:p w14:paraId="444A0B0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000000" w:themeColor="text1"/>
                <w:sz w:val="24"/>
                <w:szCs w:val="24"/>
                <w:highlight w:val="none"/>
                <w14:textFill>
                  <w14:solidFill>
                    <w14:schemeClr w14:val="tx1"/>
                  </w14:solidFill>
                </w14:textFill>
              </w:rPr>
            </w:pPr>
            <w:r>
              <w:rPr>
                <w:rFonts w:hint="default" w:ascii="Times New Roman" w:hAnsi="Times New Roman" w:cs="Times New Roman"/>
                <w:bCs/>
                <w:color w:val="000000" w:themeColor="text1"/>
                <w:sz w:val="24"/>
                <w:szCs w:val="24"/>
                <w:highlight w:val="none"/>
                <w14:textFill>
                  <w14:solidFill>
                    <w14:schemeClr w14:val="tx1"/>
                  </w14:solidFill>
                </w14:textFill>
              </w:rPr>
              <w:t>运</w:t>
            </w:r>
          </w:p>
          <w:p w14:paraId="050C0A6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000000" w:themeColor="text1"/>
                <w:sz w:val="24"/>
                <w:szCs w:val="24"/>
                <w:highlight w:val="none"/>
                <w14:textFill>
                  <w14:solidFill>
                    <w14:schemeClr w14:val="tx1"/>
                  </w14:solidFill>
                </w14:textFill>
              </w:rPr>
            </w:pPr>
            <w:r>
              <w:rPr>
                <w:rFonts w:hint="default" w:ascii="Times New Roman" w:hAnsi="Times New Roman" w:cs="Times New Roman"/>
                <w:bCs/>
                <w:color w:val="000000" w:themeColor="text1"/>
                <w:sz w:val="24"/>
                <w:szCs w:val="24"/>
                <w:highlight w:val="none"/>
                <w14:textFill>
                  <w14:solidFill>
                    <w14:schemeClr w14:val="tx1"/>
                  </w14:solidFill>
                </w14:textFill>
              </w:rPr>
              <w:t>营</w:t>
            </w:r>
          </w:p>
          <w:p w14:paraId="2A071A1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000000" w:themeColor="text1"/>
                <w:sz w:val="24"/>
                <w:szCs w:val="24"/>
                <w:highlight w:val="none"/>
                <w14:textFill>
                  <w14:solidFill>
                    <w14:schemeClr w14:val="tx1"/>
                  </w14:solidFill>
                </w14:textFill>
              </w:rPr>
            </w:pPr>
            <w:r>
              <w:rPr>
                <w:rFonts w:hint="default" w:ascii="Times New Roman" w:hAnsi="Times New Roman" w:cs="Times New Roman"/>
                <w:bCs/>
                <w:color w:val="000000" w:themeColor="text1"/>
                <w:sz w:val="24"/>
                <w:szCs w:val="24"/>
                <w:highlight w:val="none"/>
                <w14:textFill>
                  <w14:solidFill>
                    <w14:schemeClr w14:val="tx1"/>
                  </w14:solidFill>
                </w14:textFill>
              </w:rPr>
              <w:t>期</w:t>
            </w:r>
          </w:p>
          <w:p w14:paraId="7EB4195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000000" w:themeColor="text1"/>
                <w:sz w:val="24"/>
                <w:szCs w:val="24"/>
                <w:highlight w:val="none"/>
                <w14:textFill>
                  <w14:solidFill>
                    <w14:schemeClr w14:val="tx1"/>
                  </w14:solidFill>
                </w14:textFill>
              </w:rPr>
            </w:pPr>
            <w:r>
              <w:rPr>
                <w:rFonts w:hint="default" w:ascii="Times New Roman" w:hAnsi="Times New Roman" w:cs="Times New Roman"/>
                <w:bCs/>
                <w:color w:val="000000" w:themeColor="text1"/>
                <w:sz w:val="24"/>
                <w:szCs w:val="24"/>
                <w:highlight w:val="none"/>
                <w14:textFill>
                  <w14:solidFill>
                    <w14:schemeClr w14:val="tx1"/>
                  </w14:solidFill>
                </w14:textFill>
              </w:rPr>
              <w:t>环</w:t>
            </w:r>
          </w:p>
          <w:p w14:paraId="1B59337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000000" w:themeColor="text1"/>
                <w:sz w:val="24"/>
                <w:szCs w:val="24"/>
                <w:highlight w:val="none"/>
                <w14:textFill>
                  <w14:solidFill>
                    <w14:schemeClr w14:val="tx1"/>
                  </w14:solidFill>
                </w14:textFill>
              </w:rPr>
            </w:pPr>
            <w:r>
              <w:rPr>
                <w:rFonts w:hint="default" w:ascii="Times New Roman" w:hAnsi="Times New Roman" w:cs="Times New Roman"/>
                <w:bCs/>
                <w:color w:val="000000" w:themeColor="text1"/>
                <w:sz w:val="24"/>
                <w:szCs w:val="24"/>
                <w:highlight w:val="none"/>
                <w14:textFill>
                  <w14:solidFill>
                    <w14:schemeClr w14:val="tx1"/>
                  </w14:solidFill>
                </w14:textFill>
              </w:rPr>
              <w:t>境</w:t>
            </w:r>
          </w:p>
          <w:p w14:paraId="08778FC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000000" w:themeColor="text1"/>
                <w:sz w:val="24"/>
                <w:szCs w:val="24"/>
                <w:highlight w:val="none"/>
                <w14:textFill>
                  <w14:solidFill>
                    <w14:schemeClr w14:val="tx1"/>
                  </w14:solidFill>
                </w14:textFill>
              </w:rPr>
            </w:pPr>
            <w:r>
              <w:rPr>
                <w:rFonts w:hint="default" w:ascii="Times New Roman" w:hAnsi="Times New Roman" w:cs="Times New Roman"/>
                <w:bCs/>
                <w:color w:val="000000" w:themeColor="text1"/>
                <w:sz w:val="24"/>
                <w:szCs w:val="24"/>
                <w:highlight w:val="none"/>
                <w14:textFill>
                  <w14:solidFill>
                    <w14:schemeClr w14:val="tx1"/>
                  </w14:solidFill>
                </w14:textFill>
              </w:rPr>
              <w:t>影</w:t>
            </w:r>
          </w:p>
          <w:p w14:paraId="0F0DAFC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000000" w:themeColor="text1"/>
                <w:sz w:val="24"/>
                <w:szCs w:val="24"/>
                <w:highlight w:val="none"/>
                <w14:textFill>
                  <w14:solidFill>
                    <w14:schemeClr w14:val="tx1"/>
                  </w14:solidFill>
                </w14:textFill>
              </w:rPr>
            </w:pPr>
            <w:r>
              <w:rPr>
                <w:rFonts w:hint="default" w:ascii="Times New Roman" w:hAnsi="Times New Roman" w:cs="Times New Roman"/>
                <w:bCs/>
                <w:color w:val="000000" w:themeColor="text1"/>
                <w:sz w:val="24"/>
                <w:szCs w:val="24"/>
                <w:highlight w:val="none"/>
                <w14:textFill>
                  <w14:solidFill>
                    <w14:schemeClr w14:val="tx1"/>
                  </w14:solidFill>
                </w14:textFill>
              </w:rPr>
              <w:t>响</w:t>
            </w:r>
          </w:p>
          <w:p w14:paraId="27A4596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000000" w:themeColor="text1"/>
                <w:sz w:val="24"/>
                <w:szCs w:val="24"/>
                <w:highlight w:val="none"/>
                <w14:textFill>
                  <w14:solidFill>
                    <w14:schemeClr w14:val="tx1"/>
                  </w14:solidFill>
                </w14:textFill>
              </w:rPr>
            </w:pPr>
            <w:r>
              <w:rPr>
                <w:rFonts w:hint="default" w:ascii="Times New Roman" w:hAnsi="Times New Roman" w:cs="Times New Roman"/>
                <w:bCs/>
                <w:color w:val="000000" w:themeColor="text1"/>
                <w:sz w:val="24"/>
                <w:szCs w:val="24"/>
                <w:highlight w:val="none"/>
                <w14:textFill>
                  <w14:solidFill>
                    <w14:schemeClr w14:val="tx1"/>
                  </w14:solidFill>
                </w14:textFill>
              </w:rPr>
              <w:t>和</w:t>
            </w:r>
          </w:p>
          <w:p w14:paraId="4F126A7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000000" w:themeColor="text1"/>
                <w:sz w:val="24"/>
                <w:szCs w:val="24"/>
                <w:highlight w:val="none"/>
                <w14:textFill>
                  <w14:solidFill>
                    <w14:schemeClr w14:val="tx1"/>
                  </w14:solidFill>
                </w14:textFill>
              </w:rPr>
            </w:pPr>
            <w:r>
              <w:rPr>
                <w:rFonts w:hint="default" w:ascii="Times New Roman" w:hAnsi="Times New Roman" w:cs="Times New Roman"/>
                <w:bCs/>
                <w:color w:val="000000" w:themeColor="text1"/>
                <w:sz w:val="24"/>
                <w:szCs w:val="24"/>
                <w:highlight w:val="none"/>
                <w14:textFill>
                  <w14:solidFill>
                    <w14:schemeClr w14:val="tx1"/>
                  </w14:solidFill>
                </w14:textFill>
              </w:rPr>
              <w:t>保</w:t>
            </w:r>
          </w:p>
          <w:p w14:paraId="16CCC4B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000000" w:themeColor="text1"/>
                <w:sz w:val="24"/>
                <w:szCs w:val="24"/>
                <w:highlight w:val="none"/>
                <w14:textFill>
                  <w14:solidFill>
                    <w14:schemeClr w14:val="tx1"/>
                  </w14:solidFill>
                </w14:textFill>
              </w:rPr>
            </w:pPr>
            <w:r>
              <w:rPr>
                <w:rFonts w:hint="default" w:ascii="Times New Roman" w:hAnsi="Times New Roman" w:cs="Times New Roman"/>
                <w:bCs/>
                <w:color w:val="000000" w:themeColor="text1"/>
                <w:sz w:val="24"/>
                <w:szCs w:val="24"/>
                <w:highlight w:val="none"/>
                <w14:textFill>
                  <w14:solidFill>
                    <w14:schemeClr w14:val="tx1"/>
                  </w14:solidFill>
                </w14:textFill>
              </w:rPr>
              <w:t>护</w:t>
            </w:r>
          </w:p>
          <w:p w14:paraId="02384C4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000000" w:themeColor="text1"/>
                <w:sz w:val="24"/>
                <w:szCs w:val="24"/>
                <w:highlight w:val="none"/>
                <w14:textFill>
                  <w14:solidFill>
                    <w14:schemeClr w14:val="tx1"/>
                  </w14:solidFill>
                </w14:textFill>
              </w:rPr>
            </w:pPr>
            <w:r>
              <w:rPr>
                <w:rFonts w:hint="default" w:ascii="Times New Roman" w:hAnsi="Times New Roman" w:cs="Times New Roman"/>
                <w:bCs/>
                <w:color w:val="000000" w:themeColor="text1"/>
                <w:sz w:val="24"/>
                <w:szCs w:val="24"/>
                <w:highlight w:val="none"/>
                <w14:textFill>
                  <w14:solidFill>
                    <w14:schemeClr w14:val="tx1"/>
                  </w14:solidFill>
                </w14:textFill>
              </w:rPr>
              <w:t>措</w:t>
            </w:r>
          </w:p>
          <w:p w14:paraId="60FF4869">
            <w:pPr>
              <w:keepNext w:val="0"/>
              <w:keepLines w:val="0"/>
              <w:suppressLineNumbers w:val="0"/>
              <w:adjustRightInd w:val="0"/>
              <w:snapToGrid w:val="0"/>
              <w:spacing w:before="0" w:beforeAutospacing="0" w:after="0" w:afterAutospacing="0"/>
              <w:ind w:left="0" w:right="0"/>
              <w:jc w:val="center"/>
              <w:rPr>
                <w:rFonts w:hint="default" w:ascii="宋体" w:hAnsi="宋体" w:cs="宋体"/>
                <w:bCs/>
                <w:color w:val="000000" w:themeColor="text1"/>
                <w:sz w:val="24"/>
                <w:szCs w:val="24"/>
                <w:highlight w:val="none"/>
                <w14:textFill>
                  <w14:solidFill>
                    <w14:schemeClr w14:val="tx1"/>
                  </w14:solidFill>
                </w14:textFill>
              </w:rPr>
            </w:pPr>
            <w:r>
              <w:rPr>
                <w:rFonts w:hint="default" w:ascii="Times New Roman" w:hAnsi="Times New Roman" w:cs="Times New Roman"/>
                <w:bCs/>
                <w:color w:val="000000" w:themeColor="text1"/>
                <w:sz w:val="24"/>
                <w:szCs w:val="24"/>
                <w:highlight w:val="none"/>
                <w14:textFill>
                  <w14:solidFill>
                    <w14:schemeClr w14:val="tx1"/>
                  </w14:solidFill>
                </w14:textFill>
              </w:rPr>
              <w:t>施</w:t>
            </w:r>
          </w:p>
        </w:tc>
        <w:tc>
          <w:tcPr>
            <w:tcW w:w="8331" w:type="dxa"/>
            <w:noWrap w:val="0"/>
            <w:vAlign w:val="center"/>
          </w:tcPr>
          <w:p w14:paraId="41D627B9">
            <w:pPr>
              <w:keepNext w:val="0"/>
              <w:keepLines w:val="0"/>
              <w:suppressLineNumbers w:val="0"/>
              <w:autoSpaceDE w:val="0"/>
              <w:autoSpaceDN w:val="0"/>
              <w:spacing w:before="0" w:beforeAutospacing="0" w:after="0" w:afterAutospacing="0" w:line="360" w:lineRule="auto"/>
              <w:ind w:left="0" w:right="0"/>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3.</w:t>
            </w:r>
            <w:r>
              <w:rPr>
                <w:rFonts w:hint="eastAsia" w:cs="Times New Roman"/>
                <w:b/>
                <w:bCs/>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、污染治理措施环境影响分析</w:t>
            </w:r>
          </w:p>
          <w:p w14:paraId="50E2164D">
            <w:pPr>
              <w:keepNext w:val="0"/>
              <w:keepLines w:val="0"/>
              <w:pageBreakBefore w:val="0"/>
              <w:widowControl w:val="0"/>
              <w:suppressLineNumbers w:val="0"/>
              <w:kinsoku/>
              <w:wordWrap/>
              <w:overflowPunct/>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000000" w:themeColor="text1"/>
                <w:kern w:val="0"/>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eastAsia="zh-CN"/>
                <w14:textFill>
                  <w14:solidFill>
                    <w14:schemeClr w14:val="tx1"/>
                  </w14:solidFill>
                </w14:textFill>
              </w:rPr>
              <w:t>（</w:t>
            </w:r>
            <w:r>
              <w:rPr>
                <w:rFonts w:hint="default" w:ascii="Times New Roman" w:hAnsi="Times New Roman" w:eastAsia="宋体" w:cs="Times New Roman"/>
                <w:b/>
                <w:bCs/>
                <w:color w:val="000000" w:themeColor="text1"/>
                <w:kern w:val="0"/>
                <w:sz w:val="24"/>
                <w:szCs w:val="24"/>
                <w:highlight w:val="none"/>
                <w:lang w:val="en-US" w:eastAsia="zh-CN"/>
                <w14:textFill>
                  <w14:solidFill>
                    <w14:schemeClr w14:val="tx1"/>
                  </w14:solidFill>
                </w14:textFill>
              </w:rPr>
              <w:t>一</w:t>
            </w:r>
            <w:r>
              <w:rPr>
                <w:rFonts w:hint="default" w:ascii="Times New Roman" w:hAnsi="Times New Roman" w:eastAsia="宋体" w:cs="Times New Roman"/>
                <w:b/>
                <w:bCs/>
                <w:color w:val="000000" w:themeColor="text1"/>
                <w:kern w:val="0"/>
                <w:sz w:val="24"/>
                <w:szCs w:val="24"/>
                <w:highlight w:val="none"/>
                <w:lang w:eastAsia="zh-CN"/>
                <w14:textFill>
                  <w14:solidFill>
                    <w14:schemeClr w14:val="tx1"/>
                  </w14:solidFill>
                </w14:textFill>
              </w:rPr>
              <w:t>）</w:t>
            </w:r>
            <w:r>
              <w:rPr>
                <w:rFonts w:hint="default" w:ascii="Times New Roman" w:hAnsi="Times New Roman" w:eastAsia="宋体" w:cs="Times New Roman"/>
                <w:b/>
                <w:bCs/>
                <w:color w:val="000000" w:themeColor="text1"/>
                <w:kern w:val="0"/>
                <w:sz w:val="24"/>
                <w:szCs w:val="24"/>
                <w:highlight w:val="none"/>
                <w14:textFill>
                  <w14:solidFill>
                    <w14:schemeClr w14:val="tx1"/>
                  </w14:solidFill>
                </w14:textFill>
              </w:rPr>
              <w:t>预测模式</w:t>
            </w:r>
          </w:p>
          <w:p w14:paraId="67CB1250">
            <w:pPr>
              <w:keepNext w:val="0"/>
              <w:keepLines w:val="0"/>
              <w:pageBreakBefore w:val="0"/>
              <w:widowControl w:val="0"/>
              <w:suppressLineNumbers w:val="0"/>
              <w:kinsoku/>
              <w:wordWrap/>
              <w:overflowPunct/>
              <w:topLinePunct/>
              <w:autoSpaceDE w:val="0"/>
              <w:autoSpaceDN w:val="0"/>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根据噪声衰减和叠加特征，本评价</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首先</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采用《环境影响评价技术导则 声环境》</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HJ2.4-2021</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中推荐模式计算室内点声源至室外的污染水平</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转换为室外声源后，按导则附录A式A.1计算厂界噪声贡献值，在计算过程中只考虑几何发散衰减和障碍物屏蔽引起的衰减，其中几何发散衰减按面声源衰减计算，障碍物屏蔽引起的衰减按附录A中A.3.4计算；对于室外声源，按导则附录A式A.1计算厂界噪声贡献值，在计算过程中只考虑几何发散衰减，其中几何发散衰减按点声源衰减计算；计算完成室外、室内声源至厂界处噪声贡献值后，整体厂界</w:t>
            </w:r>
            <w:r>
              <w:rPr>
                <w:rFonts w:hint="default" w:ascii="Times New Roman" w:hAnsi="Times New Roman" w:eastAsia="宋体" w:cs="Times New Roman"/>
                <w:b w:val="0"/>
                <w:bCs w:val="0"/>
                <w:color w:val="000000" w:themeColor="text1"/>
                <w:spacing w:val="0"/>
                <w:w w:val="100"/>
                <w:kern w:val="0"/>
                <w:position w:val="0"/>
                <w:sz w:val="24"/>
                <w:szCs w:val="24"/>
                <w:highlight w:val="none"/>
                <w:lang w:val="en-US" w:eastAsia="zh-CN" w:bidi="ar-SA"/>
                <w14:textFill>
                  <w14:solidFill>
                    <w14:schemeClr w14:val="tx1"/>
                  </w14:solidFill>
                </w14:textFill>
              </w:rPr>
              <w:t>噪声贡献值按导则附录B工业企业噪声计算公式进行计算。</w:t>
            </w:r>
          </w:p>
          <w:p w14:paraId="2051F1F2">
            <w:pPr>
              <w:keepNext w:val="0"/>
              <w:keepLines w:val="0"/>
              <w:pageBreakBefore w:val="0"/>
              <w:widowControl w:val="0"/>
              <w:suppressLineNumbers w:val="0"/>
              <w:kinsoku/>
              <w:wordWrap/>
              <w:overflowPunct/>
              <w:topLinePunct/>
              <w:autoSpaceDE w:val="0"/>
              <w:autoSpaceDN w:val="0"/>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kern w:val="0"/>
                <w:sz w:val="24"/>
                <w:szCs w:val="24"/>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预测模式采用《环境影响评价技术导则声环境》（HJ2.4-2021）推荐的噪声传播衰减方法进行预测。</w:t>
            </w:r>
          </w:p>
          <w:p w14:paraId="02DB01AD">
            <w:pPr>
              <w:keepNext w:val="0"/>
              <w:keepLines w:val="0"/>
              <w:pageBreakBefore w:val="0"/>
              <w:widowControl w:val="0"/>
              <w:suppressLineNumbers w:val="0"/>
              <w:kinsoku/>
              <w:wordWrap/>
              <w:overflowPunct/>
              <w:topLinePunct/>
              <w:autoSpaceDE w:val="0"/>
              <w:autoSpaceDN w:val="0"/>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kern w:val="0"/>
                <w:sz w:val="24"/>
                <w:szCs w:val="24"/>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①某一室内声源靠近围护结构处产生的倍频带声压级：</w:t>
            </w:r>
          </w:p>
          <w:p w14:paraId="7B32F2CC">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480" w:firstLineChars="200"/>
              <w:textAlignment w:val="auto"/>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4"/>
                <w:szCs w:val="24"/>
                <w:highlight w:val="none"/>
                <w14:textFill>
                  <w14:solidFill>
                    <w14:schemeClr w14:val="tx1"/>
                  </w14:solidFill>
                </w14:textFill>
              </w:rPr>
              <w:drawing>
                <wp:inline distT="0" distB="0" distL="114300" distR="114300">
                  <wp:extent cx="2181225" cy="600075"/>
                  <wp:effectExtent l="0" t="0" r="9525" b="9525"/>
                  <wp:docPr id="10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9"/>
                          <pic:cNvPicPr>
                            <a:picLocks noChangeAspect="1"/>
                          </pic:cNvPicPr>
                        </pic:nvPicPr>
                        <pic:blipFill>
                          <a:blip r:embed="rId23"/>
                          <a:stretch>
                            <a:fillRect/>
                          </a:stretch>
                        </pic:blipFill>
                        <pic:spPr>
                          <a:xfrm>
                            <a:off x="0" y="0"/>
                            <a:ext cx="2181225" cy="600075"/>
                          </a:xfrm>
                          <a:prstGeom prst="rect">
                            <a:avLst/>
                          </a:prstGeom>
                          <a:noFill/>
                          <a:ln>
                            <a:noFill/>
                          </a:ln>
                        </pic:spPr>
                      </pic:pic>
                    </a:graphicData>
                  </a:graphic>
                </wp:inline>
              </w:drawing>
            </w:r>
          </w:p>
          <w:p w14:paraId="587B792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eastAsiaTheme="minorEastAsia"/>
                <w:color w:val="000000" w:themeColor="text1"/>
                <w:sz w:val="24"/>
                <w:szCs w:val="24"/>
                <w:highlight w:val="none"/>
                <w14:textFill>
                  <w14:solidFill>
                    <w14:schemeClr w14:val="tx1"/>
                  </w14:solidFill>
                </w14:textFill>
              </w:rPr>
            </w:pPr>
            <w:r>
              <w:rPr>
                <w:rFonts w:hint="default" w:ascii="Times New Roman" w:hAnsi="Times New Roman" w:cs="Times New Roman" w:eastAsiaTheme="minorEastAsia"/>
                <w:color w:val="000000" w:themeColor="text1"/>
                <w:sz w:val="24"/>
                <w:szCs w:val="24"/>
                <w:highlight w:val="none"/>
                <w14:textFill>
                  <w14:solidFill>
                    <w14:schemeClr w14:val="tx1"/>
                  </w14:solidFill>
                </w14:textFill>
              </w:rPr>
              <w:t>式中：Lp</w:t>
            </w:r>
            <w:r>
              <w:rPr>
                <w:rFonts w:hint="default" w:ascii="Times New Roman" w:hAnsi="Times New Roman" w:cs="Times New Roman" w:eastAsiaTheme="minorEastAsia"/>
                <w:color w:val="000000" w:themeColor="text1"/>
                <w:sz w:val="24"/>
                <w:szCs w:val="24"/>
                <w:highlight w:val="none"/>
                <w:vertAlign w:val="subscript"/>
                <w14:textFill>
                  <w14:solidFill>
                    <w14:schemeClr w14:val="tx1"/>
                  </w14:solidFill>
                </w14:textFill>
              </w:rPr>
              <w:t>1</w:t>
            </w:r>
            <w:r>
              <w:rPr>
                <w:rFonts w:hint="default" w:ascii="Times New Roman" w:hAnsi="Times New Roman" w:cs="Times New Roman" w:eastAsiaTheme="minorEastAsia"/>
                <w:color w:val="000000" w:themeColor="text1"/>
                <w:sz w:val="24"/>
                <w:szCs w:val="24"/>
                <w:highlight w:val="none"/>
                <w14:textFill>
                  <w14:solidFill>
                    <w14:schemeClr w14:val="tx1"/>
                  </w14:solidFill>
                </w14:textFill>
              </w:rPr>
              <w:t>-靠近开口处（或窗户）室内某倍频带的声压级或A声级，dB；</w:t>
            </w:r>
          </w:p>
          <w:p w14:paraId="75ADD77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eastAsiaTheme="minorEastAsia"/>
                <w:color w:val="000000" w:themeColor="text1"/>
                <w:sz w:val="24"/>
                <w:szCs w:val="24"/>
                <w:highlight w:val="none"/>
                <w14:textFill>
                  <w14:solidFill>
                    <w14:schemeClr w14:val="tx1"/>
                  </w14:solidFill>
                </w14:textFill>
              </w:rPr>
            </w:pPr>
            <w:r>
              <w:rPr>
                <w:rFonts w:hint="default" w:ascii="Times New Roman" w:hAnsi="Times New Roman" w:cs="Times New Roman" w:eastAsiaTheme="minorEastAsia"/>
                <w:color w:val="000000" w:themeColor="text1"/>
                <w:sz w:val="24"/>
                <w:szCs w:val="24"/>
                <w:highlight w:val="none"/>
                <w14:textFill>
                  <w14:solidFill>
                    <w14:schemeClr w14:val="tx1"/>
                  </w14:solidFill>
                </w14:textFill>
              </w:rPr>
              <w:t>Lp</w:t>
            </w:r>
            <w:r>
              <w:rPr>
                <w:rFonts w:hint="default" w:ascii="Times New Roman" w:hAnsi="Times New Roman" w:cs="Times New Roman" w:eastAsiaTheme="minorEastAsia"/>
                <w:color w:val="000000" w:themeColor="text1"/>
                <w:sz w:val="24"/>
                <w:szCs w:val="24"/>
                <w:highlight w:val="none"/>
                <w:vertAlign w:val="subscript"/>
                <w14:textFill>
                  <w14:solidFill>
                    <w14:schemeClr w14:val="tx1"/>
                  </w14:solidFill>
                </w14:textFill>
              </w:rPr>
              <w:t>2</w:t>
            </w:r>
            <w:r>
              <w:rPr>
                <w:rFonts w:hint="default" w:ascii="Times New Roman" w:hAnsi="Times New Roman" w:cs="Times New Roman" w:eastAsiaTheme="minorEastAsia"/>
                <w:color w:val="000000" w:themeColor="text1"/>
                <w:sz w:val="24"/>
                <w:szCs w:val="24"/>
                <w:highlight w:val="none"/>
                <w14:textFill>
                  <w14:solidFill>
                    <w14:schemeClr w14:val="tx1"/>
                  </w14:solidFill>
                </w14:textFill>
              </w:rPr>
              <w:t>-靠近开口处（或窗户）室外某倍频带的声压级或A声级，dB；</w:t>
            </w:r>
          </w:p>
          <w:p w14:paraId="037D885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eastAsiaTheme="minorEastAsia"/>
                <w:color w:val="000000" w:themeColor="text1"/>
                <w:sz w:val="24"/>
                <w:szCs w:val="24"/>
                <w:highlight w:val="none"/>
                <w14:textFill>
                  <w14:solidFill>
                    <w14:schemeClr w14:val="tx1"/>
                  </w14:solidFill>
                </w14:textFill>
              </w:rPr>
            </w:pPr>
            <w:r>
              <w:rPr>
                <w:rFonts w:hint="default" w:ascii="Times New Roman" w:hAnsi="Times New Roman" w:cs="Times New Roman" w:eastAsiaTheme="minorEastAsia"/>
                <w:color w:val="000000" w:themeColor="text1"/>
                <w:sz w:val="24"/>
                <w:szCs w:val="24"/>
                <w:highlight w:val="none"/>
                <w14:textFill>
                  <w14:solidFill>
                    <w14:schemeClr w14:val="tx1"/>
                  </w14:solidFill>
                </w14:textFill>
              </w:rPr>
              <w:t>Lw-点声源声功率级（A计权或倍频带），dB；</w:t>
            </w:r>
          </w:p>
          <w:p w14:paraId="406E960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eastAsiaTheme="minorEastAsia"/>
                <w:color w:val="000000" w:themeColor="text1"/>
                <w:sz w:val="24"/>
                <w:szCs w:val="24"/>
                <w:highlight w:val="none"/>
                <w14:textFill>
                  <w14:solidFill>
                    <w14:schemeClr w14:val="tx1"/>
                  </w14:solidFill>
                </w14:textFill>
              </w:rPr>
            </w:pPr>
            <w:r>
              <w:rPr>
                <w:rFonts w:hint="default" w:ascii="Times New Roman" w:hAnsi="Times New Roman" w:cs="Times New Roman" w:eastAsiaTheme="minorEastAsia"/>
                <w:color w:val="000000" w:themeColor="text1"/>
                <w:sz w:val="24"/>
                <w:szCs w:val="24"/>
                <w:highlight w:val="none"/>
                <w14:textFill>
                  <w14:solidFill>
                    <w14:schemeClr w14:val="tx1"/>
                  </w14:solidFill>
                </w14:textFill>
              </w:rPr>
              <w:t>Q-指向性因数；通常对无指向性声源，当声源放在房间中心时，Q=1；当放在一面墙的中心时，Q=2；当放在两面墙夹角处时，Q=4；当放在三面墙夹角处时，Q=8；</w:t>
            </w:r>
          </w:p>
          <w:p w14:paraId="2234EE2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eastAsiaTheme="minorEastAsia"/>
                <w:color w:val="000000" w:themeColor="text1"/>
                <w:sz w:val="24"/>
                <w:szCs w:val="24"/>
                <w:highlight w:val="none"/>
                <w14:textFill>
                  <w14:solidFill>
                    <w14:schemeClr w14:val="tx1"/>
                  </w14:solidFill>
                </w14:textFill>
              </w:rPr>
            </w:pPr>
            <w:r>
              <w:rPr>
                <w:rFonts w:hint="default" w:ascii="Times New Roman" w:hAnsi="Times New Roman" w:cs="Times New Roman" w:eastAsiaTheme="minorEastAsia"/>
                <w:color w:val="000000" w:themeColor="text1"/>
                <w:sz w:val="24"/>
                <w:szCs w:val="24"/>
                <w:highlight w:val="none"/>
                <w14:textFill>
                  <w14:solidFill>
                    <w14:schemeClr w14:val="tx1"/>
                  </w14:solidFill>
                </w14:textFill>
              </w:rPr>
              <w:t>R-房间常数；R=Sɑ/(1-ɑ)，S为房间内表面面积，m</w:t>
            </w:r>
            <w:r>
              <w:rPr>
                <w:rFonts w:hint="default" w:ascii="Times New Roman" w:hAnsi="Times New Roman" w:cs="Times New Roman" w:eastAsiaTheme="minorEastAsia"/>
                <w:color w:val="000000" w:themeColor="text1"/>
                <w:sz w:val="24"/>
                <w:szCs w:val="24"/>
                <w:highlight w:val="none"/>
                <w:vertAlign w:val="superscript"/>
                <w14:textFill>
                  <w14:solidFill>
                    <w14:schemeClr w14:val="tx1"/>
                  </w14:solidFill>
                </w14:textFill>
              </w:rPr>
              <w:t>2</w:t>
            </w:r>
            <w:r>
              <w:rPr>
                <w:rFonts w:hint="default" w:ascii="Times New Roman" w:hAnsi="Times New Roman" w:cs="Times New Roman" w:eastAsiaTheme="minorEastAsia"/>
                <w:color w:val="000000" w:themeColor="text1"/>
                <w:sz w:val="24"/>
                <w:szCs w:val="24"/>
                <w:highlight w:val="none"/>
                <w14:textFill>
                  <w14:solidFill>
                    <w14:schemeClr w14:val="tx1"/>
                  </w14:solidFill>
                </w14:textFill>
              </w:rPr>
              <w:t>；α为平均吸声系数；</w:t>
            </w:r>
          </w:p>
          <w:p w14:paraId="4EE8743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eastAsiaTheme="minorEastAsia"/>
                <w:color w:val="000000" w:themeColor="text1"/>
                <w:sz w:val="24"/>
                <w:szCs w:val="24"/>
                <w:highlight w:val="none"/>
                <w14:textFill>
                  <w14:solidFill>
                    <w14:schemeClr w14:val="tx1"/>
                  </w14:solidFill>
                </w14:textFill>
              </w:rPr>
            </w:pPr>
            <w:r>
              <w:rPr>
                <w:rFonts w:hint="default" w:ascii="Times New Roman" w:hAnsi="Times New Roman" w:cs="Times New Roman" w:eastAsiaTheme="minorEastAsia"/>
                <w:color w:val="000000" w:themeColor="text1"/>
                <w:sz w:val="24"/>
                <w:szCs w:val="24"/>
                <w:highlight w:val="none"/>
                <w14:textFill>
                  <w14:solidFill>
                    <w14:schemeClr w14:val="tx1"/>
                  </w14:solidFill>
                </w14:textFill>
              </w:rPr>
              <w:t>r-声源到靠近围护结构某点处的距离，m。</w:t>
            </w:r>
          </w:p>
          <w:p w14:paraId="323FE66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eastAsiaTheme="minorEastAsia"/>
                <w:color w:val="000000" w:themeColor="text1"/>
                <w:sz w:val="24"/>
                <w:szCs w:val="24"/>
                <w:highlight w:val="none"/>
                <w14:textFill>
                  <w14:solidFill>
                    <w14:schemeClr w14:val="tx1"/>
                  </w14:solidFill>
                </w14:textFill>
              </w:rPr>
            </w:pPr>
            <w:r>
              <w:rPr>
                <w:rFonts w:hint="default" w:ascii="Times New Roman" w:hAnsi="Times New Roman" w:cs="Times New Roman" w:eastAsiaTheme="minorEastAsia"/>
                <w:color w:val="000000" w:themeColor="text1"/>
                <w:sz w:val="24"/>
                <w:szCs w:val="24"/>
                <w:highlight w:val="none"/>
                <w14:textFill>
                  <w14:solidFill>
                    <w14:schemeClr w14:val="tx1"/>
                  </w14:solidFill>
                </w14:textFill>
              </w:rPr>
              <w:t>S—透声面积，m</w:t>
            </w:r>
            <w:r>
              <w:rPr>
                <w:rFonts w:hint="default" w:ascii="Times New Roman" w:hAnsi="Times New Roman" w:cs="Times New Roman" w:eastAsiaTheme="minorEastAsia"/>
                <w:color w:val="000000" w:themeColor="text1"/>
                <w:sz w:val="24"/>
                <w:szCs w:val="24"/>
                <w:highlight w:val="none"/>
                <w:vertAlign w:val="superscript"/>
                <w14:textFill>
                  <w14:solidFill>
                    <w14:schemeClr w14:val="tx1"/>
                  </w14:solidFill>
                </w14:textFill>
              </w:rPr>
              <w:t>2</w:t>
            </w:r>
            <w:r>
              <w:rPr>
                <w:rFonts w:hint="default" w:ascii="Times New Roman" w:hAnsi="Times New Roman" w:cs="Times New Roman" w:eastAsiaTheme="minorEastAsia"/>
                <w:color w:val="000000" w:themeColor="text1"/>
                <w:sz w:val="24"/>
                <w:szCs w:val="24"/>
                <w:highlight w:val="none"/>
                <w14:textFill>
                  <w14:solidFill>
                    <w14:schemeClr w14:val="tx1"/>
                  </w14:solidFill>
                </w14:textFill>
              </w:rPr>
              <w:t>。</w:t>
            </w:r>
          </w:p>
          <w:p w14:paraId="4ABBAA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eastAsiaTheme="minorEastAsia"/>
                <w:color w:val="000000" w:themeColor="text1"/>
                <w:sz w:val="24"/>
                <w:szCs w:val="24"/>
                <w:highlight w:val="none"/>
                <w14:textFill>
                  <w14:solidFill>
                    <w14:schemeClr w14:val="tx1"/>
                  </w14:solidFill>
                </w14:textFill>
              </w:rPr>
            </w:pPr>
            <w:r>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②</w:t>
            </w:r>
            <w:r>
              <w:rPr>
                <w:rFonts w:hint="default" w:ascii="Times New Roman" w:hAnsi="Times New Roman" w:cs="Times New Roman" w:eastAsiaTheme="minorEastAsia"/>
                <w:color w:val="000000" w:themeColor="text1"/>
                <w:kern w:val="0"/>
                <w:sz w:val="24"/>
                <w:szCs w:val="24"/>
                <w:highlight w:val="none"/>
                <w:lang w:val="en-US" w:eastAsia="zh-CN" w:bidi="ar"/>
                <w14:textFill>
                  <w14:solidFill>
                    <w14:schemeClr w14:val="tx1"/>
                  </w14:solidFill>
                </w14:textFill>
              </w:rPr>
              <w:t>室内声源在围护结构处产生的i倍频带叠加声压级：</w:t>
            </w:r>
          </w:p>
          <w:p w14:paraId="544364F5">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480" w:firstLineChars="200"/>
              <w:textAlignment w:val="auto"/>
              <w:rPr>
                <w:rFonts w:hint="default" w:ascii="Times New Roman" w:hAnsi="Times New Roman" w:cs="Times New Roman" w:eastAsiaTheme="minorEastAsia"/>
                <w:color w:val="000000" w:themeColor="text1"/>
                <w:sz w:val="24"/>
                <w:szCs w:val="24"/>
                <w:highlight w:val="none"/>
                <w14:textFill>
                  <w14:solidFill>
                    <w14:schemeClr w14:val="tx1"/>
                  </w14:solidFill>
                </w14:textFill>
              </w:rPr>
            </w:pPr>
            <w:r>
              <w:rPr>
                <w:rFonts w:hint="default" w:ascii="Times New Roman" w:hAnsi="Times New Roman" w:cs="Times New Roman" w:eastAsiaTheme="minorEastAsia"/>
                <w:color w:val="000000" w:themeColor="text1"/>
                <w:sz w:val="24"/>
                <w:szCs w:val="24"/>
                <w:highlight w:val="none"/>
                <w14:textFill>
                  <w14:solidFill>
                    <w14:schemeClr w14:val="tx1"/>
                  </w14:solidFill>
                </w14:textFill>
              </w:rPr>
              <w:drawing>
                <wp:inline distT="0" distB="0" distL="114300" distR="114300">
                  <wp:extent cx="1828800" cy="609600"/>
                  <wp:effectExtent l="0" t="0" r="0" b="0"/>
                  <wp:docPr id="7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10"/>
                          <pic:cNvPicPr>
                            <a:picLocks noChangeAspect="1"/>
                          </pic:cNvPicPr>
                        </pic:nvPicPr>
                        <pic:blipFill>
                          <a:blip r:embed="rId24"/>
                          <a:stretch>
                            <a:fillRect/>
                          </a:stretch>
                        </pic:blipFill>
                        <pic:spPr>
                          <a:xfrm>
                            <a:off x="0" y="0"/>
                            <a:ext cx="1828800" cy="609600"/>
                          </a:xfrm>
                          <a:prstGeom prst="rect">
                            <a:avLst/>
                          </a:prstGeom>
                          <a:noFill/>
                          <a:ln>
                            <a:noFill/>
                          </a:ln>
                        </pic:spPr>
                      </pic:pic>
                    </a:graphicData>
                  </a:graphic>
                </wp:inline>
              </w:drawing>
            </w:r>
          </w:p>
          <w:p w14:paraId="66C969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eastAsiaTheme="minorEastAsia"/>
                <w:color w:val="000000" w:themeColor="text1"/>
                <w:sz w:val="24"/>
                <w:szCs w:val="24"/>
                <w:highlight w:val="none"/>
                <w14:textFill>
                  <w14:solidFill>
                    <w14:schemeClr w14:val="tx1"/>
                  </w14:solidFill>
                </w14:textFill>
              </w:rPr>
            </w:pPr>
            <w:r>
              <w:rPr>
                <w:rFonts w:hint="default" w:ascii="Times New Roman" w:hAnsi="Times New Roman" w:cs="Times New Roman" w:eastAsiaTheme="minorEastAsia"/>
                <w:color w:val="000000" w:themeColor="text1"/>
                <w:kern w:val="0"/>
                <w:sz w:val="24"/>
                <w:szCs w:val="24"/>
                <w:highlight w:val="none"/>
                <w:lang w:val="en-US" w:eastAsia="zh-CN" w:bidi="ar"/>
                <w14:textFill>
                  <w14:solidFill>
                    <w14:schemeClr w14:val="tx1"/>
                  </w14:solidFill>
                </w14:textFill>
              </w:rPr>
              <w:t xml:space="preserve">式中： </w:t>
            </w:r>
          </w:p>
          <w:p w14:paraId="7BB3AF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eastAsiaTheme="minorEastAsia"/>
                <w:color w:val="000000" w:themeColor="text1"/>
                <w:sz w:val="24"/>
                <w:szCs w:val="24"/>
                <w:highlight w:val="none"/>
                <w14:textFill>
                  <w14:solidFill>
                    <w14:schemeClr w14:val="tx1"/>
                  </w14:solidFill>
                </w14:textFill>
              </w:rPr>
            </w:pPr>
            <w:r>
              <w:rPr>
                <w:rFonts w:hint="default" w:ascii="Times New Roman" w:hAnsi="Times New Roman" w:cs="Times New Roman" w:eastAsiaTheme="minorEastAsia"/>
                <w:color w:val="000000" w:themeColor="text1"/>
                <w:kern w:val="0"/>
                <w:sz w:val="24"/>
                <w:szCs w:val="24"/>
                <w:highlight w:val="none"/>
                <w:lang w:val="en-US" w:eastAsia="zh-CN" w:bidi="ar"/>
                <w14:textFill>
                  <w14:solidFill>
                    <w14:schemeClr w14:val="tx1"/>
                  </w14:solidFill>
                </w14:textFill>
              </w:rPr>
              <w:t xml:space="preserve">Lp1i(T)—靠近围护结构处室内 N 个声源 i 倍频带的叠加声压级，dB； </w:t>
            </w:r>
          </w:p>
          <w:p w14:paraId="3E0CFB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eastAsiaTheme="minorEastAsia"/>
                <w:color w:val="000000" w:themeColor="text1"/>
                <w:sz w:val="24"/>
                <w:szCs w:val="24"/>
                <w:highlight w:val="none"/>
                <w14:textFill>
                  <w14:solidFill>
                    <w14:schemeClr w14:val="tx1"/>
                  </w14:solidFill>
                </w14:textFill>
              </w:rPr>
            </w:pPr>
            <w:r>
              <w:rPr>
                <w:rFonts w:hint="default" w:ascii="Times New Roman" w:hAnsi="Times New Roman" w:cs="Times New Roman" w:eastAsiaTheme="minorEastAsia"/>
                <w:color w:val="000000" w:themeColor="text1"/>
                <w:kern w:val="0"/>
                <w:sz w:val="24"/>
                <w:szCs w:val="24"/>
                <w:highlight w:val="none"/>
                <w:lang w:val="en-US" w:eastAsia="zh-CN" w:bidi="ar"/>
                <w14:textFill>
                  <w14:solidFill>
                    <w14:schemeClr w14:val="tx1"/>
                  </w14:solidFill>
                </w14:textFill>
              </w:rPr>
              <w:t xml:space="preserve">Lp1ij—室内 j 声源 i 倍频带的声压级，dB； </w:t>
            </w:r>
          </w:p>
          <w:p w14:paraId="58C3D8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eastAsiaTheme="minorEastAsia"/>
                <w:color w:val="000000" w:themeColor="text1"/>
                <w:sz w:val="24"/>
                <w:szCs w:val="24"/>
                <w:highlight w:val="none"/>
                <w14:textFill>
                  <w14:solidFill>
                    <w14:schemeClr w14:val="tx1"/>
                  </w14:solidFill>
                </w14:textFill>
              </w:rPr>
            </w:pPr>
            <w:r>
              <w:rPr>
                <w:rFonts w:hint="default" w:ascii="Times New Roman" w:hAnsi="Times New Roman" w:cs="Times New Roman" w:eastAsiaTheme="minorEastAsia"/>
                <w:color w:val="000000" w:themeColor="text1"/>
                <w:kern w:val="0"/>
                <w:sz w:val="24"/>
                <w:szCs w:val="24"/>
                <w:highlight w:val="none"/>
                <w:lang w:val="en-US" w:eastAsia="zh-CN" w:bidi="ar"/>
                <w14:textFill>
                  <w14:solidFill>
                    <w14:schemeClr w14:val="tx1"/>
                  </w14:solidFill>
                </w14:textFill>
              </w:rPr>
              <w:t>N—室内声源总数。</w:t>
            </w:r>
          </w:p>
          <w:p w14:paraId="01424D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eastAsiaTheme="minorEastAsia"/>
                <w:color w:val="000000" w:themeColor="text1"/>
                <w:sz w:val="24"/>
                <w:szCs w:val="24"/>
                <w:highlight w:val="none"/>
                <w14:textFill>
                  <w14:solidFill>
                    <w14:schemeClr w14:val="tx1"/>
                  </w14:solidFill>
                </w14:textFill>
              </w:rPr>
            </w:pPr>
            <w:r>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③</w:t>
            </w:r>
            <w:r>
              <w:rPr>
                <w:rFonts w:hint="default" w:ascii="Times New Roman" w:hAnsi="Times New Roman" w:cs="Times New Roman" w:eastAsiaTheme="minorEastAsia"/>
                <w:color w:val="000000" w:themeColor="text1"/>
                <w:kern w:val="0"/>
                <w:sz w:val="24"/>
                <w:szCs w:val="24"/>
                <w:highlight w:val="none"/>
                <w:lang w:val="en-US" w:eastAsia="zh-CN" w:bidi="ar"/>
                <w14:textFill>
                  <w14:solidFill>
                    <w14:schemeClr w14:val="tx1"/>
                  </w14:solidFill>
                </w14:textFill>
              </w:rPr>
              <w:t>室外的倍频带声压级：</w:t>
            </w:r>
          </w:p>
          <w:p w14:paraId="19084ECE">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480" w:firstLineChars="200"/>
              <w:textAlignment w:val="auto"/>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4"/>
                <w:szCs w:val="24"/>
                <w:highlight w:val="none"/>
                <w14:textFill>
                  <w14:solidFill>
                    <w14:schemeClr w14:val="tx1"/>
                  </w14:solidFill>
                </w14:textFill>
              </w:rPr>
              <w:drawing>
                <wp:inline distT="0" distB="0" distL="114300" distR="114300">
                  <wp:extent cx="1504950" cy="333375"/>
                  <wp:effectExtent l="0" t="0" r="0" b="9525"/>
                  <wp:docPr id="11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
                          <pic:cNvPicPr>
                            <a:picLocks noChangeAspect="1"/>
                          </pic:cNvPicPr>
                        </pic:nvPicPr>
                        <pic:blipFill>
                          <a:blip r:embed="rId25"/>
                          <a:stretch>
                            <a:fillRect/>
                          </a:stretch>
                        </pic:blipFill>
                        <pic:spPr>
                          <a:xfrm>
                            <a:off x="0" y="0"/>
                            <a:ext cx="1504950" cy="333375"/>
                          </a:xfrm>
                          <a:prstGeom prst="rect">
                            <a:avLst/>
                          </a:prstGeom>
                          <a:noFill/>
                          <a:ln>
                            <a:noFill/>
                          </a:ln>
                        </pic:spPr>
                      </pic:pic>
                    </a:graphicData>
                  </a:graphic>
                </wp:inline>
              </w:drawing>
            </w:r>
          </w:p>
          <w:p w14:paraId="31C4BC4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式中：</w:t>
            </w:r>
          </w:p>
          <w:p w14:paraId="0F92488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eastAsiaTheme="minorEastAsia"/>
                <w:color w:val="000000" w:themeColor="text1"/>
                <w:sz w:val="24"/>
                <w:szCs w:val="24"/>
                <w:highlight w:val="none"/>
                <w14:textFill>
                  <w14:solidFill>
                    <w14:schemeClr w14:val="tx1"/>
                  </w14:solidFill>
                </w14:textFill>
              </w:rPr>
            </w:pPr>
            <w:r>
              <w:rPr>
                <w:rFonts w:hint="default" w:ascii="Times New Roman" w:hAnsi="Times New Roman" w:cs="Times New Roman" w:eastAsiaTheme="minorEastAsia"/>
                <w:color w:val="000000" w:themeColor="text1"/>
                <w:sz w:val="24"/>
                <w:szCs w:val="24"/>
                <w:highlight w:val="none"/>
                <w14:textFill>
                  <w14:solidFill>
                    <w14:schemeClr w14:val="tx1"/>
                  </w14:solidFill>
                </w14:textFill>
              </w:rPr>
              <w:t>TL-隔墙（或窗户）倍频带或A声级的隔声量，dB。</w:t>
            </w:r>
          </w:p>
          <w:p w14:paraId="44EB1B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eastAsiaTheme="minorEastAsia"/>
                <w:color w:val="000000" w:themeColor="text1"/>
                <w:sz w:val="24"/>
                <w:szCs w:val="24"/>
                <w:highlight w:val="none"/>
                <w14:textFill>
                  <w14:solidFill>
                    <w14:schemeClr w14:val="tx1"/>
                  </w14:solidFill>
                </w14:textFill>
              </w:rPr>
            </w:pPr>
            <w:r>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t>④</w:t>
            </w:r>
            <w:r>
              <w:rPr>
                <w:rFonts w:hint="default" w:ascii="Times New Roman" w:hAnsi="Times New Roman" w:cs="Times New Roman" w:eastAsiaTheme="minorEastAsia"/>
                <w:color w:val="000000" w:themeColor="text1"/>
                <w:kern w:val="0"/>
                <w:sz w:val="24"/>
                <w:szCs w:val="24"/>
                <w:highlight w:val="none"/>
                <w:lang w:val="en-US" w:eastAsia="zh-CN" w:bidi="ar"/>
                <w14:textFill>
                  <w14:solidFill>
                    <w14:schemeClr w14:val="tx1"/>
                  </w14:solidFill>
                </w14:textFill>
              </w:rPr>
              <w:t>单个室外的点声源在预测点产生的声级计算公式</w:t>
            </w:r>
          </w:p>
          <w:p w14:paraId="3ACEE394">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firstLine="480" w:firstLineChars="200"/>
              <w:textAlignment w:val="auto"/>
              <w:rPr>
                <w:rFonts w:hint="default" w:ascii="Times New Roman" w:hAnsi="Times New Roman" w:cs="Times New Roman" w:eastAsiaTheme="minorEastAsia"/>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4"/>
                <w:szCs w:val="24"/>
                <w:highlight w:val="none"/>
                <w14:textFill>
                  <w14:solidFill>
                    <w14:schemeClr w14:val="tx1"/>
                  </w14:solidFill>
                </w14:textFill>
              </w:rPr>
              <w:drawing>
                <wp:inline distT="0" distB="0" distL="114300" distR="114300">
                  <wp:extent cx="2419350" cy="657225"/>
                  <wp:effectExtent l="0" t="0" r="0" b="9525"/>
                  <wp:docPr id="7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12"/>
                          <pic:cNvPicPr>
                            <a:picLocks noChangeAspect="1"/>
                          </pic:cNvPicPr>
                        </pic:nvPicPr>
                        <pic:blipFill>
                          <a:blip r:embed="rId26"/>
                          <a:stretch>
                            <a:fillRect/>
                          </a:stretch>
                        </pic:blipFill>
                        <pic:spPr>
                          <a:xfrm>
                            <a:off x="0" y="0"/>
                            <a:ext cx="2419350" cy="657225"/>
                          </a:xfrm>
                          <a:prstGeom prst="rect">
                            <a:avLst/>
                          </a:prstGeom>
                          <a:noFill/>
                          <a:ln>
                            <a:noFill/>
                          </a:ln>
                        </pic:spPr>
                      </pic:pic>
                    </a:graphicData>
                  </a:graphic>
                </wp:inline>
              </w:drawing>
            </w:r>
          </w:p>
          <w:p w14:paraId="0D0F736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eastAsiaTheme="minorEastAsia"/>
                <w:color w:val="000000" w:themeColor="text1"/>
                <w:sz w:val="24"/>
                <w:szCs w:val="24"/>
                <w:highlight w:val="none"/>
                <w14:textFill>
                  <w14:solidFill>
                    <w14:schemeClr w14:val="tx1"/>
                  </w14:solidFill>
                </w14:textFill>
              </w:rPr>
            </w:pPr>
            <w:r>
              <w:rPr>
                <w:rFonts w:hint="default" w:ascii="Times New Roman" w:hAnsi="Times New Roman" w:cs="Times New Roman" w:eastAsiaTheme="minorEastAsia"/>
                <w:color w:val="000000" w:themeColor="text1"/>
                <w:sz w:val="24"/>
                <w:szCs w:val="24"/>
                <w:highlight w:val="none"/>
                <w14:textFill>
                  <w14:solidFill>
                    <w14:schemeClr w14:val="tx1"/>
                  </w14:solidFill>
                </w14:textFill>
              </w:rPr>
              <w:t>式中：</w:t>
            </w:r>
          </w:p>
          <w:p w14:paraId="4C38C2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eastAsiaTheme="minorEastAsia"/>
                <w:color w:val="000000" w:themeColor="text1"/>
                <w:sz w:val="24"/>
                <w:szCs w:val="24"/>
                <w:highlight w:val="none"/>
                <w14:textFill>
                  <w14:solidFill>
                    <w14:schemeClr w14:val="tx1"/>
                  </w14:solidFill>
                </w14:textFill>
              </w:rPr>
            </w:pPr>
            <w:r>
              <w:rPr>
                <w:rFonts w:hint="default" w:ascii="Times New Roman" w:hAnsi="Times New Roman" w:cs="Times New Roman" w:eastAsiaTheme="minorEastAsia"/>
                <w:color w:val="000000" w:themeColor="text1"/>
                <w:kern w:val="0"/>
                <w:sz w:val="24"/>
                <w:szCs w:val="24"/>
                <w:highlight w:val="none"/>
                <w:lang w:val="en-US" w:eastAsia="zh-CN" w:bidi="ar"/>
                <w14:textFill>
                  <w14:solidFill>
                    <w14:schemeClr w14:val="tx1"/>
                  </w14:solidFill>
                </w14:textFill>
              </w:rPr>
              <w:t xml:space="preserve">Lp(r0)—靠近声源处某点的倍频带声压级，dB； </w:t>
            </w:r>
          </w:p>
          <w:p w14:paraId="4301DA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eastAsiaTheme="minorEastAsia"/>
                <w:color w:val="000000" w:themeColor="text1"/>
                <w:sz w:val="24"/>
                <w:szCs w:val="24"/>
                <w:highlight w:val="none"/>
                <w14:textFill>
                  <w14:solidFill>
                    <w14:schemeClr w14:val="tx1"/>
                  </w14:solidFill>
                </w14:textFill>
              </w:rPr>
            </w:pPr>
            <w:r>
              <w:rPr>
                <w:rFonts w:hint="default" w:ascii="Times New Roman" w:hAnsi="Times New Roman" w:cs="Times New Roman" w:eastAsiaTheme="minorEastAsia"/>
                <w:color w:val="000000" w:themeColor="text1"/>
                <w:kern w:val="0"/>
                <w:sz w:val="24"/>
                <w:szCs w:val="24"/>
                <w:highlight w:val="none"/>
                <w:lang w:val="en-US" w:eastAsia="zh-CN" w:bidi="ar"/>
                <w14:textFill>
                  <w14:solidFill>
                    <w14:schemeClr w14:val="tx1"/>
                  </w14:solidFill>
                </w14:textFill>
              </w:rPr>
              <w:t xml:space="preserve">A—倍频带衰减，dB； </w:t>
            </w:r>
          </w:p>
          <w:p w14:paraId="659F12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eastAsiaTheme="minorEastAsia"/>
                <w:color w:val="000000" w:themeColor="text1"/>
                <w:sz w:val="24"/>
                <w:szCs w:val="24"/>
                <w:highlight w:val="none"/>
                <w14:textFill>
                  <w14:solidFill>
                    <w14:schemeClr w14:val="tx1"/>
                  </w14:solidFill>
                </w14:textFill>
              </w:rPr>
            </w:pPr>
            <w:r>
              <w:rPr>
                <w:rFonts w:hint="default" w:ascii="Times New Roman" w:hAnsi="Times New Roman" w:cs="Times New Roman" w:eastAsiaTheme="minorEastAsia"/>
                <w:color w:val="000000" w:themeColor="text1"/>
                <w:kern w:val="0"/>
                <w:sz w:val="24"/>
                <w:szCs w:val="24"/>
                <w:highlight w:val="none"/>
                <w:lang w:val="en-US" w:eastAsia="zh-CN" w:bidi="ar"/>
                <w14:textFill>
                  <w14:solidFill>
                    <w14:schemeClr w14:val="tx1"/>
                  </w14:solidFill>
                </w14:textFill>
              </w:rPr>
              <w:t xml:space="preserve">Adiv—几何发散引起的倍频带衰减，dB； </w:t>
            </w:r>
          </w:p>
          <w:p w14:paraId="6DD85F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eastAsiaTheme="minorEastAsia"/>
                <w:color w:val="000000" w:themeColor="text1"/>
                <w:sz w:val="24"/>
                <w:szCs w:val="24"/>
                <w:highlight w:val="none"/>
                <w14:textFill>
                  <w14:solidFill>
                    <w14:schemeClr w14:val="tx1"/>
                  </w14:solidFill>
                </w14:textFill>
              </w:rPr>
            </w:pPr>
            <w:r>
              <w:rPr>
                <w:rFonts w:hint="default" w:ascii="Times New Roman" w:hAnsi="Times New Roman" w:cs="Times New Roman" w:eastAsiaTheme="minorEastAsia"/>
                <w:color w:val="000000" w:themeColor="text1"/>
                <w:kern w:val="0"/>
                <w:sz w:val="24"/>
                <w:szCs w:val="24"/>
                <w:highlight w:val="none"/>
                <w:lang w:val="en-US" w:eastAsia="zh-CN" w:bidi="ar"/>
                <w14:textFill>
                  <w14:solidFill>
                    <w14:schemeClr w14:val="tx1"/>
                  </w14:solidFill>
                </w14:textFill>
              </w:rPr>
              <w:t xml:space="preserve">Aatm—大气吸收引起的倍频带衰减，dB； </w:t>
            </w:r>
          </w:p>
          <w:p w14:paraId="298EFF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eastAsiaTheme="minorEastAsia"/>
                <w:color w:val="000000" w:themeColor="text1"/>
                <w:sz w:val="24"/>
                <w:szCs w:val="24"/>
                <w:highlight w:val="none"/>
                <w14:textFill>
                  <w14:solidFill>
                    <w14:schemeClr w14:val="tx1"/>
                  </w14:solidFill>
                </w14:textFill>
              </w:rPr>
            </w:pPr>
            <w:r>
              <w:rPr>
                <w:rFonts w:hint="default" w:ascii="Times New Roman" w:hAnsi="Times New Roman" w:cs="Times New Roman" w:eastAsiaTheme="minorEastAsia"/>
                <w:color w:val="000000" w:themeColor="text1"/>
                <w:kern w:val="0"/>
                <w:sz w:val="24"/>
                <w:szCs w:val="24"/>
                <w:highlight w:val="none"/>
                <w:lang w:val="en-US" w:eastAsia="zh-CN" w:bidi="ar"/>
                <w14:textFill>
                  <w14:solidFill>
                    <w14:schemeClr w14:val="tx1"/>
                  </w14:solidFill>
                </w14:textFill>
              </w:rPr>
              <w:t xml:space="preserve">Agr—地面效应引起的倍频带衰减，dB； </w:t>
            </w:r>
          </w:p>
          <w:p w14:paraId="6D32DE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eastAsiaTheme="minorEastAsia"/>
                <w:color w:val="000000" w:themeColor="text1"/>
                <w:sz w:val="24"/>
                <w:szCs w:val="24"/>
                <w:highlight w:val="none"/>
                <w14:textFill>
                  <w14:solidFill>
                    <w14:schemeClr w14:val="tx1"/>
                  </w14:solidFill>
                </w14:textFill>
              </w:rPr>
            </w:pPr>
            <w:r>
              <w:rPr>
                <w:rFonts w:hint="default" w:ascii="Times New Roman" w:hAnsi="Times New Roman" w:cs="Times New Roman" w:eastAsiaTheme="minorEastAsia"/>
                <w:color w:val="000000" w:themeColor="text1"/>
                <w:kern w:val="0"/>
                <w:sz w:val="24"/>
                <w:szCs w:val="24"/>
                <w:highlight w:val="none"/>
                <w:lang w:val="en-US" w:eastAsia="zh-CN" w:bidi="ar"/>
                <w14:textFill>
                  <w14:solidFill>
                    <w14:schemeClr w14:val="tx1"/>
                  </w14:solidFill>
                </w14:textFill>
              </w:rPr>
              <w:t xml:space="preserve">Abar—声屏障引起的倍频带衰减，dB； </w:t>
            </w:r>
          </w:p>
          <w:p w14:paraId="1A02FB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eastAsiaTheme="minorEastAsia"/>
                <w:color w:val="000000" w:themeColor="text1"/>
                <w:sz w:val="24"/>
                <w:szCs w:val="24"/>
                <w:highlight w:val="none"/>
                <w14:textFill>
                  <w14:solidFill>
                    <w14:schemeClr w14:val="tx1"/>
                  </w14:solidFill>
                </w14:textFill>
              </w:rPr>
            </w:pPr>
            <w:r>
              <w:rPr>
                <w:rFonts w:hint="default" w:ascii="Times New Roman" w:hAnsi="Times New Roman" w:cs="Times New Roman" w:eastAsiaTheme="minorEastAsia"/>
                <w:color w:val="000000" w:themeColor="text1"/>
                <w:kern w:val="0"/>
                <w:sz w:val="24"/>
                <w:szCs w:val="24"/>
                <w:highlight w:val="none"/>
                <w:lang w:val="en-US" w:eastAsia="zh-CN" w:bidi="ar"/>
                <w14:textFill>
                  <w14:solidFill>
                    <w14:schemeClr w14:val="tx1"/>
                  </w14:solidFill>
                </w14:textFill>
              </w:rPr>
              <w:t>Amisc—其他多方面效应引起的倍频带衰减，dB。</w:t>
            </w:r>
          </w:p>
          <w:p w14:paraId="494956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eastAsiaTheme="minorEastAsia"/>
                <w:color w:val="000000" w:themeColor="text1"/>
                <w:kern w:val="0"/>
                <w:sz w:val="24"/>
                <w:szCs w:val="24"/>
                <w:highlight w:val="none"/>
                <w:lang w:val="en-US" w:eastAsia="zh-CN" w:bidi="ar"/>
                <w14:textFill>
                  <w14:solidFill>
                    <w14:schemeClr w14:val="tx1"/>
                  </w14:solidFill>
                </w14:textFill>
              </w:rPr>
            </w:pPr>
            <w:r>
              <w:rPr>
                <w:rFonts w:hint="eastAsia" w:ascii="Times New Roman" w:hAnsi="Times New Roman" w:cs="Times New Roman" w:eastAsiaTheme="minorEastAsia"/>
                <w:color w:val="000000" w:themeColor="text1"/>
                <w:kern w:val="0"/>
                <w:sz w:val="24"/>
                <w:szCs w:val="24"/>
                <w:highlight w:val="none"/>
                <w:lang w:val="en-US" w:eastAsia="zh-CN" w:bidi="ar"/>
                <w14:textFill>
                  <w14:solidFill>
                    <w14:schemeClr w14:val="tx1"/>
                  </w14:solidFill>
                </w14:textFill>
              </w:rPr>
              <w:t>⑤</w:t>
            </w:r>
            <w:r>
              <w:rPr>
                <w:rFonts w:hint="default" w:ascii="Times New Roman" w:hAnsi="Times New Roman" w:cs="Times New Roman" w:eastAsiaTheme="minorEastAsia"/>
                <w:color w:val="000000" w:themeColor="text1"/>
                <w:kern w:val="0"/>
                <w:sz w:val="24"/>
                <w:szCs w:val="24"/>
                <w:highlight w:val="none"/>
                <w:lang w:val="en-US" w:eastAsia="zh-CN" w:bidi="ar"/>
                <w14:textFill>
                  <w14:solidFill>
                    <w14:schemeClr w14:val="tx1"/>
                  </w14:solidFill>
                </w14:textFill>
              </w:rPr>
              <w:t>噪声贡献值</w:t>
            </w:r>
          </w:p>
          <w:p w14:paraId="14212CFC">
            <w:pPr>
              <w:keepNext w:val="0"/>
              <w:keepLines w:val="0"/>
              <w:suppressLineNumbers w:val="0"/>
              <w:spacing w:before="0" w:beforeAutospacing="0" w:after="0" w:afterAutospacing="0" w:line="500" w:lineRule="exact"/>
              <w:ind w:left="0" w:right="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设第i个室外声源在预测点产生的A声级为L</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Ai</w:t>
            </w:r>
            <w:r>
              <w:rPr>
                <w:rFonts w:hint="default" w:ascii="Times New Roman" w:hAnsi="Times New Roman" w:eastAsia="宋体" w:cs="Times New Roman"/>
                <w:color w:val="000000" w:themeColor="text1"/>
                <w:sz w:val="24"/>
                <w:szCs w:val="24"/>
                <w:highlight w:val="none"/>
                <w14:textFill>
                  <w14:solidFill>
                    <w14:schemeClr w14:val="tx1"/>
                  </w14:solidFill>
                </w14:textFill>
              </w:rPr>
              <w:t>，在T时间内该声源工作时间为t</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i</w:t>
            </w:r>
            <w:r>
              <w:rPr>
                <w:rFonts w:hint="default" w:ascii="Times New Roman" w:hAnsi="Times New Roman" w:eastAsia="宋体" w:cs="Times New Roman"/>
                <w:color w:val="000000" w:themeColor="text1"/>
                <w:sz w:val="24"/>
                <w:szCs w:val="24"/>
                <w:highlight w:val="none"/>
                <w14:textFill>
                  <w14:solidFill>
                    <w14:schemeClr w14:val="tx1"/>
                  </w14:solidFill>
                </w14:textFill>
              </w:rPr>
              <w:t>，第j个室外声源在预测点产生的A声级为L</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Aj</w:t>
            </w:r>
            <w:r>
              <w:rPr>
                <w:rFonts w:hint="default" w:ascii="Times New Roman" w:hAnsi="Times New Roman" w:eastAsia="宋体" w:cs="Times New Roman"/>
                <w:color w:val="000000" w:themeColor="text1"/>
                <w:sz w:val="24"/>
                <w:szCs w:val="24"/>
                <w:highlight w:val="none"/>
                <w14:textFill>
                  <w14:solidFill>
                    <w14:schemeClr w14:val="tx1"/>
                  </w14:solidFill>
                </w14:textFill>
              </w:rPr>
              <w:t>，在T时间内该声源工作时间为t</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j</w:t>
            </w:r>
            <w:r>
              <w:rPr>
                <w:rFonts w:hint="default" w:ascii="Times New Roman" w:hAnsi="Times New Roman" w:eastAsia="宋体" w:cs="Times New Roman"/>
                <w:color w:val="000000" w:themeColor="text1"/>
                <w:sz w:val="24"/>
                <w:szCs w:val="24"/>
                <w:highlight w:val="none"/>
                <w14:textFill>
                  <w14:solidFill>
                    <w14:schemeClr w14:val="tx1"/>
                  </w14:solidFill>
                </w14:textFill>
              </w:rPr>
              <w:t>，则建设工程声源对预测点产生的贡献值</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L</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eqg</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为：</w:t>
            </w:r>
          </w:p>
          <w:p w14:paraId="6DC0E0A2">
            <w:pPr>
              <w:pStyle w:val="10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L</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eqg</w:t>
            </w:r>
            <w:r>
              <w:rPr>
                <w:rFonts w:hint="default" w:ascii="Times New Roman" w:hAnsi="Times New Roman" w:eastAsia="宋体" w:cs="Times New Roman"/>
                <w:color w:val="000000" w:themeColor="text1"/>
                <w:sz w:val="24"/>
                <w:szCs w:val="24"/>
                <w:highlight w:val="none"/>
                <w14:textFill>
                  <w14:solidFill>
                    <w14:schemeClr w14:val="tx1"/>
                  </w14:solidFill>
                </w14:textFill>
              </w:rPr>
              <w:t>＝10lg</w:t>
            </w:r>
            <w:r>
              <w:rPr>
                <w:rFonts w:hint="default" w:ascii="Times New Roman" w:hAnsi="Times New Roman" w:eastAsia="宋体" w:cs="Times New Roman"/>
                <w:color w:val="000000" w:themeColor="text1"/>
                <w:position w:val="-34"/>
                <w:sz w:val="24"/>
                <w:szCs w:val="24"/>
                <w:highlight w:val="none"/>
                <w14:textFill>
                  <w14:solidFill>
                    <w14:schemeClr w14:val="tx1"/>
                  </w14:solidFill>
                </w14:textFill>
              </w:rPr>
              <w:object>
                <v:shape id="_x0000_i1025" o:spt="75" type="#_x0000_t75" style="height:38.25pt;width:157.5pt;" o:ole="t" filled="f" stroked="f" coordsize="21600,21600">
                  <v:path/>
                  <v:fill on="f" focussize="0,0"/>
                  <v:stroke on="f"/>
                  <v:imagedata r:id="rId28" embosscolor="#FFFFFF" o:title=""/>
                  <o:lock v:ext="edit" aspectratio="t"/>
                  <w10:wrap type="none"/>
                  <w10:anchorlock/>
                </v:shape>
                <o:OLEObject Type="Embed" ProgID="Equation.3" ShapeID="_x0000_i1025" DrawAspect="Content" ObjectID="_1468075725" r:id="rId27">
                  <o:LockedField>false</o:LockedField>
                </o:OLEObject>
              </w:object>
            </w:r>
          </w:p>
          <w:p w14:paraId="366BDAC9">
            <w:pPr>
              <w:keepNext w:val="0"/>
              <w:keepLines w:val="0"/>
              <w:suppressLineNumbers w:val="0"/>
              <w:spacing w:before="0" w:beforeAutospacing="0" w:after="0" w:afterAutospacing="0" w:line="480" w:lineRule="exact"/>
              <w:ind w:left="0" w:right="0" w:firstLine="480"/>
              <w:rPr>
                <w:rFonts w:hint="default" w:ascii="Times New Roman" w:hAnsi="Times New Roman" w:eastAsia="宋体" w:cs="Times New Roman"/>
                <w:color w:val="000000" w:themeColor="text1"/>
                <w:kern w:val="0"/>
                <w:sz w:val="24"/>
                <w:szCs w:val="24"/>
                <w:highlight w:val="none"/>
                <w:lang w:val="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zh-CN"/>
                <w14:textFill>
                  <w14:solidFill>
                    <w14:schemeClr w14:val="tx1"/>
                  </w14:solidFill>
                </w14:textFill>
              </w:rPr>
              <w:t>式中：tj—在T时间内j声源工作时间，s；</w:t>
            </w:r>
          </w:p>
          <w:p w14:paraId="79102151">
            <w:pPr>
              <w:keepNext w:val="0"/>
              <w:keepLines w:val="0"/>
              <w:suppressLineNumbers w:val="0"/>
              <w:spacing w:before="0" w:beforeAutospacing="0" w:after="0" w:afterAutospacing="0" w:line="480" w:lineRule="exact"/>
              <w:ind w:left="0" w:right="0" w:firstLine="1262" w:firstLineChars="526"/>
              <w:rPr>
                <w:rFonts w:hint="default" w:ascii="Times New Roman" w:hAnsi="Times New Roman" w:eastAsia="宋体" w:cs="Times New Roman"/>
                <w:color w:val="000000" w:themeColor="text1"/>
                <w:kern w:val="0"/>
                <w:sz w:val="24"/>
                <w:szCs w:val="24"/>
                <w:highlight w:val="none"/>
                <w:lang w:val="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zh-CN"/>
                <w14:textFill>
                  <w14:solidFill>
                    <w14:schemeClr w14:val="tx1"/>
                  </w14:solidFill>
                </w14:textFill>
              </w:rPr>
              <w:t>ti—在T时间内i声源工作时间，s；</w:t>
            </w:r>
          </w:p>
          <w:p w14:paraId="300159F9">
            <w:pPr>
              <w:keepNext w:val="0"/>
              <w:keepLines w:val="0"/>
              <w:suppressLineNumbers w:val="0"/>
              <w:spacing w:before="0" w:beforeAutospacing="0" w:after="0" w:afterAutospacing="0" w:line="480" w:lineRule="exact"/>
              <w:ind w:left="0" w:right="0" w:firstLine="1262" w:firstLineChars="526"/>
              <w:rPr>
                <w:rFonts w:hint="default" w:ascii="Times New Roman" w:hAnsi="Times New Roman" w:eastAsia="宋体" w:cs="Times New Roman"/>
                <w:color w:val="000000" w:themeColor="text1"/>
                <w:kern w:val="0"/>
                <w:sz w:val="24"/>
                <w:szCs w:val="24"/>
                <w:highlight w:val="none"/>
                <w:lang w:val="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zh-CN"/>
                <w14:textFill>
                  <w14:solidFill>
                    <w14:schemeClr w14:val="tx1"/>
                  </w14:solidFill>
                </w14:textFill>
              </w:rPr>
              <w:t>T—用于计算等效声级的时间，s；</w:t>
            </w:r>
          </w:p>
          <w:p w14:paraId="477105B3">
            <w:pPr>
              <w:keepNext w:val="0"/>
              <w:keepLines w:val="0"/>
              <w:suppressLineNumbers w:val="0"/>
              <w:spacing w:before="0" w:beforeAutospacing="0" w:after="0" w:afterAutospacing="0" w:line="480" w:lineRule="exact"/>
              <w:ind w:left="0" w:right="0" w:firstLine="1262" w:firstLineChars="526"/>
              <w:rPr>
                <w:rFonts w:hint="default" w:ascii="Times New Roman" w:hAnsi="Times New Roman" w:eastAsia="宋体" w:cs="Times New Roman"/>
                <w:color w:val="000000" w:themeColor="text1"/>
                <w:kern w:val="0"/>
                <w:sz w:val="24"/>
                <w:szCs w:val="24"/>
                <w:highlight w:val="none"/>
                <w:lang w:val="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zh-CN"/>
                <w14:textFill>
                  <w14:solidFill>
                    <w14:schemeClr w14:val="tx1"/>
                  </w14:solidFill>
                </w14:textFill>
              </w:rPr>
              <w:t>N—室外声源个数；</w:t>
            </w:r>
          </w:p>
          <w:p w14:paraId="57CE1776">
            <w:pPr>
              <w:keepNext w:val="0"/>
              <w:keepLines w:val="0"/>
              <w:suppressLineNumbers w:val="0"/>
              <w:spacing w:before="0" w:beforeAutospacing="0" w:after="0" w:afterAutospacing="0" w:line="480" w:lineRule="exact"/>
              <w:ind w:left="0" w:right="0" w:firstLine="1262" w:firstLineChars="526"/>
              <w:rPr>
                <w:rFonts w:hint="default" w:ascii="Times New Roman" w:hAnsi="Times New Roman" w:eastAsia="宋体" w:cs="Times New Roman"/>
                <w:color w:val="000000" w:themeColor="text1"/>
                <w:kern w:val="0"/>
                <w:sz w:val="24"/>
                <w:szCs w:val="24"/>
                <w:highlight w:val="none"/>
                <w:lang w:val="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zh-CN"/>
                <w14:textFill>
                  <w14:solidFill>
                    <w14:schemeClr w14:val="tx1"/>
                  </w14:solidFill>
                </w14:textFill>
              </w:rPr>
              <w:t>M—等效室外声源个数。</w:t>
            </w:r>
          </w:p>
          <w:p w14:paraId="283447EB">
            <w:pPr>
              <w:keepNext w:val="0"/>
              <w:keepLines w:val="0"/>
              <w:suppressLineNumbers w:val="0"/>
              <w:spacing w:before="0" w:beforeAutospacing="0" w:after="0" w:afterAutospacing="0" w:line="500" w:lineRule="exact"/>
              <w:ind w:left="0" w:right="0" w:firstLine="482" w:firstLineChars="200"/>
              <w:rPr>
                <w:rFonts w:hint="default" w:ascii="Times New Roman" w:hAnsi="Times New Roman" w:eastAsia="宋体" w:cs="Times New Roman"/>
                <w:b/>
                <w:bCs/>
                <w:color w:val="000000" w:themeColor="text1"/>
                <w:kern w:val="0"/>
                <w:sz w:val="24"/>
                <w:szCs w:val="24"/>
                <w:highlight w:val="none"/>
                <w:lang w:eastAsia="zh-CN"/>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eastAsia="zh-CN"/>
                <w14:textFill>
                  <w14:solidFill>
                    <w14:schemeClr w14:val="tx1"/>
                  </w14:solidFill>
                </w14:textFill>
              </w:rPr>
              <w:t>（</w:t>
            </w:r>
            <w:r>
              <w:rPr>
                <w:rFonts w:hint="default" w:ascii="Times New Roman" w:hAnsi="Times New Roman" w:eastAsia="宋体" w:cs="Times New Roman"/>
                <w:b/>
                <w:bCs/>
                <w:color w:val="000000" w:themeColor="text1"/>
                <w:kern w:val="0"/>
                <w:sz w:val="24"/>
                <w:szCs w:val="24"/>
                <w:highlight w:val="none"/>
                <w:lang w:val="en-US" w:eastAsia="zh-CN"/>
                <w14:textFill>
                  <w14:solidFill>
                    <w14:schemeClr w14:val="tx1"/>
                  </w14:solidFill>
                </w14:textFill>
              </w:rPr>
              <w:t>二</w:t>
            </w:r>
            <w:r>
              <w:rPr>
                <w:rFonts w:hint="default" w:ascii="Times New Roman" w:hAnsi="Times New Roman" w:eastAsia="宋体" w:cs="Times New Roman"/>
                <w:b/>
                <w:bCs/>
                <w:color w:val="000000" w:themeColor="text1"/>
                <w:kern w:val="0"/>
                <w:sz w:val="24"/>
                <w:szCs w:val="24"/>
                <w:highlight w:val="none"/>
                <w:lang w:eastAsia="zh-CN"/>
                <w14:textFill>
                  <w14:solidFill>
                    <w14:schemeClr w14:val="tx1"/>
                  </w14:solidFill>
                </w14:textFill>
              </w:rPr>
              <w:t>）预测分析结果</w:t>
            </w:r>
          </w:p>
          <w:p w14:paraId="6C76E8AF">
            <w:pPr>
              <w:keepNext w:val="0"/>
              <w:keepLines w:val="0"/>
              <w:suppressLineNumbers w:val="0"/>
              <w:spacing w:before="0" w:beforeAutospacing="0" w:after="0" w:afterAutospacing="0" w:line="500" w:lineRule="exact"/>
              <w:ind w:left="0" w:right="0" w:firstLine="480" w:firstLineChars="200"/>
              <w:rPr>
                <w:rFonts w:hint="default" w:ascii="Times New Roman" w:hAnsi="Times New Roman" w:eastAsia="宋体" w:cs="Times New Roman"/>
                <w:color w:val="000000" w:themeColor="text1"/>
                <w:kern w:val="0"/>
                <w:sz w:val="24"/>
                <w:szCs w:val="24"/>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本项目</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厂界外50m范围内声环境保护目标</w:t>
            </w:r>
            <w:r>
              <w:rPr>
                <w:rFonts w:hint="default" w:ascii="Times New Roman" w:hAnsi="Times New Roman" w:eastAsia="宋体" w:cs="Times New Roman"/>
                <w:color w:val="000000" w:themeColor="text1"/>
                <w:kern w:val="0"/>
                <w:sz w:val="24"/>
                <w:szCs w:val="20"/>
                <w:highlight w:val="none"/>
                <w:lang w:val="en-US" w:eastAsia="zh-CN"/>
                <w14:textFill>
                  <w14:solidFill>
                    <w14:schemeClr w14:val="tx1"/>
                  </w14:solidFill>
                </w14:textFill>
              </w:rPr>
              <w:t>为本溪高新区公共行政服务中心</w:t>
            </w:r>
            <w:r>
              <w:rPr>
                <w:rFonts w:hint="eastAsia" w:cs="Times New Roman"/>
                <w:color w:val="000000" w:themeColor="text1"/>
                <w:kern w:val="0"/>
                <w:sz w:val="24"/>
                <w:szCs w:val="20"/>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szCs w:val="20"/>
                <w:highlight w:val="none"/>
                <w14:textFill>
                  <w14:solidFill>
                    <w14:schemeClr w14:val="tx1"/>
                  </w14:solidFill>
                </w14:textFill>
              </w:rPr>
              <w:t>本溪高新技术产业开发区管理委员会</w:t>
            </w:r>
            <w:r>
              <w:rPr>
                <w:rFonts w:hint="eastAsia" w:eastAsia="宋体" w:cs="Times New Roman"/>
                <w:color w:val="000000" w:themeColor="text1"/>
                <w:kern w:val="0"/>
                <w:sz w:val="24"/>
                <w:szCs w:val="20"/>
                <w:highlight w:val="none"/>
                <w:lang w:eastAsia="zh-CN"/>
                <w14:textFill>
                  <w14:solidFill>
                    <w14:schemeClr w14:val="tx1"/>
                  </w14:solidFill>
                </w14:textFill>
              </w:rPr>
              <w:t>、旺力新天地</w:t>
            </w:r>
            <w:r>
              <w:rPr>
                <w:rFonts w:hint="eastAsia" w:cs="Times New Roman"/>
                <w:color w:val="000000" w:themeColor="text1"/>
                <w:kern w:val="0"/>
                <w:sz w:val="24"/>
                <w:szCs w:val="24"/>
                <w:highlight w:val="none"/>
                <w:lang w:val="en-US" w:eastAsia="zh-CN"/>
                <w14:textFill>
                  <w14:solidFill>
                    <w14:schemeClr w14:val="tx1"/>
                  </w14:solidFill>
                </w14:textFill>
              </w:rPr>
              <w:t>，本项目夜间不生产，</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厂界噪声</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贡献值预测结果</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见</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下</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表。</w:t>
            </w:r>
          </w:p>
          <w:p w14:paraId="5A5E3677">
            <w:pPr>
              <w:keepNext w:val="0"/>
              <w:keepLines w:val="0"/>
              <w:pageBreakBefore w:val="0"/>
              <w:widowControl w:val="0"/>
              <w:numPr>
                <w:ilvl w:val="0"/>
                <w:numId w:val="26"/>
              </w:numPr>
              <w:suppressLineNumbers w:val="0"/>
              <w:kinsoku/>
              <w:wordWrap/>
              <w:overflowPunct/>
              <w:topLinePunct w:val="0"/>
              <w:autoSpaceDE/>
              <w:autoSpaceDN/>
              <w:bidi w:val="0"/>
              <w:adjustRightInd/>
              <w:snapToGrid w:val="0"/>
              <w:spacing w:before="157" w:beforeLines="5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zh-CN" w:eastAsia="zh-CN"/>
                <w14:textFill>
                  <w14:solidFill>
                    <w14:schemeClr w14:val="tx1"/>
                  </w14:solidFill>
                </w14:textFill>
              </w:rPr>
              <w:t xml:space="preserve">  </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厂界</w:t>
            </w:r>
            <w:r>
              <w:rPr>
                <w:rFonts w:hint="default" w:ascii="Times New Roman" w:hAnsi="Times New Roman" w:eastAsia="宋体" w:cs="Times New Roman"/>
                <w:b/>
                <w:bCs/>
                <w:color w:val="000000" w:themeColor="text1"/>
                <w:sz w:val="21"/>
                <w:szCs w:val="21"/>
                <w:highlight w:val="none"/>
                <w:lang w:val="zh-CN" w:eastAsia="zh-CN"/>
                <w14:textFill>
                  <w14:solidFill>
                    <w14:schemeClr w14:val="tx1"/>
                  </w14:solidFill>
                </w14:textFill>
              </w:rPr>
              <w:t>噪声</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贡献值</w:t>
            </w:r>
            <w:r>
              <w:rPr>
                <w:rFonts w:hint="default" w:ascii="Times New Roman" w:hAnsi="Times New Roman" w:eastAsia="宋体" w:cs="Times New Roman"/>
                <w:b/>
                <w:bCs/>
                <w:color w:val="000000" w:themeColor="text1"/>
                <w:sz w:val="21"/>
                <w:szCs w:val="21"/>
                <w:highlight w:val="none"/>
                <w:lang w:val="zh-CN" w:eastAsia="zh-CN"/>
                <w14:textFill>
                  <w14:solidFill>
                    <w14:schemeClr w14:val="tx1"/>
                  </w14:solidFill>
                </w14:textFill>
              </w:rPr>
              <w:t xml:space="preserve">预测结果  </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1"/>
                <w:szCs w:val="21"/>
                <w:highlight w:val="none"/>
                <w:lang w:val="zh-CN" w:eastAsia="zh-CN"/>
                <w14:textFill>
                  <w14:solidFill>
                    <w14:schemeClr w14:val="tx1"/>
                  </w14:solidFill>
                </w14:textFill>
              </w:rPr>
              <w:t>单位：dB</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lang w:val="zh-CN" w:eastAsia="zh-CN"/>
                <w14:textFill>
                  <w14:solidFill>
                    <w14:schemeClr w14:val="tx1"/>
                  </w14:solidFill>
                </w14:textFill>
              </w:rPr>
              <w:t>A</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p>
          <w:tbl>
            <w:tblPr>
              <w:tblStyle w:val="35"/>
              <w:tblW w:w="4996"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95"/>
              <w:gridCol w:w="495"/>
              <w:gridCol w:w="1920"/>
              <w:gridCol w:w="600"/>
              <w:gridCol w:w="840"/>
              <w:gridCol w:w="544"/>
              <w:gridCol w:w="795"/>
              <w:gridCol w:w="750"/>
              <w:gridCol w:w="670"/>
              <w:gridCol w:w="800"/>
            </w:tblGrid>
            <w:tr w14:paraId="7CEC986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428" w:type="pct"/>
                  <w:tcBorders>
                    <w:tl2br w:val="nil"/>
                    <w:tr2bl w:val="nil"/>
                  </w:tcBorders>
                  <w:shd w:val="clear" w:color="auto" w:fill="auto"/>
                  <w:vAlign w:val="center"/>
                </w:tcPr>
                <w:p w14:paraId="0C56238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预测方位</w:t>
                  </w:r>
                </w:p>
              </w:tc>
              <w:tc>
                <w:tcPr>
                  <w:tcW w:w="305" w:type="pct"/>
                  <w:tcBorders>
                    <w:tl2br w:val="nil"/>
                    <w:tr2bl w:val="nil"/>
                  </w:tcBorders>
                  <w:shd w:val="clear" w:color="auto" w:fill="auto"/>
                  <w:vAlign w:val="center"/>
                </w:tcPr>
                <w:p w14:paraId="6FCE0E1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时段</w:t>
                  </w:r>
                </w:p>
              </w:tc>
              <w:tc>
                <w:tcPr>
                  <w:tcW w:w="1553" w:type="pct"/>
                  <w:gridSpan w:val="2"/>
                  <w:tcBorders>
                    <w:tl2br w:val="nil"/>
                    <w:tr2bl w:val="nil"/>
                  </w:tcBorders>
                  <w:shd w:val="clear" w:color="auto" w:fill="auto"/>
                  <w:vAlign w:val="center"/>
                </w:tcPr>
                <w:p w14:paraId="3C9A3DC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b/>
                      <w:bCs/>
                      <w:color w:val="000000" w:themeColor="text1"/>
                      <w:szCs w:val="21"/>
                      <w:highlight w:val="none"/>
                      <w14:textFill>
                        <w14:solidFill>
                          <w14:schemeClr w14:val="tx1"/>
                        </w14:solidFill>
                      </w14:textFill>
                    </w:rPr>
                    <w:t>噪声源强</w:t>
                  </w:r>
                </w:p>
              </w:tc>
              <w:tc>
                <w:tcPr>
                  <w:tcW w:w="517" w:type="pct"/>
                  <w:tcBorders>
                    <w:tl2br w:val="nil"/>
                    <w:tr2bl w:val="nil"/>
                  </w:tcBorders>
                  <w:shd w:val="clear" w:color="auto" w:fill="auto"/>
                  <w:vAlign w:val="center"/>
                </w:tcPr>
                <w:p w14:paraId="10A707C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b/>
                      <w:bCs/>
                      <w:color w:val="000000" w:themeColor="text1"/>
                      <w:szCs w:val="21"/>
                      <w:highlight w:val="none"/>
                      <w14:textFill>
                        <w14:solidFill>
                          <w14:schemeClr w14:val="tx1"/>
                        </w14:solidFill>
                      </w14:textFill>
                    </w:rPr>
                    <w:t>噪声源距离（m）</w:t>
                  </w:r>
                </w:p>
              </w:tc>
              <w:tc>
                <w:tcPr>
                  <w:tcW w:w="335" w:type="pct"/>
                  <w:tcBorders>
                    <w:tl2br w:val="nil"/>
                    <w:tr2bl w:val="nil"/>
                  </w:tcBorders>
                  <w:shd w:val="clear" w:color="auto" w:fill="auto"/>
                  <w:vAlign w:val="center"/>
                </w:tcPr>
                <w:p w14:paraId="63028E1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贡献值</w:t>
                  </w:r>
                </w:p>
              </w:tc>
              <w:tc>
                <w:tcPr>
                  <w:tcW w:w="490" w:type="pct"/>
                  <w:tcBorders>
                    <w:tl2br w:val="nil"/>
                    <w:tr2bl w:val="nil"/>
                  </w:tcBorders>
                  <w:shd w:val="clear" w:color="auto" w:fill="auto"/>
                  <w:vAlign w:val="center"/>
                </w:tcPr>
                <w:p w14:paraId="3543B66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现状噪声值</w:t>
                  </w:r>
                </w:p>
              </w:tc>
              <w:tc>
                <w:tcPr>
                  <w:tcW w:w="462" w:type="pct"/>
                  <w:tcBorders>
                    <w:tl2br w:val="nil"/>
                    <w:tr2bl w:val="nil"/>
                  </w:tcBorders>
                  <w:shd w:val="clear" w:color="auto" w:fill="auto"/>
                  <w:vAlign w:val="center"/>
                </w:tcPr>
                <w:p w14:paraId="5B60BCA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全厂预测值</w:t>
                  </w:r>
                </w:p>
              </w:tc>
              <w:tc>
                <w:tcPr>
                  <w:tcW w:w="413" w:type="pct"/>
                  <w:tcBorders>
                    <w:tl2br w:val="nil"/>
                    <w:tr2bl w:val="nil"/>
                  </w:tcBorders>
                  <w:shd w:val="clear" w:color="auto" w:fill="auto"/>
                  <w:vAlign w:val="center"/>
                </w:tcPr>
                <w:p w14:paraId="5ED9A72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标准限值</w:t>
                  </w:r>
                </w:p>
              </w:tc>
              <w:tc>
                <w:tcPr>
                  <w:tcW w:w="493" w:type="pct"/>
                  <w:tcBorders>
                    <w:tl2br w:val="nil"/>
                    <w:tr2bl w:val="nil"/>
                  </w:tcBorders>
                  <w:shd w:val="clear" w:color="auto" w:fill="auto"/>
                  <w:vAlign w:val="center"/>
                </w:tcPr>
                <w:p w14:paraId="5F2E69C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达标情况</w:t>
                  </w:r>
                </w:p>
              </w:tc>
            </w:tr>
            <w:tr w14:paraId="553500A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7" w:hRule="atLeast"/>
                <w:jc w:val="center"/>
              </w:trPr>
              <w:tc>
                <w:tcPr>
                  <w:tcW w:w="428" w:type="pct"/>
                  <w:vMerge w:val="restart"/>
                  <w:tcBorders>
                    <w:tl2br w:val="nil"/>
                    <w:tr2bl w:val="nil"/>
                  </w:tcBorders>
                  <w:shd w:val="clear" w:color="auto" w:fill="auto"/>
                  <w:vAlign w:val="center"/>
                </w:tcPr>
                <w:p w14:paraId="7A7203EB">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东</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厂界</w:t>
                  </w:r>
                </w:p>
              </w:tc>
              <w:tc>
                <w:tcPr>
                  <w:tcW w:w="305" w:type="pct"/>
                  <w:vMerge w:val="restart"/>
                  <w:tcBorders>
                    <w:tl2br w:val="nil"/>
                    <w:tr2bl w:val="nil"/>
                  </w:tcBorders>
                  <w:shd w:val="clear" w:color="auto" w:fill="auto"/>
                  <w:vAlign w:val="center"/>
                </w:tcPr>
                <w:p w14:paraId="03861729">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Arial" w:cs="Times New Roman"/>
                      <w:b w:val="0"/>
                      <w:bCs w:val="0"/>
                      <w:color w:val="000000" w:themeColor="text1"/>
                      <w:sz w:val="21"/>
                      <w:szCs w:val="21"/>
                      <w:highlight w:val="none"/>
                      <w14:textFill>
                        <w14:solidFill>
                          <w14:schemeClr w14:val="tx1"/>
                        </w14:solidFill>
                      </w14:textFill>
                    </w:rPr>
                    <w:t>昼间</w:t>
                  </w:r>
                </w:p>
              </w:tc>
              <w:tc>
                <w:tcPr>
                  <w:tcW w:w="1183" w:type="pct"/>
                  <w:tcBorders>
                    <w:tl2br w:val="nil"/>
                    <w:tr2bl w:val="nil"/>
                  </w:tcBorders>
                  <w:shd w:val="clear" w:color="auto" w:fill="auto"/>
                  <w:vAlign w:val="center"/>
                </w:tcPr>
                <w:p w14:paraId="7F8D7082">
                  <w:pPr>
                    <w:keepNext w:val="0"/>
                    <w:keepLines w:val="0"/>
                    <w:suppressLineNumbers w:val="0"/>
                    <w:spacing w:before="0" w:beforeAutospacing="0" w:after="0" w:afterAutospacing="0" w:line="240" w:lineRule="auto"/>
                    <w:ind w:left="0" w:right="0"/>
                    <w:jc w:val="center"/>
                    <w:rPr>
                      <w:rFonts w:hint="default" w:ascii="Times New Roman" w:hAnsi="Times New Roman" w:eastAsia="Arial"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t>前处理车间</w:t>
                  </w:r>
                </w:p>
              </w:tc>
              <w:tc>
                <w:tcPr>
                  <w:tcW w:w="369" w:type="pct"/>
                  <w:tcBorders>
                    <w:tl2br w:val="nil"/>
                    <w:tr2bl w:val="nil"/>
                  </w:tcBorders>
                  <w:shd w:val="clear" w:color="auto" w:fill="auto"/>
                  <w:vAlign w:val="center"/>
                </w:tcPr>
                <w:p w14:paraId="69FCC81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55</w:t>
                  </w:r>
                </w:p>
              </w:tc>
              <w:tc>
                <w:tcPr>
                  <w:tcW w:w="517" w:type="pct"/>
                  <w:tcBorders>
                    <w:tl2br w:val="nil"/>
                    <w:tr2bl w:val="nil"/>
                  </w:tcBorders>
                  <w:shd w:val="clear" w:color="auto" w:fill="auto"/>
                  <w:vAlign w:val="center"/>
                </w:tcPr>
                <w:p w14:paraId="275412F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28</w:t>
                  </w:r>
                </w:p>
              </w:tc>
              <w:tc>
                <w:tcPr>
                  <w:tcW w:w="335" w:type="pct"/>
                  <w:tcBorders>
                    <w:tl2br w:val="nil"/>
                    <w:tr2bl w:val="nil"/>
                  </w:tcBorders>
                  <w:shd w:val="clear" w:color="auto" w:fill="auto"/>
                  <w:vAlign w:val="center"/>
                </w:tcPr>
                <w:p w14:paraId="7F4B9CE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26</w:t>
                  </w:r>
                </w:p>
              </w:tc>
              <w:tc>
                <w:tcPr>
                  <w:tcW w:w="490" w:type="pct"/>
                  <w:vMerge w:val="restart"/>
                  <w:tcBorders>
                    <w:tl2br w:val="nil"/>
                    <w:tr2bl w:val="nil"/>
                  </w:tcBorders>
                  <w:shd w:val="clear" w:color="auto" w:fill="auto"/>
                  <w:vAlign w:val="center"/>
                </w:tcPr>
                <w:p w14:paraId="5FD7F8DE">
                  <w:pPr>
                    <w:keepNext w:val="0"/>
                    <w:keepLines w:val="0"/>
                    <w:suppressLineNumbers w:val="0"/>
                    <w:spacing w:before="0" w:beforeAutospacing="0" w:after="0" w:afterAutospacing="0" w:line="240" w:lineRule="auto"/>
                    <w:ind w:left="0" w:right="0"/>
                    <w:jc w:val="center"/>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51</w:t>
                  </w:r>
                </w:p>
              </w:tc>
              <w:tc>
                <w:tcPr>
                  <w:tcW w:w="462" w:type="pct"/>
                  <w:vMerge w:val="restart"/>
                  <w:tcBorders>
                    <w:tl2br w:val="nil"/>
                    <w:tr2bl w:val="nil"/>
                  </w:tcBorders>
                  <w:shd w:val="clear" w:color="auto" w:fill="auto"/>
                  <w:vAlign w:val="center"/>
                </w:tcPr>
                <w:p w14:paraId="258E617B">
                  <w:pPr>
                    <w:keepNext w:val="0"/>
                    <w:keepLines w:val="0"/>
                    <w:suppressLineNumbers w:val="0"/>
                    <w:spacing w:before="0" w:beforeAutospacing="0" w:after="0" w:afterAutospacing="0" w:line="240" w:lineRule="auto"/>
                    <w:ind w:left="0" w:leftChars="0" w:right="0" w:rightChars="0"/>
                    <w:jc w:val="center"/>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51</w:t>
                  </w:r>
                </w:p>
              </w:tc>
              <w:tc>
                <w:tcPr>
                  <w:tcW w:w="413" w:type="pct"/>
                  <w:vMerge w:val="restart"/>
                  <w:tcBorders>
                    <w:tl2br w:val="nil"/>
                    <w:tr2bl w:val="nil"/>
                  </w:tcBorders>
                  <w:shd w:val="clear" w:color="auto" w:fill="auto"/>
                  <w:vAlign w:val="center"/>
                </w:tcPr>
                <w:p w14:paraId="7DF43F4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65</w:t>
                  </w:r>
                </w:p>
              </w:tc>
              <w:tc>
                <w:tcPr>
                  <w:tcW w:w="493" w:type="pct"/>
                  <w:vMerge w:val="restart"/>
                  <w:tcBorders>
                    <w:tl2br w:val="nil"/>
                    <w:tr2bl w:val="nil"/>
                  </w:tcBorders>
                  <w:shd w:val="clear" w:color="auto" w:fill="auto"/>
                  <w:vAlign w:val="center"/>
                </w:tcPr>
                <w:p w14:paraId="6691E3A7">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Arial" w:cs="Times New Roman"/>
                      <w:b w:val="0"/>
                      <w:bCs w:val="0"/>
                      <w:color w:val="000000" w:themeColor="text1"/>
                      <w:sz w:val="21"/>
                      <w:szCs w:val="21"/>
                      <w:highlight w:val="none"/>
                      <w14:textFill>
                        <w14:solidFill>
                          <w14:schemeClr w14:val="tx1"/>
                        </w14:solidFill>
                      </w14:textFill>
                    </w:rPr>
                    <w:t>达标</w:t>
                  </w:r>
                </w:p>
              </w:tc>
            </w:tr>
            <w:tr w14:paraId="57BFBF4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428" w:type="pct"/>
                  <w:vMerge w:val="continue"/>
                  <w:tcBorders>
                    <w:tl2br w:val="nil"/>
                    <w:tr2bl w:val="nil"/>
                  </w:tcBorders>
                  <w:shd w:val="clear" w:color="auto" w:fill="auto"/>
                  <w:vAlign w:val="center"/>
                </w:tcPr>
                <w:p w14:paraId="623885A1">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305" w:type="pct"/>
                  <w:vMerge w:val="continue"/>
                  <w:tcBorders>
                    <w:tl2br w:val="nil"/>
                    <w:tr2bl w:val="nil"/>
                  </w:tcBorders>
                  <w:shd w:val="clear" w:color="auto" w:fill="auto"/>
                  <w:vAlign w:val="center"/>
                </w:tcPr>
                <w:p w14:paraId="01E897B5">
                  <w:pPr>
                    <w:keepNext w:val="0"/>
                    <w:keepLines w:val="0"/>
                    <w:suppressLineNumbers w:val="0"/>
                    <w:spacing w:before="0" w:beforeAutospacing="0" w:after="0" w:afterAutospacing="0" w:line="240" w:lineRule="auto"/>
                    <w:ind w:left="0" w:right="0"/>
                    <w:jc w:val="center"/>
                    <w:rPr>
                      <w:rFonts w:hint="default" w:ascii="Times New Roman" w:hAnsi="Times New Roman" w:eastAsia="Arial" w:cs="Times New Roman"/>
                      <w:b w:val="0"/>
                      <w:bCs w:val="0"/>
                      <w:color w:val="000000" w:themeColor="text1"/>
                      <w:sz w:val="21"/>
                      <w:szCs w:val="21"/>
                      <w:highlight w:val="none"/>
                      <w14:textFill>
                        <w14:solidFill>
                          <w14:schemeClr w14:val="tx1"/>
                        </w14:solidFill>
                      </w14:textFill>
                    </w:rPr>
                  </w:pPr>
                </w:p>
              </w:tc>
              <w:tc>
                <w:tcPr>
                  <w:tcW w:w="1183" w:type="pct"/>
                  <w:tcBorders>
                    <w:tl2br w:val="nil"/>
                    <w:tr2bl w:val="nil"/>
                  </w:tcBorders>
                  <w:shd w:val="clear" w:color="auto" w:fill="auto"/>
                  <w:vAlign w:val="center"/>
                </w:tcPr>
                <w:p w14:paraId="7A3F1F4B">
                  <w:pPr>
                    <w:keepNext w:val="0"/>
                    <w:keepLines w:val="0"/>
                    <w:suppressLineNumbers w:val="0"/>
                    <w:spacing w:before="0" w:beforeAutospacing="0" w:after="0" w:afterAutospacing="0" w:line="240" w:lineRule="auto"/>
                    <w:ind w:left="0" w:right="0"/>
                    <w:jc w:val="center"/>
                    <w:rPr>
                      <w:rFonts w:hint="default" w:ascii="Times New Roman" w:hAnsi="Times New Roman" w:eastAsia="Arial"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t>创新制剂车间</w:t>
                  </w:r>
                </w:p>
              </w:tc>
              <w:tc>
                <w:tcPr>
                  <w:tcW w:w="369" w:type="pct"/>
                  <w:tcBorders>
                    <w:tl2br w:val="nil"/>
                    <w:tr2bl w:val="nil"/>
                  </w:tcBorders>
                  <w:shd w:val="clear" w:color="auto" w:fill="auto"/>
                  <w:vAlign w:val="center"/>
                </w:tcPr>
                <w:p w14:paraId="576307FB">
                  <w:pPr>
                    <w:keepNext w:val="0"/>
                    <w:keepLines w:val="0"/>
                    <w:suppressLineNumbers w:val="0"/>
                    <w:spacing w:before="0" w:beforeAutospacing="0" w:after="0" w:afterAutospacing="0" w:line="240" w:lineRule="auto"/>
                    <w:ind w:left="0" w:leftChars="0" w:right="0" w:rightChars="0"/>
                    <w:jc w:val="center"/>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55</w:t>
                  </w:r>
                </w:p>
              </w:tc>
              <w:tc>
                <w:tcPr>
                  <w:tcW w:w="517" w:type="pct"/>
                  <w:tcBorders>
                    <w:tl2br w:val="nil"/>
                    <w:tr2bl w:val="nil"/>
                  </w:tcBorders>
                  <w:shd w:val="clear" w:color="auto" w:fill="auto"/>
                  <w:vAlign w:val="center"/>
                </w:tcPr>
                <w:p w14:paraId="2AB0573C">
                  <w:pPr>
                    <w:keepNext w:val="0"/>
                    <w:keepLines w:val="0"/>
                    <w:suppressLineNumbers w:val="0"/>
                    <w:spacing w:before="0" w:beforeAutospacing="0" w:after="0" w:afterAutospacing="0" w:line="240" w:lineRule="auto"/>
                    <w:ind w:left="0" w:right="0"/>
                    <w:jc w:val="center"/>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130</w:t>
                  </w:r>
                </w:p>
              </w:tc>
              <w:tc>
                <w:tcPr>
                  <w:tcW w:w="335" w:type="pct"/>
                  <w:tcBorders>
                    <w:tl2br w:val="nil"/>
                    <w:tr2bl w:val="nil"/>
                  </w:tcBorders>
                  <w:shd w:val="clear" w:color="auto" w:fill="auto"/>
                  <w:vAlign w:val="center"/>
                </w:tcPr>
                <w:p w14:paraId="1190261D">
                  <w:pPr>
                    <w:keepNext w:val="0"/>
                    <w:keepLines w:val="0"/>
                    <w:suppressLineNumbers w:val="0"/>
                    <w:spacing w:before="0" w:beforeAutospacing="0" w:after="0" w:afterAutospacing="0" w:line="240" w:lineRule="auto"/>
                    <w:ind w:left="0" w:right="0"/>
                    <w:jc w:val="center"/>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13</w:t>
                  </w:r>
                </w:p>
              </w:tc>
              <w:tc>
                <w:tcPr>
                  <w:tcW w:w="490" w:type="pct"/>
                  <w:vMerge w:val="continue"/>
                  <w:tcBorders>
                    <w:tl2br w:val="nil"/>
                    <w:tr2bl w:val="nil"/>
                  </w:tcBorders>
                  <w:shd w:val="clear" w:color="auto" w:fill="auto"/>
                  <w:vAlign w:val="center"/>
                </w:tcPr>
                <w:p w14:paraId="1E310101">
                  <w:pPr>
                    <w:keepNext w:val="0"/>
                    <w:keepLines w:val="0"/>
                    <w:suppressLineNumbers w:val="0"/>
                    <w:spacing w:before="0" w:beforeAutospacing="0" w:after="0" w:afterAutospacing="0" w:line="240" w:lineRule="auto"/>
                    <w:ind w:left="0" w:right="0"/>
                    <w:jc w:val="center"/>
                    <w:rPr>
                      <w:rFonts w:hint="eastAsia" w:cs="Times New Roman"/>
                      <w:b w:val="0"/>
                      <w:bCs w:val="0"/>
                      <w:color w:val="000000" w:themeColor="text1"/>
                      <w:sz w:val="21"/>
                      <w:szCs w:val="21"/>
                      <w:highlight w:val="none"/>
                      <w:lang w:val="en-US" w:eastAsia="zh-CN"/>
                      <w14:textFill>
                        <w14:solidFill>
                          <w14:schemeClr w14:val="tx1"/>
                        </w14:solidFill>
                      </w14:textFill>
                    </w:rPr>
                  </w:pPr>
                </w:p>
              </w:tc>
              <w:tc>
                <w:tcPr>
                  <w:tcW w:w="462" w:type="pct"/>
                  <w:vMerge w:val="continue"/>
                  <w:tcBorders>
                    <w:tl2br w:val="nil"/>
                    <w:tr2bl w:val="nil"/>
                  </w:tcBorders>
                  <w:shd w:val="clear" w:color="auto" w:fill="auto"/>
                  <w:vAlign w:val="center"/>
                </w:tcPr>
                <w:p w14:paraId="77D2AC79">
                  <w:pPr>
                    <w:keepNext w:val="0"/>
                    <w:keepLines w:val="0"/>
                    <w:suppressLineNumbers w:val="0"/>
                    <w:spacing w:before="0" w:beforeAutospacing="0" w:after="0" w:afterAutospacing="0" w:line="240" w:lineRule="auto"/>
                    <w:ind w:left="0" w:right="0"/>
                    <w:jc w:val="center"/>
                    <w:rPr>
                      <w:rFonts w:hint="eastAsia" w:cs="Times New Roman"/>
                      <w:b w:val="0"/>
                      <w:bCs w:val="0"/>
                      <w:color w:val="000000" w:themeColor="text1"/>
                      <w:sz w:val="21"/>
                      <w:szCs w:val="21"/>
                      <w:highlight w:val="none"/>
                      <w:lang w:val="en-US" w:eastAsia="zh-CN"/>
                      <w14:textFill>
                        <w14:solidFill>
                          <w14:schemeClr w14:val="tx1"/>
                        </w14:solidFill>
                      </w14:textFill>
                    </w:rPr>
                  </w:pPr>
                </w:p>
              </w:tc>
              <w:tc>
                <w:tcPr>
                  <w:tcW w:w="413" w:type="pct"/>
                  <w:vMerge w:val="continue"/>
                  <w:tcBorders>
                    <w:tl2br w:val="nil"/>
                    <w:tr2bl w:val="nil"/>
                  </w:tcBorders>
                  <w:shd w:val="clear" w:color="auto" w:fill="auto"/>
                  <w:vAlign w:val="center"/>
                </w:tcPr>
                <w:p w14:paraId="7751D644">
                  <w:pPr>
                    <w:keepNext w:val="0"/>
                    <w:keepLines w:val="0"/>
                    <w:suppressLineNumbers w:val="0"/>
                    <w:spacing w:before="0" w:beforeAutospacing="0" w:after="0" w:afterAutospacing="0" w:line="240" w:lineRule="auto"/>
                    <w:ind w:left="0" w:right="0"/>
                    <w:jc w:val="center"/>
                    <w:rPr>
                      <w:rFonts w:hint="eastAsia" w:cs="Times New Roman"/>
                      <w:b w:val="0"/>
                      <w:bCs w:val="0"/>
                      <w:color w:val="000000" w:themeColor="text1"/>
                      <w:sz w:val="21"/>
                      <w:szCs w:val="21"/>
                      <w:highlight w:val="none"/>
                      <w:lang w:val="en-US" w:eastAsia="zh-CN"/>
                      <w14:textFill>
                        <w14:solidFill>
                          <w14:schemeClr w14:val="tx1"/>
                        </w14:solidFill>
                      </w14:textFill>
                    </w:rPr>
                  </w:pPr>
                </w:p>
              </w:tc>
              <w:tc>
                <w:tcPr>
                  <w:tcW w:w="493" w:type="pct"/>
                  <w:vMerge w:val="continue"/>
                  <w:tcBorders>
                    <w:tl2br w:val="nil"/>
                    <w:tr2bl w:val="nil"/>
                  </w:tcBorders>
                  <w:shd w:val="clear" w:color="auto" w:fill="auto"/>
                  <w:vAlign w:val="center"/>
                </w:tcPr>
                <w:p w14:paraId="04130FE9">
                  <w:pPr>
                    <w:keepNext w:val="0"/>
                    <w:keepLines w:val="0"/>
                    <w:suppressLineNumbers w:val="0"/>
                    <w:spacing w:before="0" w:beforeAutospacing="0" w:after="0" w:afterAutospacing="0" w:line="240" w:lineRule="auto"/>
                    <w:ind w:left="0" w:right="0"/>
                    <w:jc w:val="center"/>
                    <w:rPr>
                      <w:rFonts w:hint="default" w:ascii="Times New Roman" w:hAnsi="Times New Roman" w:eastAsia="Arial" w:cs="Times New Roman"/>
                      <w:b w:val="0"/>
                      <w:bCs w:val="0"/>
                      <w:color w:val="000000" w:themeColor="text1"/>
                      <w:sz w:val="21"/>
                      <w:szCs w:val="21"/>
                      <w:highlight w:val="none"/>
                      <w14:textFill>
                        <w14:solidFill>
                          <w14:schemeClr w14:val="tx1"/>
                        </w14:solidFill>
                      </w14:textFill>
                    </w:rPr>
                  </w:pPr>
                </w:p>
              </w:tc>
            </w:tr>
            <w:tr w14:paraId="4D64D59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428" w:type="pct"/>
                  <w:vMerge w:val="restart"/>
                  <w:tcBorders>
                    <w:tl2br w:val="nil"/>
                    <w:tr2bl w:val="nil"/>
                  </w:tcBorders>
                  <w:shd w:val="clear" w:color="auto" w:fill="auto"/>
                  <w:vAlign w:val="center"/>
                </w:tcPr>
                <w:p w14:paraId="17B15C1D">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南厂界</w:t>
                  </w:r>
                </w:p>
              </w:tc>
              <w:tc>
                <w:tcPr>
                  <w:tcW w:w="305" w:type="pct"/>
                  <w:vMerge w:val="restart"/>
                  <w:tcBorders>
                    <w:tl2br w:val="nil"/>
                    <w:tr2bl w:val="nil"/>
                  </w:tcBorders>
                  <w:shd w:val="clear" w:color="auto" w:fill="auto"/>
                  <w:vAlign w:val="center"/>
                </w:tcPr>
                <w:p w14:paraId="0B13CF35">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Arial" w:cs="Times New Roman"/>
                      <w:b w:val="0"/>
                      <w:bCs w:val="0"/>
                      <w:color w:val="000000" w:themeColor="text1"/>
                      <w:sz w:val="21"/>
                      <w:szCs w:val="21"/>
                      <w:highlight w:val="none"/>
                      <w14:textFill>
                        <w14:solidFill>
                          <w14:schemeClr w14:val="tx1"/>
                        </w14:solidFill>
                      </w14:textFill>
                    </w:rPr>
                    <w:t>昼间</w:t>
                  </w:r>
                </w:p>
              </w:tc>
              <w:tc>
                <w:tcPr>
                  <w:tcW w:w="1183" w:type="pct"/>
                  <w:tcBorders>
                    <w:tl2br w:val="nil"/>
                    <w:tr2bl w:val="nil"/>
                  </w:tcBorders>
                  <w:shd w:val="clear" w:color="auto" w:fill="auto"/>
                  <w:vAlign w:val="center"/>
                </w:tcPr>
                <w:p w14:paraId="37FDE8DA">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Arial"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t>前处理车间</w:t>
                  </w:r>
                </w:p>
              </w:tc>
              <w:tc>
                <w:tcPr>
                  <w:tcW w:w="369" w:type="pct"/>
                  <w:tcBorders>
                    <w:tl2br w:val="nil"/>
                    <w:tr2bl w:val="nil"/>
                  </w:tcBorders>
                  <w:shd w:val="clear" w:color="auto" w:fill="auto"/>
                  <w:vAlign w:val="center"/>
                </w:tcPr>
                <w:p w14:paraId="409EAEE7">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55</w:t>
                  </w:r>
                </w:p>
              </w:tc>
              <w:tc>
                <w:tcPr>
                  <w:tcW w:w="517" w:type="pct"/>
                  <w:tcBorders>
                    <w:tl2br w:val="nil"/>
                    <w:tr2bl w:val="nil"/>
                  </w:tcBorders>
                  <w:shd w:val="clear" w:color="auto" w:fill="auto"/>
                  <w:vAlign w:val="center"/>
                </w:tcPr>
                <w:p w14:paraId="1D67663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240</w:t>
                  </w:r>
                </w:p>
              </w:tc>
              <w:tc>
                <w:tcPr>
                  <w:tcW w:w="335" w:type="pct"/>
                  <w:tcBorders>
                    <w:tl2br w:val="nil"/>
                    <w:tr2bl w:val="nil"/>
                  </w:tcBorders>
                  <w:shd w:val="clear" w:color="auto" w:fill="auto"/>
                  <w:vAlign w:val="center"/>
                </w:tcPr>
                <w:p w14:paraId="076556D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7</w:t>
                  </w:r>
                </w:p>
              </w:tc>
              <w:tc>
                <w:tcPr>
                  <w:tcW w:w="490" w:type="pct"/>
                  <w:vMerge w:val="restart"/>
                  <w:tcBorders>
                    <w:tl2br w:val="nil"/>
                    <w:tr2bl w:val="nil"/>
                  </w:tcBorders>
                  <w:shd w:val="clear" w:color="auto" w:fill="auto"/>
                  <w:vAlign w:val="center"/>
                </w:tcPr>
                <w:p w14:paraId="06A8F375">
                  <w:pPr>
                    <w:keepNext w:val="0"/>
                    <w:keepLines w:val="0"/>
                    <w:suppressLineNumbers w:val="0"/>
                    <w:spacing w:before="0" w:beforeAutospacing="0" w:after="0" w:afterAutospacing="0" w:line="240" w:lineRule="auto"/>
                    <w:ind w:left="0" w:right="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52</w:t>
                  </w:r>
                </w:p>
              </w:tc>
              <w:tc>
                <w:tcPr>
                  <w:tcW w:w="462" w:type="pct"/>
                  <w:vMerge w:val="restart"/>
                  <w:tcBorders>
                    <w:tl2br w:val="nil"/>
                    <w:tr2bl w:val="nil"/>
                  </w:tcBorders>
                  <w:shd w:val="clear" w:color="auto" w:fill="auto"/>
                  <w:vAlign w:val="center"/>
                </w:tcPr>
                <w:p w14:paraId="024ACF58">
                  <w:pPr>
                    <w:keepNext w:val="0"/>
                    <w:keepLines w:val="0"/>
                    <w:suppressLineNumbers w:val="0"/>
                    <w:spacing w:before="0" w:beforeAutospacing="0" w:after="0" w:afterAutospacing="0" w:line="240" w:lineRule="auto"/>
                    <w:ind w:left="0" w:leftChars="0" w:right="0" w:rightChars="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52</w:t>
                  </w:r>
                </w:p>
              </w:tc>
              <w:tc>
                <w:tcPr>
                  <w:tcW w:w="413" w:type="pct"/>
                  <w:vMerge w:val="restart"/>
                  <w:tcBorders>
                    <w:tl2br w:val="nil"/>
                    <w:tr2bl w:val="nil"/>
                  </w:tcBorders>
                  <w:shd w:val="clear" w:color="auto" w:fill="auto"/>
                  <w:vAlign w:val="center"/>
                </w:tcPr>
                <w:p w14:paraId="4D0906CE">
                  <w:pPr>
                    <w:keepNext w:val="0"/>
                    <w:keepLines w:val="0"/>
                    <w:suppressLineNumbers w:val="0"/>
                    <w:spacing w:before="0" w:beforeAutospacing="0" w:after="0" w:afterAutospacing="0" w:line="240" w:lineRule="auto"/>
                    <w:ind w:left="0" w:leftChars="0" w:right="0" w:rightChars="0"/>
                    <w:jc w:val="center"/>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60</w:t>
                  </w:r>
                </w:p>
              </w:tc>
              <w:tc>
                <w:tcPr>
                  <w:tcW w:w="493" w:type="pct"/>
                  <w:vMerge w:val="restart"/>
                  <w:tcBorders>
                    <w:tl2br w:val="nil"/>
                    <w:tr2bl w:val="nil"/>
                  </w:tcBorders>
                  <w:shd w:val="clear" w:color="auto" w:fill="auto"/>
                  <w:vAlign w:val="center"/>
                </w:tcPr>
                <w:p w14:paraId="67A2A7C0">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Arial" w:cs="Times New Roman"/>
                      <w:b w:val="0"/>
                      <w:bCs w:val="0"/>
                      <w:color w:val="000000" w:themeColor="text1"/>
                      <w:sz w:val="21"/>
                      <w:szCs w:val="21"/>
                      <w:highlight w:val="none"/>
                      <w14:textFill>
                        <w14:solidFill>
                          <w14:schemeClr w14:val="tx1"/>
                        </w14:solidFill>
                      </w14:textFill>
                    </w:rPr>
                    <w:t>达标</w:t>
                  </w:r>
                </w:p>
              </w:tc>
            </w:tr>
            <w:tr w14:paraId="71CC186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428" w:type="pct"/>
                  <w:vMerge w:val="continue"/>
                  <w:tcBorders>
                    <w:tl2br w:val="nil"/>
                    <w:tr2bl w:val="nil"/>
                  </w:tcBorders>
                  <w:shd w:val="clear" w:color="auto" w:fill="auto"/>
                  <w:vAlign w:val="center"/>
                </w:tcPr>
                <w:p w14:paraId="3D379171">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305" w:type="pct"/>
                  <w:vMerge w:val="continue"/>
                  <w:tcBorders>
                    <w:tl2br w:val="nil"/>
                    <w:tr2bl w:val="nil"/>
                  </w:tcBorders>
                  <w:shd w:val="clear" w:color="auto" w:fill="auto"/>
                  <w:vAlign w:val="center"/>
                </w:tcPr>
                <w:p w14:paraId="1AA5CCAB">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Arial" w:cs="Times New Roman"/>
                      <w:b w:val="0"/>
                      <w:bCs w:val="0"/>
                      <w:color w:val="000000" w:themeColor="text1"/>
                      <w:sz w:val="21"/>
                      <w:szCs w:val="21"/>
                      <w:highlight w:val="none"/>
                      <w14:textFill>
                        <w14:solidFill>
                          <w14:schemeClr w14:val="tx1"/>
                        </w14:solidFill>
                      </w14:textFill>
                    </w:rPr>
                  </w:pPr>
                </w:p>
              </w:tc>
              <w:tc>
                <w:tcPr>
                  <w:tcW w:w="1183" w:type="pct"/>
                  <w:tcBorders>
                    <w:tl2br w:val="nil"/>
                    <w:tr2bl w:val="nil"/>
                  </w:tcBorders>
                  <w:shd w:val="clear" w:color="auto" w:fill="auto"/>
                  <w:vAlign w:val="center"/>
                </w:tcPr>
                <w:p w14:paraId="356F4AE0">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Arial"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t>创新制剂车间</w:t>
                  </w:r>
                </w:p>
              </w:tc>
              <w:tc>
                <w:tcPr>
                  <w:tcW w:w="369" w:type="pct"/>
                  <w:tcBorders>
                    <w:tl2br w:val="nil"/>
                    <w:tr2bl w:val="nil"/>
                  </w:tcBorders>
                  <w:shd w:val="clear" w:color="auto" w:fill="auto"/>
                  <w:vAlign w:val="center"/>
                </w:tcPr>
                <w:p w14:paraId="091590A7">
                  <w:pPr>
                    <w:keepNext w:val="0"/>
                    <w:keepLines w:val="0"/>
                    <w:suppressLineNumbers w:val="0"/>
                    <w:spacing w:before="0" w:beforeAutospacing="0" w:after="0" w:afterAutospacing="0" w:line="240" w:lineRule="auto"/>
                    <w:ind w:left="0" w:leftChars="0" w:right="0" w:rightChars="0"/>
                    <w:jc w:val="center"/>
                    <w:rPr>
                      <w:rFonts w:hint="eastAsia"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55</w:t>
                  </w:r>
                </w:p>
              </w:tc>
              <w:tc>
                <w:tcPr>
                  <w:tcW w:w="517" w:type="pct"/>
                  <w:tcBorders>
                    <w:tl2br w:val="nil"/>
                    <w:tr2bl w:val="nil"/>
                  </w:tcBorders>
                  <w:shd w:val="clear" w:color="auto" w:fill="auto"/>
                  <w:vAlign w:val="center"/>
                </w:tcPr>
                <w:p w14:paraId="2F3FB6F2">
                  <w:pPr>
                    <w:keepNext w:val="0"/>
                    <w:keepLines w:val="0"/>
                    <w:suppressLineNumbers w:val="0"/>
                    <w:spacing w:before="0" w:beforeAutospacing="0" w:after="0" w:afterAutospacing="0" w:line="240" w:lineRule="auto"/>
                    <w:ind w:left="0" w:right="0"/>
                    <w:jc w:val="center"/>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126</w:t>
                  </w:r>
                </w:p>
              </w:tc>
              <w:tc>
                <w:tcPr>
                  <w:tcW w:w="335" w:type="pct"/>
                  <w:tcBorders>
                    <w:tl2br w:val="nil"/>
                    <w:tr2bl w:val="nil"/>
                  </w:tcBorders>
                  <w:shd w:val="clear" w:color="auto" w:fill="auto"/>
                  <w:vAlign w:val="center"/>
                </w:tcPr>
                <w:p w14:paraId="7FB2FC68">
                  <w:pPr>
                    <w:keepNext w:val="0"/>
                    <w:keepLines w:val="0"/>
                    <w:suppressLineNumbers w:val="0"/>
                    <w:spacing w:before="0" w:beforeAutospacing="0" w:after="0" w:afterAutospacing="0" w:line="240" w:lineRule="auto"/>
                    <w:ind w:left="0" w:right="0"/>
                    <w:jc w:val="center"/>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13</w:t>
                  </w:r>
                </w:p>
              </w:tc>
              <w:tc>
                <w:tcPr>
                  <w:tcW w:w="490" w:type="pct"/>
                  <w:vMerge w:val="continue"/>
                  <w:tcBorders>
                    <w:tl2br w:val="nil"/>
                    <w:tr2bl w:val="nil"/>
                  </w:tcBorders>
                  <w:shd w:val="clear" w:color="auto" w:fill="auto"/>
                  <w:vAlign w:val="center"/>
                </w:tcPr>
                <w:p w14:paraId="448439F6">
                  <w:pPr>
                    <w:keepNext w:val="0"/>
                    <w:keepLines w:val="0"/>
                    <w:suppressLineNumbers w:val="0"/>
                    <w:spacing w:before="0" w:beforeAutospacing="0" w:after="0" w:afterAutospacing="0" w:line="240" w:lineRule="auto"/>
                    <w:ind w:left="0" w:right="0"/>
                    <w:jc w:val="center"/>
                    <w:rPr>
                      <w:rFonts w:hint="eastAsia" w:cs="Times New Roman"/>
                      <w:color w:val="000000" w:themeColor="text1"/>
                      <w:sz w:val="21"/>
                      <w:szCs w:val="21"/>
                      <w:highlight w:val="none"/>
                      <w:lang w:val="en-US" w:eastAsia="zh-CN"/>
                      <w14:textFill>
                        <w14:solidFill>
                          <w14:schemeClr w14:val="tx1"/>
                        </w14:solidFill>
                      </w14:textFill>
                    </w:rPr>
                  </w:pPr>
                </w:p>
              </w:tc>
              <w:tc>
                <w:tcPr>
                  <w:tcW w:w="462" w:type="pct"/>
                  <w:vMerge w:val="continue"/>
                  <w:tcBorders>
                    <w:tl2br w:val="nil"/>
                    <w:tr2bl w:val="nil"/>
                  </w:tcBorders>
                  <w:shd w:val="clear" w:color="auto" w:fill="auto"/>
                  <w:vAlign w:val="center"/>
                </w:tcPr>
                <w:p w14:paraId="681ADDBD">
                  <w:pPr>
                    <w:keepNext w:val="0"/>
                    <w:keepLines w:val="0"/>
                    <w:suppressLineNumbers w:val="0"/>
                    <w:spacing w:before="0" w:beforeAutospacing="0" w:after="0" w:afterAutospacing="0" w:line="240" w:lineRule="auto"/>
                    <w:ind w:left="0" w:right="0"/>
                    <w:jc w:val="center"/>
                    <w:rPr>
                      <w:rFonts w:hint="eastAsia" w:cs="Times New Roman"/>
                      <w:color w:val="000000" w:themeColor="text1"/>
                      <w:sz w:val="21"/>
                      <w:szCs w:val="21"/>
                      <w:highlight w:val="none"/>
                      <w:lang w:val="en-US" w:eastAsia="zh-CN"/>
                      <w14:textFill>
                        <w14:solidFill>
                          <w14:schemeClr w14:val="tx1"/>
                        </w14:solidFill>
                      </w14:textFill>
                    </w:rPr>
                  </w:pPr>
                </w:p>
              </w:tc>
              <w:tc>
                <w:tcPr>
                  <w:tcW w:w="413" w:type="pct"/>
                  <w:vMerge w:val="continue"/>
                  <w:tcBorders>
                    <w:tl2br w:val="nil"/>
                    <w:tr2bl w:val="nil"/>
                  </w:tcBorders>
                  <w:shd w:val="clear" w:color="auto" w:fill="auto"/>
                  <w:vAlign w:val="center"/>
                </w:tcPr>
                <w:p w14:paraId="1C16BD20">
                  <w:pPr>
                    <w:keepNext w:val="0"/>
                    <w:keepLines w:val="0"/>
                    <w:suppressLineNumbers w:val="0"/>
                    <w:spacing w:before="0" w:beforeAutospacing="0" w:after="0" w:afterAutospacing="0" w:line="240" w:lineRule="auto"/>
                    <w:ind w:left="0" w:leftChars="0" w:right="0" w:rightChars="0"/>
                    <w:jc w:val="center"/>
                    <w:rPr>
                      <w:rFonts w:hint="eastAsia" w:cs="Times New Roman"/>
                      <w:b w:val="0"/>
                      <w:bCs w:val="0"/>
                      <w:color w:val="000000" w:themeColor="text1"/>
                      <w:sz w:val="21"/>
                      <w:szCs w:val="21"/>
                      <w:highlight w:val="none"/>
                      <w:lang w:val="en-US" w:eastAsia="zh-CN"/>
                      <w14:textFill>
                        <w14:solidFill>
                          <w14:schemeClr w14:val="tx1"/>
                        </w14:solidFill>
                      </w14:textFill>
                    </w:rPr>
                  </w:pPr>
                </w:p>
              </w:tc>
              <w:tc>
                <w:tcPr>
                  <w:tcW w:w="493" w:type="pct"/>
                  <w:vMerge w:val="continue"/>
                  <w:tcBorders>
                    <w:tl2br w:val="nil"/>
                    <w:tr2bl w:val="nil"/>
                  </w:tcBorders>
                  <w:shd w:val="clear" w:color="auto" w:fill="auto"/>
                  <w:vAlign w:val="center"/>
                </w:tcPr>
                <w:p w14:paraId="74676B4D">
                  <w:pPr>
                    <w:keepNext w:val="0"/>
                    <w:keepLines w:val="0"/>
                    <w:suppressLineNumbers w:val="0"/>
                    <w:spacing w:before="0" w:beforeAutospacing="0" w:after="0" w:afterAutospacing="0" w:line="240" w:lineRule="auto"/>
                    <w:ind w:left="0" w:right="0"/>
                    <w:jc w:val="center"/>
                    <w:rPr>
                      <w:rFonts w:hint="default" w:ascii="Times New Roman" w:hAnsi="Times New Roman" w:eastAsia="Arial" w:cs="Times New Roman"/>
                      <w:b w:val="0"/>
                      <w:bCs w:val="0"/>
                      <w:color w:val="000000" w:themeColor="text1"/>
                      <w:sz w:val="21"/>
                      <w:szCs w:val="21"/>
                      <w:highlight w:val="none"/>
                      <w14:textFill>
                        <w14:solidFill>
                          <w14:schemeClr w14:val="tx1"/>
                        </w14:solidFill>
                      </w14:textFill>
                    </w:rPr>
                  </w:pPr>
                </w:p>
              </w:tc>
            </w:tr>
            <w:tr w14:paraId="451CF7D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428" w:type="pct"/>
                  <w:vMerge w:val="restart"/>
                  <w:tcBorders>
                    <w:tl2br w:val="nil"/>
                    <w:tr2bl w:val="nil"/>
                  </w:tcBorders>
                  <w:shd w:val="clear" w:color="auto" w:fill="auto"/>
                  <w:vAlign w:val="center"/>
                </w:tcPr>
                <w:p w14:paraId="11A1A52F">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西厂界</w:t>
                  </w:r>
                </w:p>
              </w:tc>
              <w:tc>
                <w:tcPr>
                  <w:tcW w:w="305" w:type="pct"/>
                  <w:vMerge w:val="restart"/>
                  <w:tcBorders>
                    <w:tl2br w:val="nil"/>
                    <w:tr2bl w:val="nil"/>
                  </w:tcBorders>
                  <w:shd w:val="clear" w:color="auto" w:fill="auto"/>
                  <w:vAlign w:val="center"/>
                </w:tcPr>
                <w:p w14:paraId="79491A9C">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Arial" w:cs="Times New Roman"/>
                      <w:b w:val="0"/>
                      <w:bCs w:val="0"/>
                      <w:color w:val="000000" w:themeColor="text1"/>
                      <w:sz w:val="21"/>
                      <w:szCs w:val="21"/>
                      <w:highlight w:val="none"/>
                      <w14:textFill>
                        <w14:solidFill>
                          <w14:schemeClr w14:val="tx1"/>
                        </w14:solidFill>
                      </w14:textFill>
                    </w:rPr>
                    <w:t>昼间</w:t>
                  </w:r>
                </w:p>
              </w:tc>
              <w:tc>
                <w:tcPr>
                  <w:tcW w:w="1183" w:type="pct"/>
                  <w:tcBorders>
                    <w:tl2br w:val="nil"/>
                    <w:tr2bl w:val="nil"/>
                  </w:tcBorders>
                  <w:shd w:val="clear" w:color="auto" w:fill="auto"/>
                  <w:vAlign w:val="center"/>
                </w:tcPr>
                <w:p w14:paraId="7CB25FB0">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Arial"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t>前处理车间</w:t>
                  </w:r>
                </w:p>
              </w:tc>
              <w:tc>
                <w:tcPr>
                  <w:tcW w:w="369" w:type="pct"/>
                  <w:tcBorders>
                    <w:tl2br w:val="nil"/>
                    <w:tr2bl w:val="nil"/>
                  </w:tcBorders>
                  <w:shd w:val="clear" w:color="auto" w:fill="auto"/>
                  <w:vAlign w:val="center"/>
                </w:tcPr>
                <w:p w14:paraId="4D049CAD">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55</w:t>
                  </w:r>
                </w:p>
              </w:tc>
              <w:tc>
                <w:tcPr>
                  <w:tcW w:w="517" w:type="pct"/>
                  <w:tcBorders>
                    <w:tl2br w:val="nil"/>
                    <w:tr2bl w:val="nil"/>
                  </w:tcBorders>
                  <w:shd w:val="clear" w:color="auto" w:fill="auto"/>
                  <w:vAlign w:val="center"/>
                </w:tcPr>
                <w:p w14:paraId="09EE50F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156</w:t>
                  </w:r>
                </w:p>
              </w:tc>
              <w:tc>
                <w:tcPr>
                  <w:tcW w:w="335" w:type="pct"/>
                  <w:tcBorders>
                    <w:tl2br w:val="nil"/>
                    <w:tr2bl w:val="nil"/>
                  </w:tcBorders>
                  <w:shd w:val="clear" w:color="auto" w:fill="auto"/>
                  <w:vAlign w:val="center"/>
                </w:tcPr>
                <w:p w14:paraId="4574447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11</w:t>
                  </w:r>
                </w:p>
              </w:tc>
              <w:tc>
                <w:tcPr>
                  <w:tcW w:w="490" w:type="pct"/>
                  <w:vMerge w:val="restart"/>
                  <w:tcBorders>
                    <w:tl2br w:val="nil"/>
                    <w:tr2bl w:val="nil"/>
                  </w:tcBorders>
                  <w:shd w:val="clear" w:color="auto" w:fill="auto"/>
                  <w:vAlign w:val="center"/>
                </w:tcPr>
                <w:p w14:paraId="3C9971F3">
                  <w:pPr>
                    <w:keepNext w:val="0"/>
                    <w:keepLines w:val="0"/>
                    <w:suppressLineNumbers w:val="0"/>
                    <w:spacing w:before="0" w:beforeAutospacing="0" w:after="0" w:afterAutospacing="0" w:line="240" w:lineRule="auto"/>
                    <w:ind w:left="0" w:right="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53</w:t>
                  </w:r>
                </w:p>
              </w:tc>
              <w:tc>
                <w:tcPr>
                  <w:tcW w:w="462" w:type="pct"/>
                  <w:vMerge w:val="restart"/>
                  <w:tcBorders>
                    <w:tl2br w:val="nil"/>
                    <w:tr2bl w:val="nil"/>
                  </w:tcBorders>
                  <w:shd w:val="clear" w:color="auto" w:fill="auto"/>
                  <w:vAlign w:val="center"/>
                </w:tcPr>
                <w:p w14:paraId="4D1BF857">
                  <w:pPr>
                    <w:keepNext w:val="0"/>
                    <w:keepLines w:val="0"/>
                    <w:suppressLineNumbers w:val="0"/>
                    <w:spacing w:before="0" w:beforeAutospacing="0" w:after="0" w:afterAutospacing="0" w:line="240" w:lineRule="auto"/>
                    <w:ind w:left="0" w:leftChars="0" w:right="0" w:rightChars="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53</w:t>
                  </w:r>
                </w:p>
              </w:tc>
              <w:tc>
                <w:tcPr>
                  <w:tcW w:w="413" w:type="pct"/>
                  <w:vMerge w:val="restart"/>
                  <w:tcBorders>
                    <w:tl2br w:val="nil"/>
                    <w:tr2bl w:val="nil"/>
                  </w:tcBorders>
                  <w:shd w:val="clear" w:color="auto" w:fill="auto"/>
                  <w:vAlign w:val="center"/>
                </w:tcPr>
                <w:p w14:paraId="54A99A88">
                  <w:pPr>
                    <w:keepNext w:val="0"/>
                    <w:keepLines w:val="0"/>
                    <w:suppressLineNumbers w:val="0"/>
                    <w:spacing w:before="0" w:beforeAutospacing="0" w:after="0" w:afterAutospacing="0" w:line="240" w:lineRule="auto"/>
                    <w:ind w:left="0" w:leftChars="0" w:right="0" w:rightChars="0"/>
                    <w:jc w:val="center"/>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60</w:t>
                  </w:r>
                </w:p>
              </w:tc>
              <w:tc>
                <w:tcPr>
                  <w:tcW w:w="493" w:type="pct"/>
                  <w:vMerge w:val="restart"/>
                  <w:tcBorders>
                    <w:tl2br w:val="nil"/>
                    <w:tr2bl w:val="nil"/>
                  </w:tcBorders>
                  <w:shd w:val="clear" w:color="auto" w:fill="auto"/>
                  <w:vAlign w:val="center"/>
                </w:tcPr>
                <w:p w14:paraId="16E4B9A4">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Arial" w:cs="Times New Roman"/>
                      <w:b w:val="0"/>
                      <w:bCs w:val="0"/>
                      <w:color w:val="000000" w:themeColor="text1"/>
                      <w:sz w:val="21"/>
                      <w:szCs w:val="21"/>
                      <w:highlight w:val="none"/>
                      <w14:textFill>
                        <w14:solidFill>
                          <w14:schemeClr w14:val="tx1"/>
                        </w14:solidFill>
                      </w14:textFill>
                    </w:rPr>
                    <w:t>达标</w:t>
                  </w:r>
                </w:p>
              </w:tc>
            </w:tr>
            <w:tr w14:paraId="154683E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428" w:type="pct"/>
                  <w:vMerge w:val="continue"/>
                  <w:tcBorders>
                    <w:tl2br w:val="nil"/>
                    <w:tr2bl w:val="nil"/>
                  </w:tcBorders>
                  <w:shd w:val="clear" w:color="auto" w:fill="auto"/>
                  <w:vAlign w:val="center"/>
                </w:tcPr>
                <w:p w14:paraId="4F30129B">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305" w:type="pct"/>
                  <w:vMerge w:val="continue"/>
                  <w:tcBorders>
                    <w:tl2br w:val="nil"/>
                    <w:tr2bl w:val="nil"/>
                  </w:tcBorders>
                  <w:shd w:val="clear" w:color="auto" w:fill="auto"/>
                  <w:vAlign w:val="center"/>
                </w:tcPr>
                <w:p w14:paraId="0AA22757">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Arial" w:cs="Times New Roman"/>
                      <w:b w:val="0"/>
                      <w:bCs w:val="0"/>
                      <w:color w:val="000000" w:themeColor="text1"/>
                      <w:sz w:val="21"/>
                      <w:szCs w:val="21"/>
                      <w:highlight w:val="none"/>
                      <w14:textFill>
                        <w14:solidFill>
                          <w14:schemeClr w14:val="tx1"/>
                        </w14:solidFill>
                      </w14:textFill>
                    </w:rPr>
                  </w:pPr>
                </w:p>
              </w:tc>
              <w:tc>
                <w:tcPr>
                  <w:tcW w:w="1183" w:type="pct"/>
                  <w:tcBorders>
                    <w:tl2br w:val="nil"/>
                    <w:tr2bl w:val="nil"/>
                  </w:tcBorders>
                  <w:shd w:val="clear" w:color="auto" w:fill="auto"/>
                  <w:vAlign w:val="center"/>
                </w:tcPr>
                <w:p w14:paraId="31FAD6D4">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Arial"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t>创新制剂车间</w:t>
                  </w:r>
                </w:p>
              </w:tc>
              <w:tc>
                <w:tcPr>
                  <w:tcW w:w="369" w:type="pct"/>
                  <w:tcBorders>
                    <w:tl2br w:val="nil"/>
                    <w:tr2bl w:val="nil"/>
                  </w:tcBorders>
                  <w:shd w:val="clear" w:color="auto" w:fill="auto"/>
                  <w:vAlign w:val="center"/>
                </w:tcPr>
                <w:p w14:paraId="1021F368">
                  <w:pPr>
                    <w:keepNext w:val="0"/>
                    <w:keepLines w:val="0"/>
                    <w:suppressLineNumbers w:val="0"/>
                    <w:spacing w:before="0" w:beforeAutospacing="0" w:after="0" w:afterAutospacing="0" w:line="240" w:lineRule="auto"/>
                    <w:ind w:left="0" w:leftChars="0" w:right="0" w:rightChars="0"/>
                    <w:jc w:val="center"/>
                    <w:rPr>
                      <w:rFonts w:hint="eastAsia"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55</w:t>
                  </w:r>
                </w:p>
              </w:tc>
              <w:tc>
                <w:tcPr>
                  <w:tcW w:w="517" w:type="pct"/>
                  <w:tcBorders>
                    <w:tl2br w:val="nil"/>
                    <w:tr2bl w:val="nil"/>
                  </w:tcBorders>
                  <w:shd w:val="clear" w:color="auto" w:fill="auto"/>
                  <w:vAlign w:val="center"/>
                </w:tcPr>
                <w:p w14:paraId="36EC1194">
                  <w:pPr>
                    <w:keepNext w:val="0"/>
                    <w:keepLines w:val="0"/>
                    <w:suppressLineNumbers w:val="0"/>
                    <w:spacing w:before="0" w:beforeAutospacing="0" w:after="0" w:afterAutospacing="0" w:line="240" w:lineRule="auto"/>
                    <w:ind w:left="0" w:right="0"/>
                    <w:jc w:val="center"/>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150</w:t>
                  </w:r>
                </w:p>
              </w:tc>
              <w:tc>
                <w:tcPr>
                  <w:tcW w:w="335" w:type="pct"/>
                  <w:tcBorders>
                    <w:tl2br w:val="nil"/>
                    <w:tr2bl w:val="nil"/>
                  </w:tcBorders>
                  <w:shd w:val="clear" w:color="auto" w:fill="auto"/>
                  <w:vAlign w:val="center"/>
                </w:tcPr>
                <w:p w14:paraId="6C811587">
                  <w:pPr>
                    <w:keepNext w:val="0"/>
                    <w:keepLines w:val="0"/>
                    <w:suppressLineNumbers w:val="0"/>
                    <w:spacing w:before="0" w:beforeAutospacing="0" w:after="0" w:afterAutospacing="0" w:line="240" w:lineRule="auto"/>
                    <w:ind w:left="0" w:right="0"/>
                    <w:jc w:val="center"/>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11</w:t>
                  </w:r>
                </w:p>
              </w:tc>
              <w:tc>
                <w:tcPr>
                  <w:tcW w:w="490" w:type="pct"/>
                  <w:vMerge w:val="continue"/>
                  <w:tcBorders>
                    <w:tl2br w:val="nil"/>
                    <w:tr2bl w:val="nil"/>
                  </w:tcBorders>
                  <w:shd w:val="clear" w:color="auto" w:fill="auto"/>
                  <w:vAlign w:val="center"/>
                </w:tcPr>
                <w:p w14:paraId="0FC2DF3F">
                  <w:pPr>
                    <w:keepNext w:val="0"/>
                    <w:keepLines w:val="0"/>
                    <w:suppressLineNumbers w:val="0"/>
                    <w:spacing w:before="0" w:beforeAutospacing="0" w:after="0" w:afterAutospacing="0" w:line="240" w:lineRule="auto"/>
                    <w:ind w:left="0" w:right="0"/>
                    <w:jc w:val="center"/>
                    <w:rPr>
                      <w:rFonts w:hint="eastAsia" w:cs="Times New Roman"/>
                      <w:color w:val="000000" w:themeColor="text1"/>
                      <w:sz w:val="21"/>
                      <w:szCs w:val="21"/>
                      <w:highlight w:val="none"/>
                      <w:lang w:val="en-US" w:eastAsia="zh-CN"/>
                      <w14:textFill>
                        <w14:solidFill>
                          <w14:schemeClr w14:val="tx1"/>
                        </w14:solidFill>
                      </w14:textFill>
                    </w:rPr>
                  </w:pPr>
                </w:p>
              </w:tc>
              <w:tc>
                <w:tcPr>
                  <w:tcW w:w="462" w:type="pct"/>
                  <w:vMerge w:val="continue"/>
                  <w:tcBorders>
                    <w:tl2br w:val="nil"/>
                    <w:tr2bl w:val="nil"/>
                  </w:tcBorders>
                  <w:shd w:val="clear" w:color="auto" w:fill="auto"/>
                  <w:vAlign w:val="center"/>
                </w:tcPr>
                <w:p w14:paraId="6A9F969C">
                  <w:pPr>
                    <w:keepNext w:val="0"/>
                    <w:keepLines w:val="0"/>
                    <w:suppressLineNumbers w:val="0"/>
                    <w:spacing w:before="0" w:beforeAutospacing="0" w:after="0" w:afterAutospacing="0" w:line="240" w:lineRule="auto"/>
                    <w:ind w:left="0" w:right="0"/>
                    <w:jc w:val="center"/>
                    <w:rPr>
                      <w:rFonts w:hint="eastAsia" w:cs="Times New Roman"/>
                      <w:color w:val="000000" w:themeColor="text1"/>
                      <w:sz w:val="21"/>
                      <w:szCs w:val="21"/>
                      <w:highlight w:val="none"/>
                      <w:lang w:val="en-US" w:eastAsia="zh-CN"/>
                      <w14:textFill>
                        <w14:solidFill>
                          <w14:schemeClr w14:val="tx1"/>
                        </w14:solidFill>
                      </w14:textFill>
                    </w:rPr>
                  </w:pPr>
                </w:p>
              </w:tc>
              <w:tc>
                <w:tcPr>
                  <w:tcW w:w="413" w:type="pct"/>
                  <w:vMerge w:val="continue"/>
                  <w:tcBorders>
                    <w:tl2br w:val="nil"/>
                    <w:tr2bl w:val="nil"/>
                  </w:tcBorders>
                  <w:shd w:val="clear" w:color="auto" w:fill="auto"/>
                  <w:vAlign w:val="center"/>
                </w:tcPr>
                <w:p w14:paraId="096D3640">
                  <w:pPr>
                    <w:keepNext w:val="0"/>
                    <w:keepLines w:val="0"/>
                    <w:suppressLineNumbers w:val="0"/>
                    <w:spacing w:before="0" w:beforeAutospacing="0" w:after="0" w:afterAutospacing="0" w:line="240" w:lineRule="auto"/>
                    <w:ind w:left="0" w:leftChars="0" w:right="0" w:rightChars="0"/>
                    <w:jc w:val="center"/>
                    <w:rPr>
                      <w:rFonts w:hint="eastAsia" w:cs="Times New Roman"/>
                      <w:b w:val="0"/>
                      <w:bCs w:val="0"/>
                      <w:color w:val="000000" w:themeColor="text1"/>
                      <w:sz w:val="21"/>
                      <w:szCs w:val="21"/>
                      <w:highlight w:val="none"/>
                      <w:lang w:val="en-US" w:eastAsia="zh-CN"/>
                      <w14:textFill>
                        <w14:solidFill>
                          <w14:schemeClr w14:val="tx1"/>
                        </w14:solidFill>
                      </w14:textFill>
                    </w:rPr>
                  </w:pPr>
                </w:p>
              </w:tc>
              <w:tc>
                <w:tcPr>
                  <w:tcW w:w="493" w:type="pct"/>
                  <w:vMerge w:val="continue"/>
                  <w:tcBorders>
                    <w:tl2br w:val="nil"/>
                    <w:tr2bl w:val="nil"/>
                  </w:tcBorders>
                  <w:shd w:val="clear" w:color="auto" w:fill="auto"/>
                  <w:vAlign w:val="center"/>
                </w:tcPr>
                <w:p w14:paraId="4CE2666B">
                  <w:pPr>
                    <w:keepNext w:val="0"/>
                    <w:keepLines w:val="0"/>
                    <w:suppressLineNumbers w:val="0"/>
                    <w:spacing w:before="0" w:beforeAutospacing="0" w:after="0" w:afterAutospacing="0" w:line="240" w:lineRule="auto"/>
                    <w:ind w:left="0" w:right="0"/>
                    <w:jc w:val="center"/>
                    <w:rPr>
                      <w:rFonts w:hint="default" w:ascii="Times New Roman" w:hAnsi="Times New Roman" w:eastAsia="Arial" w:cs="Times New Roman"/>
                      <w:b w:val="0"/>
                      <w:bCs w:val="0"/>
                      <w:color w:val="000000" w:themeColor="text1"/>
                      <w:sz w:val="21"/>
                      <w:szCs w:val="21"/>
                      <w:highlight w:val="none"/>
                      <w14:textFill>
                        <w14:solidFill>
                          <w14:schemeClr w14:val="tx1"/>
                        </w14:solidFill>
                      </w14:textFill>
                    </w:rPr>
                  </w:pPr>
                </w:p>
              </w:tc>
            </w:tr>
            <w:tr w14:paraId="0C03D27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428" w:type="pct"/>
                  <w:vMerge w:val="restart"/>
                  <w:tcBorders>
                    <w:tl2br w:val="nil"/>
                    <w:tr2bl w:val="nil"/>
                  </w:tcBorders>
                  <w:shd w:val="clear" w:color="auto" w:fill="auto"/>
                  <w:vAlign w:val="center"/>
                </w:tcPr>
                <w:p w14:paraId="50F14C6F">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北厂界</w:t>
                  </w:r>
                </w:p>
              </w:tc>
              <w:tc>
                <w:tcPr>
                  <w:tcW w:w="305" w:type="pct"/>
                  <w:vMerge w:val="restart"/>
                  <w:tcBorders>
                    <w:tl2br w:val="nil"/>
                    <w:tr2bl w:val="nil"/>
                  </w:tcBorders>
                  <w:shd w:val="clear" w:color="auto" w:fill="auto"/>
                  <w:vAlign w:val="center"/>
                </w:tcPr>
                <w:p w14:paraId="4126B568">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Arial" w:cs="Times New Roman"/>
                      <w:b w:val="0"/>
                      <w:bCs w:val="0"/>
                      <w:color w:val="000000" w:themeColor="text1"/>
                      <w:sz w:val="21"/>
                      <w:szCs w:val="21"/>
                      <w:highlight w:val="none"/>
                      <w14:textFill>
                        <w14:solidFill>
                          <w14:schemeClr w14:val="tx1"/>
                        </w14:solidFill>
                      </w14:textFill>
                    </w:rPr>
                    <w:t>昼间</w:t>
                  </w:r>
                </w:p>
              </w:tc>
              <w:tc>
                <w:tcPr>
                  <w:tcW w:w="1183" w:type="pct"/>
                  <w:tcBorders>
                    <w:tl2br w:val="nil"/>
                    <w:tr2bl w:val="nil"/>
                  </w:tcBorders>
                  <w:shd w:val="clear" w:color="auto" w:fill="auto"/>
                  <w:vAlign w:val="center"/>
                </w:tcPr>
                <w:p w14:paraId="45AD648C">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Arial"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t>前处理车间</w:t>
                  </w:r>
                </w:p>
              </w:tc>
              <w:tc>
                <w:tcPr>
                  <w:tcW w:w="369" w:type="pct"/>
                  <w:tcBorders>
                    <w:tl2br w:val="nil"/>
                    <w:tr2bl w:val="nil"/>
                  </w:tcBorders>
                  <w:shd w:val="clear" w:color="auto" w:fill="auto"/>
                  <w:vAlign w:val="center"/>
                </w:tcPr>
                <w:p w14:paraId="0C5E19AC">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55</w:t>
                  </w:r>
                </w:p>
              </w:tc>
              <w:tc>
                <w:tcPr>
                  <w:tcW w:w="517" w:type="pct"/>
                  <w:tcBorders>
                    <w:tl2br w:val="nil"/>
                    <w:tr2bl w:val="nil"/>
                  </w:tcBorders>
                  <w:shd w:val="clear" w:color="auto" w:fill="auto"/>
                  <w:vAlign w:val="center"/>
                </w:tcPr>
                <w:p w14:paraId="367891C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102</w:t>
                  </w:r>
                </w:p>
              </w:tc>
              <w:tc>
                <w:tcPr>
                  <w:tcW w:w="335" w:type="pct"/>
                  <w:tcBorders>
                    <w:tl2br w:val="nil"/>
                    <w:tr2bl w:val="nil"/>
                  </w:tcBorders>
                  <w:shd w:val="clear" w:color="auto" w:fill="auto"/>
                  <w:vAlign w:val="center"/>
                </w:tcPr>
                <w:p w14:paraId="34660B0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15</w:t>
                  </w:r>
                </w:p>
              </w:tc>
              <w:tc>
                <w:tcPr>
                  <w:tcW w:w="490" w:type="pct"/>
                  <w:vMerge w:val="restart"/>
                  <w:tcBorders>
                    <w:tl2br w:val="nil"/>
                    <w:tr2bl w:val="nil"/>
                  </w:tcBorders>
                  <w:shd w:val="clear" w:color="auto" w:fill="auto"/>
                  <w:vAlign w:val="center"/>
                </w:tcPr>
                <w:p w14:paraId="632E1DBA">
                  <w:pPr>
                    <w:keepNext w:val="0"/>
                    <w:keepLines w:val="0"/>
                    <w:suppressLineNumbers w:val="0"/>
                    <w:spacing w:before="0" w:beforeAutospacing="0" w:after="0" w:afterAutospacing="0" w:line="240" w:lineRule="auto"/>
                    <w:ind w:left="0" w:right="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53</w:t>
                  </w:r>
                </w:p>
              </w:tc>
              <w:tc>
                <w:tcPr>
                  <w:tcW w:w="462" w:type="pct"/>
                  <w:vMerge w:val="restart"/>
                  <w:tcBorders>
                    <w:tl2br w:val="nil"/>
                    <w:tr2bl w:val="nil"/>
                  </w:tcBorders>
                  <w:shd w:val="clear" w:color="auto" w:fill="auto"/>
                  <w:vAlign w:val="center"/>
                </w:tcPr>
                <w:p w14:paraId="70B1E787">
                  <w:pPr>
                    <w:keepNext w:val="0"/>
                    <w:keepLines w:val="0"/>
                    <w:suppressLineNumbers w:val="0"/>
                    <w:spacing w:before="0" w:beforeAutospacing="0" w:after="0" w:afterAutospacing="0" w:line="240" w:lineRule="auto"/>
                    <w:ind w:left="0" w:leftChars="0" w:right="0" w:rightChars="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53</w:t>
                  </w:r>
                </w:p>
              </w:tc>
              <w:tc>
                <w:tcPr>
                  <w:tcW w:w="413" w:type="pct"/>
                  <w:vMerge w:val="restart"/>
                  <w:tcBorders>
                    <w:tl2br w:val="nil"/>
                    <w:tr2bl w:val="nil"/>
                  </w:tcBorders>
                  <w:shd w:val="clear" w:color="auto" w:fill="auto"/>
                  <w:vAlign w:val="center"/>
                </w:tcPr>
                <w:p w14:paraId="6BFBFB66">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b w:val="0"/>
                      <w:bCs w:val="0"/>
                      <w:color w:val="000000" w:themeColor="text1"/>
                      <w:sz w:val="21"/>
                      <w:szCs w:val="21"/>
                      <w:highlight w:val="none"/>
                      <w:lang w:val="en-US"/>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65</w:t>
                  </w:r>
                </w:p>
              </w:tc>
              <w:tc>
                <w:tcPr>
                  <w:tcW w:w="493" w:type="pct"/>
                  <w:vMerge w:val="restart"/>
                  <w:tcBorders>
                    <w:tl2br w:val="nil"/>
                    <w:tr2bl w:val="nil"/>
                  </w:tcBorders>
                  <w:shd w:val="clear" w:color="auto" w:fill="auto"/>
                  <w:vAlign w:val="center"/>
                </w:tcPr>
                <w:p w14:paraId="2ED197B0">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Arial" w:cs="Times New Roman"/>
                      <w:b w:val="0"/>
                      <w:bCs w:val="0"/>
                      <w:color w:val="000000" w:themeColor="text1"/>
                      <w:sz w:val="21"/>
                      <w:szCs w:val="21"/>
                      <w:highlight w:val="none"/>
                      <w14:textFill>
                        <w14:solidFill>
                          <w14:schemeClr w14:val="tx1"/>
                        </w14:solidFill>
                      </w14:textFill>
                    </w:rPr>
                    <w:t>达标</w:t>
                  </w:r>
                </w:p>
              </w:tc>
            </w:tr>
            <w:tr w14:paraId="0E7ED8C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428" w:type="pct"/>
                  <w:vMerge w:val="continue"/>
                  <w:tcBorders>
                    <w:tl2br w:val="nil"/>
                    <w:tr2bl w:val="nil"/>
                  </w:tcBorders>
                  <w:shd w:val="clear" w:color="auto" w:fill="auto"/>
                  <w:vAlign w:val="center"/>
                </w:tcPr>
                <w:p w14:paraId="738D211F">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305" w:type="pct"/>
                  <w:vMerge w:val="continue"/>
                  <w:tcBorders>
                    <w:tl2br w:val="nil"/>
                    <w:tr2bl w:val="nil"/>
                  </w:tcBorders>
                  <w:shd w:val="clear" w:color="auto" w:fill="auto"/>
                  <w:vAlign w:val="center"/>
                </w:tcPr>
                <w:p w14:paraId="0BD1253D">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Arial" w:cs="Times New Roman"/>
                      <w:b w:val="0"/>
                      <w:bCs w:val="0"/>
                      <w:color w:val="000000" w:themeColor="text1"/>
                      <w:sz w:val="21"/>
                      <w:szCs w:val="21"/>
                      <w:highlight w:val="none"/>
                      <w14:textFill>
                        <w14:solidFill>
                          <w14:schemeClr w14:val="tx1"/>
                        </w14:solidFill>
                      </w14:textFill>
                    </w:rPr>
                  </w:pPr>
                </w:p>
              </w:tc>
              <w:tc>
                <w:tcPr>
                  <w:tcW w:w="1183" w:type="pct"/>
                  <w:tcBorders>
                    <w:tl2br w:val="nil"/>
                    <w:tr2bl w:val="nil"/>
                  </w:tcBorders>
                  <w:shd w:val="clear" w:color="auto" w:fill="auto"/>
                  <w:vAlign w:val="center"/>
                </w:tcPr>
                <w:p w14:paraId="04098C7E">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Arial"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t>创新制剂车间</w:t>
                  </w:r>
                </w:p>
              </w:tc>
              <w:tc>
                <w:tcPr>
                  <w:tcW w:w="369" w:type="pct"/>
                  <w:tcBorders>
                    <w:tl2br w:val="nil"/>
                    <w:tr2bl w:val="nil"/>
                  </w:tcBorders>
                  <w:shd w:val="clear" w:color="auto" w:fill="auto"/>
                  <w:vAlign w:val="center"/>
                </w:tcPr>
                <w:p w14:paraId="3B41543F">
                  <w:pPr>
                    <w:keepNext w:val="0"/>
                    <w:keepLines w:val="0"/>
                    <w:suppressLineNumbers w:val="0"/>
                    <w:spacing w:before="0" w:beforeAutospacing="0" w:after="0" w:afterAutospacing="0" w:line="240" w:lineRule="auto"/>
                    <w:ind w:left="0" w:leftChars="0" w:right="0" w:rightChars="0"/>
                    <w:jc w:val="center"/>
                    <w:rPr>
                      <w:rFonts w:hint="eastAsia"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55</w:t>
                  </w:r>
                </w:p>
              </w:tc>
              <w:tc>
                <w:tcPr>
                  <w:tcW w:w="517" w:type="pct"/>
                  <w:tcBorders>
                    <w:tl2br w:val="nil"/>
                    <w:tr2bl w:val="nil"/>
                  </w:tcBorders>
                  <w:shd w:val="clear" w:color="auto" w:fill="auto"/>
                  <w:vAlign w:val="center"/>
                </w:tcPr>
                <w:p w14:paraId="14108A15">
                  <w:pPr>
                    <w:keepNext w:val="0"/>
                    <w:keepLines w:val="0"/>
                    <w:suppressLineNumbers w:val="0"/>
                    <w:spacing w:before="0" w:beforeAutospacing="0" w:after="0" w:afterAutospacing="0" w:line="240" w:lineRule="auto"/>
                    <w:ind w:left="0" w:right="0"/>
                    <w:jc w:val="center"/>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275</w:t>
                  </w:r>
                </w:p>
              </w:tc>
              <w:tc>
                <w:tcPr>
                  <w:tcW w:w="335" w:type="pct"/>
                  <w:tcBorders>
                    <w:tl2br w:val="nil"/>
                    <w:tr2bl w:val="nil"/>
                  </w:tcBorders>
                  <w:shd w:val="clear" w:color="auto" w:fill="auto"/>
                  <w:vAlign w:val="center"/>
                </w:tcPr>
                <w:p w14:paraId="3ACEDBF1">
                  <w:pPr>
                    <w:keepNext w:val="0"/>
                    <w:keepLines w:val="0"/>
                    <w:suppressLineNumbers w:val="0"/>
                    <w:spacing w:before="0" w:beforeAutospacing="0" w:after="0" w:afterAutospacing="0" w:line="240" w:lineRule="auto"/>
                    <w:ind w:left="0" w:right="0"/>
                    <w:jc w:val="center"/>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6</w:t>
                  </w:r>
                </w:p>
              </w:tc>
              <w:tc>
                <w:tcPr>
                  <w:tcW w:w="490" w:type="pct"/>
                  <w:vMerge w:val="continue"/>
                  <w:tcBorders>
                    <w:tl2br w:val="nil"/>
                    <w:tr2bl w:val="nil"/>
                  </w:tcBorders>
                  <w:shd w:val="clear" w:color="auto" w:fill="auto"/>
                  <w:vAlign w:val="center"/>
                </w:tcPr>
                <w:p w14:paraId="00B9F5B9">
                  <w:pPr>
                    <w:keepNext w:val="0"/>
                    <w:keepLines w:val="0"/>
                    <w:suppressLineNumbers w:val="0"/>
                    <w:spacing w:before="0" w:beforeAutospacing="0" w:after="0" w:afterAutospacing="0" w:line="240" w:lineRule="auto"/>
                    <w:ind w:left="0" w:right="0"/>
                    <w:jc w:val="center"/>
                    <w:rPr>
                      <w:rFonts w:hint="eastAsia" w:cs="Times New Roman"/>
                      <w:color w:val="000000" w:themeColor="text1"/>
                      <w:sz w:val="21"/>
                      <w:szCs w:val="21"/>
                      <w:highlight w:val="none"/>
                      <w:lang w:val="en-US" w:eastAsia="zh-CN"/>
                      <w14:textFill>
                        <w14:solidFill>
                          <w14:schemeClr w14:val="tx1"/>
                        </w14:solidFill>
                      </w14:textFill>
                    </w:rPr>
                  </w:pPr>
                </w:p>
              </w:tc>
              <w:tc>
                <w:tcPr>
                  <w:tcW w:w="462" w:type="pct"/>
                  <w:vMerge w:val="continue"/>
                  <w:tcBorders>
                    <w:tl2br w:val="nil"/>
                    <w:tr2bl w:val="nil"/>
                  </w:tcBorders>
                  <w:shd w:val="clear" w:color="auto" w:fill="auto"/>
                  <w:vAlign w:val="center"/>
                </w:tcPr>
                <w:p w14:paraId="21D5CEFF">
                  <w:pPr>
                    <w:keepNext w:val="0"/>
                    <w:keepLines w:val="0"/>
                    <w:suppressLineNumbers w:val="0"/>
                    <w:spacing w:before="0" w:beforeAutospacing="0" w:after="0" w:afterAutospacing="0" w:line="240" w:lineRule="auto"/>
                    <w:ind w:left="0" w:right="0"/>
                    <w:jc w:val="center"/>
                    <w:rPr>
                      <w:rFonts w:hint="eastAsia" w:cs="Times New Roman"/>
                      <w:color w:val="000000" w:themeColor="text1"/>
                      <w:sz w:val="21"/>
                      <w:szCs w:val="21"/>
                      <w:highlight w:val="none"/>
                      <w:lang w:val="en-US" w:eastAsia="zh-CN"/>
                      <w14:textFill>
                        <w14:solidFill>
                          <w14:schemeClr w14:val="tx1"/>
                        </w14:solidFill>
                      </w14:textFill>
                    </w:rPr>
                  </w:pPr>
                </w:p>
              </w:tc>
              <w:tc>
                <w:tcPr>
                  <w:tcW w:w="413" w:type="pct"/>
                  <w:vMerge w:val="continue"/>
                  <w:tcBorders>
                    <w:tl2br w:val="nil"/>
                    <w:tr2bl w:val="nil"/>
                  </w:tcBorders>
                  <w:shd w:val="clear" w:color="auto" w:fill="auto"/>
                  <w:vAlign w:val="center"/>
                </w:tcPr>
                <w:p w14:paraId="090C19A7">
                  <w:pPr>
                    <w:keepNext w:val="0"/>
                    <w:keepLines w:val="0"/>
                    <w:suppressLineNumbers w:val="0"/>
                    <w:spacing w:before="0" w:beforeAutospacing="0" w:after="0" w:afterAutospacing="0" w:line="240" w:lineRule="auto"/>
                    <w:ind w:left="0" w:leftChars="0" w:right="0" w:rightChars="0"/>
                    <w:jc w:val="center"/>
                    <w:rPr>
                      <w:rFonts w:hint="eastAsia" w:cs="Times New Roman"/>
                      <w:b w:val="0"/>
                      <w:bCs w:val="0"/>
                      <w:color w:val="000000" w:themeColor="text1"/>
                      <w:sz w:val="21"/>
                      <w:szCs w:val="21"/>
                      <w:highlight w:val="none"/>
                      <w:lang w:val="en-US" w:eastAsia="zh-CN"/>
                      <w14:textFill>
                        <w14:solidFill>
                          <w14:schemeClr w14:val="tx1"/>
                        </w14:solidFill>
                      </w14:textFill>
                    </w:rPr>
                  </w:pPr>
                </w:p>
              </w:tc>
              <w:tc>
                <w:tcPr>
                  <w:tcW w:w="493" w:type="pct"/>
                  <w:vMerge w:val="continue"/>
                  <w:tcBorders>
                    <w:tl2br w:val="nil"/>
                    <w:tr2bl w:val="nil"/>
                  </w:tcBorders>
                  <w:shd w:val="clear" w:color="auto" w:fill="auto"/>
                  <w:vAlign w:val="center"/>
                </w:tcPr>
                <w:p w14:paraId="3F98E7BC">
                  <w:pPr>
                    <w:keepNext w:val="0"/>
                    <w:keepLines w:val="0"/>
                    <w:suppressLineNumbers w:val="0"/>
                    <w:spacing w:before="0" w:beforeAutospacing="0" w:after="0" w:afterAutospacing="0" w:line="240" w:lineRule="auto"/>
                    <w:ind w:left="0" w:right="0"/>
                    <w:jc w:val="center"/>
                    <w:rPr>
                      <w:rFonts w:hint="default" w:ascii="Times New Roman" w:hAnsi="Times New Roman" w:eastAsia="Arial" w:cs="Times New Roman"/>
                      <w:b w:val="0"/>
                      <w:bCs w:val="0"/>
                      <w:color w:val="000000" w:themeColor="text1"/>
                      <w:sz w:val="21"/>
                      <w:szCs w:val="21"/>
                      <w:highlight w:val="none"/>
                      <w14:textFill>
                        <w14:solidFill>
                          <w14:schemeClr w14:val="tx1"/>
                        </w14:solidFill>
                      </w14:textFill>
                    </w:rPr>
                  </w:pPr>
                </w:p>
              </w:tc>
            </w:tr>
            <w:tr w14:paraId="212CE49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428" w:type="pct"/>
                  <w:tcBorders>
                    <w:tl2br w:val="nil"/>
                    <w:tr2bl w:val="nil"/>
                  </w:tcBorders>
                  <w:shd w:val="clear" w:color="auto" w:fill="auto"/>
                  <w:vAlign w:val="center"/>
                </w:tcPr>
                <w:p w14:paraId="7D71DAD4">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南</w:t>
                  </w:r>
                </w:p>
              </w:tc>
              <w:tc>
                <w:tcPr>
                  <w:tcW w:w="305" w:type="pct"/>
                  <w:tcBorders>
                    <w:tl2br w:val="nil"/>
                    <w:tr2bl w:val="nil"/>
                  </w:tcBorders>
                  <w:shd w:val="clear" w:color="auto" w:fill="auto"/>
                  <w:vAlign w:val="center"/>
                </w:tcPr>
                <w:p w14:paraId="4DFD8680">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Arial" w:cs="Times New Roman"/>
                      <w:b w:val="0"/>
                      <w:bCs w:val="0"/>
                      <w:color w:val="000000" w:themeColor="text1"/>
                      <w:sz w:val="21"/>
                      <w:szCs w:val="21"/>
                      <w:highlight w:val="none"/>
                      <w14:textFill>
                        <w14:solidFill>
                          <w14:schemeClr w14:val="tx1"/>
                        </w14:solidFill>
                      </w14:textFill>
                    </w:rPr>
                    <w:t>昼间</w:t>
                  </w:r>
                </w:p>
              </w:tc>
              <w:tc>
                <w:tcPr>
                  <w:tcW w:w="1183" w:type="pct"/>
                  <w:tcBorders>
                    <w:tl2br w:val="nil"/>
                    <w:tr2bl w:val="nil"/>
                  </w:tcBorders>
                  <w:shd w:val="clear" w:color="auto" w:fill="auto"/>
                  <w:vAlign w:val="center"/>
                </w:tcPr>
                <w:p w14:paraId="1924F4A5">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本溪高新区公共行政服务中心</w:t>
                  </w:r>
                </w:p>
              </w:tc>
              <w:tc>
                <w:tcPr>
                  <w:tcW w:w="369" w:type="pct"/>
                  <w:tcBorders>
                    <w:tl2br w:val="nil"/>
                    <w:tr2bl w:val="nil"/>
                  </w:tcBorders>
                  <w:shd w:val="clear" w:color="auto" w:fill="auto"/>
                  <w:vAlign w:val="center"/>
                </w:tcPr>
                <w:p w14:paraId="64AF0E68">
                  <w:pPr>
                    <w:keepNext w:val="0"/>
                    <w:keepLines w:val="0"/>
                    <w:suppressLineNumbers w:val="0"/>
                    <w:spacing w:before="0" w:beforeAutospacing="0" w:after="0" w:afterAutospacing="0" w:line="240" w:lineRule="auto"/>
                    <w:ind w:left="0" w:leftChars="0" w:right="0" w:rightChars="0"/>
                    <w:jc w:val="center"/>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55</w:t>
                  </w:r>
                </w:p>
              </w:tc>
              <w:tc>
                <w:tcPr>
                  <w:tcW w:w="517" w:type="pct"/>
                  <w:tcBorders>
                    <w:tl2br w:val="nil"/>
                    <w:tr2bl w:val="nil"/>
                  </w:tcBorders>
                  <w:shd w:val="clear" w:color="auto" w:fill="auto"/>
                  <w:vAlign w:val="center"/>
                </w:tcPr>
                <w:p w14:paraId="6B5E9B35">
                  <w:pPr>
                    <w:keepNext w:val="0"/>
                    <w:keepLines w:val="0"/>
                    <w:suppressLineNumbers w:val="0"/>
                    <w:spacing w:before="0" w:beforeAutospacing="0" w:after="0" w:afterAutospacing="0" w:line="240" w:lineRule="auto"/>
                    <w:ind w:left="0" w:right="0"/>
                    <w:jc w:val="center"/>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8</w:t>
                  </w:r>
                </w:p>
              </w:tc>
              <w:tc>
                <w:tcPr>
                  <w:tcW w:w="335" w:type="pct"/>
                  <w:tcBorders>
                    <w:tl2br w:val="nil"/>
                    <w:tr2bl w:val="nil"/>
                  </w:tcBorders>
                  <w:shd w:val="clear" w:color="auto" w:fill="auto"/>
                  <w:vAlign w:val="center"/>
                </w:tcPr>
                <w:p w14:paraId="4ABE1CBB">
                  <w:pPr>
                    <w:keepNext w:val="0"/>
                    <w:keepLines w:val="0"/>
                    <w:suppressLineNumbers w:val="0"/>
                    <w:spacing w:before="0" w:beforeAutospacing="0" w:after="0" w:afterAutospacing="0" w:line="240" w:lineRule="auto"/>
                    <w:ind w:left="0" w:right="0"/>
                    <w:jc w:val="center"/>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37</w:t>
                  </w:r>
                </w:p>
              </w:tc>
              <w:tc>
                <w:tcPr>
                  <w:tcW w:w="490" w:type="pct"/>
                  <w:tcBorders>
                    <w:tl2br w:val="nil"/>
                    <w:tr2bl w:val="nil"/>
                  </w:tcBorders>
                  <w:shd w:val="clear" w:color="auto" w:fill="auto"/>
                  <w:vAlign w:val="center"/>
                </w:tcPr>
                <w:p w14:paraId="4D58DE5B">
                  <w:pPr>
                    <w:keepNext w:val="0"/>
                    <w:keepLines w:val="0"/>
                    <w:suppressLineNumbers w:val="0"/>
                    <w:spacing w:before="0" w:beforeAutospacing="0" w:after="0" w:afterAutospacing="0" w:line="240" w:lineRule="auto"/>
                    <w:ind w:left="0" w:right="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51</w:t>
                  </w:r>
                </w:p>
              </w:tc>
              <w:tc>
                <w:tcPr>
                  <w:tcW w:w="462" w:type="pct"/>
                  <w:tcBorders>
                    <w:tl2br w:val="nil"/>
                    <w:tr2bl w:val="nil"/>
                  </w:tcBorders>
                  <w:shd w:val="clear" w:color="auto" w:fill="auto"/>
                  <w:vAlign w:val="center"/>
                </w:tcPr>
                <w:p w14:paraId="0DE590B2">
                  <w:pPr>
                    <w:keepNext w:val="0"/>
                    <w:keepLines w:val="0"/>
                    <w:suppressLineNumbers w:val="0"/>
                    <w:spacing w:before="0" w:beforeAutospacing="0" w:after="0" w:afterAutospacing="0" w:line="240" w:lineRule="auto"/>
                    <w:ind w:left="0" w:right="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51</w:t>
                  </w:r>
                </w:p>
              </w:tc>
              <w:tc>
                <w:tcPr>
                  <w:tcW w:w="670" w:type="dxa"/>
                  <w:tcBorders>
                    <w:tl2br w:val="nil"/>
                    <w:tr2bl w:val="nil"/>
                  </w:tcBorders>
                  <w:shd w:val="clear" w:color="auto" w:fill="auto"/>
                  <w:vAlign w:val="center"/>
                </w:tcPr>
                <w:p w14:paraId="34320EA3">
                  <w:pPr>
                    <w:keepNext w:val="0"/>
                    <w:keepLines w:val="0"/>
                    <w:suppressLineNumbers w:val="0"/>
                    <w:spacing w:before="0" w:beforeAutospacing="0" w:after="0" w:afterAutospacing="0" w:line="240" w:lineRule="auto"/>
                    <w:ind w:left="0" w:leftChars="0" w:right="0" w:rightChars="0"/>
                    <w:jc w:val="center"/>
                    <w:rPr>
                      <w:rFonts w:hint="eastAsia"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60</w:t>
                  </w:r>
                </w:p>
              </w:tc>
              <w:tc>
                <w:tcPr>
                  <w:tcW w:w="800" w:type="dxa"/>
                  <w:tcBorders>
                    <w:tl2br w:val="nil"/>
                    <w:tr2bl w:val="nil"/>
                  </w:tcBorders>
                  <w:shd w:val="clear" w:color="auto" w:fill="auto"/>
                  <w:vAlign w:val="center"/>
                </w:tcPr>
                <w:p w14:paraId="52672C4B">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Arial"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Arial" w:cs="Times New Roman"/>
                      <w:b w:val="0"/>
                      <w:bCs w:val="0"/>
                      <w:color w:val="000000" w:themeColor="text1"/>
                      <w:sz w:val="21"/>
                      <w:szCs w:val="21"/>
                      <w:highlight w:val="none"/>
                      <w14:textFill>
                        <w14:solidFill>
                          <w14:schemeClr w14:val="tx1"/>
                        </w14:solidFill>
                      </w14:textFill>
                    </w:rPr>
                    <w:t>达标</w:t>
                  </w:r>
                </w:p>
              </w:tc>
            </w:tr>
            <w:tr w14:paraId="3CC6E58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428" w:type="pct"/>
                  <w:tcBorders>
                    <w:tl2br w:val="nil"/>
                    <w:tr2bl w:val="nil"/>
                  </w:tcBorders>
                  <w:shd w:val="clear" w:color="auto" w:fill="auto"/>
                  <w:vAlign w:val="center"/>
                </w:tcPr>
                <w:p w14:paraId="6CCDD80D">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西</w:t>
                  </w:r>
                </w:p>
              </w:tc>
              <w:tc>
                <w:tcPr>
                  <w:tcW w:w="305" w:type="pct"/>
                  <w:tcBorders>
                    <w:tl2br w:val="nil"/>
                    <w:tr2bl w:val="nil"/>
                  </w:tcBorders>
                  <w:shd w:val="clear" w:color="auto" w:fill="auto"/>
                  <w:vAlign w:val="center"/>
                </w:tcPr>
                <w:p w14:paraId="1C0F7F5B">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Arial" w:cs="Times New Roman"/>
                      <w:b w:val="0"/>
                      <w:bCs w:val="0"/>
                      <w:color w:val="000000" w:themeColor="text1"/>
                      <w:sz w:val="21"/>
                      <w:szCs w:val="21"/>
                      <w:highlight w:val="none"/>
                      <w14:textFill>
                        <w14:solidFill>
                          <w14:schemeClr w14:val="tx1"/>
                        </w14:solidFill>
                      </w14:textFill>
                    </w:rPr>
                    <w:t>昼间</w:t>
                  </w:r>
                </w:p>
              </w:tc>
              <w:tc>
                <w:tcPr>
                  <w:tcW w:w="1183" w:type="pct"/>
                  <w:tcBorders>
                    <w:tl2br w:val="nil"/>
                    <w:tr2bl w:val="nil"/>
                  </w:tcBorders>
                  <w:shd w:val="clear" w:color="auto" w:fill="auto"/>
                  <w:vAlign w:val="center"/>
                </w:tcPr>
                <w:p w14:paraId="7412893B">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本溪高新技术产业开发区管理委员会</w:t>
                  </w:r>
                </w:p>
              </w:tc>
              <w:tc>
                <w:tcPr>
                  <w:tcW w:w="369" w:type="pct"/>
                  <w:tcBorders>
                    <w:tl2br w:val="nil"/>
                    <w:tr2bl w:val="nil"/>
                  </w:tcBorders>
                  <w:shd w:val="clear" w:color="auto" w:fill="auto"/>
                  <w:vAlign w:val="center"/>
                </w:tcPr>
                <w:p w14:paraId="32A16268">
                  <w:pPr>
                    <w:keepNext w:val="0"/>
                    <w:keepLines w:val="0"/>
                    <w:suppressLineNumbers w:val="0"/>
                    <w:spacing w:before="0" w:beforeAutospacing="0" w:after="0" w:afterAutospacing="0" w:line="240" w:lineRule="auto"/>
                    <w:ind w:left="0" w:leftChars="0" w:right="0" w:rightChars="0"/>
                    <w:jc w:val="center"/>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55</w:t>
                  </w:r>
                </w:p>
              </w:tc>
              <w:tc>
                <w:tcPr>
                  <w:tcW w:w="517" w:type="pct"/>
                  <w:tcBorders>
                    <w:tl2br w:val="nil"/>
                    <w:tr2bl w:val="nil"/>
                  </w:tcBorders>
                  <w:shd w:val="clear" w:color="auto" w:fill="auto"/>
                  <w:vAlign w:val="center"/>
                </w:tcPr>
                <w:p w14:paraId="356676B9">
                  <w:pPr>
                    <w:keepNext w:val="0"/>
                    <w:keepLines w:val="0"/>
                    <w:suppressLineNumbers w:val="0"/>
                    <w:spacing w:before="0" w:beforeAutospacing="0" w:after="0" w:afterAutospacing="0" w:line="240" w:lineRule="auto"/>
                    <w:ind w:left="0" w:right="0"/>
                    <w:jc w:val="center"/>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40</w:t>
                  </w:r>
                </w:p>
              </w:tc>
              <w:tc>
                <w:tcPr>
                  <w:tcW w:w="335" w:type="pct"/>
                  <w:tcBorders>
                    <w:tl2br w:val="nil"/>
                    <w:tr2bl w:val="nil"/>
                  </w:tcBorders>
                  <w:shd w:val="clear" w:color="auto" w:fill="auto"/>
                  <w:vAlign w:val="center"/>
                </w:tcPr>
                <w:p w14:paraId="7B79832C">
                  <w:pPr>
                    <w:keepNext w:val="0"/>
                    <w:keepLines w:val="0"/>
                    <w:suppressLineNumbers w:val="0"/>
                    <w:spacing w:before="0" w:beforeAutospacing="0" w:after="0" w:afterAutospacing="0" w:line="240" w:lineRule="auto"/>
                    <w:ind w:left="0" w:right="0"/>
                    <w:jc w:val="center"/>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23</w:t>
                  </w:r>
                </w:p>
              </w:tc>
              <w:tc>
                <w:tcPr>
                  <w:tcW w:w="490" w:type="pct"/>
                  <w:tcBorders>
                    <w:tl2br w:val="nil"/>
                    <w:tr2bl w:val="nil"/>
                  </w:tcBorders>
                  <w:shd w:val="clear" w:color="auto" w:fill="auto"/>
                  <w:vAlign w:val="center"/>
                </w:tcPr>
                <w:p w14:paraId="3699AC12">
                  <w:pPr>
                    <w:keepNext w:val="0"/>
                    <w:keepLines w:val="0"/>
                    <w:suppressLineNumbers w:val="0"/>
                    <w:spacing w:before="0" w:beforeAutospacing="0" w:after="0" w:afterAutospacing="0" w:line="240" w:lineRule="auto"/>
                    <w:ind w:left="0" w:right="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57</w:t>
                  </w:r>
                </w:p>
              </w:tc>
              <w:tc>
                <w:tcPr>
                  <w:tcW w:w="462" w:type="pct"/>
                  <w:tcBorders>
                    <w:tl2br w:val="nil"/>
                    <w:tr2bl w:val="nil"/>
                  </w:tcBorders>
                  <w:shd w:val="clear" w:color="auto" w:fill="auto"/>
                  <w:vAlign w:val="center"/>
                </w:tcPr>
                <w:p w14:paraId="4C50316A">
                  <w:pPr>
                    <w:keepNext w:val="0"/>
                    <w:keepLines w:val="0"/>
                    <w:suppressLineNumbers w:val="0"/>
                    <w:spacing w:before="0" w:beforeAutospacing="0" w:after="0" w:afterAutospacing="0" w:line="240" w:lineRule="auto"/>
                    <w:ind w:left="0" w:right="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57</w:t>
                  </w:r>
                </w:p>
              </w:tc>
              <w:tc>
                <w:tcPr>
                  <w:tcW w:w="670" w:type="dxa"/>
                  <w:tcBorders>
                    <w:tl2br w:val="nil"/>
                    <w:tr2bl w:val="nil"/>
                  </w:tcBorders>
                  <w:shd w:val="clear" w:color="auto" w:fill="auto"/>
                  <w:vAlign w:val="center"/>
                </w:tcPr>
                <w:p w14:paraId="33E52743">
                  <w:pPr>
                    <w:keepNext w:val="0"/>
                    <w:keepLines w:val="0"/>
                    <w:suppressLineNumbers w:val="0"/>
                    <w:spacing w:before="0" w:beforeAutospacing="0" w:after="0" w:afterAutospacing="0" w:line="240" w:lineRule="auto"/>
                    <w:ind w:left="0" w:leftChars="0" w:right="0" w:rightChars="0"/>
                    <w:jc w:val="center"/>
                    <w:rPr>
                      <w:rFonts w:hint="eastAsia"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60</w:t>
                  </w:r>
                </w:p>
              </w:tc>
              <w:tc>
                <w:tcPr>
                  <w:tcW w:w="800" w:type="dxa"/>
                  <w:tcBorders>
                    <w:tl2br w:val="nil"/>
                    <w:tr2bl w:val="nil"/>
                  </w:tcBorders>
                  <w:shd w:val="clear" w:color="auto" w:fill="auto"/>
                  <w:vAlign w:val="center"/>
                </w:tcPr>
                <w:p w14:paraId="505AEFEF">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Arial"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Arial" w:cs="Times New Roman"/>
                      <w:b w:val="0"/>
                      <w:bCs w:val="0"/>
                      <w:color w:val="000000" w:themeColor="text1"/>
                      <w:sz w:val="21"/>
                      <w:szCs w:val="21"/>
                      <w:highlight w:val="none"/>
                      <w14:textFill>
                        <w14:solidFill>
                          <w14:schemeClr w14:val="tx1"/>
                        </w14:solidFill>
                      </w14:textFill>
                    </w:rPr>
                    <w:t>达标</w:t>
                  </w:r>
                </w:p>
              </w:tc>
            </w:tr>
            <w:tr w14:paraId="58B3296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428" w:type="pct"/>
                  <w:tcBorders>
                    <w:tl2br w:val="nil"/>
                    <w:tr2bl w:val="nil"/>
                  </w:tcBorders>
                  <w:shd w:val="clear" w:color="auto" w:fill="auto"/>
                  <w:vAlign w:val="center"/>
                </w:tcPr>
                <w:p w14:paraId="050EE9BF">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西</w:t>
                  </w:r>
                </w:p>
              </w:tc>
              <w:tc>
                <w:tcPr>
                  <w:tcW w:w="305" w:type="pct"/>
                  <w:tcBorders>
                    <w:tl2br w:val="nil"/>
                    <w:tr2bl w:val="nil"/>
                  </w:tcBorders>
                  <w:shd w:val="clear" w:color="auto" w:fill="auto"/>
                  <w:vAlign w:val="center"/>
                </w:tcPr>
                <w:p w14:paraId="5B5586FF">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Arial" w:cs="Times New Roman"/>
                      <w:b w:val="0"/>
                      <w:bCs w:val="0"/>
                      <w:color w:val="000000" w:themeColor="text1"/>
                      <w:sz w:val="21"/>
                      <w:szCs w:val="21"/>
                      <w:highlight w:val="none"/>
                      <w14:textFill>
                        <w14:solidFill>
                          <w14:schemeClr w14:val="tx1"/>
                        </w14:solidFill>
                      </w14:textFill>
                    </w:rPr>
                    <w:t>昼间</w:t>
                  </w:r>
                </w:p>
              </w:tc>
              <w:tc>
                <w:tcPr>
                  <w:tcW w:w="1183" w:type="pct"/>
                  <w:tcBorders>
                    <w:tl2br w:val="nil"/>
                    <w:tr2bl w:val="nil"/>
                  </w:tcBorders>
                  <w:shd w:val="clear" w:color="auto" w:fill="auto"/>
                  <w:vAlign w:val="center"/>
                </w:tcPr>
                <w:p w14:paraId="15600FDC">
                  <w:pPr>
                    <w:pStyle w:val="58"/>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旺力新天地</w:t>
                  </w:r>
                </w:p>
              </w:tc>
              <w:tc>
                <w:tcPr>
                  <w:tcW w:w="369" w:type="pct"/>
                  <w:tcBorders>
                    <w:tl2br w:val="nil"/>
                    <w:tr2bl w:val="nil"/>
                  </w:tcBorders>
                  <w:shd w:val="clear" w:color="auto" w:fill="auto"/>
                  <w:vAlign w:val="center"/>
                </w:tcPr>
                <w:p w14:paraId="6748C4C8">
                  <w:pPr>
                    <w:keepNext w:val="0"/>
                    <w:keepLines w:val="0"/>
                    <w:suppressLineNumbers w:val="0"/>
                    <w:spacing w:before="0" w:beforeAutospacing="0" w:after="0" w:afterAutospacing="0" w:line="240" w:lineRule="auto"/>
                    <w:ind w:left="0" w:leftChars="0" w:right="0" w:rightChars="0"/>
                    <w:jc w:val="center"/>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55</w:t>
                  </w:r>
                </w:p>
              </w:tc>
              <w:tc>
                <w:tcPr>
                  <w:tcW w:w="517" w:type="pct"/>
                  <w:tcBorders>
                    <w:tl2br w:val="nil"/>
                    <w:tr2bl w:val="nil"/>
                  </w:tcBorders>
                  <w:shd w:val="clear" w:color="auto" w:fill="auto"/>
                  <w:vAlign w:val="center"/>
                </w:tcPr>
                <w:p w14:paraId="7F1181F7">
                  <w:pPr>
                    <w:keepNext w:val="0"/>
                    <w:keepLines w:val="0"/>
                    <w:suppressLineNumbers w:val="0"/>
                    <w:spacing w:before="0" w:beforeAutospacing="0" w:after="0" w:afterAutospacing="0" w:line="240" w:lineRule="auto"/>
                    <w:ind w:left="0" w:right="0"/>
                    <w:jc w:val="center"/>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40</w:t>
                  </w:r>
                </w:p>
              </w:tc>
              <w:tc>
                <w:tcPr>
                  <w:tcW w:w="335" w:type="pct"/>
                  <w:tcBorders>
                    <w:tl2br w:val="nil"/>
                    <w:tr2bl w:val="nil"/>
                  </w:tcBorders>
                  <w:shd w:val="clear" w:color="auto" w:fill="auto"/>
                  <w:vAlign w:val="center"/>
                </w:tcPr>
                <w:p w14:paraId="080A916C">
                  <w:pPr>
                    <w:keepNext w:val="0"/>
                    <w:keepLines w:val="0"/>
                    <w:suppressLineNumbers w:val="0"/>
                    <w:spacing w:before="0" w:beforeAutospacing="0" w:after="0" w:afterAutospacing="0" w:line="240" w:lineRule="auto"/>
                    <w:ind w:left="0" w:right="0"/>
                    <w:jc w:val="center"/>
                    <w:rPr>
                      <w:rFonts w:hint="default"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23</w:t>
                  </w:r>
                </w:p>
              </w:tc>
              <w:tc>
                <w:tcPr>
                  <w:tcW w:w="490" w:type="pct"/>
                  <w:tcBorders>
                    <w:tl2br w:val="nil"/>
                    <w:tr2bl w:val="nil"/>
                  </w:tcBorders>
                  <w:shd w:val="clear" w:color="auto" w:fill="auto"/>
                  <w:vAlign w:val="center"/>
                </w:tcPr>
                <w:p w14:paraId="51D79F03">
                  <w:pPr>
                    <w:keepNext w:val="0"/>
                    <w:keepLines w:val="0"/>
                    <w:suppressLineNumbers w:val="0"/>
                    <w:spacing w:before="0" w:beforeAutospacing="0" w:after="0" w:afterAutospacing="0" w:line="240" w:lineRule="auto"/>
                    <w:ind w:left="0" w:right="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57</w:t>
                  </w:r>
                </w:p>
              </w:tc>
              <w:tc>
                <w:tcPr>
                  <w:tcW w:w="462" w:type="pct"/>
                  <w:tcBorders>
                    <w:tl2br w:val="nil"/>
                    <w:tr2bl w:val="nil"/>
                  </w:tcBorders>
                  <w:shd w:val="clear" w:color="auto" w:fill="auto"/>
                  <w:vAlign w:val="center"/>
                </w:tcPr>
                <w:p w14:paraId="15DC980C">
                  <w:pPr>
                    <w:keepNext w:val="0"/>
                    <w:keepLines w:val="0"/>
                    <w:suppressLineNumbers w:val="0"/>
                    <w:spacing w:before="0" w:beforeAutospacing="0" w:after="0" w:afterAutospacing="0" w:line="240" w:lineRule="auto"/>
                    <w:ind w:left="0" w:right="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57</w:t>
                  </w:r>
                </w:p>
              </w:tc>
              <w:tc>
                <w:tcPr>
                  <w:tcW w:w="670" w:type="dxa"/>
                  <w:tcBorders>
                    <w:tl2br w:val="nil"/>
                    <w:tr2bl w:val="nil"/>
                  </w:tcBorders>
                  <w:shd w:val="clear" w:color="auto" w:fill="auto"/>
                  <w:vAlign w:val="center"/>
                </w:tcPr>
                <w:p w14:paraId="27F60BA2">
                  <w:pPr>
                    <w:keepNext w:val="0"/>
                    <w:keepLines w:val="0"/>
                    <w:suppressLineNumbers w:val="0"/>
                    <w:spacing w:before="0" w:beforeAutospacing="0" w:after="0" w:afterAutospacing="0" w:line="240" w:lineRule="auto"/>
                    <w:ind w:left="0" w:leftChars="0" w:right="0" w:rightChars="0"/>
                    <w:jc w:val="center"/>
                    <w:rPr>
                      <w:rFonts w:hint="eastAsia"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60</w:t>
                  </w:r>
                </w:p>
              </w:tc>
              <w:tc>
                <w:tcPr>
                  <w:tcW w:w="800" w:type="dxa"/>
                  <w:tcBorders>
                    <w:tl2br w:val="nil"/>
                    <w:tr2bl w:val="nil"/>
                  </w:tcBorders>
                  <w:shd w:val="clear" w:color="auto" w:fill="auto"/>
                  <w:vAlign w:val="center"/>
                </w:tcPr>
                <w:p w14:paraId="419435CA">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Arial"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Arial" w:cs="Times New Roman"/>
                      <w:b w:val="0"/>
                      <w:bCs w:val="0"/>
                      <w:color w:val="000000" w:themeColor="text1"/>
                      <w:sz w:val="21"/>
                      <w:szCs w:val="21"/>
                      <w:highlight w:val="none"/>
                      <w14:textFill>
                        <w14:solidFill>
                          <w14:schemeClr w14:val="tx1"/>
                        </w14:solidFill>
                      </w14:textFill>
                    </w:rPr>
                    <w:t>达标</w:t>
                  </w:r>
                </w:p>
              </w:tc>
            </w:tr>
          </w:tbl>
          <w:p w14:paraId="6E3FFD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eastAsia="宋体"/>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由</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上表</w:t>
            </w:r>
            <w:r>
              <w:rPr>
                <w:rFonts w:hint="default" w:ascii="Times New Roman" w:hAnsi="Times New Roman" w:eastAsia="宋体" w:cs="Times New Roman"/>
                <w:color w:val="000000" w:themeColor="text1"/>
                <w:sz w:val="24"/>
                <w:szCs w:val="24"/>
                <w:highlight w:val="none"/>
                <w14:textFill>
                  <w14:solidFill>
                    <w14:schemeClr w14:val="tx1"/>
                  </w14:solidFill>
                </w14:textFill>
              </w:rPr>
              <w:t>可以看出，运营期</w:t>
            </w:r>
            <w:r>
              <w:rPr>
                <w:rFonts w:hint="eastAsia" w:cs="Times New Roman"/>
                <w:color w:val="000000" w:themeColor="text1"/>
                <w:sz w:val="24"/>
                <w:szCs w:val="24"/>
                <w:highlight w:val="none"/>
                <w:lang w:val="en-US" w:eastAsia="zh-CN"/>
                <w14:textFill>
                  <w14:solidFill>
                    <w14:schemeClr w14:val="tx1"/>
                  </w14:solidFill>
                </w14:textFill>
              </w:rPr>
              <w:t>南、西厂界噪声</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满足</w:t>
            </w:r>
            <w:r>
              <w:rPr>
                <w:rFonts w:hint="default" w:ascii="Times New Roman" w:hAnsi="Times New Roman" w:eastAsia="宋体" w:cs="Times New Roman"/>
                <w:bCs/>
                <w:color w:val="000000" w:themeColor="text1"/>
                <w:kern w:val="0"/>
                <w:sz w:val="24"/>
                <w:szCs w:val="24"/>
                <w:highlight w:val="none"/>
                <w14:textFill>
                  <w14:solidFill>
                    <w14:schemeClr w14:val="tx1"/>
                  </w14:solidFill>
                </w14:textFill>
              </w:rPr>
              <w:t>《工业企业厂界环境噪声排放标准》（GB12348-2008）</w:t>
            </w:r>
            <w:r>
              <w:rPr>
                <w:rFonts w:hint="default" w:ascii="Times New Roman" w:hAnsi="Times New Roman" w:eastAsia="宋体" w:cs="Times New Roman"/>
                <w:color w:val="000000" w:themeColor="text1"/>
                <w:sz w:val="24"/>
                <w:szCs w:val="24"/>
                <w:highlight w:val="none"/>
                <w14:textFill>
                  <w14:solidFill>
                    <w14:schemeClr w14:val="tx1"/>
                  </w14:solidFill>
                </w14:textFill>
              </w:rPr>
              <w:t>中</w:t>
            </w:r>
            <w:r>
              <w:rPr>
                <w:rFonts w:hint="eastAsia" w:cs="Times New Roman"/>
                <w:color w:val="000000" w:themeColor="text1"/>
                <w:sz w:val="24"/>
                <w:szCs w:val="24"/>
                <w:highlight w:val="none"/>
                <w:lang w:val="en-US" w:eastAsia="zh-CN"/>
                <w14:textFill>
                  <w14:solidFill>
                    <w14:schemeClr w14:val="tx1"/>
                  </w14:solidFill>
                </w14:textFill>
              </w:rPr>
              <w:t>2类</w:t>
            </w:r>
            <w:r>
              <w:rPr>
                <w:rFonts w:hint="default" w:ascii="Times New Roman" w:hAnsi="Times New Roman" w:eastAsia="宋体" w:cs="Times New Roman"/>
                <w:color w:val="000000" w:themeColor="text1"/>
                <w:sz w:val="24"/>
                <w:szCs w:val="24"/>
                <w:highlight w:val="none"/>
                <w14:textFill>
                  <w14:solidFill>
                    <w14:schemeClr w14:val="tx1"/>
                  </w14:solidFill>
                </w14:textFill>
              </w:rPr>
              <w:t>标准</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要求</w:t>
            </w:r>
            <w:r>
              <w:rPr>
                <w:rFonts w:hint="eastAsia" w:cs="Times New Roman"/>
                <w:color w:val="000000" w:themeColor="text1"/>
                <w:sz w:val="24"/>
                <w:szCs w:val="24"/>
                <w:highlight w:val="none"/>
                <w:lang w:val="en-US" w:eastAsia="zh-CN"/>
                <w14:textFill>
                  <w14:solidFill>
                    <w14:schemeClr w14:val="tx1"/>
                  </w14:solidFill>
                </w14:textFill>
              </w:rPr>
              <w:t>；东、北厂界噪声</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满足</w:t>
            </w:r>
            <w:r>
              <w:rPr>
                <w:rFonts w:hint="default" w:ascii="Times New Roman" w:hAnsi="Times New Roman" w:eastAsia="宋体" w:cs="Times New Roman"/>
                <w:bCs/>
                <w:color w:val="000000" w:themeColor="text1"/>
                <w:kern w:val="0"/>
                <w:sz w:val="24"/>
                <w:szCs w:val="24"/>
                <w:highlight w:val="none"/>
                <w14:textFill>
                  <w14:solidFill>
                    <w14:schemeClr w14:val="tx1"/>
                  </w14:solidFill>
                </w14:textFill>
              </w:rPr>
              <w:t>《工业企业厂界环境噪声排放标准》（GB12348-2008）</w:t>
            </w:r>
            <w:r>
              <w:rPr>
                <w:rFonts w:hint="default" w:ascii="Times New Roman" w:hAnsi="Times New Roman" w:eastAsia="宋体" w:cs="Times New Roman"/>
                <w:color w:val="000000" w:themeColor="text1"/>
                <w:sz w:val="24"/>
                <w:szCs w:val="24"/>
                <w:highlight w:val="none"/>
                <w14:textFill>
                  <w14:solidFill>
                    <w14:schemeClr w14:val="tx1"/>
                  </w14:solidFill>
                </w14:textFill>
              </w:rPr>
              <w:t>中</w:t>
            </w:r>
            <w:r>
              <w:rPr>
                <w:rFonts w:hint="eastAsia" w:cs="Times New Roman"/>
                <w:color w:val="000000" w:themeColor="text1"/>
                <w:sz w:val="24"/>
                <w:szCs w:val="24"/>
                <w:highlight w:val="none"/>
                <w:lang w:val="en-US" w:eastAsia="zh-CN"/>
                <w14:textFill>
                  <w14:solidFill>
                    <w14:schemeClr w14:val="tx1"/>
                  </w14:solidFill>
                </w14:textFill>
              </w:rPr>
              <w:t>3类</w:t>
            </w:r>
            <w:r>
              <w:rPr>
                <w:rFonts w:hint="default" w:ascii="Times New Roman" w:hAnsi="Times New Roman" w:eastAsia="宋体" w:cs="Times New Roman"/>
                <w:color w:val="000000" w:themeColor="text1"/>
                <w:sz w:val="24"/>
                <w:szCs w:val="24"/>
                <w:highlight w:val="none"/>
                <w14:textFill>
                  <w14:solidFill>
                    <w14:schemeClr w14:val="tx1"/>
                  </w14:solidFill>
                </w14:textFill>
              </w:rPr>
              <w:t>标准</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要求</w:t>
            </w:r>
            <w:r>
              <w:rPr>
                <w:rFonts w:hint="default" w:ascii="Times New Roman" w:hAnsi="Times New Roman" w:eastAsia="宋体" w:cs="Times New Roman"/>
                <w:bCs/>
                <w:color w:val="000000" w:themeColor="text1"/>
                <w:sz w:val="24"/>
                <w:szCs w:val="24"/>
                <w:highlight w:val="none"/>
                <w14:textFill>
                  <w14:solidFill>
                    <w14:schemeClr w14:val="tx1"/>
                  </w14:solidFill>
                </w14:textFill>
              </w:rPr>
              <w:t>。</w:t>
            </w:r>
          </w:p>
          <w:p w14:paraId="196CB5C3">
            <w:pPr>
              <w:keepNext w:val="0"/>
              <w:keepLines w:val="0"/>
              <w:suppressLineNumbers w:val="0"/>
              <w:autoSpaceDE w:val="0"/>
              <w:autoSpaceDN w:val="0"/>
              <w:spacing w:before="0" w:beforeAutospacing="0" w:after="0" w:afterAutospacing="0" w:line="360" w:lineRule="auto"/>
              <w:ind w:left="0" w:right="0"/>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3.</w:t>
            </w:r>
            <w:r>
              <w:rPr>
                <w:rFonts w:hint="eastAsia" w:cs="Times New Roman"/>
                <w:b/>
                <w:bCs/>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、噪声监测计划</w:t>
            </w:r>
          </w:p>
          <w:p w14:paraId="649130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根据《排污单位自行监测技术指南 </w:t>
            </w:r>
            <w:r>
              <w:rPr>
                <w:rFonts w:hint="eastAsia" w:cs="Times New Roman"/>
                <w:color w:val="000000" w:themeColor="text1"/>
                <w:sz w:val="24"/>
                <w:szCs w:val="24"/>
                <w:highlight w:val="none"/>
                <w:lang w:val="en-US" w:eastAsia="zh-CN"/>
                <w14:textFill>
                  <w14:solidFill>
                    <w14:schemeClr w14:val="tx1"/>
                  </w14:solidFill>
                </w14:textFill>
              </w:rPr>
              <w:t>总则</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》（HJ</w:t>
            </w:r>
            <w:r>
              <w:rPr>
                <w:rFonts w:hint="eastAsia" w:cs="Times New Roman"/>
                <w:color w:val="000000" w:themeColor="text1"/>
                <w:sz w:val="24"/>
                <w:szCs w:val="24"/>
                <w:highlight w:val="none"/>
                <w:lang w:val="en-US" w:eastAsia="zh-CN"/>
                <w14:textFill>
                  <w14:solidFill>
                    <w14:schemeClr w14:val="tx1"/>
                  </w14:solidFill>
                </w14:textFill>
              </w:rPr>
              <w:t xml:space="preserve"> 819</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-20</w:t>
            </w:r>
            <w:r>
              <w:rPr>
                <w:rFonts w:hint="eastAsia" w:cs="Times New Roman"/>
                <w:color w:val="000000" w:themeColor="text1"/>
                <w:sz w:val="24"/>
                <w:szCs w:val="24"/>
                <w:highlight w:val="none"/>
                <w:lang w:val="en-US" w:eastAsia="zh-CN"/>
                <w14:textFill>
                  <w14:solidFill>
                    <w14:schemeClr w14:val="tx1"/>
                  </w14:solidFill>
                </w14:textFill>
              </w:rPr>
              <w:t>17</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该</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项目噪声监测方案见下表。</w:t>
            </w:r>
          </w:p>
          <w:p w14:paraId="37856967">
            <w:pPr>
              <w:keepNext w:val="0"/>
              <w:keepLines w:val="0"/>
              <w:pageBreakBefore w:val="0"/>
              <w:widowControl w:val="0"/>
              <w:numPr>
                <w:ilvl w:val="0"/>
                <w:numId w:val="26"/>
              </w:numPr>
              <w:suppressLineNumbers w:val="0"/>
              <w:kinsoku/>
              <w:wordWrap/>
              <w:overflowPunct/>
              <w:topLinePunct w:val="0"/>
              <w:autoSpaceDE/>
              <w:autoSpaceDN/>
              <w:bidi w:val="0"/>
              <w:adjustRightInd/>
              <w:snapToGrid w:val="0"/>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声</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环境监测计划</w:t>
            </w:r>
          </w:p>
          <w:tbl>
            <w:tblPr>
              <w:tblStyle w:val="35"/>
              <w:tblW w:w="4998" w:type="pct"/>
              <w:jc w:val="center"/>
              <w:tblBorders>
                <w:top w:val="double" w:color="auto" w:sz="4" w:space="0"/>
                <w:left w:val="none" w:color="auto" w:sz="0" w:space="0"/>
                <w:bottom w:val="double" w:color="auto" w:sz="4" w:space="0"/>
                <w:right w:val="none" w:color="auto" w:sz="0" w:space="0"/>
                <w:insideH w:val="single" w:color="auto" w:sz="6" w:space="0"/>
                <w:insideV w:val="single" w:color="auto" w:sz="6" w:space="0"/>
              </w:tblBorders>
              <w:tblLayout w:type="fixed"/>
              <w:tblCellMar>
                <w:top w:w="0" w:type="dxa"/>
                <w:left w:w="23" w:type="dxa"/>
                <w:bottom w:w="0" w:type="dxa"/>
                <w:right w:w="23" w:type="dxa"/>
              </w:tblCellMar>
            </w:tblPr>
            <w:tblGrid>
              <w:gridCol w:w="1035"/>
              <w:gridCol w:w="1800"/>
              <w:gridCol w:w="1073"/>
              <w:gridCol w:w="1295"/>
              <w:gridCol w:w="2909"/>
            </w:tblGrid>
            <w:tr w14:paraId="2B5FC6E0">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452" w:hRule="atLeast"/>
                <w:jc w:val="center"/>
              </w:trPr>
              <w:tc>
                <w:tcPr>
                  <w:tcW w:w="638" w:type="pct"/>
                  <w:tcBorders>
                    <w:tl2br w:val="nil"/>
                    <w:tr2bl w:val="nil"/>
                  </w:tcBorders>
                  <w:noWrap w:val="0"/>
                  <w:vAlign w:val="center"/>
                </w:tcPr>
                <w:p w14:paraId="5B50531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监测内容</w:t>
                  </w:r>
                </w:p>
              </w:tc>
              <w:tc>
                <w:tcPr>
                  <w:tcW w:w="1109" w:type="pct"/>
                  <w:tcBorders>
                    <w:tl2br w:val="nil"/>
                    <w:tr2bl w:val="nil"/>
                  </w:tcBorders>
                  <w:noWrap w:val="0"/>
                  <w:vAlign w:val="center"/>
                </w:tcPr>
                <w:p w14:paraId="313C02B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监测点位</w:t>
                  </w:r>
                </w:p>
              </w:tc>
              <w:tc>
                <w:tcPr>
                  <w:tcW w:w="661" w:type="pct"/>
                  <w:tcBorders>
                    <w:tl2br w:val="nil"/>
                    <w:tr2bl w:val="nil"/>
                  </w:tcBorders>
                  <w:noWrap w:val="0"/>
                  <w:vAlign w:val="center"/>
                </w:tcPr>
                <w:p w14:paraId="3F01B3D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监测项目</w:t>
                  </w:r>
                </w:p>
              </w:tc>
              <w:tc>
                <w:tcPr>
                  <w:tcW w:w="798" w:type="pct"/>
                  <w:tcBorders>
                    <w:tl2br w:val="nil"/>
                    <w:tr2bl w:val="nil"/>
                  </w:tcBorders>
                  <w:noWrap w:val="0"/>
                  <w:vAlign w:val="center"/>
                </w:tcPr>
                <w:p w14:paraId="565779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监测频</w:t>
                  </w:r>
                  <w:r>
                    <w:rPr>
                      <w:rFonts w:hint="default" w:ascii="Times New Roman" w:hAnsi="Times New Roman" w:eastAsia="宋体" w:cs="Times New Roman"/>
                      <w:b/>
                      <w:bCs/>
                      <w:color w:val="000000" w:themeColor="text1"/>
                      <w:sz w:val="21"/>
                      <w:szCs w:val="21"/>
                      <w:highlight w:val="none"/>
                      <w:lang w:eastAsia="zh-CN"/>
                      <w14:textFill>
                        <w14:solidFill>
                          <w14:schemeClr w14:val="tx1"/>
                        </w14:solidFill>
                      </w14:textFill>
                    </w:rPr>
                    <w:t>次</w:t>
                  </w:r>
                </w:p>
              </w:tc>
              <w:tc>
                <w:tcPr>
                  <w:tcW w:w="1792" w:type="pct"/>
                  <w:tcBorders>
                    <w:tl2br w:val="nil"/>
                    <w:tr2bl w:val="nil"/>
                  </w:tcBorders>
                  <w:noWrap w:val="0"/>
                  <w:vAlign w:val="center"/>
                </w:tcPr>
                <w:p w14:paraId="2E377C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执行标准</w:t>
                  </w:r>
                </w:p>
              </w:tc>
            </w:tr>
            <w:tr w14:paraId="719A93B3">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23" w:type="dxa"/>
                  <w:bottom w:w="0" w:type="dxa"/>
                  <w:right w:w="23" w:type="dxa"/>
                </w:tblCellMar>
              </w:tblPrEx>
              <w:trPr>
                <w:trHeight w:val="634" w:hRule="atLeast"/>
                <w:jc w:val="center"/>
              </w:trPr>
              <w:tc>
                <w:tcPr>
                  <w:tcW w:w="638" w:type="pct"/>
                  <w:tcBorders>
                    <w:tl2br w:val="nil"/>
                    <w:tr2bl w:val="nil"/>
                  </w:tcBorders>
                  <w:noWrap w:val="0"/>
                  <w:vAlign w:val="center"/>
                </w:tcPr>
                <w:p w14:paraId="7B19955A">
                  <w:pPr>
                    <w:keepNext w:val="0"/>
                    <w:keepLines w:val="0"/>
                    <w:pageBreakBefore w:val="0"/>
                    <w:widowControl/>
                    <w:suppressLineNumbers w:val="0"/>
                    <w:kinsoku/>
                    <w:wordWrap/>
                    <w:overflowPunct/>
                    <w:bidi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噪声监测</w:t>
                  </w:r>
                </w:p>
              </w:tc>
              <w:tc>
                <w:tcPr>
                  <w:tcW w:w="1109" w:type="pct"/>
                  <w:tcBorders>
                    <w:tl2br w:val="nil"/>
                    <w:tr2bl w:val="nil"/>
                  </w:tcBorders>
                  <w:noWrap w:val="0"/>
                  <w:vAlign w:val="center"/>
                </w:tcPr>
                <w:p w14:paraId="2CFC718A">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pacing w:val="0"/>
                      <w:sz w:val="21"/>
                      <w:szCs w:val="21"/>
                      <w:highlight w:val="none"/>
                      <w14:textFill>
                        <w14:solidFill>
                          <w14:schemeClr w14:val="tx1"/>
                        </w14:solidFill>
                      </w14:textFill>
                    </w:rPr>
                    <w:t>厂界四周外1m处</w:t>
                  </w:r>
                </w:p>
              </w:tc>
              <w:tc>
                <w:tcPr>
                  <w:tcW w:w="661" w:type="pct"/>
                  <w:tcBorders>
                    <w:tl2br w:val="nil"/>
                    <w:tr2bl w:val="nil"/>
                  </w:tcBorders>
                  <w:noWrap w:val="0"/>
                  <w:vAlign w:val="center"/>
                </w:tcPr>
                <w:p w14:paraId="726BF9C3">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昼间</w:t>
                  </w:r>
                  <w:r>
                    <w:rPr>
                      <w:rFonts w:hint="eastAsia" w:cs="Times New Roman"/>
                      <w:b w:val="0"/>
                      <w:bCs w:val="0"/>
                      <w:color w:val="000000" w:themeColor="text1"/>
                      <w:sz w:val="21"/>
                      <w:szCs w:val="21"/>
                      <w:highlight w:val="none"/>
                      <w:lang w:eastAsia="zh-CN"/>
                      <w14:textFill>
                        <w14:solidFill>
                          <w14:schemeClr w14:val="tx1"/>
                        </w14:solidFill>
                      </w14:textFill>
                    </w:rPr>
                    <w:t>、</w:t>
                  </w:r>
                  <w:r>
                    <w:rPr>
                      <w:rFonts w:hint="eastAsia" w:cs="Times New Roman"/>
                      <w:b w:val="0"/>
                      <w:bCs w:val="0"/>
                      <w:color w:val="000000" w:themeColor="text1"/>
                      <w:sz w:val="21"/>
                      <w:szCs w:val="21"/>
                      <w:highlight w:val="none"/>
                      <w:lang w:val="en-US" w:eastAsia="zh-CN"/>
                      <w14:textFill>
                        <w14:solidFill>
                          <w14:schemeClr w14:val="tx1"/>
                        </w14:solidFill>
                      </w14:textFill>
                    </w:rPr>
                    <w:t>夜间</w:t>
                  </w:r>
                </w:p>
                <w:p w14:paraId="26D57D9D">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Leq（A）</w:t>
                  </w:r>
                </w:p>
              </w:tc>
              <w:tc>
                <w:tcPr>
                  <w:tcW w:w="798" w:type="pct"/>
                  <w:tcBorders>
                    <w:tl2br w:val="nil"/>
                    <w:tr2bl w:val="nil"/>
                  </w:tcBorders>
                  <w:noWrap w:val="0"/>
                  <w:vAlign w:val="center"/>
                </w:tcPr>
                <w:p w14:paraId="2ED0A279">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eastAsia"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1次/</w:t>
                  </w:r>
                  <w:r>
                    <w:rPr>
                      <w:rFonts w:hint="eastAsia" w:cs="Times New Roman"/>
                      <w:b w:val="0"/>
                      <w:bCs w:val="0"/>
                      <w:color w:val="000000" w:themeColor="text1"/>
                      <w:sz w:val="21"/>
                      <w:szCs w:val="21"/>
                      <w:highlight w:val="none"/>
                      <w:lang w:val="en-US" w:eastAsia="zh-CN"/>
                      <w14:textFill>
                        <w14:solidFill>
                          <w14:schemeClr w14:val="tx1"/>
                        </w14:solidFill>
                      </w14:textFill>
                    </w:rPr>
                    <w:t>季度</w:t>
                  </w:r>
                </w:p>
              </w:tc>
              <w:tc>
                <w:tcPr>
                  <w:tcW w:w="1792" w:type="pct"/>
                  <w:tcBorders>
                    <w:tl2br w:val="nil"/>
                    <w:tr2bl w:val="nil"/>
                  </w:tcBorders>
                  <w:noWrap w:val="0"/>
                  <w:vAlign w:val="center"/>
                </w:tcPr>
                <w:p w14:paraId="39C51E59">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南、西厂界噪声执行《工业企业厂界环境噪声排放标准》（GB12348-2008）2类标准限值；东、北厂界噪声执行《工业企业厂界环境噪声排放标准》（GB12348-2008）3类标准限值</w:t>
                  </w:r>
                </w:p>
              </w:tc>
            </w:tr>
          </w:tbl>
          <w:p w14:paraId="5989EEC1">
            <w:pPr>
              <w:keepNext w:val="0"/>
              <w:keepLines w:val="0"/>
              <w:suppressLineNumbers w:val="0"/>
              <w:autoSpaceDE w:val="0"/>
              <w:autoSpaceDN w:val="0"/>
              <w:spacing w:before="0" w:beforeAutospacing="0" w:after="0" w:afterAutospacing="0" w:line="360" w:lineRule="auto"/>
              <w:ind w:left="0" w:right="0"/>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3.</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、污染治理措施</w:t>
            </w:r>
          </w:p>
          <w:p w14:paraId="16ADA5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本项目采取以下措施：</w:t>
            </w:r>
          </w:p>
          <w:p w14:paraId="5F976B56">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2"/>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1）本项目主要产噪设备布设在建筑物内，且尽量布设在远离厂界位置；</w:t>
            </w:r>
          </w:p>
          <w:p w14:paraId="21DBDCE5">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2"/>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2）从设备选型入手，选择低噪声的设备；</w:t>
            </w:r>
          </w:p>
          <w:p w14:paraId="7366B753">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2"/>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3）风机、泵机等产噪设备安装减振垫；对机械传动部件动态不平衡处认真进行平整调整；</w:t>
            </w:r>
          </w:p>
          <w:p w14:paraId="6105B642">
            <w:pPr>
              <w:keepNext/>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outlineLvl w:val="2"/>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4）对设备进行定期检修，加强润滑作用，保持设备良好的运转状态，尽量降低噪声。</w:t>
            </w:r>
          </w:p>
          <w:p w14:paraId="282EF28D">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采取以上措施后，厂界噪声可以满足《工业企业厂界环境噪声排放标准》（GB12348 -2008）中</w:t>
            </w:r>
            <w:r>
              <w:rPr>
                <w:rFonts w:hint="eastAsia" w:cs="Times New Roman"/>
                <w:color w:val="000000" w:themeColor="text1"/>
                <w:sz w:val="24"/>
                <w:szCs w:val="24"/>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类</w:t>
            </w:r>
            <w:r>
              <w:rPr>
                <w:rFonts w:hint="eastAsia" w:cs="Times New Roman"/>
                <w:color w:val="000000" w:themeColor="text1"/>
                <w:sz w:val="24"/>
                <w:szCs w:val="24"/>
                <w:highlight w:val="none"/>
                <w:lang w:val="en-US" w:eastAsia="zh-CN"/>
                <w14:textFill>
                  <w14:solidFill>
                    <w14:schemeClr w14:val="tx1"/>
                  </w14:solidFill>
                </w14:textFill>
              </w:rPr>
              <w:t>和3类</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标准要求，且所采用的噪声污染防治措施在国内外均已普遍应用，技术上成熟可靠、效果显著，噪声治理措施是可行的</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6D313DF6">
            <w:pPr>
              <w:keepNext w:val="0"/>
              <w:keepLines w:val="0"/>
              <w:pageBreakBefore w:val="0"/>
              <w:widowControl/>
              <w:suppressLineNumbers w:val="0"/>
              <w:kinsoku/>
              <w:wordWrap/>
              <w:overflowPunct/>
              <w:topLinePunct w:val="0"/>
              <w:autoSpaceDE/>
              <w:autoSpaceDN/>
              <w:bidi w:val="0"/>
              <w:adjustRightInd w:val="0"/>
              <w:snapToGrid w:val="0"/>
              <w:spacing w:before="157" w:beforeLines="50" w:beforeAutospacing="0" w:after="0" w:afterAutospacing="0" w:line="360" w:lineRule="auto"/>
              <w:ind w:left="0" w:right="0"/>
              <w:jc w:val="left"/>
              <w:textAlignment w:val="auto"/>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bidi="en-US"/>
                <w14:textFill>
                  <w14:solidFill>
                    <w14:schemeClr w14:val="tx1"/>
                  </w14:solidFill>
                </w14:textFill>
              </w:rPr>
              <w:t>4、固体废物</w:t>
            </w:r>
          </w:p>
          <w:p w14:paraId="1FD5E1F3">
            <w:pPr>
              <w:keepNext w:val="0"/>
              <w:keepLines w:val="0"/>
              <w:suppressLineNumbers w:val="0"/>
              <w:spacing w:before="0" w:beforeAutospacing="0" w:after="0" w:afterAutospacing="0" w:line="360" w:lineRule="auto"/>
              <w:ind w:left="0" w:right="0" w:firstLine="480" w:firstLineChars="20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本项目运营期间固体废物主要为一般固体废物和危险废物，一般固体废物主要为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分拣废渣</w:t>
            </w:r>
            <w:r>
              <w:rPr>
                <w:rFonts w:hint="eastAsia" w:cs="Times New Roman"/>
                <w:color w:val="000000" w:themeColor="text1"/>
                <w:sz w:val="24"/>
                <w:szCs w:val="24"/>
                <w:highlight w:val="none"/>
                <w:lang w:val="en-US" w:eastAsia="zh-CN"/>
                <w14:textFill>
                  <w14:solidFill>
                    <w14:schemeClr w14:val="tx1"/>
                  </w14:solidFill>
                </w14:textFill>
              </w:rPr>
              <w:t>、废渣、废捕集袋、废包装材料及</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废胶囊材料</w:t>
            </w:r>
            <w:r>
              <w:rPr>
                <w:rFonts w:hint="eastAsia" w:cs="Times New Roman"/>
                <w:color w:val="000000" w:themeColor="text1"/>
                <w:sz w:val="24"/>
                <w:szCs w:val="24"/>
                <w:highlight w:val="none"/>
                <w:lang w:val="en-US" w:eastAsia="zh-CN"/>
                <w14:textFill>
                  <w14:solidFill>
                    <w14:schemeClr w14:val="tx1"/>
                  </w14:solidFill>
                </w14:textFill>
              </w:rPr>
              <w:t>、除尘灰、</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废布袋</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废离子交换树脂、中药渣、污水处理站污泥</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；危险废物主要为</w:t>
            </w:r>
            <w:r>
              <w:rPr>
                <w:rFonts w:hint="eastAsia" w:cs="Times New Roman"/>
                <w:color w:val="000000" w:themeColor="text1"/>
                <w:sz w:val="24"/>
                <w:szCs w:val="24"/>
                <w:highlight w:val="none"/>
                <w:lang w:val="en-US" w:eastAsia="zh-CN"/>
                <w14:textFill>
                  <w14:solidFill>
                    <w14:schemeClr w14:val="tx1"/>
                  </w14:solidFill>
                </w14:textFill>
              </w:rPr>
              <w:t>化学检验废液</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b w:val="0"/>
                <w:bCs w:val="0"/>
                <w:color w:val="000000" w:themeColor="text1"/>
                <w:sz w:val="24"/>
                <w:szCs w:val="24"/>
                <w:highlight w:val="none"/>
                <w:lang w:eastAsia="zh-CN"/>
                <w14:textFill>
                  <w14:solidFill>
                    <w14:schemeClr w14:val="tx1"/>
                  </w14:solidFill>
                </w14:textFill>
              </w:rPr>
              <w:t>废化学试剂瓶、废弃薄层板、</w:t>
            </w:r>
            <w:r>
              <w:rPr>
                <w:rFonts w:hint="eastAsia" w:cs="Times New Roman"/>
                <w:b w:val="0"/>
                <w:bCs w:val="0"/>
                <w:color w:val="000000" w:themeColor="text1"/>
                <w:sz w:val="24"/>
                <w:szCs w:val="24"/>
                <w:highlight w:val="none"/>
                <w:lang w:val="en-US" w:eastAsia="zh-CN"/>
                <w14:textFill>
                  <w14:solidFill>
                    <w14:schemeClr w14:val="tx1"/>
                  </w14:solidFill>
                </w14:textFill>
              </w:rPr>
              <w:t>废试药</w:t>
            </w:r>
            <w:r>
              <w:rPr>
                <w:rFonts w:hint="eastAsia" w:cs="Times New Roman"/>
                <w:b w:val="0"/>
                <w:bCs w:val="0"/>
                <w:color w:val="000000" w:themeColor="text1"/>
                <w:sz w:val="24"/>
                <w:szCs w:val="24"/>
                <w:highlight w:val="none"/>
                <w:lang w:eastAsia="zh-CN"/>
                <w14:textFill>
                  <w14:solidFill>
                    <w14:schemeClr w14:val="tx1"/>
                  </w14:solidFill>
                </w14:textFill>
              </w:rPr>
              <w:t>、</w:t>
            </w:r>
            <w:r>
              <w:rPr>
                <w:rFonts w:hint="eastAsia" w:cs="Times New Roman"/>
                <w:b w:val="0"/>
                <w:bCs w:val="0"/>
                <w:color w:val="000000" w:themeColor="text1"/>
                <w:sz w:val="24"/>
                <w:szCs w:val="24"/>
                <w:highlight w:val="none"/>
                <w:lang w:val="en-US" w:eastAsia="zh-CN"/>
                <w14:textFill>
                  <w14:solidFill>
                    <w14:schemeClr w14:val="tx1"/>
                  </w14:solidFill>
                </w14:textFill>
              </w:rPr>
              <w:t>废活性炭</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13263F97">
            <w:pPr>
              <w:keepNext w:val="0"/>
              <w:keepLines w:val="0"/>
              <w:suppressLineNumbers w:val="0"/>
              <w:autoSpaceDE w:val="0"/>
              <w:autoSpaceDN w:val="0"/>
              <w:spacing w:before="0" w:beforeAutospacing="0" w:after="0" w:afterAutospacing="0" w:line="360" w:lineRule="auto"/>
              <w:ind w:left="0" w:right="0"/>
              <w:rPr>
                <w:rFonts w:hint="default" w:ascii="Times New Roman" w:hAnsi="Times New Roman" w:eastAsia="宋体" w:cs="Times New Roman"/>
                <w:b/>
                <w:color w:val="000000" w:themeColor="text1"/>
                <w:kern w:val="0"/>
                <w:sz w:val="24"/>
                <w:szCs w:val="24"/>
                <w:highlight w:val="none"/>
                <w:lang w:val="en-US" w:eastAsia="zh-CN" w:bidi="ar-SA"/>
                <w14:textFill>
                  <w14:solidFill>
                    <w14:schemeClr w14:val="tx1"/>
                  </w14:solidFill>
                </w14:textFill>
              </w:rPr>
            </w:pPr>
            <w:r>
              <w:rPr>
                <w:rFonts w:hint="eastAsia" w:cs="Times New Roman"/>
                <w:b/>
                <w:color w:val="000000" w:themeColor="text1"/>
                <w:kern w:val="0"/>
                <w:sz w:val="24"/>
                <w:szCs w:val="24"/>
                <w:highlight w:val="none"/>
                <w:lang w:val="en-US" w:eastAsia="zh-CN" w:bidi="ar-SA"/>
                <w14:textFill>
                  <w14:solidFill>
                    <w14:schemeClr w14:val="tx1"/>
                  </w14:solidFill>
                </w14:textFill>
              </w:rPr>
              <w:t>4.1</w:t>
            </w:r>
            <w:r>
              <w:rPr>
                <w:rFonts w:hint="eastAsia" w:ascii="Times New Roman" w:hAnsi="Times New Roman" w:eastAsia="宋体" w:cs="Times New Roman"/>
                <w:b/>
                <w:color w:val="000000" w:themeColor="text1"/>
                <w:kern w:val="0"/>
                <w:sz w:val="24"/>
                <w:szCs w:val="24"/>
                <w:highlight w:val="none"/>
                <w:lang w:val="en-US" w:eastAsia="zh-CN" w:bidi="ar-SA"/>
                <w14:textFill>
                  <w14:solidFill>
                    <w14:schemeClr w14:val="tx1"/>
                  </w14:solidFill>
                </w14:textFill>
              </w:rPr>
              <w:t>、一般固体废物</w:t>
            </w:r>
          </w:p>
          <w:p w14:paraId="73BDDDF6">
            <w:pPr>
              <w:keepNext w:val="0"/>
              <w:keepLines w:val="0"/>
              <w:suppressLineNumbers w:val="0"/>
              <w:spacing w:before="0" w:beforeAutospacing="0" w:after="0" w:afterAutospacing="0" w:line="360" w:lineRule="auto"/>
              <w:ind w:left="0" w:right="0"/>
              <w:jc w:val="both"/>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4.1.1一般固废产生情况</w:t>
            </w:r>
          </w:p>
          <w:p w14:paraId="4A3E852B">
            <w:pPr>
              <w:keepNext w:val="0"/>
              <w:keepLines w:val="0"/>
              <w:suppressLineNumbers w:val="0"/>
              <w:spacing w:before="0" w:beforeAutospacing="0" w:after="0" w:afterAutospacing="0" w:line="360" w:lineRule="auto"/>
              <w:ind w:left="0" w:right="0" w:firstLine="480" w:firstLineChars="20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分拣废渣</w:t>
            </w:r>
          </w:p>
          <w:p w14:paraId="1D2BE5C1">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eastAsia="宋体"/>
                <w:color w:val="000000" w:themeColor="text1"/>
                <w:sz w:val="24"/>
                <w:szCs w:val="24"/>
                <w:highlight w:val="none"/>
                <w:lang w:eastAsia="zh-CN"/>
                <w14:textFill>
                  <w14:solidFill>
                    <w14:schemeClr w14:val="tx1"/>
                  </w14:solidFill>
                </w14:textFill>
              </w:rPr>
              <w:t>根据</w:t>
            </w:r>
            <w:r>
              <w:rPr>
                <w:rFonts w:hint="eastAsia"/>
                <w:color w:val="000000" w:themeColor="text1"/>
                <w:sz w:val="24"/>
                <w:szCs w:val="24"/>
                <w:highlight w:val="none"/>
                <w:lang w:val="en-US" w:eastAsia="zh-CN"/>
                <w14:textFill>
                  <w14:solidFill>
                    <w14:schemeClr w14:val="tx1"/>
                  </w14:solidFill>
                </w14:textFill>
              </w:rPr>
              <w:t>物料平衡，分拣废渣产生量为8.5821t/a</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，集中收集</w:t>
            </w:r>
            <w:r>
              <w:rPr>
                <w:rFonts w:hint="eastAsia" w:cs="Times New Roman"/>
                <w:color w:val="000000" w:themeColor="text1"/>
                <w:sz w:val="24"/>
                <w:szCs w:val="24"/>
                <w:highlight w:val="none"/>
                <w:lang w:val="en-US" w:eastAsia="zh-CN"/>
                <w14:textFill>
                  <w14:solidFill>
                    <w14:schemeClr w14:val="tx1"/>
                  </w14:solidFill>
                </w14:textFill>
              </w:rPr>
              <w:t>后暂存于一般固废暂存区，交由有利用、处置能力的企业依法依规进行利用处置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根据《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固体废物分类与代码目录</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生态环境部公告2024年第4号</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属于非特定行业中的“SW59其他工业固体废物”</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，废物代码</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“900-0</w:t>
            </w:r>
            <w:r>
              <w:rPr>
                <w:rFonts w:hint="eastAsia" w:cs="Times New Roman"/>
                <w:color w:val="000000" w:themeColor="text1"/>
                <w:sz w:val="24"/>
                <w:szCs w:val="24"/>
                <w:highlight w:val="none"/>
                <w:lang w:val="en-US" w:eastAsia="zh-CN"/>
                <w14:textFill>
                  <w14:solidFill>
                    <w14:schemeClr w14:val="tx1"/>
                  </w14:solidFill>
                </w14:textFill>
              </w:rPr>
              <w:t>99</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-S</w:t>
            </w:r>
            <w:r>
              <w:rPr>
                <w:rFonts w:hint="eastAsia" w:cs="Times New Roman"/>
                <w:color w:val="000000" w:themeColor="text1"/>
                <w:sz w:val="24"/>
                <w:szCs w:val="24"/>
                <w:highlight w:val="none"/>
                <w:lang w:val="en-US" w:eastAsia="zh-CN"/>
                <w14:textFill>
                  <w14:solidFill>
                    <w14:schemeClr w14:val="tx1"/>
                  </w14:solidFill>
                </w14:textFill>
              </w:rPr>
              <w:t>59</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52D8F3CA">
            <w:pPr>
              <w:keepNext w:val="0"/>
              <w:keepLines w:val="0"/>
              <w:suppressLineNumbers w:val="0"/>
              <w:spacing w:before="0" w:beforeAutospacing="0" w:after="0" w:afterAutospacing="0" w:line="360" w:lineRule="auto"/>
              <w:ind w:left="0" w:right="0" w:firstLine="480" w:firstLineChars="20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废渣</w:t>
            </w:r>
          </w:p>
          <w:p w14:paraId="7BB28FFA">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根据《中华人民共和国药典》2025年版四部通则0212《药材和饮片检定通则》，矿物类药材药屑及杂质不得过3.0%，本项目</w:t>
            </w:r>
            <w:r>
              <w:rPr>
                <w:rFonts w:hint="eastAsia"/>
                <w:color w:val="000000" w:themeColor="text1"/>
                <w:sz w:val="24"/>
                <w:szCs w:val="24"/>
                <w:highlight w:val="none"/>
                <w:lang w:val="en-US" w:eastAsia="zh-CN"/>
                <w14:textFill>
                  <w14:solidFill>
                    <w14:schemeClr w14:val="tx1"/>
                  </w14:solidFill>
                </w14:textFill>
              </w:rPr>
              <w:t>石膏用量为10t/a，则</w:t>
            </w:r>
            <w:r>
              <w:rPr>
                <w:rFonts w:hint="eastAsia" w:cs="Times New Roman"/>
                <w:color w:val="000000" w:themeColor="text1"/>
                <w:sz w:val="24"/>
                <w:szCs w:val="24"/>
                <w:highlight w:val="none"/>
                <w:lang w:val="en-US" w:eastAsia="zh-CN"/>
                <w14:textFill>
                  <w14:solidFill>
                    <w14:schemeClr w14:val="tx1"/>
                  </w14:solidFill>
                </w14:textFill>
              </w:rPr>
              <w:t>石膏废渣产生量为0.30</w:t>
            </w:r>
            <w:r>
              <w:rPr>
                <w:rFonts w:hint="eastAsia"/>
                <w:color w:val="000000" w:themeColor="text1"/>
                <w:sz w:val="24"/>
                <w:szCs w:val="24"/>
                <w:highlight w:val="none"/>
                <w:lang w:val="en-US" w:eastAsia="zh-CN"/>
                <w14:textFill>
                  <w14:solidFill>
                    <w14:schemeClr w14:val="tx1"/>
                  </w14:solidFill>
                </w14:textFill>
              </w:rPr>
              <w:t>t/a，</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集中收集</w:t>
            </w:r>
            <w:r>
              <w:rPr>
                <w:rFonts w:hint="eastAsia" w:cs="Times New Roman"/>
                <w:color w:val="000000" w:themeColor="text1"/>
                <w:sz w:val="24"/>
                <w:szCs w:val="24"/>
                <w:highlight w:val="none"/>
                <w:lang w:val="en-US" w:eastAsia="zh-CN"/>
                <w14:textFill>
                  <w14:solidFill>
                    <w14:schemeClr w14:val="tx1"/>
                  </w14:solidFill>
                </w14:textFill>
              </w:rPr>
              <w:t>后暂存于一般固废暂存区，交由有利用、处置能力的企业依法依规进行利用处置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根据《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固体废物分类与代码目录</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生态环境部公告2024年第4号</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石膏废渣</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属于非特定行业中的“SW</w:t>
            </w:r>
            <w:r>
              <w:rPr>
                <w:rFonts w:hint="eastAsia" w:cs="Times New Roman"/>
                <w:color w:val="000000" w:themeColor="text1"/>
                <w:sz w:val="24"/>
                <w:szCs w:val="24"/>
                <w:highlight w:val="none"/>
                <w:lang w:val="en-US" w:eastAsia="zh-CN"/>
                <w14:textFill>
                  <w14:solidFill>
                    <w14:schemeClr w14:val="tx1"/>
                  </w14:solidFill>
                </w14:textFill>
              </w:rPr>
              <w:t>11</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其他工业</w:t>
            </w:r>
            <w:r>
              <w:rPr>
                <w:rFonts w:hint="eastAsia" w:cs="Times New Roman"/>
                <w:color w:val="000000" w:themeColor="text1"/>
                <w:sz w:val="24"/>
                <w:szCs w:val="24"/>
                <w:highlight w:val="none"/>
                <w:lang w:val="en-US" w:eastAsia="zh-CN"/>
                <w14:textFill>
                  <w14:solidFill>
                    <w14:schemeClr w14:val="tx1"/>
                  </w14:solidFill>
                </w14:textFill>
              </w:rPr>
              <w:t>副产品石膏</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，废物代码</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“900-099-S</w:t>
            </w:r>
            <w:r>
              <w:rPr>
                <w:rFonts w:hint="eastAsia" w:cs="Times New Roman"/>
                <w:color w:val="000000" w:themeColor="text1"/>
                <w:sz w:val="24"/>
                <w:szCs w:val="24"/>
                <w:highlight w:val="none"/>
                <w:lang w:val="en-US" w:eastAsia="zh-CN"/>
                <w14:textFill>
                  <w14:solidFill>
                    <w14:schemeClr w14:val="tx1"/>
                  </w14:solidFill>
                </w14:textFill>
              </w:rPr>
              <w:t>11</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5FD44E7F">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废捕集袋</w:t>
            </w:r>
          </w:p>
          <w:p w14:paraId="57047218">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根据企业提供资料，废捕集袋产生量约</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0.</w:t>
            </w:r>
            <w:r>
              <w:rPr>
                <w:rFonts w:hint="eastAsia" w:cs="Times New Roman"/>
                <w:color w:val="000000" w:themeColor="text1"/>
                <w:sz w:val="24"/>
                <w:szCs w:val="24"/>
                <w:highlight w:val="none"/>
                <w:lang w:val="en-US" w:eastAsia="zh-CN"/>
                <w14:textFill>
                  <w14:solidFill>
                    <w14:schemeClr w14:val="tx1"/>
                  </w14:solidFill>
                </w14:textFill>
              </w:rPr>
              <w:t>05</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/a</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，集中收集</w:t>
            </w:r>
            <w:r>
              <w:rPr>
                <w:rFonts w:hint="eastAsia" w:cs="Times New Roman"/>
                <w:color w:val="000000" w:themeColor="text1"/>
                <w:sz w:val="24"/>
                <w:szCs w:val="24"/>
                <w:highlight w:val="none"/>
                <w:lang w:val="en-US" w:eastAsia="zh-CN"/>
                <w14:textFill>
                  <w14:solidFill>
                    <w14:schemeClr w14:val="tx1"/>
                  </w14:solidFill>
                </w14:textFill>
              </w:rPr>
              <w:t>后暂存于一般固废暂存区，交由有利用、处置能力的企业依法依规进行利用处置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根据《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固体废物分类与代码目录</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生态环境部公告2024年第4号</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属于非特定行业中的“SW59其他工业固体废物”</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，废物代码</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“900-0</w:t>
            </w:r>
            <w:r>
              <w:rPr>
                <w:rFonts w:hint="eastAsia" w:cs="Times New Roman"/>
                <w:color w:val="000000" w:themeColor="text1"/>
                <w:sz w:val="24"/>
                <w:szCs w:val="24"/>
                <w:highlight w:val="none"/>
                <w:lang w:val="en-US" w:eastAsia="zh-CN"/>
                <w14:textFill>
                  <w14:solidFill>
                    <w14:schemeClr w14:val="tx1"/>
                  </w14:solidFill>
                </w14:textFill>
              </w:rPr>
              <w:t>0</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9-S59”</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2E93B78A">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4</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废包装材料及</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废胶囊材料</w:t>
            </w:r>
          </w:p>
          <w:p w14:paraId="03652F5D">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eastAsia="宋体"/>
                <w:color w:val="000000" w:themeColor="text1"/>
                <w:sz w:val="24"/>
                <w:szCs w:val="24"/>
                <w:highlight w:val="none"/>
                <w:lang w:eastAsia="zh-CN"/>
                <w14:textFill>
                  <w14:solidFill>
                    <w14:schemeClr w14:val="tx1"/>
                  </w14:solidFill>
                </w14:textFill>
              </w:rPr>
              <w:t>根据</w:t>
            </w:r>
            <w:r>
              <w:rPr>
                <w:rFonts w:hint="default"/>
                <w:bCs/>
                <w:color w:val="000000" w:themeColor="text1"/>
                <w:sz w:val="24"/>
                <w:highlight w:val="none"/>
                <w14:textFill>
                  <w14:solidFill>
                    <w14:schemeClr w14:val="tx1"/>
                  </w14:solidFill>
                </w14:textFill>
              </w:rPr>
              <w:t>《排放源统计调查产排污核算方法和系数手册》（环境部公告2021年第24号）</w:t>
            </w:r>
            <w:r>
              <w:rPr>
                <w:rFonts w:hint="eastAsia"/>
                <w:bCs/>
                <w:color w:val="000000" w:themeColor="text1"/>
                <w:sz w:val="24"/>
                <w:highlight w:val="none"/>
                <w14:textFill>
                  <w14:solidFill>
                    <w14:schemeClr w14:val="tx1"/>
                  </w14:solidFill>
                </w14:textFill>
              </w:rPr>
              <w:t>中的</w:t>
            </w:r>
            <w:r>
              <w:rPr>
                <w:rFonts w:hint="eastAsia"/>
                <w:color w:val="000000" w:themeColor="text1"/>
                <w:sz w:val="24"/>
                <w:highlight w:val="none"/>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2740中成药生产</w:t>
            </w:r>
            <w:r>
              <w:rPr>
                <w:rFonts w:hint="eastAsia"/>
                <w:bCs/>
                <w:color w:val="000000" w:themeColor="text1"/>
                <w:sz w:val="24"/>
                <w:highlight w:val="none"/>
                <w14:textFill>
                  <w14:solidFill>
                    <w14:schemeClr w14:val="tx1"/>
                  </w14:solidFill>
                </w14:textFill>
              </w:rPr>
              <w:t>行业系数手册</w:t>
            </w:r>
            <w:r>
              <w:rPr>
                <w:rFonts w:hint="eastAsia"/>
                <w:color w:val="000000" w:themeColor="text1"/>
                <w:sz w:val="24"/>
                <w:highlight w:val="none"/>
                <w14:textFill>
                  <w14:solidFill>
                    <w14:schemeClr w14:val="tx1"/>
                  </w14:solidFill>
                </w14:textFill>
              </w:rPr>
              <w:t>”中</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制剂-中成药-固体制剂-规模等级</w:t>
            </w:r>
            <w:r>
              <w:rPr>
                <w:rFonts w:hint="default" w:ascii="Times New Roman" w:hAnsi="Times New Roman" w:cs="Times New Roman"/>
                <w:b w:val="0"/>
                <w:bCs w:val="0"/>
                <w:color w:val="000000" w:themeColor="text1"/>
                <w:kern w:val="0"/>
                <w:sz w:val="24"/>
                <w:szCs w:val="24"/>
                <w:highlight w:val="none"/>
                <w:lang w:val="en-US" w:eastAsia="zh-CN" w:bidi="ar"/>
                <w14:textFill>
                  <w14:solidFill>
                    <w14:schemeClr w14:val="tx1"/>
                  </w14:solidFill>
                </w14:textFill>
              </w:rPr>
              <w:t>＜</w:t>
            </w:r>
            <w:r>
              <w:rPr>
                <w:rFonts w:hint="eastAsia" w:ascii="Times New Roman" w:hAnsi="Times New Roman" w:cs="Times New Roman"/>
                <w:b w:val="0"/>
                <w:bCs w:val="0"/>
                <w:color w:val="000000" w:themeColor="text1"/>
                <w:kern w:val="0"/>
                <w:sz w:val="24"/>
                <w:szCs w:val="24"/>
                <w:highlight w:val="none"/>
                <w:lang w:val="en-US" w:eastAsia="zh-CN" w:bidi="ar"/>
                <w14:textFill>
                  <w14:solidFill>
                    <w14:schemeClr w14:val="tx1"/>
                  </w14:solidFill>
                </w14:textFill>
              </w:rPr>
              <w:t>200</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t/a</w:t>
            </w:r>
            <w:r>
              <w:rPr>
                <w:rFonts w:hint="eastAsia" w:ascii="Times New Roman" w:hAnsi="Times New Roman" w:cs="Times New Roman"/>
                <w:b w:val="0"/>
                <w:bCs w:val="0"/>
                <w:color w:val="000000" w:themeColor="text1"/>
                <w:kern w:val="0"/>
                <w:sz w:val="24"/>
                <w:szCs w:val="24"/>
                <w:highlight w:val="none"/>
                <w:lang w:val="en-US" w:eastAsia="zh-CN" w:bidi="ar"/>
                <w14:textFill>
                  <w14:solidFill>
                    <w14:schemeClr w14:val="tx1"/>
                  </w14:solidFill>
                </w14:textFill>
              </w:rPr>
              <w:t>中成药</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可知固废</w:t>
            </w:r>
            <w:r>
              <w:rPr>
                <w:rFonts w:hint="default"/>
                <w:color w:val="000000" w:themeColor="text1"/>
                <w:sz w:val="24"/>
                <w:highlight w:val="none"/>
                <w14:textFill>
                  <w14:solidFill>
                    <w14:schemeClr w14:val="tx1"/>
                  </w14:solidFill>
                </w14:textFill>
              </w:rPr>
              <w:t>产排污系数</w:t>
            </w:r>
            <w:r>
              <w:rPr>
                <w:rFonts w:hint="eastAsia"/>
                <w:color w:val="000000" w:themeColor="text1"/>
                <w:sz w:val="24"/>
                <w:highlight w:val="none"/>
                <w:lang w:val="en-US" w:eastAsia="zh-CN"/>
                <w14:textFill>
                  <w14:solidFill>
                    <w14:schemeClr w14:val="tx1"/>
                  </w14:solidFill>
                </w14:textFill>
              </w:rPr>
              <w:t>为0.03</w:t>
            </w:r>
            <w:r>
              <w:rPr>
                <w:rFonts w:hint="eastAsia"/>
                <w:color w:val="000000" w:themeColor="text1"/>
                <w:szCs w:val="21"/>
                <w:highlight w:val="none"/>
                <w14:textFill>
                  <w14:solidFill>
                    <w14:schemeClr w14:val="tx1"/>
                  </w14:solidFill>
                </w14:textFill>
              </w:rPr>
              <w:t>t/t-中成药</w:t>
            </w:r>
            <w:r>
              <w:rPr>
                <w:rFonts w:hint="eastAsia"/>
                <w:color w:val="000000" w:themeColor="text1"/>
                <w:szCs w:val="21"/>
                <w:highlight w:val="none"/>
                <w:lang w:eastAsia="zh-CN"/>
                <w14:textFill>
                  <w14:solidFill>
                    <w14:schemeClr w14:val="tx1"/>
                  </w14:solidFill>
                </w14:textFill>
              </w:rPr>
              <w:t>，</w:t>
            </w:r>
            <w:r>
              <w:rPr>
                <w:rFonts w:hint="eastAsia" w:eastAsia="宋体"/>
                <w:color w:val="000000" w:themeColor="text1"/>
                <w:sz w:val="24"/>
                <w:szCs w:val="24"/>
                <w:highlight w:val="none"/>
                <w:lang w:eastAsia="zh-CN"/>
                <w14:textFill>
                  <w14:solidFill>
                    <w14:schemeClr w14:val="tx1"/>
                  </w14:solidFill>
                </w14:textFill>
              </w:rPr>
              <w:t>本项目创新制剂车间</w:t>
            </w:r>
            <w:r>
              <w:rPr>
                <w:rFonts w:hint="eastAsia" w:eastAsia="宋体"/>
                <w:color w:val="000000" w:themeColor="text1"/>
                <w:sz w:val="24"/>
                <w:szCs w:val="24"/>
                <w:highlight w:val="none"/>
                <w:lang w:val="en-US" w:eastAsia="zh-CN"/>
                <w14:textFill>
                  <w14:solidFill>
                    <w14:schemeClr w14:val="tx1"/>
                  </w14:solidFill>
                </w14:textFill>
              </w:rPr>
              <w:t>生产中成药总产量为10.5</w:t>
            </w:r>
            <w:r>
              <w:rPr>
                <w:rFonts w:hint="eastAsia"/>
                <w:color w:val="000000" w:themeColor="text1"/>
                <w:sz w:val="24"/>
                <w:szCs w:val="24"/>
                <w:highlight w:val="none"/>
                <w:lang w:val="en-US" w:eastAsia="zh-CN"/>
                <w14:textFill>
                  <w14:solidFill>
                    <w14:schemeClr w14:val="tx1"/>
                  </w14:solidFill>
                </w14:textFill>
              </w:rPr>
              <w:t>t/a，则</w:t>
            </w:r>
            <w:r>
              <w:rPr>
                <w:rFonts w:hint="eastAsia" w:cs="Times New Roman"/>
                <w:color w:val="000000" w:themeColor="text1"/>
                <w:sz w:val="24"/>
                <w:szCs w:val="24"/>
                <w:highlight w:val="none"/>
                <w:lang w:val="en-US" w:eastAsia="zh-CN"/>
                <w14:textFill>
                  <w14:solidFill>
                    <w14:schemeClr w14:val="tx1"/>
                  </w14:solidFill>
                </w14:textFill>
              </w:rPr>
              <w:t>废包装材料及</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废胶囊材料</w:t>
            </w:r>
            <w:r>
              <w:rPr>
                <w:rFonts w:hint="eastAsia" w:cs="Times New Roman"/>
                <w:color w:val="000000" w:themeColor="text1"/>
                <w:sz w:val="24"/>
                <w:szCs w:val="24"/>
                <w:highlight w:val="none"/>
                <w:lang w:val="en-US" w:eastAsia="zh-CN"/>
                <w14:textFill>
                  <w14:solidFill>
                    <w14:schemeClr w14:val="tx1"/>
                  </w14:solidFill>
                </w14:textFill>
              </w:rPr>
              <w:t>产生量为0.315</w:t>
            </w:r>
            <w:r>
              <w:rPr>
                <w:rFonts w:hint="eastAsia"/>
                <w:color w:val="000000" w:themeColor="text1"/>
                <w:sz w:val="24"/>
                <w:szCs w:val="24"/>
                <w:highlight w:val="none"/>
                <w:lang w:val="en-US" w:eastAsia="zh-CN"/>
                <w14:textFill>
                  <w14:solidFill>
                    <w14:schemeClr w14:val="tx1"/>
                  </w14:solidFill>
                </w14:textFill>
              </w:rPr>
              <w:t>t/a，</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集中收集</w:t>
            </w:r>
            <w:r>
              <w:rPr>
                <w:rFonts w:hint="eastAsia" w:cs="Times New Roman"/>
                <w:color w:val="000000" w:themeColor="text1"/>
                <w:sz w:val="24"/>
                <w:szCs w:val="24"/>
                <w:highlight w:val="none"/>
                <w:lang w:val="en-US" w:eastAsia="zh-CN"/>
                <w14:textFill>
                  <w14:solidFill>
                    <w14:schemeClr w14:val="tx1"/>
                  </w14:solidFill>
                </w14:textFill>
              </w:rPr>
              <w:t>后暂存于一般固废暂存区，交由有利用、处置能力的企业依法依规进行利用处置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根据《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固体废物分类与代码目录</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生态环境部公告2024年第4号</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属于非特定行业中的“SW</w:t>
            </w:r>
            <w:r>
              <w:rPr>
                <w:rFonts w:hint="eastAsia" w:cs="Times New Roman"/>
                <w:color w:val="000000" w:themeColor="text1"/>
                <w:sz w:val="24"/>
                <w:szCs w:val="24"/>
                <w:highlight w:val="none"/>
                <w:lang w:val="en-US" w:eastAsia="zh-CN"/>
                <w14:textFill>
                  <w14:solidFill>
                    <w14:schemeClr w14:val="tx1"/>
                  </w14:solidFill>
                </w14:textFill>
              </w:rPr>
              <w:t>17可再生类废物</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，废物代码</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“900-0</w:t>
            </w:r>
            <w:r>
              <w:rPr>
                <w:rFonts w:hint="eastAsia" w:cs="Times New Roman"/>
                <w:color w:val="000000" w:themeColor="text1"/>
                <w:sz w:val="24"/>
                <w:szCs w:val="24"/>
                <w:highlight w:val="none"/>
                <w:lang w:val="en-US" w:eastAsia="zh-CN"/>
                <w14:textFill>
                  <w14:solidFill>
                    <w14:schemeClr w14:val="tx1"/>
                  </w14:solidFill>
                </w14:textFill>
              </w:rPr>
              <w:t>99</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-S</w:t>
            </w:r>
            <w:r>
              <w:rPr>
                <w:rFonts w:hint="eastAsia" w:cs="Times New Roman"/>
                <w:color w:val="000000" w:themeColor="text1"/>
                <w:sz w:val="24"/>
                <w:szCs w:val="24"/>
                <w:highlight w:val="none"/>
                <w:lang w:val="en-US" w:eastAsia="zh-CN"/>
                <w14:textFill>
                  <w14:solidFill>
                    <w14:schemeClr w14:val="tx1"/>
                  </w14:solidFill>
                </w14:textFill>
              </w:rPr>
              <w:t>17</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02B2B5B6">
            <w:pPr>
              <w:keepNext w:val="0"/>
              <w:keepLines w:val="0"/>
              <w:suppressLineNumbers w:val="0"/>
              <w:spacing w:before="0" w:beforeAutospacing="0" w:after="0" w:afterAutospacing="0" w:line="360" w:lineRule="auto"/>
              <w:ind w:left="0" w:right="0" w:firstLine="480" w:firstLineChars="200"/>
              <w:jc w:val="both"/>
              <w:rPr>
                <w:rFonts w:hint="eastAsia"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5</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除尘灰</w:t>
            </w:r>
          </w:p>
          <w:p w14:paraId="2EC9FAFA">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kern w:val="2"/>
                <w:sz w:val="24"/>
                <w:szCs w:val="24"/>
                <w:highlight w:val="none"/>
                <w:lang w:val="en-US" w:eastAsia="zh-CN" w:bidi="ar"/>
                <w14:textFill>
                  <w14:solidFill>
                    <w14:schemeClr w14:val="tx1"/>
                  </w14:solidFill>
                </w14:textFill>
              </w:rPr>
              <w:t>根据计算，本项目</w:t>
            </w:r>
            <w:r>
              <w:rPr>
                <w:rFonts w:hint="eastAsia"/>
                <w:color w:val="000000" w:themeColor="text1"/>
                <w:sz w:val="24"/>
                <w:szCs w:val="24"/>
                <w:highlight w:val="none"/>
                <w:lang w:val="en-US" w:eastAsia="zh-CN"/>
                <w14:textFill>
                  <w14:solidFill>
                    <w14:schemeClr w14:val="tx1"/>
                  </w14:solidFill>
                </w14:textFill>
              </w:rPr>
              <w:t>产生的除尘灰为1.2771</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t/a，集中收集</w:t>
            </w:r>
            <w:r>
              <w:rPr>
                <w:rFonts w:hint="eastAsia" w:cs="Times New Roman"/>
                <w:color w:val="000000" w:themeColor="text1"/>
                <w:sz w:val="24"/>
                <w:szCs w:val="24"/>
                <w:highlight w:val="none"/>
                <w:lang w:val="en-US" w:eastAsia="zh-CN"/>
                <w14:textFill>
                  <w14:solidFill>
                    <w14:schemeClr w14:val="tx1"/>
                  </w14:solidFill>
                </w14:textFill>
              </w:rPr>
              <w:t>后暂存于一般固废暂存区，交由有利用、处置能力的企业依法依规进行利用处置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根据《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固体废物分类与代码目录</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生态环境部公告2024年第4号</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属于非特定行业中的“SW</w:t>
            </w:r>
            <w:r>
              <w:rPr>
                <w:rFonts w:hint="eastAsia" w:cs="Times New Roman"/>
                <w:color w:val="000000" w:themeColor="text1"/>
                <w:sz w:val="24"/>
                <w:szCs w:val="24"/>
                <w:highlight w:val="none"/>
                <w:lang w:val="en-US" w:eastAsia="zh-CN"/>
                <w14:textFill>
                  <w14:solidFill>
                    <w14:schemeClr w14:val="tx1"/>
                  </w14:solidFill>
                </w14:textFill>
              </w:rPr>
              <w:t>17可再生类废物</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，废物代码</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“900-0</w:t>
            </w:r>
            <w:r>
              <w:rPr>
                <w:rFonts w:hint="eastAsia" w:cs="Times New Roman"/>
                <w:color w:val="000000" w:themeColor="text1"/>
                <w:sz w:val="24"/>
                <w:szCs w:val="24"/>
                <w:highlight w:val="none"/>
                <w:lang w:val="en-US" w:eastAsia="zh-CN"/>
                <w14:textFill>
                  <w14:solidFill>
                    <w14:schemeClr w14:val="tx1"/>
                  </w14:solidFill>
                </w14:textFill>
              </w:rPr>
              <w:t>03</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-S</w:t>
            </w:r>
            <w:r>
              <w:rPr>
                <w:rFonts w:hint="eastAsia" w:cs="Times New Roman"/>
                <w:color w:val="000000" w:themeColor="text1"/>
                <w:sz w:val="24"/>
                <w:szCs w:val="24"/>
                <w:highlight w:val="none"/>
                <w:lang w:val="en-US" w:eastAsia="zh-CN"/>
                <w14:textFill>
                  <w14:solidFill>
                    <w14:schemeClr w14:val="tx1"/>
                  </w14:solidFill>
                </w14:textFill>
              </w:rPr>
              <w:t>17</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588A06C1">
            <w:pPr>
              <w:keepNext w:val="0"/>
              <w:keepLines w:val="0"/>
              <w:suppressLineNumbers w:val="0"/>
              <w:spacing w:before="0" w:beforeAutospacing="0" w:after="0" w:afterAutospacing="0" w:line="360" w:lineRule="auto"/>
              <w:ind w:left="0" w:right="0" w:firstLine="480" w:firstLineChars="20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）废布袋</w:t>
            </w:r>
          </w:p>
          <w:p w14:paraId="55692BE4">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布袋除尘器布袋更换量为</w:t>
            </w:r>
            <w:r>
              <w:rPr>
                <w:rFonts w:hint="eastAsia" w:cs="Times New Roman"/>
                <w:color w:val="000000" w:themeColor="text1"/>
                <w:sz w:val="24"/>
                <w:szCs w:val="24"/>
                <w:highlight w:val="none"/>
                <w:lang w:val="en-US" w:eastAsia="zh-CN"/>
                <w14:textFill>
                  <w14:solidFill>
                    <w14:schemeClr w14:val="tx1"/>
                  </w14:solidFill>
                </w14:textFill>
              </w:rPr>
              <w:t>20</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条/a，约0.</w:t>
            </w:r>
            <w:r>
              <w:rPr>
                <w:rFonts w:hint="eastAsia" w:cs="Times New Roman"/>
                <w:color w:val="000000" w:themeColor="text1"/>
                <w:sz w:val="24"/>
                <w:szCs w:val="24"/>
                <w:highlight w:val="none"/>
                <w:lang w:val="en-US" w:eastAsia="zh-CN"/>
                <w14:textFill>
                  <w14:solidFill>
                    <w14:schemeClr w14:val="tx1"/>
                  </w14:solidFill>
                </w14:textFill>
              </w:rPr>
              <w:t>05</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/a</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，集中收集</w:t>
            </w:r>
            <w:r>
              <w:rPr>
                <w:rFonts w:hint="eastAsia" w:cs="Times New Roman"/>
                <w:color w:val="000000" w:themeColor="text1"/>
                <w:sz w:val="24"/>
                <w:szCs w:val="24"/>
                <w:highlight w:val="none"/>
                <w:lang w:val="en-US" w:eastAsia="zh-CN"/>
                <w14:textFill>
                  <w14:solidFill>
                    <w14:schemeClr w14:val="tx1"/>
                  </w14:solidFill>
                </w14:textFill>
              </w:rPr>
              <w:t>后暂存于一般固废暂存区，交由有利用、处置能力的企业依法依规进行利用处置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根据《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固体废物分类与代码目录</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生态环境部公告2024年第4号</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属于非特定行业中的“SW59其他工业固体废物”</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，废物代码</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“900-0</w:t>
            </w:r>
            <w:r>
              <w:rPr>
                <w:rFonts w:hint="eastAsia" w:cs="Times New Roman"/>
                <w:color w:val="000000" w:themeColor="text1"/>
                <w:sz w:val="24"/>
                <w:szCs w:val="24"/>
                <w:highlight w:val="none"/>
                <w:lang w:val="en-US" w:eastAsia="zh-CN"/>
                <w14:textFill>
                  <w14:solidFill>
                    <w14:schemeClr w14:val="tx1"/>
                  </w14:solidFill>
                </w14:textFill>
              </w:rPr>
              <w:t>0</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9-S59”</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76907FD5">
            <w:pPr>
              <w:keepNext w:val="0"/>
              <w:keepLines w:val="0"/>
              <w:suppressLineNumbers w:val="0"/>
              <w:spacing w:before="0" w:beforeAutospacing="0" w:after="0" w:afterAutospacing="0" w:line="360" w:lineRule="auto"/>
              <w:ind w:left="0" w:right="0" w:firstLine="480" w:firstLineChars="20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7</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废离子交换树脂</w:t>
            </w:r>
          </w:p>
          <w:p w14:paraId="509D9759">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本项目</w:t>
            </w:r>
            <w:r>
              <w:rPr>
                <w:rFonts w:hint="eastAsia" w:cs="Times New Roman"/>
                <w:color w:val="000000" w:themeColor="text1"/>
                <w:sz w:val="24"/>
                <w:szCs w:val="24"/>
                <w:highlight w:val="none"/>
                <w:lang w:val="en-US" w:eastAsia="zh-CN"/>
                <w14:textFill>
                  <w14:solidFill>
                    <w14:schemeClr w14:val="tx1"/>
                  </w14:solidFill>
                </w14:textFill>
              </w:rPr>
              <w:t>设置了软化水装置，软化水装置会产生</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废离子交换树脂，产生量为0.05</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/a</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由厂家定期进行更换回收。</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根据《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固体废物分类与代码目录</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生态环境部公告2024年第4号</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属于非特定行业中的“SW59其他工业固体废物”</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，废物代码</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“900-0</w:t>
            </w:r>
            <w:r>
              <w:rPr>
                <w:rFonts w:hint="eastAsia" w:cs="Times New Roman"/>
                <w:color w:val="000000" w:themeColor="text1"/>
                <w:sz w:val="24"/>
                <w:szCs w:val="24"/>
                <w:highlight w:val="none"/>
                <w:lang w:val="en-US" w:eastAsia="zh-CN"/>
                <w14:textFill>
                  <w14:solidFill>
                    <w14:schemeClr w14:val="tx1"/>
                  </w14:solidFill>
                </w14:textFill>
              </w:rPr>
              <w:t>0</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9-S59”</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0B086B26">
            <w:pPr>
              <w:keepNext w:val="0"/>
              <w:keepLines w:val="0"/>
              <w:suppressLineNumbers w:val="0"/>
              <w:spacing w:before="0" w:beforeAutospacing="0" w:after="0" w:afterAutospacing="0" w:line="360" w:lineRule="auto"/>
              <w:ind w:left="0" w:right="0" w:firstLine="480" w:firstLineChars="20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8</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中药渣</w:t>
            </w:r>
          </w:p>
          <w:p w14:paraId="3FCFB934">
            <w:pPr>
              <w:keepNext w:val="0"/>
              <w:keepLines w:val="0"/>
              <w:suppressLineNumbers w:val="0"/>
              <w:spacing w:before="0" w:beforeAutospacing="0" w:after="0" w:afterAutospacing="0" w:line="360" w:lineRule="auto"/>
              <w:ind w:left="0" w:right="0" w:firstLine="480" w:firstLineChars="20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根据</w:t>
            </w:r>
            <w:r>
              <w:rPr>
                <w:rFonts w:hint="eastAsia" w:cs="Times New Roman"/>
                <w:color w:val="000000" w:themeColor="text1"/>
                <w:sz w:val="24"/>
                <w:szCs w:val="24"/>
                <w:highlight w:val="none"/>
                <w:lang w:val="en-US" w:eastAsia="zh-CN"/>
                <w14:textFill>
                  <w14:solidFill>
                    <w14:schemeClr w14:val="tx1"/>
                  </w14:solidFill>
                </w14:textFill>
              </w:rPr>
              <w:t>物料平衡，干</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中药渣</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产生量为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564.32</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t/a，</w:t>
            </w:r>
            <w:r>
              <w:rPr>
                <w:rFonts w:hint="eastAsia" w:cs="Times New Roman"/>
                <w:color w:val="000000" w:themeColor="text1"/>
                <w:sz w:val="24"/>
                <w:szCs w:val="24"/>
                <w:highlight w:val="none"/>
                <w:lang w:val="en-US" w:eastAsia="zh-CN"/>
                <w14:textFill>
                  <w14:solidFill>
                    <w14:schemeClr w14:val="tx1"/>
                  </w14:solidFill>
                </w14:textFill>
              </w:rPr>
              <w:t>根据企业提供资料，提取后的中药渣含水率为70%，则中药渣带走水量为1316.75</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t/a</w:t>
            </w:r>
            <w:r>
              <w:rPr>
                <w:rFonts w:hint="eastAsia" w:cs="Times New Roman"/>
                <w:color w:val="000000" w:themeColor="text1"/>
                <w:sz w:val="24"/>
                <w:szCs w:val="24"/>
                <w:highlight w:val="none"/>
                <w:lang w:val="en-US" w:eastAsia="zh-CN"/>
                <w14:textFill>
                  <w14:solidFill>
                    <w14:schemeClr w14:val="tx1"/>
                  </w14:solidFill>
                </w14:textFill>
              </w:rPr>
              <w:t>，则</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中药渣</w:t>
            </w:r>
            <w:r>
              <w:rPr>
                <w:rFonts w:hint="eastAsia" w:eastAsia="宋体" w:cs="Times New Roman"/>
                <w:color w:val="000000" w:themeColor="text1"/>
                <w:sz w:val="24"/>
                <w:szCs w:val="24"/>
                <w:highlight w:val="none"/>
                <w:lang w:val="en-US" w:eastAsia="zh-CN"/>
                <w14:textFill>
                  <w14:solidFill>
                    <w14:schemeClr w14:val="tx1"/>
                  </w14:solidFill>
                </w14:textFill>
              </w:rPr>
              <w:t>（含水70%）</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产生量为</w:t>
            </w:r>
            <w:r>
              <w:rPr>
                <w:rFonts w:hint="eastAsia" w:eastAsia="宋体" w:cs="Times New Roman"/>
                <w:color w:val="000000" w:themeColor="text1"/>
                <w:sz w:val="24"/>
                <w:szCs w:val="24"/>
                <w:highlight w:val="none"/>
                <w:lang w:val="en-US" w:eastAsia="zh-CN"/>
                <w14:textFill>
                  <w14:solidFill>
                    <w14:schemeClr w14:val="tx1"/>
                  </w14:solidFill>
                </w14:textFill>
              </w:rPr>
              <w:t>1881.07</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t/a</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集中收集后暂存于一般固废暂存区，交由有利用、处置能力的企业依法依规进行利用处置。根据《固体废物分类与代码目录》（生态环境部公告2024年第4号），属于非特定行业中的“SW13食品残渣”，废物代码“900-099-S13”。</w:t>
            </w:r>
          </w:p>
          <w:p w14:paraId="19217B71">
            <w:pPr>
              <w:keepNext w:val="0"/>
              <w:keepLines w:val="0"/>
              <w:suppressLineNumbers w:val="0"/>
              <w:spacing w:before="0" w:beforeAutospacing="0" w:after="0" w:afterAutospacing="0" w:line="360" w:lineRule="auto"/>
              <w:ind w:left="0" w:right="0" w:firstLine="480" w:firstLineChars="20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9</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污水处理站污泥</w:t>
            </w:r>
          </w:p>
          <w:p w14:paraId="09F22687">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本项目新增废水排放量为15485.930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/a</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，本项目使用的药材种类与现有项目相同，废水水质变化不大，类比现有项目</w:t>
            </w:r>
            <w:r>
              <w:rPr>
                <w:rFonts w:hint="eastAsia" w:cs="Times New Roman"/>
                <w:b w:val="0"/>
                <w:bCs w:val="0"/>
                <w:color w:val="000000" w:themeColor="text1"/>
                <w:kern w:val="0"/>
                <w:sz w:val="24"/>
                <w:szCs w:val="24"/>
                <w:highlight w:val="none"/>
                <w:lang w:val="en-US" w:eastAsia="zh-CN" w:bidi="ar"/>
                <w14:textFill>
                  <w14:solidFill>
                    <w14:schemeClr w14:val="tx1"/>
                  </w14:solidFill>
                </w14:textFill>
              </w:rPr>
              <w:t>污水处理站污泥产生率约为0.01%，这本项目污水产生量为1.55</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t/a，集中收集后暂存于一般固废暂存区，</w:t>
            </w:r>
            <w:r>
              <w:rPr>
                <w:rFonts w:hint="eastAsia" w:cs="Times New Roman"/>
                <w:color w:val="000000" w:themeColor="text1"/>
                <w:sz w:val="24"/>
                <w:szCs w:val="24"/>
                <w:highlight w:val="none"/>
                <w:lang w:val="en-US" w:eastAsia="zh-CN"/>
                <w14:textFill>
                  <w14:solidFill>
                    <w14:schemeClr w14:val="tx1"/>
                  </w14:solidFill>
                </w14:textFill>
              </w:rPr>
              <w:t>交由有利用、处置能力的企业依法依规进行利用处置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根据《固体废物分类与代码目录》（公告2024年第4号），属于SW</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07污泥，</w:t>
            </w:r>
            <w:r>
              <w:rPr>
                <w:rFonts w:hint="default" w:ascii="Times New Roman" w:hAnsi="Times New Roman" w:eastAsia="宋体" w:cs="Times New Roman"/>
                <w:color w:val="000000" w:themeColor="text1"/>
                <w:sz w:val="24"/>
                <w:szCs w:val="24"/>
                <w:highlight w:val="none"/>
                <w14:textFill>
                  <w14:solidFill>
                    <w14:schemeClr w14:val="tx1"/>
                  </w14:solidFill>
                </w14:textFill>
              </w:rPr>
              <w:t>代码为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900-099-S07，</w:t>
            </w:r>
          </w:p>
          <w:p w14:paraId="752114A1">
            <w:pPr>
              <w:keepNext w:val="0"/>
              <w:keepLines w:val="0"/>
              <w:pageBreakBefore w:val="0"/>
              <w:widowControl w:val="0"/>
              <w:numPr>
                <w:ilvl w:val="0"/>
                <w:numId w:val="26"/>
              </w:numPr>
              <w:suppressLineNumbers w:val="0"/>
              <w:kinsoku/>
              <w:wordWrap/>
              <w:overflowPunct/>
              <w:topLinePunct w:val="0"/>
              <w:autoSpaceDE/>
              <w:autoSpaceDN/>
              <w:bidi w:val="0"/>
              <w:adjustRightInd/>
              <w:snapToGrid w:val="0"/>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项目一般固废产生情况一览表</w:t>
            </w:r>
          </w:p>
          <w:tbl>
            <w:tblPr>
              <w:tblStyle w:val="35"/>
              <w:tblW w:w="4990"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26"/>
              <w:gridCol w:w="976"/>
              <w:gridCol w:w="838"/>
              <w:gridCol w:w="815"/>
              <w:gridCol w:w="1472"/>
              <w:gridCol w:w="987"/>
              <w:gridCol w:w="689"/>
              <w:gridCol w:w="624"/>
              <w:gridCol w:w="1272"/>
            </w:tblGrid>
            <w:tr w14:paraId="0AE1A5D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262" w:type="pct"/>
                  <w:tcBorders>
                    <w:tl2br w:val="nil"/>
                    <w:tr2bl w:val="nil"/>
                  </w:tcBorders>
                  <w:noWrap w:val="0"/>
                  <w:vAlign w:val="center"/>
                </w:tcPr>
                <w:p w14:paraId="3B9B83BA">
                  <w:pPr>
                    <w:keepNext w:val="0"/>
                    <w:keepLines w:val="0"/>
                    <w:pageBreakBefore w:val="0"/>
                    <w:suppressLineNumbers w:val="0"/>
                    <w:tabs>
                      <w:tab w:val="left" w:pos="6090"/>
                    </w:tabs>
                    <w:kinsoku/>
                    <w:wordWrap/>
                    <w:overflowPunct/>
                    <w:topLinePunct w:val="0"/>
                    <w:autoSpaceDE/>
                    <w:autoSpaceDN/>
                    <w:bidi w:val="0"/>
                    <w:adjustRightInd w:val="0"/>
                    <w:snapToGrid w:val="0"/>
                    <w:spacing w:before="0" w:beforeAutospacing="0" w:after="0" w:afterAutospacing="0"/>
                    <w:ind w:left="0" w:right="0"/>
                    <w:jc w:val="center"/>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序号</w:t>
                  </w:r>
                </w:p>
              </w:tc>
              <w:tc>
                <w:tcPr>
                  <w:tcW w:w="602" w:type="pct"/>
                  <w:tcBorders>
                    <w:tl2br w:val="nil"/>
                    <w:tr2bl w:val="nil"/>
                  </w:tcBorders>
                  <w:noWrap w:val="0"/>
                  <w:vAlign w:val="center"/>
                </w:tcPr>
                <w:p w14:paraId="3217BAD6">
                  <w:pPr>
                    <w:keepNext w:val="0"/>
                    <w:keepLines w:val="0"/>
                    <w:pageBreakBefore w:val="0"/>
                    <w:suppressLineNumbers w:val="0"/>
                    <w:tabs>
                      <w:tab w:val="left" w:pos="6090"/>
                    </w:tabs>
                    <w:kinsoku/>
                    <w:wordWrap/>
                    <w:overflowPunct/>
                    <w:topLinePunct w:val="0"/>
                    <w:autoSpaceDE/>
                    <w:autoSpaceDN/>
                    <w:bidi w:val="0"/>
                    <w:adjustRightInd w:val="0"/>
                    <w:snapToGrid w:val="0"/>
                    <w:spacing w:before="0" w:beforeAutospacing="0" w:after="0" w:afterAutospacing="0"/>
                    <w:ind w:left="0" w:right="0"/>
                    <w:jc w:val="center"/>
                    <w:rPr>
                      <w:rFonts w:hint="default" w:ascii="Times New Roman" w:hAnsi="Times New Roman" w:eastAsia="宋体" w:cs="Times New Roman"/>
                      <w:b/>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lang w:val="en-US" w:eastAsia="zh-CN"/>
                      <w14:textFill>
                        <w14:solidFill>
                          <w14:schemeClr w14:val="tx1"/>
                        </w14:solidFill>
                      </w14:textFill>
                    </w:rPr>
                    <w:t>产污环节</w:t>
                  </w:r>
                </w:p>
              </w:tc>
              <w:tc>
                <w:tcPr>
                  <w:tcW w:w="517" w:type="pct"/>
                  <w:tcBorders>
                    <w:tl2br w:val="nil"/>
                    <w:tr2bl w:val="nil"/>
                  </w:tcBorders>
                  <w:noWrap w:val="0"/>
                  <w:vAlign w:val="center"/>
                </w:tcPr>
                <w:p w14:paraId="3AAD5EC9">
                  <w:pPr>
                    <w:keepNext w:val="0"/>
                    <w:keepLines w:val="0"/>
                    <w:pageBreakBefore w:val="0"/>
                    <w:suppressLineNumbers w:val="0"/>
                    <w:tabs>
                      <w:tab w:val="left" w:pos="6090"/>
                    </w:tabs>
                    <w:kinsoku/>
                    <w:wordWrap/>
                    <w:overflowPunct/>
                    <w:topLinePunct w:val="0"/>
                    <w:autoSpaceDE/>
                    <w:autoSpaceDN/>
                    <w:bidi w:val="0"/>
                    <w:adjustRightInd w:val="0"/>
                    <w:snapToGrid w:val="0"/>
                    <w:spacing w:before="0" w:beforeAutospacing="0" w:after="0" w:afterAutospacing="0"/>
                    <w:ind w:left="0" w:right="0"/>
                    <w:jc w:val="center"/>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lang w:val="en-US" w:eastAsia="zh-CN"/>
                      <w14:textFill>
                        <w14:solidFill>
                          <w14:schemeClr w14:val="tx1"/>
                        </w14:solidFill>
                      </w14:textFill>
                    </w:rPr>
                    <w:t>一般固废</w:t>
                  </w: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名称</w:t>
                  </w:r>
                </w:p>
              </w:tc>
              <w:tc>
                <w:tcPr>
                  <w:tcW w:w="503" w:type="pct"/>
                  <w:tcBorders>
                    <w:tl2br w:val="nil"/>
                    <w:tr2bl w:val="nil"/>
                  </w:tcBorders>
                  <w:noWrap w:val="0"/>
                  <w:vAlign w:val="center"/>
                </w:tcPr>
                <w:p w14:paraId="1EF5C8C6">
                  <w:pPr>
                    <w:keepNext w:val="0"/>
                    <w:keepLines w:val="0"/>
                    <w:pageBreakBefore w:val="0"/>
                    <w:suppressLineNumbers w:val="0"/>
                    <w:tabs>
                      <w:tab w:val="left" w:pos="6090"/>
                    </w:tabs>
                    <w:kinsoku/>
                    <w:wordWrap/>
                    <w:overflowPunct/>
                    <w:topLinePunct w:val="0"/>
                    <w:autoSpaceDE/>
                    <w:autoSpaceDN/>
                    <w:bidi w:val="0"/>
                    <w:adjustRightInd w:val="0"/>
                    <w:snapToGrid w:val="0"/>
                    <w:spacing w:before="0" w:beforeAutospacing="0" w:after="0" w:afterAutospacing="0"/>
                    <w:ind w:left="0" w:right="0"/>
                    <w:jc w:val="center"/>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lang w:val="en-US" w:eastAsia="zh-CN"/>
                      <w14:textFill>
                        <w14:solidFill>
                          <w14:schemeClr w14:val="tx1"/>
                        </w14:solidFill>
                      </w14:textFill>
                    </w:rPr>
                    <w:t>类别</w:t>
                  </w: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代码</w:t>
                  </w:r>
                </w:p>
              </w:tc>
              <w:tc>
                <w:tcPr>
                  <w:tcW w:w="908" w:type="pct"/>
                  <w:tcBorders>
                    <w:tl2br w:val="nil"/>
                    <w:tr2bl w:val="nil"/>
                  </w:tcBorders>
                  <w:noWrap w:val="0"/>
                  <w:vAlign w:val="center"/>
                </w:tcPr>
                <w:p w14:paraId="777303D1">
                  <w:pPr>
                    <w:keepNext w:val="0"/>
                    <w:keepLines w:val="0"/>
                    <w:pageBreakBefore w:val="0"/>
                    <w:suppressLineNumbers w:val="0"/>
                    <w:tabs>
                      <w:tab w:val="left" w:pos="6090"/>
                    </w:tabs>
                    <w:kinsoku/>
                    <w:wordWrap/>
                    <w:overflowPunct/>
                    <w:topLinePunct w:val="0"/>
                    <w:autoSpaceDE/>
                    <w:autoSpaceDN/>
                    <w:bidi w:val="0"/>
                    <w:adjustRightInd w:val="0"/>
                    <w:snapToGrid w:val="0"/>
                    <w:spacing w:before="0" w:beforeAutospacing="0" w:after="0" w:afterAutospacing="0"/>
                    <w:ind w:left="0" w:right="0"/>
                    <w:jc w:val="center"/>
                    <w:rPr>
                      <w:rFonts w:hint="default" w:ascii="Times New Roman" w:hAnsi="Times New Roman" w:eastAsia="宋体" w:cs="Times New Roman"/>
                      <w:b/>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lang w:val="en-US" w:eastAsia="zh-CN"/>
                      <w14:textFill>
                        <w14:solidFill>
                          <w14:schemeClr w14:val="tx1"/>
                        </w14:solidFill>
                      </w14:textFill>
                    </w:rPr>
                    <w:t>代码</w:t>
                  </w:r>
                </w:p>
              </w:tc>
              <w:tc>
                <w:tcPr>
                  <w:tcW w:w="609" w:type="pct"/>
                  <w:tcBorders>
                    <w:tl2br w:val="nil"/>
                    <w:tr2bl w:val="nil"/>
                  </w:tcBorders>
                  <w:noWrap w:val="0"/>
                  <w:vAlign w:val="center"/>
                </w:tcPr>
                <w:p w14:paraId="44D76BB9">
                  <w:pPr>
                    <w:keepNext w:val="0"/>
                    <w:keepLines w:val="0"/>
                    <w:pageBreakBefore w:val="0"/>
                    <w:suppressLineNumbers w:val="0"/>
                    <w:tabs>
                      <w:tab w:val="left" w:pos="6090"/>
                    </w:tabs>
                    <w:kinsoku/>
                    <w:wordWrap/>
                    <w:overflowPunct/>
                    <w:topLinePunct w:val="0"/>
                    <w:autoSpaceDE/>
                    <w:autoSpaceDN/>
                    <w:bidi w:val="0"/>
                    <w:adjustRightInd w:val="0"/>
                    <w:snapToGrid w:val="0"/>
                    <w:spacing w:before="0" w:beforeAutospacing="0" w:after="0" w:afterAutospacing="0"/>
                    <w:ind w:left="0" w:right="0"/>
                    <w:jc w:val="center"/>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产生量</w:t>
                  </w:r>
                </w:p>
                <w:p w14:paraId="1DF28FDE">
                  <w:pPr>
                    <w:keepNext w:val="0"/>
                    <w:keepLines w:val="0"/>
                    <w:pageBreakBefore w:val="0"/>
                    <w:suppressLineNumbers w:val="0"/>
                    <w:tabs>
                      <w:tab w:val="left" w:pos="6090"/>
                    </w:tabs>
                    <w:kinsoku/>
                    <w:wordWrap/>
                    <w:overflowPunct/>
                    <w:topLinePunct w:val="0"/>
                    <w:autoSpaceDE/>
                    <w:autoSpaceDN/>
                    <w:bidi w:val="0"/>
                    <w:adjustRightInd w:val="0"/>
                    <w:snapToGrid w:val="0"/>
                    <w:spacing w:before="0" w:beforeAutospacing="0" w:after="0" w:afterAutospacing="0"/>
                    <w:ind w:left="0" w:right="0"/>
                    <w:jc w:val="center"/>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（t/a）</w:t>
                  </w:r>
                </w:p>
              </w:tc>
              <w:tc>
                <w:tcPr>
                  <w:tcW w:w="425" w:type="pct"/>
                  <w:tcBorders>
                    <w:tl2br w:val="nil"/>
                    <w:tr2bl w:val="nil"/>
                  </w:tcBorders>
                  <w:noWrap w:val="0"/>
                  <w:vAlign w:val="center"/>
                </w:tcPr>
                <w:p w14:paraId="249EE954">
                  <w:pPr>
                    <w:keepNext w:val="0"/>
                    <w:keepLines w:val="0"/>
                    <w:pageBreakBefore w:val="0"/>
                    <w:suppressLineNumbers w:val="0"/>
                    <w:tabs>
                      <w:tab w:val="left" w:pos="6090"/>
                    </w:tabs>
                    <w:kinsoku/>
                    <w:wordWrap/>
                    <w:overflowPunct/>
                    <w:topLinePunct w:val="0"/>
                    <w:autoSpaceDE/>
                    <w:autoSpaceDN/>
                    <w:bidi w:val="0"/>
                    <w:adjustRightInd w:val="0"/>
                    <w:snapToGrid w:val="0"/>
                    <w:spacing w:before="0" w:beforeAutospacing="0" w:after="0" w:afterAutospacing="0"/>
                    <w:ind w:left="0" w:right="0"/>
                    <w:jc w:val="center"/>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形态</w:t>
                  </w:r>
                </w:p>
              </w:tc>
              <w:tc>
                <w:tcPr>
                  <w:tcW w:w="385" w:type="pct"/>
                  <w:tcBorders>
                    <w:tl2br w:val="nil"/>
                    <w:tr2bl w:val="nil"/>
                  </w:tcBorders>
                  <w:noWrap w:val="0"/>
                  <w:vAlign w:val="center"/>
                </w:tcPr>
                <w:p w14:paraId="21B338F7">
                  <w:pPr>
                    <w:keepNext w:val="0"/>
                    <w:keepLines w:val="0"/>
                    <w:pageBreakBefore w:val="0"/>
                    <w:suppressLineNumbers w:val="0"/>
                    <w:tabs>
                      <w:tab w:val="left" w:pos="6090"/>
                    </w:tabs>
                    <w:kinsoku/>
                    <w:wordWrap/>
                    <w:overflowPunct/>
                    <w:topLinePunct w:val="0"/>
                    <w:autoSpaceDE/>
                    <w:autoSpaceDN/>
                    <w:bidi w:val="0"/>
                    <w:adjustRightInd w:val="0"/>
                    <w:snapToGrid w:val="0"/>
                    <w:spacing w:before="0" w:beforeAutospacing="0" w:after="0" w:afterAutospacing="0"/>
                    <w:ind w:left="0" w:right="0"/>
                    <w:jc w:val="center"/>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lang w:val="en-US" w:eastAsia="zh-CN"/>
                      <w14:textFill>
                        <w14:solidFill>
                          <w14:schemeClr w14:val="tx1"/>
                        </w14:solidFill>
                      </w14:textFill>
                    </w:rPr>
                    <w:t>清运</w:t>
                  </w: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周期</w:t>
                  </w:r>
                </w:p>
              </w:tc>
              <w:tc>
                <w:tcPr>
                  <w:tcW w:w="785" w:type="pct"/>
                  <w:tcBorders>
                    <w:tl2br w:val="nil"/>
                    <w:tr2bl w:val="nil"/>
                  </w:tcBorders>
                  <w:noWrap w:val="0"/>
                  <w:vAlign w:val="center"/>
                </w:tcPr>
                <w:p w14:paraId="1E0EC078">
                  <w:pPr>
                    <w:keepNext w:val="0"/>
                    <w:keepLines w:val="0"/>
                    <w:pageBreakBefore w:val="0"/>
                    <w:suppressLineNumbers w:val="0"/>
                    <w:tabs>
                      <w:tab w:val="left" w:pos="6090"/>
                    </w:tabs>
                    <w:kinsoku/>
                    <w:wordWrap/>
                    <w:overflowPunct/>
                    <w:topLinePunct w:val="0"/>
                    <w:autoSpaceDE/>
                    <w:autoSpaceDN/>
                    <w:bidi w:val="0"/>
                    <w:adjustRightInd w:val="0"/>
                    <w:snapToGrid w:val="0"/>
                    <w:spacing w:before="0" w:beforeAutospacing="0" w:after="0" w:afterAutospacing="0"/>
                    <w:ind w:left="0" w:right="0"/>
                    <w:jc w:val="center"/>
                    <w:rPr>
                      <w:rFonts w:hint="default" w:ascii="Times New Roman" w:hAnsi="Times New Roman" w:eastAsia="宋体" w:cs="Times New Roman"/>
                      <w:b/>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lang w:val="en-US" w:eastAsia="zh-CN"/>
                      <w14:textFill>
                        <w14:solidFill>
                          <w14:schemeClr w14:val="tx1"/>
                        </w14:solidFill>
                      </w14:textFill>
                    </w:rPr>
                    <w:t>去向</w:t>
                  </w:r>
                </w:p>
              </w:tc>
            </w:tr>
            <w:tr w14:paraId="04FD931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262" w:type="pct"/>
                  <w:tcBorders>
                    <w:tl2br w:val="nil"/>
                    <w:tr2bl w:val="nil"/>
                  </w:tcBorders>
                  <w:noWrap w:val="0"/>
                  <w:vAlign w:val="center"/>
                </w:tcPr>
                <w:p w14:paraId="44D6E4E6">
                  <w:pPr>
                    <w:keepNext w:val="0"/>
                    <w:keepLines w:val="0"/>
                    <w:pageBreakBefore w:val="0"/>
                    <w:widowControl w:val="0"/>
                    <w:numPr>
                      <w:ilvl w:val="0"/>
                      <w:numId w:val="3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02" w:type="pct"/>
                  <w:tcBorders>
                    <w:tl2br w:val="nil"/>
                    <w:tr2bl w:val="nil"/>
                  </w:tcBorders>
                  <w:noWrap w:val="0"/>
                  <w:vAlign w:val="center"/>
                </w:tcPr>
                <w:p w14:paraId="0FC04B11">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炮制</w:t>
                  </w:r>
                </w:p>
              </w:tc>
              <w:tc>
                <w:tcPr>
                  <w:tcW w:w="517" w:type="pct"/>
                  <w:tcBorders>
                    <w:tl2br w:val="nil"/>
                    <w:tr2bl w:val="nil"/>
                  </w:tcBorders>
                  <w:noWrap w:val="0"/>
                  <w:vAlign w:val="center"/>
                </w:tcPr>
                <w:p w14:paraId="0AD0454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0"/>
                      <w:sz w:val="21"/>
                      <w:szCs w:val="21"/>
                      <w:highlight w:val="none"/>
                      <w:lang w:val="en-US" w:eastAsia="zh-CN" w:bidi="ar-SA"/>
                      <w14:textFill>
                        <w14:solidFill>
                          <w14:schemeClr w14:val="tx1"/>
                        </w14:solidFill>
                      </w14:textFill>
                    </w:rPr>
                    <w:t>分拣废渣</w:t>
                  </w:r>
                </w:p>
              </w:tc>
              <w:tc>
                <w:tcPr>
                  <w:tcW w:w="503" w:type="pct"/>
                  <w:tcBorders>
                    <w:tl2br w:val="nil"/>
                    <w:tr2bl w:val="nil"/>
                  </w:tcBorders>
                  <w:noWrap w:val="0"/>
                  <w:vAlign w:val="center"/>
                </w:tcPr>
                <w:p w14:paraId="1EC5BF7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SW59</w:t>
                  </w:r>
                </w:p>
              </w:tc>
              <w:tc>
                <w:tcPr>
                  <w:tcW w:w="908" w:type="pct"/>
                  <w:tcBorders>
                    <w:tl2br w:val="nil"/>
                    <w:tr2bl w:val="nil"/>
                  </w:tcBorders>
                  <w:noWrap w:val="0"/>
                  <w:vAlign w:val="center"/>
                </w:tcPr>
                <w:p w14:paraId="7FFF4B9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900-0</w:t>
                  </w:r>
                  <w:r>
                    <w:rPr>
                      <w:rFonts w:hint="eastAsia" w:cs="Times New Roman"/>
                      <w:color w:val="000000" w:themeColor="text1"/>
                      <w:sz w:val="21"/>
                      <w:szCs w:val="21"/>
                      <w:highlight w:val="none"/>
                      <w:lang w:val="en-US" w:eastAsia="zh-CN"/>
                      <w14:textFill>
                        <w14:solidFill>
                          <w14:schemeClr w14:val="tx1"/>
                        </w14:solidFill>
                      </w14:textFill>
                    </w:rPr>
                    <w:t>99</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-S</w:t>
                  </w:r>
                  <w:r>
                    <w:rPr>
                      <w:rFonts w:hint="eastAsia" w:cs="Times New Roman"/>
                      <w:color w:val="000000" w:themeColor="text1"/>
                      <w:sz w:val="21"/>
                      <w:szCs w:val="21"/>
                      <w:highlight w:val="none"/>
                      <w:lang w:val="en-US" w:eastAsia="zh-CN"/>
                      <w14:textFill>
                        <w14:solidFill>
                          <w14:schemeClr w14:val="tx1"/>
                        </w14:solidFill>
                      </w14:textFill>
                    </w:rPr>
                    <w:t>59</w:t>
                  </w:r>
                </w:p>
              </w:tc>
              <w:tc>
                <w:tcPr>
                  <w:tcW w:w="609" w:type="pct"/>
                  <w:tcBorders>
                    <w:tl2br w:val="nil"/>
                    <w:tr2bl w:val="nil"/>
                  </w:tcBorders>
                  <w:noWrap w:val="0"/>
                  <w:vAlign w:val="center"/>
                </w:tcPr>
                <w:p w14:paraId="79037D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8.5821</w:t>
                  </w:r>
                </w:p>
              </w:tc>
              <w:tc>
                <w:tcPr>
                  <w:tcW w:w="425" w:type="pct"/>
                  <w:tcBorders>
                    <w:tl2br w:val="nil"/>
                    <w:tr2bl w:val="nil"/>
                  </w:tcBorders>
                  <w:noWrap w:val="0"/>
                  <w:vAlign w:val="center"/>
                </w:tcPr>
                <w:p w14:paraId="34DA69D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固体</w:t>
                  </w:r>
                </w:p>
              </w:tc>
              <w:tc>
                <w:tcPr>
                  <w:tcW w:w="385" w:type="pct"/>
                  <w:tcBorders>
                    <w:tl2br w:val="nil"/>
                    <w:tr2bl w:val="nil"/>
                  </w:tcBorders>
                  <w:noWrap w:val="0"/>
                  <w:vAlign w:val="center"/>
                </w:tcPr>
                <w:p w14:paraId="0DD5D0C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1次/</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10d</w:t>
                  </w:r>
                </w:p>
              </w:tc>
              <w:tc>
                <w:tcPr>
                  <w:tcW w:w="785" w:type="pct"/>
                  <w:vMerge w:val="restart"/>
                  <w:tcBorders>
                    <w:tl2br w:val="nil"/>
                    <w:tr2bl w:val="nil"/>
                  </w:tcBorders>
                  <w:noWrap w:val="0"/>
                  <w:vAlign w:val="center"/>
                </w:tcPr>
                <w:p w14:paraId="7CB91B8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集中收集后暂存于一般固废暂存区，</w:t>
                  </w:r>
                  <w:r>
                    <w:rPr>
                      <w:rFonts w:hint="eastAsia" w:cs="Times New Roman"/>
                      <w:color w:val="000000" w:themeColor="text1"/>
                      <w:kern w:val="2"/>
                      <w:sz w:val="21"/>
                      <w:szCs w:val="21"/>
                      <w:highlight w:val="none"/>
                      <w:lang w:val="en-US" w:eastAsia="zh-CN" w:bidi="ar"/>
                      <w14:textFill>
                        <w14:solidFill>
                          <w14:schemeClr w14:val="tx1"/>
                        </w14:solidFill>
                      </w14:textFill>
                    </w:rPr>
                    <w:t>交由有利用、处置能力的企业依法依规进行利用处置</w:t>
                  </w:r>
                </w:p>
              </w:tc>
            </w:tr>
            <w:tr w14:paraId="06572A0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262" w:type="pct"/>
                  <w:tcBorders>
                    <w:tl2br w:val="nil"/>
                    <w:tr2bl w:val="nil"/>
                  </w:tcBorders>
                  <w:shd w:val="clear" w:color="auto" w:fill="auto"/>
                  <w:noWrap w:val="0"/>
                  <w:vAlign w:val="center"/>
                </w:tcPr>
                <w:p w14:paraId="4F057F95">
                  <w:pPr>
                    <w:keepNext w:val="0"/>
                    <w:keepLines w:val="0"/>
                    <w:pageBreakBefore w:val="0"/>
                    <w:widowControl w:val="0"/>
                    <w:numPr>
                      <w:ilvl w:val="0"/>
                      <w:numId w:val="3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02" w:type="pct"/>
                  <w:tcBorders>
                    <w:tl2br w:val="nil"/>
                    <w:tr2bl w:val="nil"/>
                  </w:tcBorders>
                  <w:noWrap w:val="0"/>
                  <w:vAlign w:val="center"/>
                </w:tcPr>
                <w:p w14:paraId="101C3A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石膏破碎</w:t>
                  </w:r>
                </w:p>
              </w:tc>
              <w:tc>
                <w:tcPr>
                  <w:tcW w:w="517" w:type="pct"/>
                  <w:tcBorders>
                    <w:tl2br w:val="nil"/>
                    <w:tr2bl w:val="nil"/>
                  </w:tcBorders>
                  <w:noWrap w:val="0"/>
                  <w:vAlign w:val="center"/>
                </w:tcPr>
                <w:p w14:paraId="567D84C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废渣</w:t>
                  </w:r>
                </w:p>
              </w:tc>
              <w:tc>
                <w:tcPr>
                  <w:tcW w:w="503" w:type="pct"/>
                  <w:tcBorders>
                    <w:tl2br w:val="nil"/>
                    <w:tr2bl w:val="nil"/>
                  </w:tcBorders>
                  <w:noWrap w:val="0"/>
                  <w:vAlign w:val="center"/>
                </w:tcPr>
                <w:p w14:paraId="09C20A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SW</w:t>
                  </w:r>
                  <w:r>
                    <w:rPr>
                      <w:rFonts w:hint="eastAsia" w:cs="Times New Roman"/>
                      <w:color w:val="000000" w:themeColor="text1"/>
                      <w:sz w:val="21"/>
                      <w:szCs w:val="21"/>
                      <w:highlight w:val="none"/>
                      <w:lang w:val="en-US" w:eastAsia="zh-CN"/>
                      <w14:textFill>
                        <w14:solidFill>
                          <w14:schemeClr w14:val="tx1"/>
                        </w14:solidFill>
                      </w14:textFill>
                    </w:rPr>
                    <w:t>11</w:t>
                  </w:r>
                </w:p>
              </w:tc>
              <w:tc>
                <w:tcPr>
                  <w:tcW w:w="908" w:type="pct"/>
                  <w:tcBorders>
                    <w:tl2br w:val="nil"/>
                    <w:tr2bl w:val="nil"/>
                  </w:tcBorders>
                  <w:noWrap w:val="0"/>
                  <w:vAlign w:val="center"/>
                </w:tcPr>
                <w:p w14:paraId="6CD7DFA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900-099-S</w:t>
                  </w:r>
                  <w:r>
                    <w:rPr>
                      <w:rFonts w:hint="eastAsia" w:cs="Times New Roman"/>
                      <w:color w:val="000000" w:themeColor="text1"/>
                      <w:sz w:val="21"/>
                      <w:szCs w:val="21"/>
                      <w:highlight w:val="none"/>
                      <w:lang w:val="en-US" w:eastAsia="zh-CN"/>
                      <w14:textFill>
                        <w14:solidFill>
                          <w14:schemeClr w14:val="tx1"/>
                        </w14:solidFill>
                      </w14:textFill>
                    </w:rPr>
                    <w:t>11</w:t>
                  </w:r>
                </w:p>
              </w:tc>
              <w:tc>
                <w:tcPr>
                  <w:tcW w:w="609" w:type="pct"/>
                  <w:tcBorders>
                    <w:tl2br w:val="nil"/>
                    <w:tr2bl w:val="nil"/>
                  </w:tcBorders>
                  <w:noWrap w:val="0"/>
                  <w:vAlign w:val="center"/>
                </w:tcPr>
                <w:p w14:paraId="5248443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0.30</w:t>
                  </w:r>
                </w:p>
              </w:tc>
              <w:tc>
                <w:tcPr>
                  <w:tcW w:w="425" w:type="pct"/>
                  <w:tcBorders>
                    <w:tl2br w:val="nil"/>
                    <w:tr2bl w:val="nil"/>
                  </w:tcBorders>
                  <w:noWrap w:val="0"/>
                  <w:vAlign w:val="center"/>
                </w:tcPr>
                <w:p w14:paraId="16DAC1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固体</w:t>
                  </w:r>
                </w:p>
              </w:tc>
              <w:tc>
                <w:tcPr>
                  <w:tcW w:w="385" w:type="pct"/>
                  <w:tcBorders>
                    <w:tl2br w:val="nil"/>
                    <w:tr2bl w:val="nil"/>
                  </w:tcBorders>
                  <w:noWrap w:val="0"/>
                  <w:vAlign w:val="center"/>
                </w:tcPr>
                <w:p w14:paraId="3CDF0DA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1次/</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10d</w:t>
                  </w:r>
                </w:p>
              </w:tc>
              <w:tc>
                <w:tcPr>
                  <w:tcW w:w="785" w:type="pct"/>
                  <w:vMerge w:val="continue"/>
                  <w:tcBorders>
                    <w:tl2br w:val="nil"/>
                    <w:tr2bl w:val="nil"/>
                  </w:tcBorders>
                  <w:noWrap w:val="0"/>
                  <w:vAlign w:val="center"/>
                </w:tcPr>
                <w:p w14:paraId="3CAD5F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r>
            <w:tr w14:paraId="3D70D5F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262" w:type="pct"/>
                  <w:tcBorders>
                    <w:tl2br w:val="nil"/>
                    <w:tr2bl w:val="nil"/>
                  </w:tcBorders>
                  <w:shd w:val="clear" w:color="auto" w:fill="auto"/>
                  <w:noWrap w:val="0"/>
                  <w:vAlign w:val="center"/>
                </w:tcPr>
                <w:p w14:paraId="2B905002">
                  <w:pPr>
                    <w:keepNext w:val="0"/>
                    <w:keepLines w:val="0"/>
                    <w:pageBreakBefore w:val="0"/>
                    <w:widowControl w:val="0"/>
                    <w:numPr>
                      <w:ilvl w:val="0"/>
                      <w:numId w:val="3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02" w:type="pct"/>
                  <w:tcBorders>
                    <w:tl2br w:val="nil"/>
                    <w:tr2bl w:val="nil"/>
                  </w:tcBorders>
                  <w:noWrap w:val="0"/>
                  <w:vAlign w:val="center"/>
                </w:tcPr>
                <w:p w14:paraId="466C3ABB">
                  <w:pPr>
                    <w:keepNext w:val="0"/>
                    <w:keepLines w:val="0"/>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创新制剂车间</w:t>
                  </w:r>
                </w:p>
              </w:tc>
              <w:tc>
                <w:tcPr>
                  <w:tcW w:w="517" w:type="pct"/>
                  <w:tcBorders>
                    <w:tl2br w:val="nil"/>
                    <w:tr2bl w:val="nil"/>
                  </w:tcBorders>
                  <w:noWrap w:val="0"/>
                  <w:vAlign w:val="center"/>
                </w:tcPr>
                <w:p w14:paraId="0487DBC3">
                  <w:pPr>
                    <w:keepNext w:val="0"/>
                    <w:keepLines w:val="0"/>
                    <w:suppressLineNumbers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废捕集袋</w:t>
                  </w:r>
                </w:p>
              </w:tc>
              <w:tc>
                <w:tcPr>
                  <w:tcW w:w="503" w:type="pct"/>
                  <w:tcBorders>
                    <w:tl2br w:val="nil"/>
                    <w:tr2bl w:val="nil"/>
                  </w:tcBorders>
                  <w:noWrap w:val="0"/>
                  <w:vAlign w:val="center"/>
                </w:tcPr>
                <w:p w14:paraId="77480C9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SW59</w:t>
                  </w:r>
                </w:p>
              </w:tc>
              <w:tc>
                <w:tcPr>
                  <w:tcW w:w="908" w:type="pct"/>
                  <w:tcBorders>
                    <w:tl2br w:val="nil"/>
                    <w:tr2bl w:val="nil"/>
                  </w:tcBorders>
                  <w:noWrap w:val="0"/>
                  <w:vAlign w:val="center"/>
                </w:tcPr>
                <w:p w14:paraId="0AC7527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900-0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9-S59</w:t>
                  </w:r>
                </w:p>
              </w:tc>
              <w:tc>
                <w:tcPr>
                  <w:tcW w:w="609" w:type="pct"/>
                  <w:tcBorders>
                    <w:tl2br w:val="nil"/>
                    <w:tr2bl w:val="nil"/>
                  </w:tcBorders>
                  <w:noWrap w:val="0"/>
                  <w:vAlign w:val="center"/>
                </w:tcPr>
                <w:p w14:paraId="034C8E30">
                  <w:pPr>
                    <w:keepNext w:val="0"/>
                    <w:keepLines w:val="0"/>
                    <w:suppressLineNumbers w:val="0"/>
                    <w:spacing w:before="0" w:beforeAutospacing="0" w:after="0" w:afterAutospacing="0"/>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w:t>
                  </w:r>
                  <w:r>
                    <w:rPr>
                      <w:rFonts w:hint="eastAsia" w:cs="Times New Roman"/>
                      <w:color w:val="000000" w:themeColor="text1"/>
                      <w:sz w:val="21"/>
                      <w:szCs w:val="21"/>
                      <w:highlight w:val="none"/>
                      <w:lang w:val="en-US" w:eastAsia="zh-CN"/>
                      <w14:textFill>
                        <w14:solidFill>
                          <w14:schemeClr w14:val="tx1"/>
                        </w14:solidFill>
                      </w14:textFill>
                    </w:rPr>
                    <w:t>05</w:t>
                  </w:r>
                </w:p>
              </w:tc>
              <w:tc>
                <w:tcPr>
                  <w:tcW w:w="425" w:type="pct"/>
                  <w:tcBorders>
                    <w:tl2br w:val="nil"/>
                    <w:tr2bl w:val="nil"/>
                  </w:tcBorders>
                  <w:noWrap w:val="0"/>
                  <w:vAlign w:val="center"/>
                </w:tcPr>
                <w:p w14:paraId="1A99D4A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固体</w:t>
                  </w:r>
                </w:p>
              </w:tc>
              <w:tc>
                <w:tcPr>
                  <w:tcW w:w="385" w:type="pct"/>
                  <w:tcBorders>
                    <w:tl2br w:val="nil"/>
                    <w:tr2bl w:val="nil"/>
                  </w:tcBorders>
                  <w:noWrap w:val="0"/>
                  <w:vAlign w:val="center"/>
                </w:tcPr>
                <w:p w14:paraId="4C8DFE9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1次/</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a</w:t>
                  </w:r>
                </w:p>
              </w:tc>
              <w:tc>
                <w:tcPr>
                  <w:tcW w:w="785" w:type="pct"/>
                  <w:vMerge w:val="continue"/>
                  <w:tcBorders>
                    <w:tl2br w:val="nil"/>
                    <w:tr2bl w:val="nil"/>
                  </w:tcBorders>
                  <w:noWrap w:val="0"/>
                  <w:vAlign w:val="center"/>
                </w:tcPr>
                <w:p w14:paraId="4BCAEE1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r>
            <w:tr w14:paraId="2FA4C18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262" w:type="pct"/>
                  <w:tcBorders>
                    <w:tl2br w:val="nil"/>
                    <w:tr2bl w:val="nil"/>
                  </w:tcBorders>
                  <w:shd w:val="clear" w:color="auto" w:fill="auto"/>
                  <w:noWrap w:val="0"/>
                  <w:vAlign w:val="center"/>
                </w:tcPr>
                <w:p w14:paraId="2DCA6DB8">
                  <w:pPr>
                    <w:keepNext w:val="0"/>
                    <w:keepLines w:val="0"/>
                    <w:pageBreakBefore w:val="0"/>
                    <w:widowControl w:val="0"/>
                    <w:numPr>
                      <w:ilvl w:val="0"/>
                      <w:numId w:val="3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02" w:type="pct"/>
                  <w:tcBorders>
                    <w:tl2br w:val="nil"/>
                    <w:tr2bl w:val="nil"/>
                  </w:tcBorders>
                  <w:noWrap w:val="0"/>
                  <w:vAlign w:val="center"/>
                </w:tcPr>
                <w:p w14:paraId="0A75957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包装、胶囊填充</w:t>
                  </w:r>
                </w:p>
              </w:tc>
              <w:tc>
                <w:tcPr>
                  <w:tcW w:w="517" w:type="pct"/>
                  <w:tcBorders>
                    <w:tl2br w:val="nil"/>
                    <w:tr2bl w:val="nil"/>
                  </w:tcBorders>
                  <w:noWrap w:val="0"/>
                  <w:vAlign w:val="center"/>
                </w:tcPr>
                <w:p w14:paraId="6B25D4F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废包装材料及</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废胶囊材料</w:t>
                  </w:r>
                </w:p>
              </w:tc>
              <w:tc>
                <w:tcPr>
                  <w:tcW w:w="503" w:type="pct"/>
                  <w:tcBorders>
                    <w:tl2br w:val="nil"/>
                    <w:tr2bl w:val="nil"/>
                  </w:tcBorders>
                  <w:noWrap w:val="0"/>
                  <w:vAlign w:val="center"/>
                </w:tcPr>
                <w:p w14:paraId="69CA7A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SW</w:t>
                  </w:r>
                  <w:r>
                    <w:rPr>
                      <w:rFonts w:hint="eastAsia" w:cs="Times New Roman"/>
                      <w:color w:val="000000" w:themeColor="text1"/>
                      <w:sz w:val="21"/>
                      <w:szCs w:val="21"/>
                      <w:highlight w:val="none"/>
                      <w:lang w:val="en-US" w:eastAsia="zh-CN"/>
                      <w14:textFill>
                        <w14:solidFill>
                          <w14:schemeClr w14:val="tx1"/>
                        </w14:solidFill>
                      </w14:textFill>
                    </w:rPr>
                    <w:t>17</w:t>
                  </w:r>
                </w:p>
              </w:tc>
              <w:tc>
                <w:tcPr>
                  <w:tcW w:w="908" w:type="pct"/>
                  <w:tcBorders>
                    <w:tl2br w:val="nil"/>
                    <w:tr2bl w:val="nil"/>
                  </w:tcBorders>
                  <w:noWrap w:val="0"/>
                  <w:vAlign w:val="center"/>
                </w:tcPr>
                <w:p w14:paraId="33CD757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900-0</w:t>
                  </w:r>
                  <w:r>
                    <w:rPr>
                      <w:rFonts w:hint="eastAsia" w:cs="Times New Roman"/>
                      <w:color w:val="000000" w:themeColor="text1"/>
                      <w:sz w:val="21"/>
                      <w:szCs w:val="21"/>
                      <w:highlight w:val="none"/>
                      <w:lang w:val="en-US" w:eastAsia="zh-CN"/>
                      <w14:textFill>
                        <w14:solidFill>
                          <w14:schemeClr w14:val="tx1"/>
                        </w14:solidFill>
                      </w14:textFill>
                    </w:rPr>
                    <w:t>99</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-S</w:t>
                  </w:r>
                  <w:r>
                    <w:rPr>
                      <w:rFonts w:hint="eastAsia" w:cs="Times New Roman"/>
                      <w:color w:val="000000" w:themeColor="text1"/>
                      <w:sz w:val="21"/>
                      <w:szCs w:val="21"/>
                      <w:highlight w:val="none"/>
                      <w:lang w:val="en-US" w:eastAsia="zh-CN"/>
                      <w14:textFill>
                        <w14:solidFill>
                          <w14:schemeClr w14:val="tx1"/>
                        </w14:solidFill>
                      </w14:textFill>
                    </w:rPr>
                    <w:t>17</w:t>
                  </w:r>
                </w:p>
              </w:tc>
              <w:tc>
                <w:tcPr>
                  <w:tcW w:w="609" w:type="pct"/>
                  <w:tcBorders>
                    <w:tl2br w:val="nil"/>
                    <w:tr2bl w:val="nil"/>
                  </w:tcBorders>
                  <w:noWrap w:val="0"/>
                  <w:vAlign w:val="center"/>
                </w:tcPr>
                <w:p w14:paraId="5615EDD2">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0.315</w:t>
                  </w:r>
                </w:p>
              </w:tc>
              <w:tc>
                <w:tcPr>
                  <w:tcW w:w="425" w:type="pct"/>
                  <w:tcBorders>
                    <w:tl2br w:val="nil"/>
                    <w:tr2bl w:val="nil"/>
                  </w:tcBorders>
                  <w:noWrap w:val="0"/>
                  <w:vAlign w:val="center"/>
                </w:tcPr>
                <w:p w14:paraId="6B0E767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固体</w:t>
                  </w:r>
                </w:p>
              </w:tc>
              <w:tc>
                <w:tcPr>
                  <w:tcW w:w="385" w:type="pct"/>
                  <w:tcBorders>
                    <w:tl2br w:val="nil"/>
                    <w:tr2bl w:val="nil"/>
                  </w:tcBorders>
                  <w:noWrap w:val="0"/>
                  <w:vAlign w:val="center"/>
                </w:tcPr>
                <w:p w14:paraId="5079065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1次/</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10d</w:t>
                  </w:r>
                </w:p>
              </w:tc>
              <w:tc>
                <w:tcPr>
                  <w:tcW w:w="785" w:type="pct"/>
                  <w:vMerge w:val="continue"/>
                  <w:tcBorders>
                    <w:tl2br w:val="nil"/>
                    <w:tr2bl w:val="nil"/>
                  </w:tcBorders>
                  <w:noWrap w:val="0"/>
                  <w:vAlign w:val="center"/>
                </w:tcPr>
                <w:p w14:paraId="22BD1EA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r>
            <w:tr w14:paraId="1CF2DB2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262" w:type="pct"/>
                  <w:tcBorders>
                    <w:tl2br w:val="nil"/>
                    <w:tr2bl w:val="nil"/>
                  </w:tcBorders>
                  <w:shd w:val="clear" w:color="auto" w:fill="auto"/>
                  <w:noWrap w:val="0"/>
                  <w:vAlign w:val="center"/>
                </w:tcPr>
                <w:p w14:paraId="628FEA89">
                  <w:pPr>
                    <w:keepNext w:val="0"/>
                    <w:keepLines w:val="0"/>
                    <w:pageBreakBefore w:val="0"/>
                    <w:widowControl w:val="0"/>
                    <w:numPr>
                      <w:ilvl w:val="0"/>
                      <w:numId w:val="3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02" w:type="pct"/>
                  <w:vMerge w:val="restart"/>
                  <w:tcBorders>
                    <w:tl2br w:val="nil"/>
                    <w:tr2bl w:val="nil"/>
                  </w:tcBorders>
                  <w:noWrap w:val="0"/>
                  <w:vAlign w:val="center"/>
                </w:tcPr>
                <w:p w14:paraId="32B52DD7">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
                      <w14:textFill>
                        <w14:solidFill>
                          <w14:schemeClr w14:val="tx1"/>
                        </w14:solidFill>
                      </w14:textFill>
                    </w:rPr>
                    <w:t>前处理车间</w:t>
                  </w:r>
                  <w:r>
                    <w:rPr>
                      <w:rFonts w:hint="eastAsia"/>
                      <w:color w:val="000000" w:themeColor="text1"/>
                      <w:sz w:val="21"/>
                      <w:szCs w:val="21"/>
                      <w:highlight w:val="none"/>
                      <w:lang w:val="en-US" w:eastAsia="zh-CN"/>
                      <w14:textFill>
                        <w14:solidFill>
                          <w14:schemeClr w14:val="tx1"/>
                        </w14:solidFill>
                      </w14:textFill>
                    </w:rPr>
                    <w:t>和创新制剂车间</w:t>
                  </w:r>
                </w:p>
              </w:tc>
              <w:tc>
                <w:tcPr>
                  <w:tcW w:w="517" w:type="pct"/>
                  <w:tcBorders>
                    <w:tl2br w:val="nil"/>
                    <w:tr2bl w:val="nil"/>
                  </w:tcBorders>
                  <w:noWrap w:val="0"/>
                  <w:vAlign w:val="center"/>
                </w:tcPr>
                <w:p w14:paraId="429A2D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除尘灰</w:t>
                  </w:r>
                </w:p>
              </w:tc>
              <w:tc>
                <w:tcPr>
                  <w:tcW w:w="503" w:type="pct"/>
                  <w:tcBorders>
                    <w:tl2br w:val="nil"/>
                    <w:tr2bl w:val="nil"/>
                  </w:tcBorders>
                  <w:noWrap w:val="0"/>
                  <w:vAlign w:val="center"/>
                </w:tcPr>
                <w:p w14:paraId="65C2B35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SW</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17</w:t>
                  </w:r>
                </w:p>
              </w:tc>
              <w:tc>
                <w:tcPr>
                  <w:tcW w:w="908" w:type="pct"/>
                  <w:tcBorders>
                    <w:tl2br w:val="nil"/>
                    <w:tr2bl w:val="nil"/>
                  </w:tcBorders>
                  <w:noWrap w:val="0"/>
                  <w:vAlign w:val="center"/>
                </w:tcPr>
                <w:p w14:paraId="2CBD40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900-0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03</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17</w:t>
                  </w:r>
                </w:p>
              </w:tc>
              <w:tc>
                <w:tcPr>
                  <w:tcW w:w="609" w:type="pct"/>
                  <w:tcBorders>
                    <w:tl2br w:val="nil"/>
                    <w:tr2bl w:val="nil"/>
                  </w:tcBorders>
                  <w:noWrap w:val="0"/>
                  <w:vAlign w:val="center"/>
                </w:tcPr>
                <w:p w14:paraId="4D28A1C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1.2771</w:t>
                  </w:r>
                </w:p>
              </w:tc>
              <w:tc>
                <w:tcPr>
                  <w:tcW w:w="425" w:type="pct"/>
                  <w:tcBorders>
                    <w:tl2br w:val="nil"/>
                    <w:tr2bl w:val="nil"/>
                  </w:tcBorders>
                  <w:noWrap w:val="0"/>
                  <w:vAlign w:val="center"/>
                </w:tcPr>
                <w:p w14:paraId="1251C0B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固体</w:t>
                  </w:r>
                </w:p>
              </w:tc>
              <w:tc>
                <w:tcPr>
                  <w:tcW w:w="385" w:type="pct"/>
                  <w:tcBorders>
                    <w:tl2br w:val="nil"/>
                    <w:tr2bl w:val="nil"/>
                  </w:tcBorders>
                  <w:noWrap w:val="0"/>
                  <w:vAlign w:val="center"/>
                </w:tcPr>
                <w:p w14:paraId="025B54B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1次/</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15d</w:t>
                  </w:r>
                </w:p>
              </w:tc>
              <w:tc>
                <w:tcPr>
                  <w:tcW w:w="785" w:type="pct"/>
                  <w:vMerge w:val="continue"/>
                  <w:tcBorders>
                    <w:tl2br w:val="nil"/>
                    <w:tr2bl w:val="nil"/>
                  </w:tcBorders>
                  <w:noWrap w:val="0"/>
                  <w:vAlign w:val="center"/>
                </w:tcPr>
                <w:p w14:paraId="71AB43A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2B73580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262" w:type="pct"/>
                  <w:tcBorders>
                    <w:tl2br w:val="nil"/>
                    <w:tr2bl w:val="nil"/>
                  </w:tcBorders>
                  <w:noWrap w:val="0"/>
                  <w:vAlign w:val="center"/>
                </w:tcPr>
                <w:p w14:paraId="282D367D">
                  <w:pPr>
                    <w:keepNext w:val="0"/>
                    <w:keepLines w:val="0"/>
                    <w:pageBreakBefore w:val="0"/>
                    <w:widowControl w:val="0"/>
                    <w:numPr>
                      <w:ilvl w:val="0"/>
                      <w:numId w:val="3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02" w:type="pct"/>
                  <w:vMerge w:val="continue"/>
                  <w:tcBorders>
                    <w:tl2br w:val="nil"/>
                    <w:tr2bl w:val="nil"/>
                  </w:tcBorders>
                  <w:noWrap w:val="0"/>
                  <w:vAlign w:val="center"/>
                </w:tcPr>
                <w:p w14:paraId="4C52C387">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517" w:type="pct"/>
                  <w:tcBorders>
                    <w:tl2br w:val="nil"/>
                    <w:tr2bl w:val="nil"/>
                  </w:tcBorders>
                  <w:noWrap w:val="0"/>
                  <w:vAlign w:val="center"/>
                </w:tcPr>
                <w:p w14:paraId="4EFE944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废布袋</w:t>
                  </w:r>
                </w:p>
              </w:tc>
              <w:tc>
                <w:tcPr>
                  <w:tcW w:w="503" w:type="pct"/>
                  <w:tcBorders>
                    <w:tl2br w:val="nil"/>
                    <w:tr2bl w:val="nil"/>
                  </w:tcBorders>
                  <w:noWrap w:val="0"/>
                  <w:vAlign w:val="center"/>
                </w:tcPr>
                <w:p w14:paraId="42E2E73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SW59</w:t>
                  </w:r>
                </w:p>
              </w:tc>
              <w:tc>
                <w:tcPr>
                  <w:tcW w:w="908" w:type="pct"/>
                  <w:tcBorders>
                    <w:tl2br w:val="nil"/>
                    <w:tr2bl w:val="nil"/>
                  </w:tcBorders>
                  <w:noWrap w:val="0"/>
                  <w:vAlign w:val="center"/>
                </w:tcPr>
                <w:p w14:paraId="4061463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900-0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9-S59</w:t>
                  </w:r>
                </w:p>
              </w:tc>
              <w:tc>
                <w:tcPr>
                  <w:tcW w:w="609" w:type="pct"/>
                  <w:tcBorders>
                    <w:tl2br w:val="nil"/>
                    <w:tr2bl w:val="nil"/>
                  </w:tcBorders>
                  <w:noWrap w:val="0"/>
                  <w:vAlign w:val="center"/>
                </w:tcPr>
                <w:p w14:paraId="63D82D3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w:t>
                  </w:r>
                  <w:r>
                    <w:rPr>
                      <w:rFonts w:hint="eastAsia" w:cs="Times New Roman"/>
                      <w:color w:val="000000" w:themeColor="text1"/>
                      <w:sz w:val="21"/>
                      <w:szCs w:val="21"/>
                      <w:highlight w:val="none"/>
                      <w:lang w:val="en-US" w:eastAsia="zh-CN"/>
                      <w14:textFill>
                        <w14:solidFill>
                          <w14:schemeClr w14:val="tx1"/>
                        </w14:solidFill>
                      </w14:textFill>
                    </w:rPr>
                    <w:t>05</w:t>
                  </w:r>
                </w:p>
              </w:tc>
              <w:tc>
                <w:tcPr>
                  <w:tcW w:w="425" w:type="pct"/>
                  <w:tcBorders>
                    <w:tl2br w:val="nil"/>
                    <w:tr2bl w:val="nil"/>
                  </w:tcBorders>
                  <w:noWrap w:val="0"/>
                  <w:vAlign w:val="center"/>
                </w:tcPr>
                <w:p w14:paraId="304F01C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固体</w:t>
                  </w:r>
                </w:p>
              </w:tc>
              <w:tc>
                <w:tcPr>
                  <w:tcW w:w="385" w:type="pct"/>
                  <w:tcBorders>
                    <w:tl2br w:val="nil"/>
                    <w:tr2bl w:val="nil"/>
                  </w:tcBorders>
                  <w:noWrap w:val="0"/>
                  <w:vAlign w:val="center"/>
                </w:tcPr>
                <w:p w14:paraId="07AF63C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1次/</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a</w:t>
                  </w:r>
                </w:p>
              </w:tc>
              <w:tc>
                <w:tcPr>
                  <w:tcW w:w="785" w:type="pct"/>
                  <w:vMerge w:val="continue"/>
                  <w:tcBorders>
                    <w:tl2br w:val="nil"/>
                    <w:tr2bl w:val="nil"/>
                  </w:tcBorders>
                  <w:noWrap w:val="0"/>
                  <w:vAlign w:val="center"/>
                </w:tcPr>
                <w:p w14:paraId="0E09500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r>
            <w:tr w14:paraId="7DD1E6C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262" w:type="pct"/>
                  <w:tcBorders>
                    <w:tl2br w:val="nil"/>
                    <w:tr2bl w:val="nil"/>
                  </w:tcBorders>
                  <w:noWrap w:val="0"/>
                  <w:vAlign w:val="center"/>
                </w:tcPr>
                <w:p w14:paraId="14D014B5">
                  <w:pPr>
                    <w:keepNext w:val="0"/>
                    <w:keepLines w:val="0"/>
                    <w:pageBreakBefore w:val="0"/>
                    <w:widowControl w:val="0"/>
                    <w:numPr>
                      <w:ilvl w:val="0"/>
                      <w:numId w:val="3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02" w:type="pct"/>
                  <w:tcBorders>
                    <w:tl2br w:val="nil"/>
                    <w:tr2bl w:val="nil"/>
                  </w:tcBorders>
                  <w:noWrap w:val="0"/>
                  <w:vAlign w:val="center"/>
                </w:tcPr>
                <w:p w14:paraId="351A96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软化水制备</w:t>
                  </w:r>
                </w:p>
              </w:tc>
              <w:tc>
                <w:tcPr>
                  <w:tcW w:w="517" w:type="pct"/>
                  <w:tcBorders>
                    <w:tl2br w:val="nil"/>
                    <w:tr2bl w:val="nil"/>
                  </w:tcBorders>
                  <w:noWrap w:val="0"/>
                  <w:vAlign w:val="center"/>
                </w:tcPr>
                <w:p w14:paraId="0C34A9B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kern w:val="0"/>
                      <w:sz w:val="21"/>
                      <w:szCs w:val="21"/>
                      <w:highlight w:val="none"/>
                      <w:lang w:val="en-US" w:eastAsia="zh-CN" w:bidi="ar"/>
                      <w14:textFill>
                        <w14:solidFill>
                          <w14:schemeClr w14:val="tx1"/>
                        </w14:solidFill>
                      </w14:textFill>
                    </w:rPr>
                    <w:t>废离子交换树脂</w:t>
                  </w:r>
                </w:p>
              </w:tc>
              <w:tc>
                <w:tcPr>
                  <w:tcW w:w="503" w:type="pct"/>
                  <w:tcBorders>
                    <w:tl2br w:val="nil"/>
                    <w:tr2bl w:val="nil"/>
                  </w:tcBorders>
                  <w:noWrap w:val="0"/>
                  <w:vAlign w:val="center"/>
                </w:tcPr>
                <w:p w14:paraId="0DBD98A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SW59</w:t>
                  </w:r>
                </w:p>
              </w:tc>
              <w:tc>
                <w:tcPr>
                  <w:tcW w:w="908" w:type="pct"/>
                  <w:tcBorders>
                    <w:tl2br w:val="nil"/>
                    <w:tr2bl w:val="nil"/>
                  </w:tcBorders>
                  <w:noWrap w:val="0"/>
                  <w:vAlign w:val="center"/>
                </w:tcPr>
                <w:p w14:paraId="391008C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900-0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9-S59</w:t>
                  </w:r>
                </w:p>
              </w:tc>
              <w:tc>
                <w:tcPr>
                  <w:tcW w:w="609" w:type="pct"/>
                  <w:tcBorders>
                    <w:tl2br w:val="nil"/>
                    <w:tr2bl w:val="nil"/>
                  </w:tcBorders>
                  <w:noWrap w:val="0"/>
                  <w:vAlign w:val="center"/>
                </w:tcPr>
                <w:p w14:paraId="647C54C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kern w:val="0"/>
                      <w:sz w:val="21"/>
                      <w:szCs w:val="21"/>
                      <w:highlight w:val="none"/>
                      <w:lang w:val="en-US" w:eastAsia="zh-CN" w:bidi="ar"/>
                      <w14:textFill>
                        <w14:solidFill>
                          <w14:schemeClr w14:val="tx1"/>
                        </w14:solidFill>
                      </w14:textFill>
                    </w:rPr>
                    <w:t>0.05</w:t>
                  </w:r>
                </w:p>
              </w:tc>
              <w:tc>
                <w:tcPr>
                  <w:tcW w:w="425" w:type="pct"/>
                  <w:tcBorders>
                    <w:tl2br w:val="nil"/>
                    <w:tr2bl w:val="nil"/>
                  </w:tcBorders>
                  <w:noWrap w:val="0"/>
                  <w:vAlign w:val="center"/>
                </w:tcPr>
                <w:p w14:paraId="55F2FE7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固体</w:t>
                  </w:r>
                </w:p>
              </w:tc>
              <w:tc>
                <w:tcPr>
                  <w:tcW w:w="385" w:type="pct"/>
                  <w:tcBorders>
                    <w:tl2br w:val="nil"/>
                    <w:tr2bl w:val="nil"/>
                  </w:tcBorders>
                  <w:noWrap w:val="0"/>
                  <w:vAlign w:val="center"/>
                </w:tcPr>
                <w:p w14:paraId="165B397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1次/</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a</w:t>
                  </w:r>
                </w:p>
              </w:tc>
              <w:tc>
                <w:tcPr>
                  <w:tcW w:w="785" w:type="pct"/>
                  <w:vMerge w:val="continue"/>
                  <w:tcBorders>
                    <w:tl2br w:val="nil"/>
                    <w:tr2bl w:val="nil"/>
                  </w:tcBorders>
                  <w:noWrap w:val="0"/>
                  <w:vAlign w:val="center"/>
                </w:tcPr>
                <w:p w14:paraId="3CFF0E3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r>
            <w:tr w14:paraId="4CF4E7F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262" w:type="pct"/>
                  <w:tcBorders>
                    <w:tl2br w:val="nil"/>
                    <w:tr2bl w:val="nil"/>
                  </w:tcBorders>
                  <w:noWrap w:val="0"/>
                  <w:vAlign w:val="center"/>
                </w:tcPr>
                <w:p w14:paraId="0FDF5F16">
                  <w:pPr>
                    <w:keepNext w:val="0"/>
                    <w:keepLines w:val="0"/>
                    <w:pageBreakBefore w:val="0"/>
                    <w:widowControl w:val="0"/>
                    <w:numPr>
                      <w:ilvl w:val="0"/>
                      <w:numId w:val="3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02" w:type="pct"/>
                  <w:tcBorders>
                    <w:tl2br w:val="nil"/>
                    <w:tr2bl w:val="nil"/>
                  </w:tcBorders>
                  <w:noWrap w:val="0"/>
                  <w:vAlign w:val="center"/>
                </w:tcPr>
                <w:p w14:paraId="24900F9A">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药材提取</w:t>
                  </w:r>
                </w:p>
              </w:tc>
              <w:tc>
                <w:tcPr>
                  <w:tcW w:w="517" w:type="pct"/>
                  <w:tcBorders>
                    <w:tl2br w:val="nil"/>
                    <w:tr2bl w:val="nil"/>
                  </w:tcBorders>
                  <w:noWrap w:val="0"/>
                  <w:vAlign w:val="center"/>
                </w:tcPr>
                <w:p w14:paraId="498B04A2">
                  <w:pPr>
                    <w:keepNext w:val="0"/>
                    <w:keepLines w:val="0"/>
                    <w:suppressLineNumbers w:val="0"/>
                    <w:spacing w:before="0" w:beforeAutospacing="0" w:after="0" w:afterAutospacing="0"/>
                    <w:ind w:left="0" w:right="0"/>
                    <w:jc w:val="center"/>
                    <w:rPr>
                      <w:rFonts w:hint="default" w:ascii="Times New Roman" w:hAnsi="Times New Roman" w:cs="Times New Roman"/>
                      <w:b w:val="0"/>
                      <w:bCs w:val="0"/>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b w:val="0"/>
                      <w:bCs w:val="0"/>
                      <w:color w:val="000000" w:themeColor="text1"/>
                      <w:kern w:val="0"/>
                      <w:sz w:val="21"/>
                      <w:szCs w:val="21"/>
                      <w:highlight w:val="none"/>
                      <w:lang w:val="en-US" w:eastAsia="zh-CN" w:bidi="ar"/>
                      <w14:textFill>
                        <w14:solidFill>
                          <w14:schemeClr w14:val="tx1"/>
                        </w14:solidFill>
                      </w14:textFill>
                    </w:rPr>
                    <w:t>中药渣（含水70%）</w:t>
                  </w:r>
                </w:p>
              </w:tc>
              <w:tc>
                <w:tcPr>
                  <w:tcW w:w="503" w:type="pct"/>
                  <w:tcBorders>
                    <w:tl2br w:val="nil"/>
                    <w:tr2bl w:val="nil"/>
                  </w:tcBorders>
                  <w:noWrap w:val="0"/>
                  <w:vAlign w:val="center"/>
                </w:tcPr>
                <w:p w14:paraId="50E1FFD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SW13</w:t>
                  </w:r>
                </w:p>
              </w:tc>
              <w:tc>
                <w:tcPr>
                  <w:tcW w:w="908" w:type="pct"/>
                  <w:tcBorders>
                    <w:tl2br w:val="nil"/>
                    <w:tr2bl w:val="nil"/>
                  </w:tcBorders>
                  <w:noWrap w:val="0"/>
                  <w:vAlign w:val="center"/>
                </w:tcPr>
                <w:p w14:paraId="173D2E8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900-099-S13</w:t>
                  </w:r>
                </w:p>
              </w:tc>
              <w:tc>
                <w:tcPr>
                  <w:tcW w:w="609" w:type="pct"/>
                  <w:tcBorders>
                    <w:tl2br w:val="nil"/>
                    <w:tr2bl w:val="nil"/>
                  </w:tcBorders>
                  <w:noWrap w:val="0"/>
                  <w:vAlign w:val="center"/>
                </w:tcPr>
                <w:p w14:paraId="26A5A03D">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 w:val="0"/>
                      <w:bCs w:val="0"/>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b w:val="0"/>
                      <w:bCs w:val="0"/>
                      <w:color w:val="000000" w:themeColor="text1"/>
                      <w:kern w:val="0"/>
                      <w:sz w:val="21"/>
                      <w:szCs w:val="21"/>
                      <w:highlight w:val="none"/>
                      <w:lang w:val="en-US" w:eastAsia="zh-CN" w:bidi="ar"/>
                      <w14:textFill>
                        <w14:solidFill>
                          <w14:schemeClr w14:val="tx1"/>
                        </w14:solidFill>
                      </w14:textFill>
                    </w:rPr>
                    <w:t>1881.07</w:t>
                  </w:r>
                </w:p>
              </w:tc>
              <w:tc>
                <w:tcPr>
                  <w:tcW w:w="425" w:type="pct"/>
                  <w:tcBorders>
                    <w:tl2br w:val="nil"/>
                    <w:tr2bl w:val="nil"/>
                  </w:tcBorders>
                  <w:noWrap w:val="0"/>
                  <w:vAlign w:val="center"/>
                </w:tcPr>
                <w:p w14:paraId="77ED207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固体</w:t>
                  </w:r>
                </w:p>
              </w:tc>
              <w:tc>
                <w:tcPr>
                  <w:tcW w:w="385" w:type="pct"/>
                  <w:tcBorders>
                    <w:tl2br w:val="nil"/>
                    <w:tr2bl w:val="nil"/>
                  </w:tcBorders>
                  <w:noWrap w:val="0"/>
                  <w:vAlign w:val="center"/>
                </w:tcPr>
                <w:p w14:paraId="643A8FF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1次/</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d</w:t>
                  </w:r>
                </w:p>
              </w:tc>
              <w:tc>
                <w:tcPr>
                  <w:tcW w:w="785" w:type="pct"/>
                  <w:vMerge w:val="continue"/>
                  <w:tcBorders>
                    <w:tl2br w:val="nil"/>
                    <w:tr2bl w:val="nil"/>
                  </w:tcBorders>
                  <w:noWrap w:val="0"/>
                  <w:vAlign w:val="center"/>
                </w:tcPr>
                <w:p w14:paraId="7670861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r>
            <w:tr w14:paraId="4E23B48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262" w:type="pct"/>
                  <w:tcBorders>
                    <w:tl2br w:val="nil"/>
                    <w:tr2bl w:val="nil"/>
                  </w:tcBorders>
                  <w:noWrap w:val="0"/>
                  <w:vAlign w:val="center"/>
                </w:tcPr>
                <w:p w14:paraId="189884E9">
                  <w:pPr>
                    <w:keepNext w:val="0"/>
                    <w:keepLines w:val="0"/>
                    <w:pageBreakBefore w:val="0"/>
                    <w:widowControl w:val="0"/>
                    <w:numPr>
                      <w:ilvl w:val="0"/>
                      <w:numId w:val="30"/>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02" w:type="pct"/>
                  <w:tcBorders>
                    <w:tl2br w:val="nil"/>
                    <w:tr2bl w:val="nil"/>
                  </w:tcBorders>
                  <w:noWrap w:val="0"/>
                  <w:vAlign w:val="center"/>
                </w:tcPr>
                <w:p w14:paraId="7337FC55">
                  <w:pPr>
                    <w:keepNext w:val="0"/>
                    <w:keepLines w:val="0"/>
                    <w:suppressLineNumbers w:val="0"/>
                    <w:spacing w:before="0" w:beforeAutospacing="0" w:after="0" w:afterAutospacing="0"/>
                    <w:ind w:left="0" w:right="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污水处理</w:t>
                  </w:r>
                </w:p>
              </w:tc>
              <w:tc>
                <w:tcPr>
                  <w:tcW w:w="517" w:type="pct"/>
                  <w:tcBorders>
                    <w:tl2br w:val="nil"/>
                    <w:tr2bl w:val="nil"/>
                  </w:tcBorders>
                  <w:noWrap w:val="0"/>
                  <w:vAlign w:val="center"/>
                </w:tcPr>
                <w:p w14:paraId="5257377D">
                  <w:pPr>
                    <w:keepNext w:val="0"/>
                    <w:keepLines w:val="0"/>
                    <w:suppressLineNumbers w:val="0"/>
                    <w:spacing w:before="0" w:beforeAutospacing="0" w:after="0" w:afterAutospacing="0"/>
                    <w:ind w:left="0" w:right="0"/>
                    <w:jc w:val="center"/>
                    <w:rPr>
                      <w:rFonts w:hint="default" w:ascii="Times New Roman" w:hAnsi="Times New Roman" w:cs="Times New Roman"/>
                      <w:b w:val="0"/>
                      <w:bCs w:val="0"/>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b w:val="0"/>
                      <w:bCs w:val="0"/>
                      <w:color w:val="000000" w:themeColor="text1"/>
                      <w:kern w:val="0"/>
                      <w:sz w:val="21"/>
                      <w:szCs w:val="21"/>
                      <w:highlight w:val="none"/>
                      <w:lang w:val="en-US" w:eastAsia="zh-CN" w:bidi="ar"/>
                      <w14:textFill>
                        <w14:solidFill>
                          <w14:schemeClr w14:val="tx1"/>
                        </w14:solidFill>
                      </w14:textFill>
                    </w:rPr>
                    <w:t>污水处理站污泥</w:t>
                  </w:r>
                </w:p>
              </w:tc>
              <w:tc>
                <w:tcPr>
                  <w:tcW w:w="503" w:type="pct"/>
                  <w:tcBorders>
                    <w:tl2br w:val="nil"/>
                    <w:tr2bl w:val="nil"/>
                  </w:tcBorders>
                  <w:noWrap w:val="0"/>
                  <w:vAlign w:val="center"/>
                </w:tcPr>
                <w:p w14:paraId="332DCA4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SW07</w:t>
                  </w:r>
                </w:p>
              </w:tc>
              <w:tc>
                <w:tcPr>
                  <w:tcW w:w="908" w:type="pct"/>
                  <w:tcBorders>
                    <w:tl2br w:val="nil"/>
                    <w:tr2bl w:val="nil"/>
                  </w:tcBorders>
                  <w:noWrap w:val="0"/>
                  <w:vAlign w:val="center"/>
                </w:tcPr>
                <w:p w14:paraId="056E17B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900-099-S07</w:t>
                  </w:r>
                </w:p>
              </w:tc>
              <w:tc>
                <w:tcPr>
                  <w:tcW w:w="609" w:type="pct"/>
                  <w:tcBorders>
                    <w:tl2br w:val="nil"/>
                    <w:tr2bl w:val="nil"/>
                  </w:tcBorders>
                  <w:noWrap w:val="0"/>
                  <w:vAlign w:val="center"/>
                </w:tcPr>
                <w:p w14:paraId="5F98F2FB">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 w:val="0"/>
                      <w:bCs w:val="0"/>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b w:val="0"/>
                      <w:bCs w:val="0"/>
                      <w:color w:val="000000" w:themeColor="text1"/>
                      <w:kern w:val="0"/>
                      <w:sz w:val="21"/>
                      <w:szCs w:val="21"/>
                      <w:highlight w:val="none"/>
                      <w:lang w:val="en-US" w:eastAsia="zh-CN" w:bidi="ar"/>
                      <w14:textFill>
                        <w14:solidFill>
                          <w14:schemeClr w14:val="tx1"/>
                        </w14:solidFill>
                      </w14:textFill>
                    </w:rPr>
                    <w:t>1.55</w:t>
                  </w:r>
                </w:p>
              </w:tc>
              <w:tc>
                <w:tcPr>
                  <w:tcW w:w="425" w:type="pct"/>
                  <w:tcBorders>
                    <w:tl2br w:val="nil"/>
                    <w:tr2bl w:val="nil"/>
                  </w:tcBorders>
                  <w:noWrap w:val="0"/>
                  <w:vAlign w:val="center"/>
                </w:tcPr>
                <w:p w14:paraId="5662252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固体</w:t>
                  </w:r>
                </w:p>
              </w:tc>
              <w:tc>
                <w:tcPr>
                  <w:tcW w:w="385" w:type="pct"/>
                  <w:tcBorders>
                    <w:tl2br w:val="nil"/>
                    <w:tr2bl w:val="nil"/>
                  </w:tcBorders>
                  <w:noWrap w:val="0"/>
                  <w:vAlign w:val="center"/>
                </w:tcPr>
                <w:p w14:paraId="12B3D76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1次/</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10d</w:t>
                  </w:r>
                </w:p>
              </w:tc>
              <w:tc>
                <w:tcPr>
                  <w:tcW w:w="785" w:type="pct"/>
                  <w:vMerge w:val="continue"/>
                  <w:tcBorders>
                    <w:tl2br w:val="nil"/>
                    <w:tr2bl w:val="nil"/>
                  </w:tcBorders>
                  <w:noWrap w:val="0"/>
                  <w:vAlign w:val="center"/>
                </w:tcPr>
                <w:p w14:paraId="30D6417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r>
          </w:tbl>
          <w:p w14:paraId="16EF1EDB">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jc w:val="both"/>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4.2.2一般固废贮存设施建设情况及贮存可行性分析</w:t>
            </w:r>
          </w:p>
          <w:p w14:paraId="0911D276">
            <w:pPr>
              <w:pStyle w:val="10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现有项目一般固废暂存区位于前处理车间北侧室外，占地面积约100m</w:t>
            </w:r>
            <w:r>
              <w:rPr>
                <w:rFonts w:hint="default" w:ascii="Times New Roman" w:hAnsi="Times New Roman" w:cs="Times New Roman"/>
                <w:color w:val="000000" w:themeColor="text1"/>
                <w:sz w:val="24"/>
                <w:szCs w:val="24"/>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；固废暂存库位于综合楼，</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占地面积约50m</w:t>
            </w:r>
            <w:r>
              <w:rPr>
                <w:rFonts w:hint="default" w:ascii="Times New Roman" w:hAnsi="Times New Roman" w:cs="Times New Roman"/>
                <w:color w:val="000000" w:themeColor="text1"/>
                <w:sz w:val="24"/>
                <w:szCs w:val="24"/>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满足《一般工业固体废物贮存和填埋污染控制标准》（GB 18599—2020）贮存要求。</w:t>
            </w:r>
          </w:p>
          <w:p w14:paraId="45456808">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jc w:val="both"/>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4.2.3一般固废环境管理要求</w:t>
            </w:r>
          </w:p>
          <w:p w14:paraId="4EDB77EA">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000000" w:themeColor="text1"/>
                <w:sz w:val="24"/>
                <w:szCs w:val="24"/>
                <w:highlight w:val="none"/>
                <w:u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（1）一般固体废物</w:t>
            </w:r>
            <w:r>
              <w:rPr>
                <w:rFonts w:hint="default"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环境管理要求</w:t>
            </w:r>
            <w:r>
              <w:rPr>
                <w:rFonts w:hint="eastAsia" w:cs="Times New Roman"/>
                <w:color w:val="000000" w:themeColor="text1"/>
                <w:sz w:val="24"/>
                <w:szCs w:val="24"/>
                <w:highlight w:val="none"/>
                <w:u w:val="none"/>
                <w:lang w:val="en-US" w:eastAsia="zh-CN"/>
                <w14:textFill>
                  <w14:solidFill>
                    <w14:schemeClr w14:val="tx1"/>
                  </w14:solidFill>
                </w14:textFill>
              </w:rPr>
              <w:t>及污染防治措施</w:t>
            </w:r>
          </w:p>
          <w:p w14:paraId="47EBE04F">
            <w:pPr>
              <w:pStyle w:val="10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①</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对于一般固废要求按照</w:t>
            </w:r>
            <w:bookmarkStart w:id="6" w:name="OLE_LINK686"/>
            <w:bookmarkStart w:id="7" w:name="OLE_LINK685"/>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《一般工业固体废物贮存和填埋污染控制标准》（GB18599-2020）</w:t>
            </w:r>
            <w:bookmarkEnd w:id="6"/>
            <w:bookmarkEnd w:id="7"/>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中的标准</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建立</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一般工业固体废物贮存</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场所</w:t>
            </w:r>
            <w:r>
              <w:rPr>
                <w:rFonts w:hint="eastAsia" w:eastAsia="宋体"/>
                <w:color w:val="000000" w:themeColor="text1"/>
                <w:highlight w:val="none"/>
                <w:lang w:eastAsia="zh-CN"/>
                <w14:textFill>
                  <w14:solidFill>
                    <w14:schemeClr w14:val="tx1"/>
                  </w14:solidFill>
                </w14:textFill>
              </w:rPr>
              <w:t>，应满足相应防渗漏、防雨淋、防扬尘等环境保护要求</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48C4E4A6">
            <w:pPr>
              <w:pStyle w:val="10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②</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应建立检查、维护制度，定期检查相关设施，发现有损坏可能或异常情况，应及时采取必要措施，以保障正</w:t>
            </w:r>
            <w:r>
              <w:rPr>
                <w:rFonts w:hint="default" w:ascii="Times New Roman" w:hAnsi="Times New Roman" w:eastAsia="宋体" w:cs="Times New Roman"/>
                <w:color w:val="000000" w:themeColor="text1"/>
                <w:sz w:val="24"/>
                <w:szCs w:val="24"/>
                <w:highlight w:val="none"/>
                <w14:textFill>
                  <w14:solidFill>
                    <w14:schemeClr w14:val="tx1"/>
                  </w14:solidFill>
                </w14:textFill>
              </w:rPr>
              <w:t>常运行。</w:t>
            </w:r>
          </w:p>
          <w:p w14:paraId="1959B364">
            <w:pPr>
              <w:pStyle w:val="10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③</w:t>
            </w:r>
            <w:r>
              <w:rPr>
                <w:rFonts w:hint="default" w:ascii="Times New Roman" w:hAnsi="Times New Roman" w:eastAsia="宋体" w:cs="Times New Roman"/>
                <w:color w:val="000000" w:themeColor="text1"/>
                <w:sz w:val="24"/>
                <w:szCs w:val="24"/>
                <w:highlight w:val="none"/>
                <w14:textFill>
                  <w14:solidFill>
                    <w14:schemeClr w14:val="tx1"/>
                  </w14:solidFill>
                </w14:textFill>
              </w:rPr>
              <w:t>应建立档案制度，将一般固体废弃物的种类、数量</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产生、贮存、处置、利用记录</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在案</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24C5312D">
            <w:pPr>
              <w:pStyle w:val="10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④</w:t>
            </w:r>
            <w:r>
              <w:rPr>
                <w:rFonts w:hint="default" w:ascii="Times New Roman" w:hAnsi="Times New Roman" w:eastAsia="宋体" w:cs="Times New Roman"/>
                <w:color w:val="000000" w:themeColor="text1"/>
                <w:sz w:val="24"/>
                <w:szCs w:val="24"/>
                <w:highlight w:val="none"/>
                <w14:textFill>
                  <w14:solidFill>
                    <w14:schemeClr w14:val="tx1"/>
                  </w14:solidFill>
                </w14:textFill>
              </w:rPr>
              <w:t>禁止将危险废物混入生活垃圾及其它一般固体废物</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537D3C3C">
            <w:pPr>
              <w:pStyle w:val="104"/>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420" w:leftChars="200" w:right="0" w:rightChars="0"/>
              <w:jc w:val="both"/>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（2）委托处置管理要求</w:t>
            </w:r>
          </w:p>
          <w:p w14:paraId="08585CD3">
            <w:pPr>
              <w:pStyle w:val="10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本项目分拣废渣</w:t>
            </w:r>
            <w:r>
              <w:rPr>
                <w:rFonts w:hint="eastAsia" w:cs="Times New Roman"/>
                <w:color w:val="000000" w:themeColor="text1"/>
                <w:sz w:val="24"/>
                <w:szCs w:val="24"/>
                <w:highlight w:val="none"/>
                <w:lang w:val="en-US" w:eastAsia="zh-CN"/>
                <w14:textFill>
                  <w14:solidFill>
                    <w14:schemeClr w14:val="tx1"/>
                  </w14:solidFill>
                </w14:textFill>
              </w:rPr>
              <w:t>、石膏废渣、废包装材料及</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废胶囊材料</w:t>
            </w:r>
            <w:r>
              <w:rPr>
                <w:rFonts w:hint="eastAsia" w:cs="Times New Roman"/>
                <w:color w:val="000000" w:themeColor="text1"/>
                <w:sz w:val="24"/>
                <w:szCs w:val="24"/>
                <w:highlight w:val="none"/>
                <w:lang w:val="en-US" w:eastAsia="zh-CN"/>
                <w14:textFill>
                  <w14:solidFill>
                    <w14:schemeClr w14:val="tx1"/>
                  </w14:solidFill>
                </w14:textFill>
              </w:rPr>
              <w:t>、除尘灰</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集中收集后，</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交由有利用、处置能力的企业依法依规进行利用处置。建设单位应按照《中华人民共和国固体废物污染环境防治法》“第三十七条　产生工业固体废物的单位委托他人运输、利用、处置工业固体废物的，应当对受托方的主体资格和技术能力进行核实，依法签订书面合同，在合同中约定污染防治要求。”要求，对第三方单位的体资格和技术能力等情况进行核实，确保其有能力、有资格处理本项目产生的</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分拣废渣</w:t>
            </w:r>
            <w:r>
              <w:rPr>
                <w:rFonts w:hint="eastAsia" w:cs="Times New Roman"/>
                <w:color w:val="000000" w:themeColor="text1"/>
                <w:sz w:val="24"/>
                <w:szCs w:val="24"/>
                <w:highlight w:val="none"/>
                <w:lang w:val="en-US" w:eastAsia="zh-CN"/>
                <w14:textFill>
                  <w14:solidFill>
                    <w14:schemeClr w14:val="tx1"/>
                  </w14:solidFill>
                </w14:textFill>
              </w:rPr>
              <w:t>、石膏废渣、废包装材料及</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废胶囊材料</w:t>
            </w:r>
            <w:r>
              <w:rPr>
                <w:rFonts w:hint="eastAsia" w:cs="Times New Roman"/>
                <w:color w:val="000000" w:themeColor="text1"/>
                <w:sz w:val="24"/>
                <w:szCs w:val="24"/>
                <w:highlight w:val="none"/>
                <w:lang w:val="en-US" w:eastAsia="zh-CN"/>
                <w14:textFill>
                  <w14:solidFill>
                    <w14:schemeClr w14:val="tx1"/>
                  </w14:solidFill>
                </w14:textFill>
              </w:rPr>
              <w:t>、除尘灰</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，确保本项目一般固废得到合理合规处置。</w:t>
            </w:r>
          </w:p>
          <w:p w14:paraId="2E34929D">
            <w:pPr>
              <w:keepNext w:val="0"/>
              <w:keepLines w:val="0"/>
              <w:pageBreakBefore w:val="0"/>
              <w:widowControl w:val="0"/>
              <w:suppressLineNumbers w:val="0"/>
              <w:kinsoku/>
              <w:wordWrap/>
              <w:overflowPunct/>
              <w:topLinePunct w:val="0"/>
              <w:autoSpaceDE w:val="0"/>
              <w:autoSpaceDN w:val="0"/>
              <w:bidi w:val="0"/>
              <w:adjustRightInd/>
              <w:snapToGrid/>
              <w:spacing w:before="313" w:beforeLines="100" w:beforeAutospacing="0" w:after="0" w:afterAutospacing="0" w:line="360" w:lineRule="auto"/>
              <w:ind w:left="0" w:right="0"/>
              <w:textAlignment w:val="auto"/>
              <w:rPr>
                <w:rFonts w:hint="eastAsia" w:ascii="Times New Roman" w:hAnsi="Times New Roman" w:eastAsia="宋体" w:cs="Times New Roman"/>
                <w:b/>
                <w:color w:val="000000" w:themeColor="text1"/>
                <w:kern w:val="0"/>
                <w:sz w:val="24"/>
                <w:szCs w:val="24"/>
                <w:highlight w:val="none"/>
                <w:lang w:val="en-US" w:eastAsia="zh-CN" w:bidi="ar-SA"/>
                <w14:textFill>
                  <w14:solidFill>
                    <w14:schemeClr w14:val="tx1"/>
                  </w14:solidFill>
                </w14:textFill>
              </w:rPr>
            </w:pPr>
            <w:r>
              <w:rPr>
                <w:rFonts w:hint="eastAsia" w:cs="Times New Roman"/>
                <w:b/>
                <w:color w:val="000000" w:themeColor="text1"/>
                <w:kern w:val="0"/>
                <w:sz w:val="24"/>
                <w:szCs w:val="24"/>
                <w:highlight w:val="none"/>
                <w:lang w:val="en-US" w:eastAsia="zh-CN" w:bidi="ar-SA"/>
                <w14:textFill>
                  <w14:solidFill>
                    <w14:schemeClr w14:val="tx1"/>
                  </w14:solidFill>
                </w14:textFill>
              </w:rPr>
              <w:t>4.</w:t>
            </w:r>
            <w:r>
              <w:rPr>
                <w:rFonts w:hint="eastAsia" w:ascii="Times New Roman" w:hAnsi="Times New Roman" w:eastAsia="宋体" w:cs="Times New Roman"/>
                <w:b/>
                <w:color w:val="000000" w:themeColor="text1"/>
                <w:kern w:val="0"/>
                <w:sz w:val="24"/>
                <w:szCs w:val="24"/>
                <w:highlight w:val="none"/>
                <w:lang w:val="en-US" w:eastAsia="zh-CN" w:bidi="ar-SA"/>
                <w14:textFill>
                  <w14:solidFill>
                    <w14:schemeClr w14:val="tx1"/>
                  </w14:solidFill>
                </w14:textFill>
              </w:rPr>
              <w:t>3、危险废物</w:t>
            </w:r>
          </w:p>
          <w:p w14:paraId="73CAADA9">
            <w:pPr>
              <w:keepNext w:val="0"/>
              <w:keepLines w:val="0"/>
              <w:suppressLineNumbers w:val="0"/>
              <w:spacing w:before="0" w:beforeAutospacing="0" w:after="0" w:afterAutospacing="0" w:line="360" w:lineRule="auto"/>
              <w:ind w:left="0" w:right="0"/>
              <w:jc w:val="both"/>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4.3.1</w:t>
            </w:r>
            <w:r>
              <w:rPr>
                <w:rFonts w:hint="eastAsia" w:ascii="Times New Roman" w:hAnsi="Times New Roman" w:eastAsia="宋体" w:cs="Times New Roman"/>
                <w:b/>
                <w:color w:val="000000" w:themeColor="text1"/>
                <w:kern w:val="0"/>
                <w:sz w:val="24"/>
                <w:szCs w:val="24"/>
                <w:highlight w:val="none"/>
                <w:lang w:val="en-US" w:eastAsia="zh-CN" w:bidi="ar-SA"/>
                <w14:textFill>
                  <w14:solidFill>
                    <w14:schemeClr w14:val="tx1"/>
                  </w14:solidFill>
                </w14:textFill>
              </w:rPr>
              <w:t>危险废物</w:t>
            </w:r>
            <w:r>
              <w:rPr>
                <w:rFonts w:hint="eastAsia" w:cs="Times New Roman"/>
                <w:b/>
                <w:bCs/>
                <w:color w:val="000000" w:themeColor="text1"/>
                <w:sz w:val="24"/>
                <w:szCs w:val="24"/>
                <w:highlight w:val="none"/>
                <w:lang w:val="en-US" w:eastAsia="zh-CN"/>
                <w14:textFill>
                  <w14:solidFill>
                    <w14:schemeClr w14:val="tx1"/>
                  </w14:solidFill>
                </w14:textFill>
              </w:rPr>
              <w:t>产生情况</w:t>
            </w:r>
          </w:p>
          <w:p w14:paraId="52F73988">
            <w:pPr>
              <w:keepNext w:val="0"/>
              <w:keepLines w:val="0"/>
              <w:suppressLineNumbers w:val="0"/>
              <w:spacing w:before="0" w:beforeAutospacing="0" w:after="0" w:afterAutospacing="0" w:line="360" w:lineRule="auto"/>
              <w:ind w:left="0" w:right="0" w:firstLine="480" w:firstLineChars="20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本项目</w:t>
            </w:r>
            <w:r>
              <w:rPr>
                <w:rFonts w:hint="eastAsia" w:cs="Times New Roman"/>
                <w:color w:val="000000" w:themeColor="text1"/>
                <w:sz w:val="24"/>
                <w:szCs w:val="24"/>
                <w:highlight w:val="none"/>
                <w:lang w:val="en-US" w:eastAsia="zh-CN"/>
                <w14:textFill>
                  <w14:solidFill>
                    <w14:schemeClr w14:val="tx1"/>
                  </w14:solidFill>
                </w14:textFill>
              </w:rPr>
              <w:t>产生的危险废物为化学检验废液</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b w:val="0"/>
                <w:bCs w:val="0"/>
                <w:color w:val="000000" w:themeColor="text1"/>
                <w:sz w:val="24"/>
                <w:szCs w:val="24"/>
                <w:highlight w:val="none"/>
                <w:lang w:eastAsia="zh-CN"/>
                <w14:textFill>
                  <w14:solidFill>
                    <w14:schemeClr w14:val="tx1"/>
                  </w14:solidFill>
                </w14:textFill>
              </w:rPr>
              <w:t>废化学试剂瓶、废弃薄层板、</w:t>
            </w:r>
            <w:r>
              <w:rPr>
                <w:rFonts w:hint="eastAsia" w:cs="Times New Roman"/>
                <w:b w:val="0"/>
                <w:bCs w:val="0"/>
                <w:color w:val="000000" w:themeColor="text1"/>
                <w:sz w:val="24"/>
                <w:szCs w:val="24"/>
                <w:highlight w:val="none"/>
                <w:lang w:val="en-US" w:eastAsia="zh-CN"/>
                <w14:textFill>
                  <w14:solidFill>
                    <w14:schemeClr w14:val="tx1"/>
                  </w14:solidFill>
                </w14:textFill>
              </w:rPr>
              <w:t>废试药</w:t>
            </w:r>
            <w:r>
              <w:rPr>
                <w:rFonts w:hint="eastAsia" w:cs="Times New Roman"/>
                <w:b w:val="0"/>
                <w:bCs w:val="0"/>
                <w:color w:val="000000" w:themeColor="text1"/>
                <w:sz w:val="24"/>
                <w:szCs w:val="24"/>
                <w:highlight w:val="none"/>
                <w:lang w:eastAsia="zh-CN"/>
                <w14:textFill>
                  <w14:solidFill>
                    <w14:schemeClr w14:val="tx1"/>
                  </w14:solidFill>
                </w14:textFill>
              </w:rPr>
              <w:t>、</w:t>
            </w:r>
            <w:r>
              <w:rPr>
                <w:rFonts w:hint="eastAsia" w:cs="Times New Roman"/>
                <w:b w:val="0"/>
                <w:bCs w:val="0"/>
                <w:color w:val="000000" w:themeColor="text1"/>
                <w:sz w:val="24"/>
                <w:szCs w:val="24"/>
                <w:highlight w:val="none"/>
                <w:lang w:val="en-US" w:eastAsia="zh-CN"/>
                <w14:textFill>
                  <w14:solidFill>
                    <w14:schemeClr w14:val="tx1"/>
                  </w14:solidFill>
                </w14:textFill>
              </w:rPr>
              <w:t>废活性炭</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727D6222">
            <w:pPr>
              <w:keepNext w:val="0"/>
              <w:keepLines w:val="0"/>
              <w:suppressLineNumbers w:val="0"/>
              <w:spacing w:before="0" w:beforeAutospacing="0" w:after="0" w:afterAutospacing="0" w:line="360" w:lineRule="auto"/>
              <w:ind w:left="0" w:right="0" w:firstLine="480" w:firstLineChars="20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eastAsia" w:cs="Times New Roman"/>
                <w:color w:val="000000" w:themeColor="text1"/>
                <w:sz w:val="24"/>
                <w:szCs w:val="24"/>
                <w:highlight w:val="none"/>
                <w:lang w:val="en-US" w:eastAsia="zh-CN"/>
                <w14:textFill>
                  <w14:solidFill>
                    <w14:schemeClr w14:val="tx1"/>
                  </w14:solidFill>
                </w14:textFill>
              </w:rPr>
              <w:t>化学检验废液</w:t>
            </w:r>
          </w:p>
          <w:p w14:paraId="3695087F">
            <w:pPr>
              <w:pStyle w:val="29"/>
              <w:keepNext w:val="0"/>
              <w:keepLines w:val="0"/>
              <w:suppressLineNumbers w:val="0"/>
              <w:spacing w:beforeAutospacing="0" w:after="0" w:afterAutospacing="0" w:line="360" w:lineRule="auto"/>
              <w:ind w:left="0" w:right="0"/>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项目实验分析废水、实验器皿1、2次清洗废水及流动相配制溶液做危废处置，根据厂家提供的资料产生量约1.0m</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/a</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，密度按照1000kg/m</w:t>
            </w:r>
            <w:r>
              <w:rPr>
                <w:rFonts w:hint="eastAsia"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3</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计算，则化学检验废液</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产生量约</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1.0</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t/a，分类编号为HW49（其他废物），危废代码为900-047-49，由容器收集暂存至危险废物贮存</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库</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，交由有资质单位进行处置。</w:t>
            </w:r>
          </w:p>
          <w:p w14:paraId="6132824B">
            <w:pPr>
              <w:keepNext w:val="0"/>
              <w:keepLines w:val="0"/>
              <w:suppressLineNumbers w:val="0"/>
              <w:spacing w:before="0" w:beforeAutospacing="0" w:after="0" w:afterAutospacing="0" w:line="360" w:lineRule="auto"/>
              <w:ind w:left="0" w:right="0" w:firstLine="480" w:firstLineChars="20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w:t>
            </w:r>
            <w:r>
              <w:rPr>
                <w:rFonts w:hint="eastAsia" w:cs="Times New Roman"/>
                <w:b w:val="0"/>
                <w:bCs w:val="0"/>
                <w:color w:val="000000" w:themeColor="text1"/>
                <w:sz w:val="24"/>
                <w:szCs w:val="24"/>
                <w:highlight w:val="none"/>
                <w:lang w:eastAsia="zh-CN"/>
                <w14:textFill>
                  <w14:solidFill>
                    <w14:schemeClr w14:val="tx1"/>
                  </w14:solidFill>
                </w14:textFill>
              </w:rPr>
              <w:t>废化学试剂瓶</w:t>
            </w:r>
          </w:p>
          <w:p w14:paraId="2661843D">
            <w:pPr>
              <w:pStyle w:val="29"/>
              <w:keepNext w:val="0"/>
              <w:keepLines w:val="0"/>
              <w:suppressLineNumbers w:val="0"/>
              <w:spacing w:beforeAutospacing="0" w:after="0" w:afterAutospacing="0" w:line="360" w:lineRule="auto"/>
              <w:ind w:left="0" w:right="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实验过程中产生的废化学试剂瓶，分类编号为HW49（其他废物），危废代码为900-04</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-49，产生量约为0.1t/a，由容器收集暂存至危险废物贮存</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库</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，交由有资质单位进行处置。</w:t>
            </w:r>
          </w:p>
          <w:p w14:paraId="0D68A67C">
            <w:pPr>
              <w:keepNext w:val="0"/>
              <w:keepLines w:val="0"/>
              <w:widowControl/>
              <w:suppressLineNumbers w:val="0"/>
              <w:spacing w:before="0" w:beforeAutospacing="0" w:after="0" w:afterAutospacing="0" w:line="360" w:lineRule="auto"/>
              <w:ind w:left="0" w:right="0" w:firstLine="480" w:firstLineChars="200"/>
              <w:jc w:val="left"/>
              <w:rPr>
                <w:rFonts w:hint="eastAsia"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eastAsia" w:cs="Times New Roman"/>
                <w:color w:val="000000" w:themeColor="text1"/>
                <w:sz w:val="24"/>
                <w:szCs w:val="24"/>
                <w:highlight w:val="none"/>
                <w:lang w:val="en-US" w:eastAsia="zh-CN"/>
                <w14:textFill>
                  <w14:solidFill>
                    <w14:schemeClr w14:val="tx1"/>
                  </w14:solidFill>
                </w14:textFill>
              </w:rPr>
              <w:t>废弃薄层板</w:t>
            </w:r>
          </w:p>
          <w:p w14:paraId="2E0FA836">
            <w:pPr>
              <w:pStyle w:val="29"/>
              <w:keepNext w:val="0"/>
              <w:keepLines w:val="0"/>
              <w:suppressLineNumbers w:val="0"/>
              <w:spacing w:beforeAutospacing="0" w:after="0" w:afterAutospacing="0" w:line="360" w:lineRule="auto"/>
              <w:ind w:left="0" w:right="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实验过程中产生的废弃薄层板，分类编号为HW49（其他废物），危废代码为900-041-49，</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新增</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产生量约为0.1</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45</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t/a，由密封袋收集暂存至危险废物贮存库，交由有资质单位进行处置。</w:t>
            </w:r>
          </w:p>
          <w:p w14:paraId="0EB38205">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（4）</w:t>
            </w:r>
            <w:r>
              <w:rPr>
                <w:rFonts w:hint="eastAsia" w:cs="Times New Roman"/>
                <w:b w:val="0"/>
                <w:bCs w:val="0"/>
                <w:color w:val="000000" w:themeColor="text1"/>
                <w:sz w:val="24"/>
                <w:szCs w:val="24"/>
                <w:highlight w:val="none"/>
                <w:lang w:val="en-US" w:eastAsia="zh-CN"/>
                <w14:textFill>
                  <w14:solidFill>
                    <w14:schemeClr w14:val="tx1"/>
                  </w14:solidFill>
                </w14:textFill>
              </w:rPr>
              <w:t>废试药</w:t>
            </w:r>
          </w:p>
          <w:p w14:paraId="18AAAD78">
            <w:pPr>
              <w:pStyle w:val="29"/>
              <w:keepNext w:val="0"/>
              <w:keepLines w:val="0"/>
              <w:suppressLineNumbers w:val="0"/>
              <w:spacing w:beforeAutospacing="0" w:after="0" w:afterAutospacing="0" w:line="360" w:lineRule="auto"/>
              <w:ind w:left="0" w:right="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实验过程中产生的废试药，分类编号为HW49（其他废物），危废代码为900-04</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-49，产生量约为0.</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1t/a，由容器收集暂存至危险废物贮存库，交由有资质单位进行处置。</w:t>
            </w:r>
          </w:p>
          <w:p w14:paraId="6D8A5647">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5</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废活性炭</w:t>
            </w:r>
          </w:p>
          <w:p w14:paraId="5F32FA98">
            <w:pPr>
              <w:keepNext w:val="0"/>
              <w:keepLines w:val="0"/>
              <w:suppressLineNumbers w:val="0"/>
              <w:spacing w:before="0" w:beforeAutospacing="0" w:after="0" w:afterAutospacing="0" w:line="360" w:lineRule="auto"/>
              <w:ind w:left="0" w:right="0" w:firstLine="396"/>
              <w:rPr>
                <w:rFonts w:hint="eastAsia"/>
                <w:bCs/>
                <w:color w:val="000000" w:themeColor="text1"/>
                <w:spacing w:val="-10"/>
                <w:sz w:val="24"/>
                <w:highlight w:val="none"/>
                <w14:textFill>
                  <w14:solidFill>
                    <w14:schemeClr w14:val="tx1"/>
                  </w14:solidFill>
                </w14:textFill>
              </w:rPr>
            </w:pPr>
            <w:r>
              <w:rPr>
                <w:rFonts w:hint="eastAsia"/>
                <w:bCs/>
                <w:color w:val="000000" w:themeColor="text1"/>
                <w:spacing w:val="-10"/>
                <w:sz w:val="24"/>
                <w:highlight w:val="none"/>
                <w14:textFill>
                  <w14:solidFill>
                    <w14:schemeClr w14:val="tx1"/>
                  </w14:solidFill>
                </w14:textFill>
              </w:rPr>
              <w:t>本项目新鲜活性炭用量为</w:t>
            </w:r>
            <w:r>
              <w:rPr>
                <w:rFonts w:hint="eastAsia" w:cs="Times New Roman"/>
                <w:color w:val="000000" w:themeColor="text1"/>
                <w:sz w:val="24"/>
                <w:szCs w:val="24"/>
                <w:highlight w:val="none"/>
                <w:lang w:val="en-US" w:eastAsia="zh-CN"/>
                <w14:textFill>
                  <w14:solidFill>
                    <w14:schemeClr w14:val="tx1"/>
                  </w14:solidFill>
                </w14:textFill>
              </w:rPr>
              <w:t>1.66</w:t>
            </w:r>
            <w:r>
              <w:rPr>
                <w:rFonts w:hint="eastAsia"/>
                <w:bCs/>
                <w:color w:val="000000" w:themeColor="text1"/>
                <w:spacing w:val="-10"/>
                <w:sz w:val="24"/>
                <w:highlight w:val="none"/>
                <w14:textFill>
                  <w14:solidFill>
                    <w14:schemeClr w14:val="tx1"/>
                  </w14:solidFill>
                </w14:textFill>
              </w:rPr>
              <w:t>t/a，二级活性炭吸附装置</w:t>
            </w:r>
            <w:r>
              <w:rPr>
                <w:rFonts w:hint="eastAsia"/>
                <w:bCs/>
                <w:color w:val="000000" w:themeColor="text1"/>
                <w:spacing w:val="-10"/>
                <w:sz w:val="24"/>
                <w:highlight w:val="none"/>
                <w:lang w:val="en-US" w:eastAsia="zh-CN"/>
                <w14:textFill>
                  <w14:solidFill>
                    <w14:schemeClr w14:val="tx1"/>
                  </w14:solidFill>
                </w14:textFill>
              </w:rPr>
              <w:t>用于处理臭气浓度（无量纲），</w:t>
            </w:r>
            <w:r>
              <w:rPr>
                <w:rFonts w:hint="eastAsia" w:cs="Times New Roman"/>
                <w:color w:val="000000" w:themeColor="text1"/>
                <w:sz w:val="24"/>
                <w:szCs w:val="24"/>
                <w:highlight w:val="none"/>
                <w:lang w:val="en-US" w:eastAsia="zh-CN"/>
                <w14:textFill>
                  <w14:solidFill>
                    <w14:schemeClr w14:val="tx1"/>
                  </w14:solidFill>
                </w14:textFill>
              </w:rPr>
              <w:t>因臭气浓度是根据嗅觉器官试验法对臭气气味的大小予以数量化表示的指标，用无臭的清洁空气对臭气样品连续稀释至嗅辨员阈值时的稀释倍数，所以</w:t>
            </w:r>
            <w:r>
              <w:rPr>
                <w:rFonts w:hint="eastAsia"/>
                <w:bCs/>
                <w:color w:val="000000" w:themeColor="text1"/>
                <w:spacing w:val="-10"/>
                <w:sz w:val="24"/>
                <w:highlight w:val="none"/>
                <w14:textFill>
                  <w14:solidFill>
                    <w14:schemeClr w14:val="tx1"/>
                  </w14:solidFill>
                </w14:textFill>
              </w:rPr>
              <w:t>废活性炭产生</w:t>
            </w:r>
            <w:r>
              <w:rPr>
                <w:rFonts w:hint="eastAsia"/>
                <w:bCs/>
                <w:color w:val="000000" w:themeColor="text1"/>
                <w:spacing w:val="-10"/>
                <w:sz w:val="24"/>
                <w:highlight w:val="none"/>
                <w:lang w:val="en-US" w:eastAsia="zh-CN"/>
                <w14:textFill>
                  <w14:solidFill>
                    <w14:schemeClr w14:val="tx1"/>
                  </w14:solidFill>
                </w14:textFill>
              </w:rPr>
              <w:t>量按照用量核算，为</w:t>
            </w:r>
            <w:r>
              <w:rPr>
                <w:rFonts w:hint="eastAsia" w:cs="Times New Roman"/>
                <w:color w:val="000000" w:themeColor="text1"/>
                <w:sz w:val="24"/>
                <w:szCs w:val="24"/>
                <w:highlight w:val="none"/>
                <w:lang w:val="en-US" w:eastAsia="zh-CN"/>
                <w14:textFill>
                  <w14:solidFill>
                    <w14:schemeClr w14:val="tx1"/>
                  </w14:solidFill>
                </w14:textFill>
              </w:rPr>
              <w:t>1.66</w:t>
            </w:r>
            <w:r>
              <w:rPr>
                <w:rFonts w:hint="eastAsia"/>
                <w:bCs/>
                <w:color w:val="000000" w:themeColor="text1"/>
                <w:spacing w:val="-10"/>
                <w:sz w:val="24"/>
                <w:highlight w:val="none"/>
                <w14:textFill>
                  <w14:solidFill>
                    <w14:schemeClr w14:val="tx1"/>
                  </w14:solidFill>
                </w14:textFill>
              </w:rPr>
              <w:t>t/a</w:t>
            </w:r>
            <w:r>
              <w:rPr>
                <w:rFonts w:hint="eastAsia"/>
                <w:bCs/>
                <w:color w:val="000000" w:themeColor="text1"/>
                <w:spacing w:val="-10"/>
                <w:sz w:val="24"/>
                <w:highlight w:val="none"/>
                <w:lang w:eastAsia="zh-CN"/>
                <w14:textFill>
                  <w14:solidFill>
                    <w14:schemeClr w14:val="tx1"/>
                  </w14:solidFill>
                </w14:textFill>
              </w:rPr>
              <w:t>。</w:t>
            </w:r>
            <w:r>
              <w:rPr>
                <w:rFonts w:hint="eastAsia"/>
                <w:bCs/>
                <w:color w:val="000000" w:themeColor="text1"/>
                <w:spacing w:val="-10"/>
                <w:sz w:val="24"/>
                <w:highlight w:val="none"/>
                <w14:textFill>
                  <w14:solidFill>
                    <w14:schemeClr w14:val="tx1"/>
                  </w14:solidFill>
                </w14:textFill>
              </w:rPr>
              <w:t>废活性炭</w:t>
            </w:r>
            <w:r>
              <w:rPr>
                <w:rFonts w:hint="eastAsia"/>
                <w:bCs/>
                <w:color w:val="000000" w:themeColor="text1"/>
                <w:spacing w:val="-10"/>
                <w:sz w:val="24"/>
                <w:highlight w:val="none"/>
                <w:lang w:val="en-US" w:eastAsia="zh-CN"/>
                <w14:textFill>
                  <w14:solidFill>
                    <w14:schemeClr w14:val="tx1"/>
                  </w14:solidFill>
                </w14:textFill>
              </w:rPr>
              <w:t>半年</w:t>
            </w:r>
            <w:r>
              <w:rPr>
                <w:rFonts w:hint="eastAsia"/>
                <w:bCs/>
                <w:color w:val="000000" w:themeColor="text1"/>
                <w:spacing w:val="-10"/>
                <w:sz w:val="24"/>
                <w:highlight w:val="none"/>
                <w14:textFill>
                  <w14:solidFill>
                    <w14:schemeClr w14:val="tx1"/>
                  </w14:solidFill>
                </w14:textFill>
              </w:rPr>
              <w:t>更换一次，</w:t>
            </w:r>
            <w:r>
              <w:rPr>
                <w:rFonts w:hint="eastAsia"/>
                <w:bCs/>
                <w:color w:val="000000" w:themeColor="text1"/>
                <w:spacing w:val="-10"/>
                <w:sz w:val="24"/>
                <w:highlight w:val="none"/>
                <w:lang w:val="en-US" w:eastAsia="zh-CN"/>
                <w14:textFill>
                  <w14:solidFill>
                    <w14:schemeClr w14:val="tx1"/>
                  </w14:solidFill>
                </w14:textFill>
              </w:rPr>
              <w:t>每次更换量为0.83</w:t>
            </w:r>
            <w:r>
              <w:rPr>
                <w:rFonts w:hint="eastAsia"/>
                <w:bCs/>
                <w:color w:val="000000" w:themeColor="text1"/>
                <w:spacing w:val="-10"/>
                <w:sz w:val="24"/>
                <w:highlight w:val="none"/>
                <w14:textFill>
                  <w14:solidFill>
                    <w14:schemeClr w14:val="tx1"/>
                  </w14:solidFill>
                </w14:textFill>
              </w:rPr>
              <w:t>t</w:t>
            </w:r>
            <w:r>
              <w:rPr>
                <w:rFonts w:hint="eastAsia"/>
                <w:bCs/>
                <w:color w:val="000000" w:themeColor="text1"/>
                <w:spacing w:val="-10"/>
                <w:sz w:val="24"/>
                <w:highlight w:val="none"/>
                <w:lang w:val="en-US" w:eastAsia="zh-CN"/>
                <w14:textFill>
                  <w14:solidFill>
                    <w14:schemeClr w14:val="tx1"/>
                  </w14:solidFill>
                </w14:textFill>
              </w:rPr>
              <w:t>/次，</w:t>
            </w:r>
            <w:r>
              <w:rPr>
                <w:rFonts w:hint="eastAsia"/>
                <w:bCs/>
                <w:color w:val="000000" w:themeColor="text1"/>
                <w:spacing w:val="-10"/>
                <w:sz w:val="24"/>
                <w:highlight w:val="none"/>
                <w14:textFill>
                  <w14:solidFill>
                    <w14:schemeClr w14:val="tx1"/>
                  </w14:solidFill>
                </w14:textFill>
              </w:rPr>
              <w:t>废活性炭属于</w:t>
            </w:r>
            <w:r>
              <w:rPr>
                <w:rFonts w:hint="default" w:ascii="Times New Roman" w:hAnsi="Times New Roman" w:eastAsia="宋体" w:cs="Times New Roman"/>
                <w:color w:val="000000" w:themeColor="text1"/>
                <w:sz w:val="24"/>
                <w:szCs w:val="24"/>
                <w:highlight w:val="none"/>
                <w14:textFill>
                  <w14:solidFill>
                    <w14:schemeClr w14:val="tx1"/>
                  </w14:solidFill>
                </w14:textFill>
              </w:rPr>
              <w:t>危险废物</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根据《国家危险废物名录》（2025年版），废物类别为</w:t>
            </w:r>
            <w:r>
              <w:rPr>
                <w:rFonts w:hint="eastAsia"/>
                <w:bCs/>
                <w:color w:val="000000" w:themeColor="text1"/>
                <w:spacing w:val="-10"/>
                <w:sz w:val="24"/>
                <w:highlight w:val="none"/>
                <w14:textFill>
                  <w14:solidFill>
                    <w14:schemeClr w14:val="tx1"/>
                  </w14:solidFill>
                </w14:textFill>
              </w:rPr>
              <w:t>HW49，</w:t>
            </w:r>
            <w:r>
              <w:rPr>
                <w:rFonts w:hint="eastAsia"/>
                <w:bCs/>
                <w:color w:val="000000" w:themeColor="text1"/>
                <w:spacing w:val="-10"/>
                <w:sz w:val="24"/>
                <w:highlight w:val="none"/>
                <w:lang w:val="en-US" w:eastAsia="zh-CN"/>
                <w14:textFill>
                  <w14:solidFill>
                    <w14:schemeClr w14:val="tx1"/>
                  </w14:solidFill>
                </w14:textFill>
              </w:rPr>
              <w:t>废物代码为</w:t>
            </w:r>
            <w:r>
              <w:rPr>
                <w:rFonts w:hint="eastAsia"/>
                <w:bCs/>
                <w:color w:val="000000" w:themeColor="text1"/>
                <w:spacing w:val="-10"/>
                <w:sz w:val="24"/>
                <w:highlight w:val="none"/>
                <w14:textFill>
                  <w14:solidFill>
                    <w14:schemeClr w14:val="tx1"/>
                  </w14:solidFill>
                </w14:textFill>
              </w:rPr>
              <w:t>900-0</w:t>
            </w:r>
            <w:r>
              <w:rPr>
                <w:rFonts w:hint="eastAsia"/>
                <w:bCs/>
                <w:color w:val="000000" w:themeColor="text1"/>
                <w:spacing w:val="-10"/>
                <w:sz w:val="24"/>
                <w:highlight w:val="none"/>
                <w:lang w:val="en-US" w:eastAsia="zh-CN"/>
                <w14:textFill>
                  <w14:solidFill>
                    <w14:schemeClr w14:val="tx1"/>
                  </w14:solidFill>
                </w14:textFill>
              </w:rPr>
              <w:t>39</w:t>
            </w:r>
            <w:r>
              <w:rPr>
                <w:rFonts w:hint="eastAsia"/>
                <w:bCs/>
                <w:color w:val="000000" w:themeColor="text1"/>
                <w:spacing w:val="-10"/>
                <w:sz w:val="24"/>
                <w:highlight w:val="none"/>
                <w14:textFill>
                  <w14:solidFill>
                    <w14:schemeClr w14:val="tx1"/>
                  </w14:solidFill>
                </w14:textFill>
              </w:rPr>
              <w:t>-49，暂存于</w:t>
            </w:r>
            <w:r>
              <w:rPr>
                <w:rFonts w:hint="eastAsia"/>
                <w:bCs/>
                <w:color w:val="000000" w:themeColor="text1"/>
                <w:spacing w:val="-10"/>
                <w:sz w:val="24"/>
                <w:highlight w:val="none"/>
                <w:lang w:eastAsia="zh-CN"/>
                <w14:textFill>
                  <w14:solidFill>
                    <w14:schemeClr w14:val="tx1"/>
                  </w14:solidFill>
                </w14:textFill>
              </w:rPr>
              <w:t>危废贮存库</w:t>
            </w:r>
            <w:r>
              <w:rPr>
                <w:rFonts w:hint="eastAsia"/>
                <w:bCs/>
                <w:color w:val="000000" w:themeColor="text1"/>
                <w:spacing w:val="-10"/>
                <w:sz w:val="24"/>
                <w:highlight w:val="none"/>
                <w14:textFill>
                  <w14:solidFill>
                    <w14:schemeClr w14:val="tx1"/>
                  </w14:solidFill>
                </w14:textFill>
              </w:rPr>
              <w:t>，定期交由有资质单位处理。</w:t>
            </w:r>
          </w:p>
          <w:p w14:paraId="6034D3F6">
            <w:pPr>
              <w:keepNext w:val="0"/>
              <w:keepLines w:val="0"/>
              <w:pageBreakBefore w:val="0"/>
              <w:widowControl w:val="0"/>
              <w:numPr>
                <w:ilvl w:val="0"/>
                <w:numId w:val="26"/>
              </w:numPr>
              <w:suppressLineNumbers w:val="0"/>
              <w:kinsoku/>
              <w:wordWrap/>
              <w:overflowPunct/>
              <w:topLinePunct w:val="0"/>
              <w:autoSpaceDE/>
              <w:autoSpaceDN/>
              <w:bidi w:val="0"/>
              <w:adjustRightInd/>
              <w:snapToGrid w:val="0"/>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项目危险废物情况一览表</w:t>
            </w:r>
          </w:p>
          <w:tbl>
            <w:tblPr>
              <w:tblStyle w:val="35"/>
              <w:tblW w:w="4996" w:type="pct"/>
              <w:tblInd w:w="0" w:type="dxa"/>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27"/>
              <w:gridCol w:w="818"/>
              <w:gridCol w:w="951"/>
              <w:gridCol w:w="1328"/>
              <w:gridCol w:w="929"/>
              <w:gridCol w:w="659"/>
              <w:gridCol w:w="735"/>
              <w:gridCol w:w="779"/>
              <w:gridCol w:w="619"/>
              <w:gridCol w:w="864"/>
            </w:tblGrid>
            <w:tr w14:paraId="600148C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58" w:hRule="atLeast"/>
              </w:trPr>
              <w:tc>
                <w:tcPr>
                  <w:tcW w:w="263" w:type="pct"/>
                  <w:tcBorders>
                    <w:tl2br w:val="nil"/>
                    <w:tr2bl w:val="nil"/>
                  </w:tcBorders>
                  <w:noWrap w:val="0"/>
                  <w:vAlign w:val="center"/>
                </w:tcPr>
                <w:p w14:paraId="0213A523">
                  <w:pPr>
                    <w:keepNext w:val="0"/>
                    <w:keepLines w:val="0"/>
                    <w:suppressLineNumbers w:val="0"/>
                    <w:tabs>
                      <w:tab w:val="left" w:pos="6090"/>
                    </w:tabs>
                    <w:adjustRightInd w:val="0"/>
                    <w:snapToGrid w:val="0"/>
                    <w:spacing w:before="0" w:beforeAutospacing="0" w:after="0" w:afterAutospacing="0"/>
                    <w:ind w:left="0" w:right="0"/>
                    <w:jc w:val="center"/>
                    <w:rPr>
                      <w:rFonts w:hint="eastAsia" w:ascii="Times New Roman" w:hAnsi="Times New Roman" w:eastAsia="宋体" w:cs="Times New Roman"/>
                      <w:b/>
                      <w:bCs w:val="0"/>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b/>
                      <w:bCs w:val="0"/>
                      <w:color w:val="000000" w:themeColor="text1"/>
                      <w:sz w:val="21"/>
                      <w:szCs w:val="21"/>
                      <w:highlight w:val="none"/>
                      <w:lang w:eastAsia="zh-CN"/>
                      <w14:textFill>
                        <w14:solidFill>
                          <w14:schemeClr w14:val="tx1"/>
                        </w14:solidFill>
                      </w14:textFill>
                    </w:rPr>
                    <w:t>序号</w:t>
                  </w:r>
                </w:p>
              </w:tc>
              <w:tc>
                <w:tcPr>
                  <w:tcW w:w="504" w:type="pct"/>
                  <w:tcBorders>
                    <w:tl2br w:val="nil"/>
                    <w:tr2bl w:val="nil"/>
                  </w:tcBorders>
                  <w:noWrap w:val="0"/>
                  <w:vAlign w:val="center"/>
                </w:tcPr>
                <w:p w14:paraId="6D48CFC7">
                  <w:pPr>
                    <w:keepNext w:val="0"/>
                    <w:keepLines w:val="0"/>
                    <w:suppressLineNumbers w:val="0"/>
                    <w:tabs>
                      <w:tab w:val="left" w:pos="6090"/>
                    </w:tabs>
                    <w:adjustRightInd w:val="0"/>
                    <w:snapToGrid w:val="0"/>
                    <w:spacing w:before="0" w:beforeAutospacing="0" w:after="0" w:afterAutospacing="0"/>
                    <w:ind w:left="0" w:right="0"/>
                    <w:jc w:val="center"/>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危险废物名称</w:t>
                  </w:r>
                </w:p>
              </w:tc>
              <w:tc>
                <w:tcPr>
                  <w:tcW w:w="586" w:type="pct"/>
                  <w:tcBorders>
                    <w:tl2br w:val="nil"/>
                    <w:tr2bl w:val="nil"/>
                  </w:tcBorders>
                  <w:noWrap w:val="0"/>
                  <w:vAlign w:val="center"/>
                </w:tcPr>
                <w:p w14:paraId="3F523344">
                  <w:pPr>
                    <w:keepNext w:val="0"/>
                    <w:keepLines w:val="0"/>
                    <w:suppressLineNumbers w:val="0"/>
                    <w:tabs>
                      <w:tab w:val="left" w:pos="6090"/>
                    </w:tabs>
                    <w:adjustRightInd w:val="0"/>
                    <w:snapToGrid w:val="0"/>
                    <w:spacing w:before="0" w:beforeAutospacing="0" w:after="0" w:afterAutospacing="0"/>
                    <w:ind w:left="0" w:right="0"/>
                    <w:jc w:val="center"/>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危险废物类别</w:t>
                  </w:r>
                </w:p>
              </w:tc>
              <w:tc>
                <w:tcPr>
                  <w:tcW w:w="818" w:type="pct"/>
                  <w:tcBorders>
                    <w:tl2br w:val="nil"/>
                    <w:tr2bl w:val="nil"/>
                  </w:tcBorders>
                  <w:noWrap w:val="0"/>
                  <w:vAlign w:val="center"/>
                </w:tcPr>
                <w:p w14:paraId="4744EB8C">
                  <w:pPr>
                    <w:keepNext w:val="0"/>
                    <w:keepLines w:val="0"/>
                    <w:suppressLineNumbers w:val="0"/>
                    <w:tabs>
                      <w:tab w:val="left" w:pos="6090"/>
                    </w:tabs>
                    <w:adjustRightInd w:val="0"/>
                    <w:snapToGrid w:val="0"/>
                    <w:spacing w:before="0" w:beforeAutospacing="0" w:after="0" w:afterAutospacing="0"/>
                    <w:ind w:left="0" w:right="0"/>
                    <w:jc w:val="center"/>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代危险废物类别码</w:t>
                  </w:r>
                </w:p>
              </w:tc>
              <w:tc>
                <w:tcPr>
                  <w:tcW w:w="572" w:type="pct"/>
                  <w:tcBorders>
                    <w:tl2br w:val="nil"/>
                    <w:tr2bl w:val="nil"/>
                  </w:tcBorders>
                  <w:noWrap w:val="0"/>
                  <w:vAlign w:val="center"/>
                </w:tcPr>
                <w:p w14:paraId="5B56A896">
                  <w:pPr>
                    <w:keepNext w:val="0"/>
                    <w:keepLines w:val="0"/>
                    <w:suppressLineNumbers w:val="0"/>
                    <w:tabs>
                      <w:tab w:val="left" w:pos="6090"/>
                    </w:tabs>
                    <w:adjustRightInd w:val="0"/>
                    <w:snapToGrid w:val="0"/>
                    <w:spacing w:before="0" w:beforeAutospacing="0" w:after="0" w:afterAutospacing="0"/>
                    <w:ind w:left="0" w:right="0"/>
                    <w:jc w:val="center"/>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产生量（t/a）</w:t>
                  </w:r>
                </w:p>
              </w:tc>
              <w:tc>
                <w:tcPr>
                  <w:tcW w:w="406" w:type="pct"/>
                  <w:tcBorders>
                    <w:tl2br w:val="nil"/>
                    <w:tr2bl w:val="nil"/>
                  </w:tcBorders>
                  <w:noWrap w:val="0"/>
                  <w:vAlign w:val="center"/>
                </w:tcPr>
                <w:p w14:paraId="182DBCF8">
                  <w:pPr>
                    <w:keepNext w:val="0"/>
                    <w:keepLines w:val="0"/>
                    <w:suppressLineNumbers w:val="0"/>
                    <w:tabs>
                      <w:tab w:val="left" w:pos="6090"/>
                    </w:tabs>
                    <w:adjustRightInd w:val="0"/>
                    <w:snapToGrid w:val="0"/>
                    <w:spacing w:before="0" w:beforeAutospacing="0" w:after="0" w:afterAutospacing="0"/>
                    <w:ind w:left="0" w:right="0"/>
                    <w:jc w:val="center"/>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形态</w:t>
                  </w:r>
                </w:p>
              </w:tc>
              <w:tc>
                <w:tcPr>
                  <w:tcW w:w="453" w:type="pct"/>
                  <w:tcBorders>
                    <w:tl2br w:val="nil"/>
                    <w:tr2bl w:val="nil"/>
                  </w:tcBorders>
                  <w:noWrap w:val="0"/>
                  <w:vAlign w:val="center"/>
                </w:tcPr>
                <w:p w14:paraId="2826C38D">
                  <w:pPr>
                    <w:keepNext w:val="0"/>
                    <w:keepLines w:val="0"/>
                    <w:suppressLineNumbers w:val="0"/>
                    <w:tabs>
                      <w:tab w:val="left" w:pos="6090"/>
                    </w:tabs>
                    <w:adjustRightInd w:val="0"/>
                    <w:snapToGrid w:val="0"/>
                    <w:spacing w:before="0" w:beforeAutospacing="0" w:after="0" w:afterAutospacing="0"/>
                    <w:ind w:left="0" w:right="0"/>
                    <w:jc w:val="center"/>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有害成分</w:t>
                  </w:r>
                </w:p>
              </w:tc>
              <w:tc>
                <w:tcPr>
                  <w:tcW w:w="480" w:type="pct"/>
                  <w:tcBorders>
                    <w:tl2br w:val="nil"/>
                    <w:tr2bl w:val="nil"/>
                  </w:tcBorders>
                  <w:noWrap w:val="0"/>
                  <w:vAlign w:val="center"/>
                </w:tcPr>
                <w:p w14:paraId="3BBB161B">
                  <w:pPr>
                    <w:keepNext w:val="0"/>
                    <w:keepLines w:val="0"/>
                    <w:suppressLineNumbers w:val="0"/>
                    <w:tabs>
                      <w:tab w:val="left" w:pos="6090"/>
                    </w:tabs>
                    <w:adjustRightInd w:val="0"/>
                    <w:snapToGrid w:val="0"/>
                    <w:spacing w:before="0" w:beforeAutospacing="0" w:after="0" w:afterAutospacing="0"/>
                    <w:ind w:left="0" w:right="0"/>
                    <w:jc w:val="center"/>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产废周期</w:t>
                  </w:r>
                </w:p>
              </w:tc>
              <w:tc>
                <w:tcPr>
                  <w:tcW w:w="381" w:type="pct"/>
                  <w:tcBorders>
                    <w:tl2br w:val="nil"/>
                    <w:tr2bl w:val="nil"/>
                  </w:tcBorders>
                  <w:noWrap w:val="0"/>
                  <w:vAlign w:val="center"/>
                </w:tcPr>
                <w:p w14:paraId="259877F8">
                  <w:pPr>
                    <w:keepNext w:val="0"/>
                    <w:keepLines w:val="0"/>
                    <w:suppressLineNumbers w:val="0"/>
                    <w:tabs>
                      <w:tab w:val="left" w:pos="6090"/>
                    </w:tabs>
                    <w:adjustRightInd w:val="0"/>
                    <w:snapToGrid w:val="0"/>
                    <w:spacing w:before="0" w:beforeAutospacing="0" w:after="0" w:afterAutospacing="0"/>
                    <w:ind w:left="0" w:right="0"/>
                    <w:jc w:val="center"/>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危险特性</w:t>
                  </w:r>
                </w:p>
              </w:tc>
              <w:tc>
                <w:tcPr>
                  <w:tcW w:w="532" w:type="pct"/>
                  <w:tcBorders>
                    <w:tl2br w:val="nil"/>
                    <w:tr2bl w:val="nil"/>
                  </w:tcBorders>
                  <w:noWrap w:val="0"/>
                  <w:vAlign w:val="center"/>
                </w:tcPr>
                <w:p w14:paraId="0AEC4791">
                  <w:pPr>
                    <w:keepNext w:val="0"/>
                    <w:keepLines w:val="0"/>
                    <w:suppressLineNumbers w:val="0"/>
                    <w:tabs>
                      <w:tab w:val="left" w:pos="6090"/>
                    </w:tabs>
                    <w:adjustRightInd w:val="0"/>
                    <w:snapToGrid w:val="0"/>
                    <w:spacing w:before="0" w:beforeAutospacing="0" w:after="0" w:afterAutospacing="0"/>
                    <w:ind w:left="0" w:right="0"/>
                    <w:jc w:val="center"/>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污染防治措施</w:t>
                  </w:r>
                </w:p>
              </w:tc>
            </w:tr>
            <w:tr w14:paraId="418AFC5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263" w:type="pct"/>
                  <w:tcBorders>
                    <w:tl2br w:val="nil"/>
                    <w:tr2bl w:val="nil"/>
                  </w:tcBorders>
                  <w:noWrap w:val="0"/>
                  <w:vAlign w:val="center"/>
                </w:tcPr>
                <w:p w14:paraId="0E6C62F9">
                  <w:pPr>
                    <w:keepNext w:val="0"/>
                    <w:keepLines w:val="0"/>
                    <w:pageBreakBefore w:val="0"/>
                    <w:widowControl w:val="0"/>
                    <w:numPr>
                      <w:ilvl w:val="0"/>
                      <w:numId w:val="31"/>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04" w:type="pct"/>
                  <w:tcBorders>
                    <w:tl2br w:val="nil"/>
                    <w:tr2bl w:val="nil"/>
                  </w:tcBorders>
                  <w:noWrap w:val="0"/>
                  <w:vAlign w:val="center"/>
                </w:tcPr>
                <w:p w14:paraId="483BB82F">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 w:val="21"/>
                      <w:szCs w:val="21"/>
                      <w:highlight w:val="none"/>
                      <w:lang w:eastAsia="zh-CN"/>
                      <w14:textFill>
                        <w14:solidFill>
                          <w14:schemeClr w14:val="tx1"/>
                        </w14:solidFill>
                      </w14:textFill>
                    </w:rPr>
                    <w:t>化学检验废液</w:t>
                  </w:r>
                </w:p>
              </w:tc>
              <w:tc>
                <w:tcPr>
                  <w:tcW w:w="586" w:type="pct"/>
                  <w:tcBorders>
                    <w:tl2br w:val="nil"/>
                    <w:tr2bl w:val="nil"/>
                  </w:tcBorders>
                  <w:noWrap w:val="0"/>
                  <w:vAlign w:val="center"/>
                </w:tcPr>
                <w:p w14:paraId="76E7F2ED">
                  <w:pPr>
                    <w:keepNext w:val="0"/>
                    <w:keepLines w:val="0"/>
                    <w:suppressLineNumbers w:val="0"/>
                    <w:tabs>
                      <w:tab w:val="left" w:pos="6090"/>
                    </w:tabs>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HW49</w:t>
                  </w:r>
                </w:p>
              </w:tc>
              <w:tc>
                <w:tcPr>
                  <w:tcW w:w="818" w:type="pct"/>
                  <w:tcBorders>
                    <w:tl2br w:val="nil"/>
                    <w:tr2bl w:val="nil"/>
                  </w:tcBorders>
                  <w:noWrap w:val="0"/>
                  <w:vAlign w:val="center"/>
                </w:tcPr>
                <w:p w14:paraId="3BCC884D">
                  <w:pPr>
                    <w:keepNext w:val="0"/>
                    <w:keepLines w:val="0"/>
                    <w:suppressLineNumbers w:val="0"/>
                    <w:spacing w:before="0" w:beforeAutospacing="0" w:after="0" w:afterAutospacing="0"/>
                    <w:ind w:left="0" w:right="0"/>
                    <w:jc w:val="center"/>
                    <w:rPr>
                      <w:rFonts w:hint="default" w:eastAsia="宋体"/>
                      <w:bCs/>
                      <w:color w:val="000000" w:themeColor="text1"/>
                      <w:spacing w:val="-10"/>
                      <w:sz w:val="21"/>
                      <w:szCs w:val="21"/>
                      <w:highlight w:val="none"/>
                      <w:lang w:val="en-US" w:eastAsia="zh-CN"/>
                      <w14:textFill>
                        <w14:solidFill>
                          <w14:schemeClr w14:val="tx1"/>
                        </w14:solidFill>
                      </w14:textFill>
                    </w:rPr>
                  </w:pPr>
                  <w:r>
                    <w:rPr>
                      <w:rFonts w:hint="default" w:eastAsia="宋体"/>
                      <w:bCs/>
                      <w:color w:val="000000" w:themeColor="text1"/>
                      <w:spacing w:val="-10"/>
                      <w:sz w:val="21"/>
                      <w:szCs w:val="21"/>
                      <w:highlight w:val="none"/>
                      <w:lang w:val="en-US" w:eastAsia="zh-CN"/>
                      <w14:textFill>
                        <w14:solidFill>
                          <w14:schemeClr w14:val="tx1"/>
                        </w14:solidFill>
                      </w14:textFill>
                    </w:rPr>
                    <w:t>900-047-49</w:t>
                  </w:r>
                </w:p>
              </w:tc>
              <w:tc>
                <w:tcPr>
                  <w:tcW w:w="572" w:type="pct"/>
                  <w:tcBorders>
                    <w:tl2br w:val="nil"/>
                    <w:tr2bl w:val="nil"/>
                  </w:tcBorders>
                  <w:noWrap w:val="0"/>
                  <w:vAlign w:val="center"/>
                </w:tcPr>
                <w:p w14:paraId="1559E3B0">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z w:val="21"/>
                      <w:szCs w:val="21"/>
                      <w:highlight w:val="none"/>
                      <w14:textFill>
                        <w14:solidFill>
                          <w14:schemeClr w14:val="tx1"/>
                        </w14:solidFill>
                      </w14:textFill>
                    </w:rPr>
                    <w:t>0.</w:t>
                  </w:r>
                  <w:r>
                    <w:rPr>
                      <w:rFonts w:hint="eastAsia" w:cs="Times New Roman"/>
                      <w:color w:val="000000" w:themeColor="text1"/>
                      <w:sz w:val="21"/>
                      <w:szCs w:val="21"/>
                      <w:highlight w:val="none"/>
                      <w:lang w:val="en-US" w:eastAsia="zh-CN"/>
                      <w14:textFill>
                        <w14:solidFill>
                          <w14:schemeClr w14:val="tx1"/>
                        </w14:solidFill>
                      </w14:textFill>
                    </w:rPr>
                    <w:t>4</w:t>
                  </w:r>
                </w:p>
              </w:tc>
              <w:tc>
                <w:tcPr>
                  <w:tcW w:w="406" w:type="pct"/>
                  <w:tcBorders>
                    <w:tl2br w:val="nil"/>
                    <w:tr2bl w:val="nil"/>
                  </w:tcBorders>
                  <w:noWrap w:val="0"/>
                  <w:vAlign w:val="center"/>
                </w:tcPr>
                <w:p w14:paraId="1649ECA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液体</w:t>
                  </w:r>
                </w:p>
              </w:tc>
              <w:tc>
                <w:tcPr>
                  <w:tcW w:w="453" w:type="pct"/>
                  <w:vMerge w:val="restart"/>
                  <w:tcBorders>
                    <w:tl2br w:val="nil"/>
                    <w:tr2bl w:val="nil"/>
                  </w:tcBorders>
                  <w:noWrap w:val="0"/>
                  <w:vAlign w:val="center"/>
                </w:tcPr>
                <w:p w14:paraId="4E78E35D">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cs="Times New Roman"/>
                      <w:bCs/>
                      <w:color w:val="000000" w:themeColor="text1"/>
                      <w:kern w:val="2"/>
                      <w:sz w:val="21"/>
                      <w:szCs w:val="21"/>
                      <w:highlight w:val="none"/>
                      <w:lang w:val="en-US" w:eastAsia="zh-CN" w:bidi="ar-SA"/>
                      <w14:textFill>
                        <w14:solidFill>
                          <w14:schemeClr w14:val="tx1"/>
                        </w14:solidFill>
                      </w14:textFill>
                    </w:rPr>
                    <w:t>废试药</w:t>
                  </w:r>
                </w:p>
              </w:tc>
              <w:tc>
                <w:tcPr>
                  <w:tcW w:w="480" w:type="pct"/>
                  <w:vMerge w:val="restart"/>
                  <w:tcBorders>
                    <w:tl2br w:val="nil"/>
                    <w:tr2bl w:val="nil"/>
                  </w:tcBorders>
                  <w:noWrap w:val="0"/>
                  <w:vAlign w:val="center"/>
                </w:tcPr>
                <w:p w14:paraId="1B538409">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1次/半</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年</w:t>
                  </w:r>
                </w:p>
              </w:tc>
              <w:tc>
                <w:tcPr>
                  <w:tcW w:w="381" w:type="pct"/>
                  <w:tcBorders>
                    <w:tl2br w:val="nil"/>
                    <w:tr2bl w:val="nil"/>
                  </w:tcBorders>
                  <w:noWrap w:val="0"/>
                  <w:vAlign w:val="center"/>
                </w:tcPr>
                <w:p w14:paraId="2EA3D08B">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T</w:t>
                  </w:r>
                </w:p>
              </w:tc>
              <w:tc>
                <w:tcPr>
                  <w:tcW w:w="532" w:type="pct"/>
                  <w:vMerge w:val="restart"/>
                  <w:tcBorders>
                    <w:tl2br w:val="nil"/>
                    <w:tr2bl w:val="nil"/>
                  </w:tcBorders>
                  <w:noWrap w:val="0"/>
                  <w:vAlign w:val="center"/>
                </w:tcPr>
                <w:p w14:paraId="36A46993">
                  <w:pPr>
                    <w:keepNext w:val="0"/>
                    <w:keepLines w:val="0"/>
                    <w:suppressLineNumbers w:val="0"/>
                    <w:tabs>
                      <w:tab w:val="left" w:pos="6090"/>
                    </w:tabs>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暂存于</w:t>
                  </w:r>
                  <w:r>
                    <w:rPr>
                      <w:rFonts w:hint="eastAsia" w:cs="Times New Roman"/>
                      <w:color w:val="000000" w:themeColor="text1"/>
                      <w:sz w:val="21"/>
                      <w:szCs w:val="21"/>
                      <w:highlight w:val="none"/>
                      <w:lang w:val="en-US" w:eastAsia="zh-CN"/>
                      <w14:textFill>
                        <w14:solidFill>
                          <w14:schemeClr w14:val="tx1"/>
                        </w14:solidFill>
                      </w14:textFill>
                    </w:rPr>
                    <w:t>危废贮存库</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，定期</w:t>
                  </w:r>
                  <w:r>
                    <w:rPr>
                      <w:rFonts w:hint="default" w:ascii="Times New Roman" w:hAnsi="Times New Roman" w:eastAsia="宋体" w:cs="Times New Roman"/>
                      <w:color w:val="000000" w:themeColor="text1"/>
                      <w:sz w:val="21"/>
                      <w:szCs w:val="21"/>
                      <w:highlight w:val="none"/>
                      <w14:textFill>
                        <w14:solidFill>
                          <w14:schemeClr w14:val="tx1"/>
                        </w14:solidFill>
                      </w14:textFill>
                    </w:rPr>
                    <w:t>交由有资质单位处理</w:t>
                  </w:r>
                </w:p>
              </w:tc>
            </w:tr>
            <w:tr w14:paraId="52F3B4D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48" w:hRule="atLeast"/>
              </w:trPr>
              <w:tc>
                <w:tcPr>
                  <w:tcW w:w="263" w:type="pct"/>
                  <w:tcBorders>
                    <w:tl2br w:val="nil"/>
                    <w:tr2bl w:val="nil"/>
                  </w:tcBorders>
                  <w:noWrap w:val="0"/>
                  <w:vAlign w:val="center"/>
                </w:tcPr>
                <w:p w14:paraId="3571A08A">
                  <w:pPr>
                    <w:keepNext w:val="0"/>
                    <w:keepLines w:val="0"/>
                    <w:pageBreakBefore w:val="0"/>
                    <w:widowControl w:val="0"/>
                    <w:numPr>
                      <w:ilvl w:val="0"/>
                      <w:numId w:val="31"/>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04" w:type="pct"/>
                  <w:tcBorders>
                    <w:tl2br w:val="nil"/>
                    <w:tr2bl w:val="nil"/>
                  </w:tcBorders>
                  <w:noWrap w:val="0"/>
                  <w:vAlign w:val="center"/>
                </w:tcPr>
                <w:p w14:paraId="0E8515AB">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eastAsia="zh-CN"/>
                      <w14:textFill>
                        <w14:solidFill>
                          <w14:schemeClr w14:val="tx1"/>
                        </w14:solidFill>
                      </w14:textFill>
                    </w:rPr>
                    <w:t>废化学试剂瓶</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 xml:space="preserve"> </w:t>
                  </w:r>
                </w:p>
              </w:tc>
              <w:tc>
                <w:tcPr>
                  <w:tcW w:w="586" w:type="pct"/>
                  <w:tcBorders>
                    <w:tl2br w:val="nil"/>
                    <w:tr2bl w:val="nil"/>
                  </w:tcBorders>
                  <w:noWrap w:val="0"/>
                  <w:vAlign w:val="center"/>
                </w:tcPr>
                <w:p w14:paraId="625746C0">
                  <w:pPr>
                    <w:keepNext w:val="0"/>
                    <w:keepLines w:val="0"/>
                    <w:suppressLineNumbers w:val="0"/>
                    <w:tabs>
                      <w:tab w:val="left" w:pos="6090"/>
                    </w:tabs>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HW49</w:t>
                  </w:r>
                </w:p>
              </w:tc>
              <w:tc>
                <w:tcPr>
                  <w:tcW w:w="818" w:type="pct"/>
                  <w:tcBorders>
                    <w:tl2br w:val="nil"/>
                    <w:tr2bl w:val="nil"/>
                  </w:tcBorders>
                  <w:noWrap w:val="0"/>
                  <w:vAlign w:val="center"/>
                </w:tcPr>
                <w:p w14:paraId="757E61B2">
                  <w:pPr>
                    <w:keepNext w:val="0"/>
                    <w:keepLines w:val="0"/>
                    <w:suppressLineNumbers w:val="0"/>
                    <w:spacing w:before="0" w:beforeAutospacing="0" w:after="0" w:afterAutospacing="0"/>
                    <w:ind w:left="0" w:right="0"/>
                    <w:jc w:val="center"/>
                    <w:rPr>
                      <w:rFonts w:hint="default" w:eastAsia="宋体"/>
                      <w:bCs/>
                      <w:color w:val="000000" w:themeColor="text1"/>
                      <w:spacing w:val="-10"/>
                      <w:sz w:val="21"/>
                      <w:szCs w:val="21"/>
                      <w:highlight w:val="none"/>
                      <w:lang w:val="en-US" w:eastAsia="zh-CN"/>
                      <w14:textFill>
                        <w14:solidFill>
                          <w14:schemeClr w14:val="tx1"/>
                        </w14:solidFill>
                      </w14:textFill>
                    </w:rPr>
                  </w:pPr>
                  <w:r>
                    <w:rPr>
                      <w:rFonts w:hint="default" w:eastAsia="宋体"/>
                      <w:bCs/>
                      <w:color w:val="000000" w:themeColor="text1"/>
                      <w:spacing w:val="-10"/>
                      <w:sz w:val="21"/>
                      <w:szCs w:val="21"/>
                      <w:highlight w:val="none"/>
                      <w:lang w:val="en-US" w:eastAsia="zh-CN"/>
                      <w14:textFill>
                        <w14:solidFill>
                          <w14:schemeClr w14:val="tx1"/>
                        </w14:solidFill>
                      </w14:textFill>
                    </w:rPr>
                    <w:t>900-04</w:t>
                  </w:r>
                  <w:r>
                    <w:rPr>
                      <w:rFonts w:hint="eastAsia"/>
                      <w:bCs/>
                      <w:color w:val="000000" w:themeColor="text1"/>
                      <w:spacing w:val="-10"/>
                      <w:sz w:val="21"/>
                      <w:szCs w:val="21"/>
                      <w:highlight w:val="none"/>
                      <w:lang w:val="en-US" w:eastAsia="zh-CN"/>
                      <w14:textFill>
                        <w14:solidFill>
                          <w14:schemeClr w14:val="tx1"/>
                        </w14:solidFill>
                      </w14:textFill>
                    </w:rPr>
                    <w:t>1</w:t>
                  </w:r>
                  <w:r>
                    <w:rPr>
                      <w:rFonts w:hint="default" w:eastAsia="宋体"/>
                      <w:bCs/>
                      <w:color w:val="000000" w:themeColor="text1"/>
                      <w:spacing w:val="-10"/>
                      <w:sz w:val="21"/>
                      <w:szCs w:val="21"/>
                      <w:highlight w:val="none"/>
                      <w:lang w:val="en-US" w:eastAsia="zh-CN"/>
                      <w14:textFill>
                        <w14:solidFill>
                          <w14:schemeClr w14:val="tx1"/>
                        </w14:solidFill>
                      </w14:textFill>
                    </w:rPr>
                    <w:t>-49</w:t>
                  </w:r>
                </w:p>
              </w:tc>
              <w:tc>
                <w:tcPr>
                  <w:tcW w:w="572" w:type="pct"/>
                  <w:tcBorders>
                    <w:tl2br w:val="nil"/>
                    <w:tr2bl w:val="nil"/>
                  </w:tcBorders>
                  <w:noWrap w:val="0"/>
                  <w:vAlign w:val="center"/>
                </w:tcPr>
                <w:p w14:paraId="62958875">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0.1</w:t>
                  </w:r>
                </w:p>
              </w:tc>
              <w:tc>
                <w:tcPr>
                  <w:tcW w:w="406" w:type="pct"/>
                  <w:tcBorders>
                    <w:tl2br w:val="nil"/>
                    <w:tr2bl w:val="nil"/>
                  </w:tcBorders>
                  <w:noWrap w:val="0"/>
                  <w:vAlign w:val="center"/>
                </w:tcPr>
                <w:p w14:paraId="13D2E876">
                  <w:pPr>
                    <w:keepNext w:val="0"/>
                    <w:keepLines w:val="0"/>
                    <w:widowControl/>
                    <w:suppressLineNumbers w:val="0"/>
                    <w:spacing w:before="0" w:beforeAutospacing="0" w:after="0" w:afterAutospacing="0"/>
                    <w:ind w:left="0" w:right="0"/>
                    <w:jc w:val="center"/>
                    <w:rPr>
                      <w:rFonts w:hint="default"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cs="宋体"/>
                      <w:color w:val="000000" w:themeColor="text1"/>
                      <w:kern w:val="0"/>
                      <w:sz w:val="21"/>
                      <w:szCs w:val="21"/>
                      <w:highlight w:val="none"/>
                      <w:lang w:val="en-US" w:eastAsia="zh-CN" w:bidi="ar"/>
                      <w14:textFill>
                        <w14:solidFill>
                          <w14:schemeClr w14:val="tx1"/>
                        </w14:solidFill>
                      </w14:textFill>
                    </w:rPr>
                    <w:t>固体</w:t>
                  </w:r>
                </w:p>
              </w:tc>
              <w:tc>
                <w:tcPr>
                  <w:tcW w:w="453" w:type="pct"/>
                  <w:vMerge w:val="continue"/>
                  <w:tcBorders>
                    <w:tl2br w:val="nil"/>
                    <w:tr2bl w:val="nil"/>
                  </w:tcBorders>
                  <w:noWrap w:val="0"/>
                  <w:vAlign w:val="center"/>
                </w:tcPr>
                <w:p w14:paraId="717D705A">
                  <w:pPr>
                    <w:keepNext w:val="0"/>
                    <w:keepLines w:val="0"/>
                    <w:widowControl/>
                    <w:suppressLineNumbers w:val="0"/>
                    <w:spacing w:before="0" w:beforeAutospacing="0" w:after="0" w:afterAutospacing="0"/>
                    <w:ind w:left="0" w:right="0"/>
                    <w:jc w:val="left"/>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p>
              </w:tc>
              <w:tc>
                <w:tcPr>
                  <w:tcW w:w="480" w:type="pct"/>
                  <w:vMerge w:val="continue"/>
                  <w:tcBorders>
                    <w:tl2br w:val="nil"/>
                    <w:tr2bl w:val="nil"/>
                  </w:tcBorders>
                  <w:noWrap w:val="0"/>
                  <w:vAlign w:val="center"/>
                </w:tcPr>
                <w:p w14:paraId="7027AA91">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p>
              </w:tc>
              <w:tc>
                <w:tcPr>
                  <w:tcW w:w="381" w:type="pct"/>
                  <w:tcBorders>
                    <w:tl2br w:val="nil"/>
                    <w:tr2bl w:val="nil"/>
                  </w:tcBorders>
                  <w:noWrap w:val="0"/>
                  <w:vAlign w:val="center"/>
                </w:tcPr>
                <w:p w14:paraId="2FE5AD07">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T</w:t>
                  </w:r>
                </w:p>
              </w:tc>
              <w:tc>
                <w:tcPr>
                  <w:tcW w:w="532" w:type="pct"/>
                  <w:vMerge w:val="continue"/>
                  <w:tcBorders>
                    <w:tl2br w:val="nil"/>
                    <w:tr2bl w:val="nil"/>
                  </w:tcBorders>
                  <w:noWrap w:val="0"/>
                  <w:vAlign w:val="center"/>
                </w:tcPr>
                <w:p w14:paraId="428854E0">
                  <w:pPr>
                    <w:keepNext w:val="0"/>
                    <w:keepLines w:val="0"/>
                    <w:suppressLineNumbers w:val="0"/>
                    <w:tabs>
                      <w:tab w:val="left" w:pos="6090"/>
                    </w:tabs>
                    <w:adjustRightInd w:val="0"/>
                    <w:snapToGrid w:val="0"/>
                    <w:spacing w:before="0" w:beforeAutospacing="0" w:after="0" w:afterAutospacing="0"/>
                    <w:ind w:left="0" w:right="0"/>
                    <w:jc w:val="center"/>
                    <w:rPr>
                      <w:rFonts w:hint="eastAsia" w:ascii="Times New Roman" w:hAnsi="Times New Roman" w:eastAsia="宋体" w:cs="Times New Roman"/>
                      <w:bCs/>
                      <w:color w:val="000000" w:themeColor="text1"/>
                      <w:sz w:val="21"/>
                      <w:szCs w:val="21"/>
                      <w:highlight w:val="none"/>
                      <w:lang w:eastAsia="zh-CN"/>
                      <w14:textFill>
                        <w14:solidFill>
                          <w14:schemeClr w14:val="tx1"/>
                        </w14:solidFill>
                      </w14:textFill>
                    </w:rPr>
                  </w:pPr>
                </w:p>
              </w:tc>
            </w:tr>
            <w:tr w14:paraId="0849B1C4">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48" w:hRule="atLeast"/>
              </w:trPr>
              <w:tc>
                <w:tcPr>
                  <w:tcW w:w="263" w:type="pct"/>
                  <w:tcBorders>
                    <w:tl2br w:val="nil"/>
                    <w:tr2bl w:val="nil"/>
                  </w:tcBorders>
                  <w:noWrap w:val="0"/>
                  <w:vAlign w:val="center"/>
                </w:tcPr>
                <w:p w14:paraId="6CB6B17F">
                  <w:pPr>
                    <w:keepNext w:val="0"/>
                    <w:keepLines w:val="0"/>
                    <w:pageBreakBefore w:val="0"/>
                    <w:widowControl w:val="0"/>
                    <w:numPr>
                      <w:ilvl w:val="0"/>
                      <w:numId w:val="31"/>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04" w:type="pct"/>
                  <w:tcBorders>
                    <w:tl2br w:val="nil"/>
                    <w:tr2bl w:val="nil"/>
                  </w:tcBorders>
                  <w:noWrap w:val="0"/>
                  <w:vAlign w:val="center"/>
                </w:tcPr>
                <w:p w14:paraId="4EED0BFD">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eastAsia" w:cs="Times New Roman"/>
                      <w:b w:val="0"/>
                      <w:bCs w:val="0"/>
                      <w:color w:val="000000" w:themeColor="text1"/>
                      <w:sz w:val="21"/>
                      <w:szCs w:val="21"/>
                      <w:highlight w:val="none"/>
                      <w:lang w:eastAsia="zh-CN"/>
                      <w14:textFill>
                        <w14:solidFill>
                          <w14:schemeClr w14:val="tx1"/>
                        </w14:solidFill>
                      </w14:textFill>
                    </w:rPr>
                  </w:pPr>
                  <w:r>
                    <w:rPr>
                      <w:rFonts w:hint="eastAsia" w:cs="Times New Roman"/>
                      <w:b w:val="0"/>
                      <w:bCs w:val="0"/>
                      <w:color w:val="000000" w:themeColor="text1"/>
                      <w:sz w:val="21"/>
                      <w:szCs w:val="21"/>
                      <w:highlight w:val="none"/>
                      <w:lang w:eastAsia="zh-CN"/>
                      <w14:textFill>
                        <w14:solidFill>
                          <w14:schemeClr w14:val="tx1"/>
                        </w14:solidFill>
                      </w14:textFill>
                    </w:rPr>
                    <w:t>废弃薄层板</w:t>
                  </w:r>
                </w:p>
              </w:tc>
              <w:tc>
                <w:tcPr>
                  <w:tcW w:w="586" w:type="pct"/>
                  <w:tcBorders>
                    <w:tl2br w:val="nil"/>
                    <w:tr2bl w:val="nil"/>
                  </w:tcBorders>
                  <w:noWrap w:val="0"/>
                  <w:vAlign w:val="center"/>
                </w:tcPr>
                <w:p w14:paraId="4788FBD1">
                  <w:pPr>
                    <w:keepNext w:val="0"/>
                    <w:keepLines w:val="0"/>
                    <w:suppressLineNumbers w:val="0"/>
                    <w:tabs>
                      <w:tab w:val="left" w:pos="6090"/>
                    </w:tabs>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HW49</w:t>
                  </w:r>
                </w:p>
              </w:tc>
              <w:tc>
                <w:tcPr>
                  <w:tcW w:w="818" w:type="pct"/>
                  <w:tcBorders>
                    <w:tl2br w:val="nil"/>
                    <w:tr2bl w:val="nil"/>
                  </w:tcBorders>
                  <w:noWrap w:val="0"/>
                  <w:vAlign w:val="center"/>
                </w:tcPr>
                <w:p w14:paraId="4027B376">
                  <w:pPr>
                    <w:keepNext w:val="0"/>
                    <w:keepLines w:val="0"/>
                    <w:suppressLineNumbers w:val="0"/>
                    <w:spacing w:before="0" w:beforeAutospacing="0" w:after="0" w:afterAutospacing="0"/>
                    <w:ind w:left="0" w:leftChars="0" w:right="0" w:rightChars="0"/>
                    <w:jc w:val="center"/>
                    <w:rPr>
                      <w:rFonts w:hint="default" w:eastAsia="宋体"/>
                      <w:bCs/>
                      <w:color w:val="000000" w:themeColor="text1"/>
                      <w:spacing w:val="-10"/>
                      <w:sz w:val="21"/>
                      <w:szCs w:val="21"/>
                      <w:highlight w:val="none"/>
                      <w:lang w:val="en-US" w:eastAsia="zh-CN"/>
                      <w14:textFill>
                        <w14:solidFill>
                          <w14:schemeClr w14:val="tx1"/>
                        </w14:solidFill>
                      </w14:textFill>
                    </w:rPr>
                  </w:pPr>
                  <w:r>
                    <w:rPr>
                      <w:rFonts w:hint="default" w:eastAsia="宋体"/>
                      <w:bCs/>
                      <w:color w:val="000000" w:themeColor="text1"/>
                      <w:spacing w:val="-10"/>
                      <w:sz w:val="21"/>
                      <w:szCs w:val="21"/>
                      <w:highlight w:val="none"/>
                      <w:lang w:val="en-US" w:eastAsia="zh-CN"/>
                      <w14:textFill>
                        <w14:solidFill>
                          <w14:schemeClr w14:val="tx1"/>
                        </w14:solidFill>
                      </w14:textFill>
                    </w:rPr>
                    <w:t>900-04</w:t>
                  </w:r>
                  <w:r>
                    <w:rPr>
                      <w:rFonts w:hint="eastAsia"/>
                      <w:bCs/>
                      <w:color w:val="000000" w:themeColor="text1"/>
                      <w:spacing w:val="-10"/>
                      <w:sz w:val="21"/>
                      <w:szCs w:val="21"/>
                      <w:highlight w:val="none"/>
                      <w:lang w:val="en-US" w:eastAsia="zh-CN"/>
                      <w14:textFill>
                        <w14:solidFill>
                          <w14:schemeClr w14:val="tx1"/>
                        </w14:solidFill>
                      </w14:textFill>
                    </w:rPr>
                    <w:t>1</w:t>
                  </w:r>
                  <w:r>
                    <w:rPr>
                      <w:rFonts w:hint="default" w:eastAsia="宋体"/>
                      <w:bCs/>
                      <w:color w:val="000000" w:themeColor="text1"/>
                      <w:spacing w:val="-10"/>
                      <w:sz w:val="21"/>
                      <w:szCs w:val="21"/>
                      <w:highlight w:val="none"/>
                      <w:lang w:val="en-US" w:eastAsia="zh-CN"/>
                      <w14:textFill>
                        <w14:solidFill>
                          <w14:schemeClr w14:val="tx1"/>
                        </w14:solidFill>
                      </w14:textFill>
                    </w:rPr>
                    <w:t>-49</w:t>
                  </w:r>
                </w:p>
              </w:tc>
              <w:tc>
                <w:tcPr>
                  <w:tcW w:w="572" w:type="pct"/>
                  <w:tcBorders>
                    <w:tl2br w:val="nil"/>
                    <w:tr2bl w:val="nil"/>
                  </w:tcBorders>
                  <w:noWrap w:val="0"/>
                  <w:vAlign w:val="center"/>
                </w:tcPr>
                <w:p w14:paraId="2D6F12EB">
                  <w:pPr>
                    <w:keepNext w:val="0"/>
                    <w:keepLines w:val="0"/>
                    <w:suppressLineNumbers w:val="0"/>
                    <w:spacing w:before="0" w:beforeAutospacing="0" w:after="0" w:afterAutospacing="0" w:line="240" w:lineRule="auto"/>
                    <w:ind w:left="0" w:leftChars="0" w:right="0" w:rightChars="0" w:firstLine="0" w:firstLineChars="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0.145</w:t>
                  </w:r>
                </w:p>
              </w:tc>
              <w:tc>
                <w:tcPr>
                  <w:tcW w:w="406" w:type="pct"/>
                  <w:tcBorders>
                    <w:tl2br w:val="nil"/>
                    <w:tr2bl w:val="nil"/>
                  </w:tcBorders>
                  <w:noWrap w:val="0"/>
                  <w:vAlign w:val="center"/>
                </w:tcPr>
                <w:p w14:paraId="34AA2789">
                  <w:pPr>
                    <w:keepNext w:val="0"/>
                    <w:keepLines w:val="0"/>
                    <w:widowControl/>
                    <w:suppressLineNumbers w:val="0"/>
                    <w:spacing w:before="0" w:beforeAutospacing="0" w:after="0" w:afterAutospacing="0"/>
                    <w:ind w:left="0" w:right="0"/>
                    <w:jc w:val="center"/>
                    <w:rPr>
                      <w:rFonts w:hint="eastAsia" w:ascii="宋体" w:hAnsi="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cs="宋体"/>
                      <w:color w:val="000000" w:themeColor="text1"/>
                      <w:kern w:val="0"/>
                      <w:sz w:val="21"/>
                      <w:szCs w:val="21"/>
                      <w:highlight w:val="none"/>
                      <w:lang w:val="en-US" w:eastAsia="zh-CN" w:bidi="ar"/>
                      <w14:textFill>
                        <w14:solidFill>
                          <w14:schemeClr w14:val="tx1"/>
                        </w14:solidFill>
                      </w14:textFill>
                    </w:rPr>
                    <w:t>固体</w:t>
                  </w:r>
                </w:p>
              </w:tc>
              <w:tc>
                <w:tcPr>
                  <w:tcW w:w="453" w:type="pct"/>
                  <w:vMerge w:val="continue"/>
                  <w:tcBorders>
                    <w:tl2br w:val="nil"/>
                    <w:tr2bl w:val="nil"/>
                  </w:tcBorders>
                  <w:noWrap w:val="0"/>
                  <w:vAlign w:val="center"/>
                </w:tcPr>
                <w:p w14:paraId="4FFE4DD4">
                  <w:pPr>
                    <w:keepNext w:val="0"/>
                    <w:keepLines w:val="0"/>
                    <w:widowControl/>
                    <w:suppressLineNumbers w:val="0"/>
                    <w:spacing w:before="0" w:beforeAutospacing="0" w:after="0" w:afterAutospacing="0"/>
                    <w:ind w:left="0" w:right="0"/>
                    <w:jc w:val="left"/>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p>
              </w:tc>
              <w:tc>
                <w:tcPr>
                  <w:tcW w:w="480" w:type="pct"/>
                  <w:vMerge w:val="continue"/>
                  <w:tcBorders>
                    <w:tl2br w:val="nil"/>
                    <w:tr2bl w:val="nil"/>
                  </w:tcBorders>
                  <w:noWrap w:val="0"/>
                  <w:vAlign w:val="center"/>
                </w:tcPr>
                <w:p w14:paraId="05E28EAC">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p>
              </w:tc>
              <w:tc>
                <w:tcPr>
                  <w:tcW w:w="381" w:type="pct"/>
                  <w:tcBorders>
                    <w:tl2br w:val="nil"/>
                    <w:tr2bl w:val="nil"/>
                  </w:tcBorders>
                  <w:noWrap w:val="0"/>
                  <w:vAlign w:val="center"/>
                </w:tcPr>
                <w:p w14:paraId="09BC2439">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T</w:t>
                  </w:r>
                </w:p>
              </w:tc>
              <w:tc>
                <w:tcPr>
                  <w:tcW w:w="532" w:type="pct"/>
                  <w:vMerge w:val="continue"/>
                  <w:tcBorders>
                    <w:tl2br w:val="nil"/>
                    <w:tr2bl w:val="nil"/>
                  </w:tcBorders>
                  <w:noWrap w:val="0"/>
                  <w:vAlign w:val="center"/>
                </w:tcPr>
                <w:p w14:paraId="3A21BE54">
                  <w:pPr>
                    <w:keepNext w:val="0"/>
                    <w:keepLines w:val="0"/>
                    <w:suppressLineNumbers w:val="0"/>
                    <w:tabs>
                      <w:tab w:val="left" w:pos="6090"/>
                    </w:tabs>
                    <w:adjustRightInd w:val="0"/>
                    <w:snapToGrid w:val="0"/>
                    <w:spacing w:before="0" w:beforeAutospacing="0" w:after="0" w:afterAutospacing="0"/>
                    <w:ind w:left="0" w:right="0"/>
                    <w:jc w:val="center"/>
                    <w:rPr>
                      <w:rFonts w:hint="eastAsia" w:ascii="Times New Roman" w:hAnsi="Times New Roman" w:eastAsia="宋体" w:cs="Times New Roman"/>
                      <w:bCs/>
                      <w:color w:val="000000" w:themeColor="text1"/>
                      <w:sz w:val="21"/>
                      <w:szCs w:val="21"/>
                      <w:highlight w:val="none"/>
                      <w:lang w:eastAsia="zh-CN"/>
                      <w14:textFill>
                        <w14:solidFill>
                          <w14:schemeClr w14:val="tx1"/>
                        </w14:solidFill>
                      </w14:textFill>
                    </w:rPr>
                  </w:pPr>
                </w:p>
              </w:tc>
            </w:tr>
            <w:tr w14:paraId="7E89B97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48" w:hRule="atLeast"/>
              </w:trPr>
              <w:tc>
                <w:tcPr>
                  <w:tcW w:w="263" w:type="pct"/>
                  <w:tcBorders>
                    <w:tl2br w:val="nil"/>
                    <w:tr2bl w:val="nil"/>
                  </w:tcBorders>
                  <w:noWrap w:val="0"/>
                  <w:vAlign w:val="center"/>
                </w:tcPr>
                <w:p w14:paraId="43E6EC7B">
                  <w:pPr>
                    <w:keepNext w:val="0"/>
                    <w:keepLines w:val="0"/>
                    <w:pageBreakBefore w:val="0"/>
                    <w:widowControl w:val="0"/>
                    <w:numPr>
                      <w:ilvl w:val="0"/>
                      <w:numId w:val="31"/>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04" w:type="pct"/>
                  <w:tcBorders>
                    <w:tl2br w:val="nil"/>
                    <w:tr2bl w:val="nil"/>
                  </w:tcBorders>
                  <w:noWrap w:val="0"/>
                  <w:vAlign w:val="center"/>
                </w:tcPr>
                <w:p w14:paraId="09670D2B">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eastAsia" w:cs="Times New Roman"/>
                      <w:b w:val="0"/>
                      <w:bCs w:val="0"/>
                      <w:color w:val="000000" w:themeColor="text1"/>
                      <w:sz w:val="21"/>
                      <w:szCs w:val="21"/>
                      <w:highlight w:val="none"/>
                      <w:lang w:eastAsia="zh-CN"/>
                      <w14:textFill>
                        <w14:solidFill>
                          <w14:schemeClr w14:val="tx1"/>
                        </w14:solidFill>
                      </w14:textFill>
                    </w:rPr>
                  </w:pPr>
                  <w:r>
                    <w:rPr>
                      <w:rFonts w:hint="eastAsia" w:cs="Times New Roman"/>
                      <w:b w:val="0"/>
                      <w:bCs w:val="0"/>
                      <w:color w:val="000000" w:themeColor="text1"/>
                      <w:sz w:val="21"/>
                      <w:szCs w:val="21"/>
                      <w:highlight w:val="none"/>
                      <w:lang w:eastAsia="zh-CN"/>
                      <w14:textFill>
                        <w14:solidFill>
                          <w14:schemeClr w14:val="tx1"/>
                        </w14:solidFill>
                      </w14:textFill>
                    </w:rPr>
                    <w:t>废试药</w:t>
                  </w:r>
                </w:p>
              </w:tc>
              <w:tc>
                <w:tcPr>
                  <w:tcW w:w="586" w:type="pct"/>
                  <w:tcBorders>
                    <w:tl2br w:val="nil"/>
                    <w:tr2bl w:val="nil"/>
                  </w:tcBorders>
                  <w:noWrap w:val="0"/>
                  <w:vAlign w:val="center"/>
                </w:tcPr>
                <w:p w14:paraId="12720E90">
                  <w:pPr>
                    <w:keepNext w:val="0"/>
                    <w:keepLines w:val="0"/>
                    <w:suppressLineNumbers w:val="0"/>
                    <w:tabs>
                      <w:tab w:val="left" w:pos="6090"/>
                    </w:tabs>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HW49</w:t>
                  </w:r>
                </w:p>
              </w:tc>
              <w:tc>
                <w:tcPr>
                  <w:tcW w:w="818" w:type="pct"/>
                  <w:tcBorders>
                    <w:tl2br w:val="nil"/>
                    <w:tr2bl w:val="nil"/>
                  </w:tcBorders>
                  <w:noWrap w:val="0"/>
                  <w:vAlign w:val="center"/>
                </w:tcPr>
                <w:p w14:paraId="683FFA8B">
                  <w:pPr>
                    <w:keepNext w:val="0"/>
                    <w:keepLines w:val="0"/>
                    <w:suppressLineNumbers w:val="0"/>
                    <w:spacing w:before="0" w:beforeAutospacing="0" w:after="0" w:afterAutospacing="0"/>
                    <w:ind w:left="0" w:leftChars="0" w:right="0" w:rightChars="0"/>
                    <w:jc w:val="center"/>
                    <w:rPr>
                      <w:rFonts w:hint="default" w:eastAsia="宋体"/>
                      <w:bCs/>
                      <w:color w:val="000000" w:themeColor="text1"/>
                      <w:spacing w:val="-10"/>
                      <w:sz w:val="21"/>
                      <w:szCs w:val="21"/>
                      <w:highlight w:val="none"/>
                      <w:lang w:val="en-US" w:eastAsia="zh-CN"/>
                      <w14:textFill>
                        <w14:solidFill>
                          <w14:schemeClr w14:val="tx1"/>
                        </w14:solidFill>
                      </w14:textFill>
                    </w:rPr>
                  </w:pPr>
                  <w:r>
                    <w:rPr>
                      <w:rFonts w:hint="default" w:eastAsia="宋体"/>
                      <w:bCs/>
                      <w:color w:val="000000" w:themeColor="text1"/>
                      <w:spacing w:val="-10"/>
                      <w:sz w:val="21"/>
                      <w:szCs w:val="21"/>
                      <w:highlight w:val="none"/>
                      <w:lang w:val="en-US" w:eastAsia="zh-CN"/>
                      <w14:textFill>
                        <w14:solidFill>
                          <w14:schemeClr w14:val="tx1"/>
                        </w14:solidFill>
                      </w14:textFill>
                    </w:rPr>
                    <w:t>900-047-49</w:t>
                  </w:r>
                </w:p>
              </w:tc>
              <w:tc>
                <w:tcPr>
                  <w:tcW w:w="572" w:type="pct"/>
                  <w:tcBorders>
                    <w:tl2br w:val="nil"/>
                    <w:tr2bl w:val="nil"/>
                  </w:tcBorders>
                  <w:noWrap w:val="0"/>
                  <w:vAlign w:val="center"/>
                </w:tcPr>
                <w:p w14:paraId="53E3EEC7">
                  <w:pPr>
                    <w:keepNext w:val="0"/>
                    <w:keepLines w:val="0"/>
                    <w:suppressLineNumbers w:val="0"/>
                    <w:spacing w:before="0" w:beforeAutospacing="0" w:after="0" w:afterAutospacing="0" w:line="240" w:lineRule="auto"/>
                    <w:ind w:left="0" w:leftChars="0" w:right="0" w:rightChars="0" w:firstLine="0" w:firstLineChars="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0.01</w:t>
                  </w:r>
                </w:p>
              </w:tc>
              <w:tc>
                <w:tcPr>
                  <w:tcW w:w="406" w:type="pct"/>
                  <w:tcBorders>
                    <w:tl2br w:val="nil"/>
                    <w:tr2bl w:val="nil"/>
                  </w:tcBorders>
                  <w:noWrap w:val="0"/>
                  <w:vAlign w:val="center"/>
                </w:tcPr>
                <w:p w14:paraId="3F1EFB24">
                  <w:pPr>
                    <w:keepNext w:val="0"/>
                    <w:keepLines w:val="0"/>
                    <w:widowControl/>
                    <w:suppressLineNumbers w:val="0"/>
                    <w:spacing w:before="0" w:beforeAutospacing="0" w:after="0" w:afterAutospacing="0"/>
                    <w:ind w:left="0" w:right="0"/>
                    <w:jc w:val="center"/>
                    <w:rPr>
                      <w:rFonts w:hint="default" w:ascii="宋体" w:hAnsi="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cs="宋体"/>
                      <w:color w:val="000000" w:themeColor="text1"/>
                      <w:kern w:val="0"/>
                      <w:sz w:val="21"/>
                      <w:szCs w:val="21"/>
                      <w:highlight w:val="none"/>
                      <w:lang w:val="en-US" w:eastAsia="zh-CN" w:bidi="ar"/>
                      <w14:textFill>
                        <w14:solidFill>
                          <w14:schemeClr w14:val="tx1"/>
                        </w14:solidFill>
                      </w14:textFill>
                    </w:rPr>
                    <w:t>液体</w:t>
                  </w:r>
                </w:p>
              </w:tc>
              <w:tc>
                <w:tcPr>
                  <w:tcW w:w="453" w:type="pct"/>
                  <w:vMerge w:val="continue"/>
                  <w:tcBorders>
                    <w:tl2br w:val="nil"/>
                    <w:tr2bl w:val="nil"/>
                  </w:tcBorders>
                  <w:noWrap w:val="0"/>
                  <w:vAlign w:val="center"/>
                </w:tcPr>
                <w:p w14:paraId="0F87AB70">
                  <w:pPr>
                    <w:keepNext w:val="0"/>
                    <w:keepLines w:val="0"/>
                    <w:widowControl/>
                    <w:suppressLineNumbers w:val="0"/>
                    <w:spacing w:before="0" w:beforeAutospacing="0" w:after="0" w:afterAutospacing="0"/>
                    <w:ind w:left="0" w:right="0"/>
                    <w:jc w:val="left"/>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p>
              </w:tc>
              <w:tc>
                <w:tcPr>
                  <w:tcW w:w="480" w:type="pct"/>
                  <w:vMerge w:val="continue"/>
                  <w:tcBorders>
                    <w:tl2br w:val="nil"/>
                    <w:tr2bl w:val="nil"/>
                  </w:tcBorders>
                  <w:noWrap w:val="0"/>
                  <w:vAlign w:val="center"/>
                </w:tcPr>
                <w:p w14:paraId="009E9282">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p>
              </w:tc>
              <w:tc>
                <w:tcPr>
                  <w:tcW w:w="381" w:type="pct"/>
                  <w:tcBorders>
                    <w:tl2br w:val="nil"/>
                    <w:tr2bl w:val="nil"/>
                  </w:tcBorders>
                  <w:noWrap w:val="0"/>
                  <w:vAlign w:val="center"/>
                </w:tcPr>
                <w:p w14:paraId="13D9BE02">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T</w:t>
                  </w:r>
                </w:p>
              </w:tc>
              <w:tc>
                <w:tcPr>
                  <w:tcW w:w="532" w:type="pct"/>
                  <w:vMerge w:val="continue"/>
                  <w:tcBorders>
                    <w:tl2br w:val="nil"/>
                    <w:tr2bl w:val="nil"/>
                  </w:tcBorders>
                  <w:noWrap w:val="0"/>
                  <w:vAlign w:val="center"/>
                </w:tcPr>
                <w:p w14:paraId="3FCDFF44">
                  <w:pPr>
                    <w:keepNext w:val="0"/>
                    <w:keepLines w:val="0"/>
                    <w:suppressLineNumbers w:val="0"/>
                    <w:tabs>
                      <w:tab w:val="left" w:pos="6090"/>
                    </w:tabs>
                    <w:adjustRightInd w:val="0"/>
                    <w:snapToGrid w:val="0"/>
                    <w:spacing w:before="0" w:beforeAutospacing="0" w:after="0" w:afterAutospacing="0"/>
                    <w:ind w:left="0" w:right="0"/>
                    <w:jc w:val="center"/>
                    <w:rPr>
                      <w:rFonts w:hint="eastAsia" w:ascii="Times New Roman" w:hAnsi="Times New Roman" w:eastAsia="宋体" w:cs="Times New Roman"/>
                      <w:bCs/>
                      <w:color w:val="000000" w:themeColor="text1"/>
                      <w:sz w:val="21"/>
                      <w:szCs w:val="21"/>
                      <w:highlight w:val="none"/>
                      <w:lang w:eastAsia="zh-CN"/>
                      <w14:textFill>
                        <w14:solidFill>
                          <w14:schemeClr w14:val="tx1"/>
                        </w14:solidFill>
                      </w14:textFill>
                    </w:rPr>
                  </w:pPr>
                </w:p>
              </w:tc>
            </w:tr>
            <w:tr w14:paraId="2CD937B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6" w:hRule="atLeast"/>
              </w:trPr>
              <w:tc>
                <w:tcPr>
                  <w:tcW w:w="263" w:type="pct"/>
                  <w:tcBorders>
                    <w:tl2br w:val="nil"/>
                    <w:tr2bl w:val="nil"/>
                  </w:tcBorders>
                  <w:noWrap w:val="0"/>
                  <w:vAlign w:val="center"/>
                </w:tcPr>
                <w:p w14:paraId="264ACD90">
                  <w:pPr>
                    <w:keepNext w:val="0"/>
                    <w:keepLines w:val="0"/>
                    <w:pageBreakBefore w:val="0"/>
                    <w:widowControl w:val="0"/>
                    <w:numPr>
                      <w:ilvl w:val="0"/>
                      <w:numId w:val="31"/>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04" w:type="pct"/>
                  <w:tcBorders>
                    <w:tl2br w:val="nil"/>
                    <w:tr2bl w:val="nil"/>
                  </w:tcBorders>
                  <w:noWrap w:val="0"/>
                  <w:vAlign w:val="center"/>
                </w:tcPr>
                <w:p w14:paraId="09F92729">
                  <w:pPr>
                    <w:keepNext w:val="0"/>
                    <w:keepLines w:val="0"/>
                    <w:suppressLineNumbers w:val="0"/>
                    <w:tabs>
                      <w:tab w:val="left" w:pos="6090"/>
                    </w:tabs>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废活性炭</w:t>
                  </w:r>
                </w:p>
              </w:tc>
              <w:tc>
                <w:tcPr>
                  <w:tcW w:w="586" w:type="pct"/>
                  <w:tcBorders>
                    <w:tl2br w:val="nil"/>
                    <w:tr2bl w:val="nil"/>
                  </w:tcBorders>
                  <w:noWrap w:val="0"/>
                  <w:vAlign w:val="center"/>
                </w:tcPr>
                <w:p w14:paraId="45D1EC6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eastAsia"/>
                      <w:bCs/>
                      <w:color w:val="000000" w:themeColor="text1"/>
                      <w:spacing w:val="-10"/>
                      <w:sz w:val="21"/>
                      <w:szCs w:val="21"/>
                      <w:highlight w:val="none"/>
                      <w14:textFill>
                        <w14:solidFill>
                          <w14:schemeClr w14:val="tx1"/>
                        </w14:solidFill>
                      </w14:textFill>
                    </w:rPr>
                    <w:t>HW49</w:t>
                  </w:r>
                </w:p>
              </w:tc>
              <w:tc>
                <w:tcPr>
                  <w:tcW w:w="818" w:type="pct"/>
                  <w:tcBorders>
                    <w:tl2br w:val="nil"/>
                    <w:tr2bl w:val="nil"/>
                  </w:tcBorders>
                  <w:noWrap w:val="0"/>
                  <w:vAlign w:val="center"/>
                </w:tcPr>
                <w:p w14:paraId="6777CA6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bCs/>
                      <w:color w:val="000000" w:themeColor="text1"/>
                      <w:spacing w:val="-10"/>
                      <w:sz w:val="21"/>
                      <w:szCs w:val="21"/>
                      <w:highlight w:val="none"/>
                      <w14:textFill>
                        <w14:solidFill>
                          <w14:schemeClr w14:val="tx1"/>
                        </w14:solidFill>
                      </w14:textFill>
                    </w:rPr>
                    <w:t>900-0</w:t>
                  </w:r>
                  <w:r>
                    <w:rPr>
                      <w:rFonts w:hint="eastAsia"/>
                      <w:bCs/>
                      <w:color w:val="000000" w:themeColor="text1"/>
                      <w:spacing w:val="-10"/>
                      <w:sz w:val="21"/>
                      <w:szCs w:val="21"/>
                      <w:highlight w:val="none"/>
                      <w:lang w:val="en-US" w:eastAsia="zh-CN"/>
                      <w14:textFill>
                        <w14:solidFill>
                          <w14:schemeClr w14:val="tx1"/>
                        </w14:solidFill>
                      </w14:textFill>
                    </w:rPr>
                    <w:t>39</w:t>
                  </w:r>
                  <w:r>
                    <w:rPr>
                      <w:rFonts w:hint="eastAsia"/>
                      <w:bCs/>
                      <w:color w:val="000000" w:themeColor="text1"/>
                      <w:spacing w:val="-10"/>
                      <w:sz w:val="21"/>
                      <w:szCs w:val="21"/>
                      <w:highlight w:val="none"/>
                      <w14:textFill>
                        <w14:solidFill>
                          <w14:schemeClr w14:val="tx1"/>
                        </w14:solidFill>
                      </w14:textFill>
                    </w:rPr>
                    <w:t>-49</w:t>
                  </w:r>
                </w:p>
              </w:tc>
              <w:tc>
                <w:tcPr>
                  <w:tcW w:w="572" w:type="pct"/>
                  <w:tcBorders>
                    <w:tl2br w:val="nil"/>
                    <w:tr2bl w:val="nil"/>
                  </w:tcBorders>
                  <w:noWrap w:val="0"/>
                  <w:vAlign w:val="center"/>
                </w:tcPr>
                <w:p w14:paraId="4D04B96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1.66</w:t>
                  </w:r>
                </w:p>
              </w:tc>
              <w:tc>
                <w:tcPr>
                  <w:tcW w:w="406" w:type="pct"/>
                  <w:tcBorders>
                    <w:tl2br w:val="nil"/>
                    <w:tr2bl w:val="nil"/>
                  </w:tcBorders>
                  <w:noWrap w:val="0"/>
                  <w:vAlign w:val="center"/>
                </w:tcPr>
                <w:p w14:paraId="3042F69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固</w:t>
                  </w:r>
                  <w:r>
                    <w:rPr>
                      <w:rFonts w:hint="eastAsia" w:ascii="Times New Roman" w:hAnsi="Times New Roman" w:eastAsia="宋体" w:cs="Times New Roman"/>
                      <w:bCs/>
                      <w:color w:val="000000" w:themeColor="text1"/>
                      <w:sz w:val="21"/>
                      <w:szCs w:val="21"/>
                      <w:highlight w:val="none"/>
                      <w:lang w:eastAsia="zh-CN"/>
                      <w14:textFill>
                        <w14:solidFill>
                          <w14:schemeClr w14:val="tx1"/>
                        </w14:solidFill>
                      </w14:textFill>
                    </w:rPr>
                    <w:t>体</w:t>
                  </w:r>
                </w:p>
              </w:tc>
              <w:tc>
                <w:tcPr>
                  <w:tcW w:w="453" w:type="pct"/>
                  <w:tcBorders>
                    <w:tl2br w:val="nil"/>
                    <w:tr2bl w:val="nil"/>
                  </w:tcBorders>
                  <w:noWrap w:val="0"/>
                  <w:vAlign w:val="center"/>
                </w:tcPr>
                <w:p w14:paraId="42004964">
                  <w:pPr>
                    <w:keepNext w:val="0"/>
                    <w:keepLines w:val="0"/>
                    <w:widowControl/>
                    <w:suppressLineNumbers w:val="0"/>
                    <w:spacing w:before="0" w:beforeAutospacing="0" w:after="0" w:afterAutospacing="0"/>
                    <w:ind w:left="0" w:right="0"/>
                    <w:jc w:val="left"/>
                    <w:rPr>
                      <w:rFonts w:hint="default"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挥发性有机气体</w:t>
                  </w:r>
                </w:p>
              </w:tc>
              <w:tc>
                <w:tcPr>
                  <w:tcW w:w="480" w:type="pct"/>
                  <w:vMerge w:val="continue"/>
                  <w:tcBorders>
                    <w:tl2br w:val="nil"/>
                    <w:tr2bl w:val="nil"/>
                  </w:tcBorders>
                  <w:noWrap w:val="0"/>
                  <w:vAlign w:val="center"/>
                </w:tcPr>
                <w:p w14:paraId="56D728BC">
                  <w:pPr>
                    <w:keepNext w:val="0"/>
                    <w:keepLines w:val="0"/>
                    <w:suppressLineNumbers w:val="0"/>
                    <w:spacing w:before="0" w:beforeAutospacing="0" w:after="0" w:afterAutospacing="0" w:line="240" w:lineRule="auto"/>
                    <w:ind w:left="0" w:leftChars="0" w:right="0" w:rightChars="0" w:firstLine="0" w:firstLineChars="0"/>
                    <w:jc w:val="center"/>
                    <w:rPr>
                      <w:rFonts w:hint="default" w:cs="Times New Roman"/>
                      <w:color w:val="000000" w:themeColor="text1"/>
                      <w:sz w:val="21"/>
                      <w:szCs w:val="21"/>
                      <w:highlight w:val="none"/>
                      <w:lang w:val="en-US" w:eastAsia="zh-CN"/>
                      <w14:textFill>
                        <w14:solidFill>
                          <w14:schemeClr w14:val="tx1"/>
                        </w14:solidFill>
                      </w14:textFill>
                    </w:rPr>
                  </w:pPr>
                </w:p>
              </w:tc>
              <w:tc>
                <w:tcPr>
                  <w:tcW w:w="381" w:type="pct"/>
                  <w:tcBorders>
                    <w:tl2br w:val="nil"/>
                    <w:tr2bl w:val="nil"/>
                  </w:tcBorders>
                  <w:noWrap w:val="0"/>
                  <w:vAlign w:val="center"/>
                </w:tcPr>
                <w:p w14:paraId="0E1EB0EB">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T</w:t>
                  </w:r>
                </w:p>
              </w:tc>
              <w:tc>
                <w:tcPr>
                  <w:tcW w:w="532" w:type="pct"/>
                  <w:vMerge w:val="continue"/>
                  <w:tcBorders>
                    <w:tl2br w:val="nil"/>
                    <w:tr2bl w:val="nil"/>
                  </w:tcBorders>
                  <w:noWrap w:val="0"/>
                  <w:vAlign w:val="center"/>
                </w:tcPr>
                <w:p w14:paraId="4DA9C0E8">
                  <w:pPr>
                    <w:keepNext w:val="0"/>
                    <w:keepLines w:val="0"/>
                    <w:suppressLineNumbers w:val="0"/>
                    <w:tabs>
                      <w:tab w:val="left" w:pos="6090"/>
                    </w:tabs>
                    <w:adjustRightInd w:val="0"/>
                    <w:snapToGrid w:val="0"/>
                    <w:spacing w:before="0" w:beforeAutospacing="0" w:after="0" w:afterAutospacing="0"/>
                    <w:ind w:left="0" w:right="0"/>
                    <w:jc w:val="center"/>
                    <w:rPr>
                      <w:rFonts w:hint="eastAsia" w:ascii="Times New Roman" w:hAnsi="Times New Roman" w:eastAsia="宋体" w:cs="Times New Roman"/>
                      <w:bCs/>
                      <w:color w:val="000000" w:themeColor="text1"/>
                      <w:sz w:val="21"/>
                      <w:szCs w:val="21"/>
                      <w:highlight w:val="none"/>
                      <w:lang w:eastAsia="zh-CN"/>
                      <w14:textFill>
                        <w14:solidFill>
                          <w14:schemeClr w14:val="tx1"/>
                        </w14:solidFill>
                      </w14:textFill>
                    </w:rPr>
                  </w:pPr>
                </w:p>
              </w:tc>
            </w:tr>
          </w:tbl>
          <w:p w14:paraId="6E2F34FC">
            <w:pPr>
              <w:keepNext w:val="0"/>
              <w:keepLines w:val="0"/>
              <w:pageBreakBefore w:val="0"/>
              <w:widowControl w:val="0"/>
              <w:numPr>
                <w:ilvl w:val="0"/>
                <w:numId w:val="26"/>
              </w:numPr>
              <w:suppressLineNumbers w:val="0"/>
              <w:kinsoku/>
              <w:wordWrap/>
              <w:overflowPunct/>
              <w:topLinePunct w:val="0"/>
              <w:autoSpaceDE/>
              <w:autoSpaceDN/>
              <w:bidi w:val="0"/>
              <w:adjustRightInd/>
              <w:snapToGrid w:val="0"/>
              <w:spacing w:before="157" w:beforeLines="5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建设项目危险废物贮存场所基本情况表</w:t>
            </w:r>
          </w:p>
          <w:tbl>
            <w:tblPr>
              <w:tblStyle w:val="35"/>
              <w:tblW w:w="4990"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433"/>
              <w:gridCol w:w="794"/>
              <w:gridCol w:w="1141"/>
              <w:gridCol w:w="773"/>
              <w:gridCol w:w="1119"/>
              <w:gridCol w:w="743"/>
              <w:gridCol w:w="738"/>
              <w:gridCol w:w="652"/>
              <w:gridCol w:w="1132"/>
              <w:gridCol w:w="574"/>
            </w:tblGrid>
            <w:tr w14:paraId="4F7E327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67" w:type="pct"/>
                  <w:tcBorders>
                    <w:tl2br w:val="nil"/>
                    <w:tr2bl w:val="nil"/>
                  </w:tcBorders>
                  <w:noWrap w:val="0"/>
                  <w:vAlign w:val="center"/>
                </w:tcPr>
                <w:p w14:paraId="056C844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lang w:bidi="ar"/>
                      <w14:textFill>
                        <w14:solidFill>
                          <w14:schemeClr w14:val="tx1"/>
                        </w14:solidFill>
                      </w14:textFill>
                    </w:rPr>
                    <w:t>序号</w:t>
                  </w:r>
                </w:p>
              </w:tc>
              <w:tc>
                <w:tcPr>
                  <w:tcW w:w="490" w:type="pct"/>
                  <w:tcBorders>
                    <w:tl2br w:val="nil"/>
                    <w:tr2bl w:val="nil"/>
                  </w:tcBorders>
                  <w:noWrap w:val="0"/>
                  <w:vAlign w:val="center"/>
                </w:tcPr>
                <w:p w14:paraId="50401C3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lang w:bidi="ar"/>
                      <w14:textFill>
                        <w14:solidFill>
                          <w14:schemeClr w14:val="tx1"/>
                        </w14:solidFill>
                      </w14:textFill>
                    </w:rPr>
                    <w:t>贮存场所（设施）名称</w:t>
                  </w:r>
                </w:p>
              </w:tc>
              <w:tc>
                <w:tcPr>
                  <w:tcW w:w="704" w:type="pct"/>
                  <w:tcBorders>
                    <w:tl2br w:val="nil"/>
                    <w:tr2bl w:val="nil"/>
                  </w:tcBorders>
                  <w:noWrap w:val="0"/>
                  <w:vAlign w:val="center"/>
                </w:tcPr>
                <w:p w14:paraId="6DEBBA5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lang w:bidi="ar"/>
                      <w14:textFill>
                        <w14:solidFill>
                          <w14:schemeClr w14:val="tx1"/>
                        </w14:solidFill>
                      </w14:textFill>
                    </w:rPr>
                    <w:t>危险废物名称</w:t>
                  </w:r>
                </w:p>
              </w:tc>
              <w:tc>
                <w:tcPr>
                  <w:tcW w:w="477" w:type="pct"/>
                  <w:tcBorders>
                    <w:tl2br w:val="nil"/>
                    <w:tr2bl w:val="nil"/>
                  </w:tcBorders>
                  <w:noWrap w:val="0"/>
                  <w:vAlign w:val="center"/>
                </w:tcPr>
                <w:p w14:paraId="3D9AFA7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lang w:bidi="ar"/>
                      <w14:textFill>
                        <w14:solidFill>
                          <w14:schemeClr w14:val="tx1"/>
                        </w14:solidFill>
                      </w14:textFill>
                    </w:rPr>
                    <w:t>危险废物类别</w:t>
                  </w:r>
                </w:p>
              </w:tc>
              <w:tc>
                <w:tcPr>
                  <w:tcW w:w="690" w:type="pct"/>
                  <w:tcBorders>
                    <w:tl2br w:val="nil"/>
                    <w:tr2bl w:val="nil"/>
                  </w:tcBorders>
                  <w:noWrap w:val="0"/>
                  <w:vAlign w:val="center"/>
                </w:tcPr>
                <w:p w14:paraId="07E840C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lang w:bidi="ar"/>
                      <w14:textFill>
                        <w14:solidFill>
                          <w14:schemeClr w14:val="tx1"/>
                        </w14:solidFill>
                      </w14:textFill>
                    </w:rPr>
                    <w:t>危险废物代码</w:t>
                  </w:r>
                </w:p>
              </w:tc>
              <w:tc>
                <w:tcPr>
                  <w:tcW w:w="458" w:type="pct"/>
                  <w:tcBorders>
                    <w:tl2br w:val="nil"/>
                    <w:tr2bl w:val="nil"/>
                  </w:tcBorders>
                  <w:noWrap w:val="0"/>
                  <w:vAlign w:val="center"/>
                </w:tcPr>
                <w:p w14:paraId="2ABBDFDD">
                  <w:pPr>
                    <w:keepNext w:val="0"/>
                    <w:keepLines w:val="0"/>
                    <w:suppressLineNumbers w:val="0"/>
                    <w:tabs>
                      <w:tab w:val="left" w:pos="6090"/>
                    </w:tabs>
                    <w:adjustRightInd w:val="0"/>
                    <w:snapToGrid w:val="0"/>
                    <w:spacing w:before="0" w:beforeAutospacing="0" w:after="0" w:afterAutospacing="0"/>
                    <w:ind w:left="0" w:right="0"/>
                    <w:jc w:val="center"/>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lang w:val="en-US" w:eastAsia="zh-CN"/>
                      <w14:textFill>
                        <w14:solidFill>
                          <w14:schemeClr w14:val="tx1"/>
                        </w14:solidFill>
                      </w14:textFill>
                    </w:rPr>
                    <w:t>最大贮存</w:t>
                  </w: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量（t/a）</w:t>
                  </w:r>
                </w:p>
              </w:tc>
              <w:tc>
                <w:tcPr>
                  <w:tcW w:w="455" w:type="pct"/>
                  <w:tcBorders>
                    <w:tl2br w:val="nil"/>
                    <w:tr2bl w:val="nil"/>
                  </w:tcBorders>
                  <w:noWrap w:val="0"/>
                  <w:vAlign w:val="center"/>
                </w:tcPr>
                <w:p w14:paraId="23FC8DA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lang w:bidi="ar"/>
                      <w14:textFill>
                        <w14:solidFill>
                          <w14:schemeClr w14:val="tx1"/>
                        </w14:solidFill>
                      </w14:textFill>
                    </w:rPr>
                    <w:t>位置</w:t>
                  </w:r>
                </w:p>
              </w:tc>
              <w:tc>
                <w:tcPr>
                  <w:tcW w:w="402" w:type="pct"/>
                  <w:tcBorders>
                    <w:tl2br w:val="nil"/>
                    <w:tr2bl w:val="nil"/>
                  </w:tcBorders>
                  <w:noWrap w:val="0"/>
                  <w:vAlign w:val="center"/>
                </w:tcPr>
                <w:p w14:paraId="32C10DE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lang w:bidi="ar"/>
                      <w14:textFill>
                        <w14:solidFill>
                          <w14:schemeClr w14:val="tx1"/>
                        </w14:solidFill>
                      </w14:textFill>
                    </w:rPr>
                    <w:t>占地面积</w:t>
                  </w:r>
                </w:p>
              </w:tc>
              <w:tc>
                <w:tcPr>
                  <w:tcW w:w="698" w:type="pct"/>
                  <w:tcBorders>
                    <w:tl2br w:val="nil"/>
                    <w:tr2bl w:val="nil"/>
                  </w:tcBorders>
                  <w:noWrap w:val="0"/>
                  <w:vAlign w:val="center"/>
                </w:tcPr>
                <w:p w14:paraId="497215E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lang w:bidi="ar"/>
                      <w14:textFill>
                        <w14:solidFill>
                          <w14:schemeClr w14:val="tx1"/>
                        </w14:solidFill>
                      </w14:textFill>
                    </w:rPr>
                    <w:t>贮存方式</w:t>
                  </w:r>
                </w:p>
              </w:tc>
              <w:tc>
                <w:tcPr>
                  <w:tcW w:w="354" w:type="pct"/>
                  <w:tcBorders>
                    <w:tl2br w:val="nil"/>
                    <w:tr2bl w:val="nil"/>
                  </w:tcBorders>
                  <w:noWrap w:val="0"/>
                  <w:vAlign w:val="center"/>
                </w:tcPr>
                <w:p w14:paraId="10910F8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lang w:bidi="ar"/>
                      <w14:textFill>
                        <w14:solidFill>
                          <w14:schemeClr w14:val="tx1"/>
                        </w14:solidFill>
                      </w14:textFill>
                    </w:rPr>
                    <w:t>贮存周期</w:t>
                  </w:r>
                </w:p>
              </w:tc>
            </w:tr>
            <w:tr w14:paraId="1F4C3F7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67" w:type="pct"/>
                  <w:tcBorders>
                    <w:tl2br w:val="nil"/>
                    <w:tr2bl w:val="nil"/>
                  </w:tcBorders>
                  <w:noWrap w:val="0"/>
                  <w:vAlign w:val="center"/>
                </w:tcPr>
                <w:p w14:paraId="1BAFE3C5">
                  <w:pPr>
                    <w:keepNext w:val="0"/>
                    <w:keepLines w:val="0"/>
                    <w:pageBreakBefore w:val="0"/>
                    <w:widowControl w:val="0"/>
                    <w:numPr>
                      <w:ilvl w:val="0"/>
                      <w:numId w:val="32"/>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90" w:type="pct"/>
                  <w:vMerge w:val="restart"/>
                  <w:tcBorders>
                    <w:tl2br w:val="nil"/>
                    <w:tr2bl w:val="nil"/>
                  </w:tcBorders>
                  <w:noWrap w:val="0"/>
                  <w:vAlign w:val="center"/>
                </w:tcPr>
                <w:p w14:paraId="423E7FE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Cs/>
                      <w:color w:val="000000" w:themeColor="text1"/>
                      <w:kern w:val="0"/>
                      <w:sz w:val="21"/>
                      <w:szCs w:val="21"/>
                      <w:highlight w:val="none"/>
                      <w:lang w:eastAsia="zh-CN" w:bidi="ar"/>
                      <w14:textFill>
                        <w14:solidFill>
                          <w14:schemeClr w14:val="tx1"/>
                        </w14:solidFill>
                      </w14:textFill>
                    </w:rPr>
                    <w:t>危废贮存</w:t>
                  </w:r>
                  <w:r>
                    <w:rPr>
                      <w:rFonts w:hint="default" w:ascii="Times New Roman" w:hAnsi="Times New Roman" w:cs="Times New Roman"/>
                      <w:bCs/>
                      <w:color w:val="000000" w:themeColor="text1"/>
                      <w:kern w:val="0"/>
                      <w:sz w:val="21"/>
                      <w:szCs w:val="21"/>
                      <w:highlight w:val="none"/>
                      <w:lang w:val="en-US" w:eastAsia="zh-CN" w:bidi="ar"/>
                      <w14:textFill>
                        <w14:solidFill>
                          <w14:schemeClr w14:val="tx1"/>
                        </w14:solidFill>
                      </w14:textFill>
                    </w:rPr>
                    <w:t>库</w:t>
                  </w:r>
                </w:p>
              </w:tc>
              <w:tc>
                <w:tcPr>
                  <w:tcW w:w="704" w:type="pct"/>
                  <w:tcBorders>
                    <w:tl2br w:val="nil"/>
                    <w:tr2bl w:val="nil"/>
                  </w:tcBorders>
                  <w:noWrap w:val="0"/>
                  <w:vAlign w:val="center"/>
                </w:tcPr>
                <w:p w14:paraId="7BDCC5C3">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sz w:val="21"/>
                      <w:szCs w:val="21"/>
                      <w:highlight w:val="none"/>
                      <w:lang w:eastAsia="zh-CN"/>
                      <w14:textFill>
                        <w14:solidFill>
                          <w14:schemeClr w14:val="tx1"/>
                        </w14:solidFill>
                      </w14:textFill>
                    </w:rPr>
                    <w:t>化学检验废液</w:t>
                  </w:r>
                </w:p>
              </w:tc>
              <w:tc>
                <w:tcPr>
                  <w:tcW w:w="477" w:type="pct"/>
                  <w:tcBorders>
                    <w:tl2br w:val="nil"/>
                    <w:tr2bl w:val="nil"/>
                  </w:tcBorders>
                  <w:noWrap w:val="0"/>
                  <w:vAlign w:val="center"/>
                </w:tcPr>
                <w:p w14:paraId="50E5CF12">
                  <w:pPr>
                    <w:keepNext w:val="0"/>
                    <w:keepLines w:val="0"/>
                    <w:suppressLineNumbers w:val="0"/>
                    <w:tabs>
                      <w:tab w:val="left" w:pos="6090"/>
                    </w:tabs>
                    <w:adjustRightInd w:val="0"/>
                    <w:snapToGrid w:val="0"/>
                    <w:spacing w:before="0" w:beforeAutospacing="0" w:after="0" w:afterAutospacing="0"/>
                    <w:ind w:left="0" w:leftChars="0" w:right="0" w:rightChars="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HW49</w:t>
                  </w:r>
                </w:p>
              </w:tc>
              <w:tc>
                <w:tcPr>
                  <w:tcW w:w="690" w:type="pct"/>
                  <w:tcBorders>
                    <w:tl2br w:val="nil"/>
                    <w:tr2bl w:val="nil"/>
                  </w:tcBorders>
                  <w:noWrap w:val="0"/>
                  <w:vAlign w:val="center"/>
                </w:tcPr>
                <w:p w14:paraId="5D2B6A1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pacing w:val="-10"/>
                      <w:sz w:val="21"/>
                      <w:szCs w:val="21"/>
                      <w:highlight w:val="none"/>
                      <w:lang w:val="en-US" w:eastAsia="zh-CN"/>
                      <w14:textFill>
                        <w14:solidFill>
                          <w14:schemeClr w14:val="tx1"/>
                        </w14:solidFill>
                      </w14:textFill>
                    </w:rPr>
                    <w:t>900-047-49</w:t>
                  </w:r>
                </w:p>
              </w:tc>
              <w:tc>
                <w:tcPr>
                  <w:tcW w:w="458" w:type="pct"/>
                  <w:tcBorders>
                    <w:tl2br w:val="nil"/>
                    <w:tr2bl w:val="nil"/>
                  </w:tcBorders>
                  <w:noWrap w:val="0"/>
                  <w:vAlign w:val="center"/>
                </w:tcPr>
                <w:p w14:paraId="07C66DA3">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4</w:t>
                  </w:r>
                </w:p>
              </w:tc>
              <w:tc>
                <w:tcPr>
                  <w:tcW w:w="455" w:type="pct"/>
                  <w:vMerge w:val="restart"/>
                  <w:tcBorders>
                    <w:tl2br w:val="nil"/>
                    <w:tr2bl w:val="nil"/>
                  </w:tcBorders>
                  <w:noWrap w:val="0"/>
                  <w:vAlign w:val="center"/>
                </w:tcPr>
                <w:p w14:paraId="12D35FD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Cs/>
                      <w:color w:val="000000" w:themeColor="text1"/>
                      <w:kern w:val="2"/>
                      <w:sz w:val="21"/>
                      <w:szCs w:val="21"/>
                      <w:highlight w:val="none"/>
                      <w:lang w:val="en-US" w:eastAsia="zh-CN" w:bidi="ar-SA"/>
                      <w14:textFill>
                        <w14:solidFill>
                          <w14:schemeClr w14:val="tx1"/>
                        </w14:solidFill>
                      </w14:textFill>
                    </w:rPr>
                    <w:t>前处理车间西南</w:t>
                  </w:r>
                </w:p>
              </w:tc>
              <w:tc>
                <w:tcPr>
                  <w:tcW w:w="402" w:type="pct"/>
                  <w:vMerge w:val="restart"/>
                  <w:tcBorders>
                    <w:tl2br w:val="nil"/>
                    <w:tr2bl w:val="nil"/>
                  </w:tcBorders>
                  <w:noWrap w:val="0"/>
                  <w:vAlign w:val="center"/>
                </w:tcPr>
                <w:p w14:paraId="08F3BE1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lang w:val="en-US" w:eastAsia="zh-CN" w:bidi="ar"/>
                      <w14:textFill>
                        <w14:solidFill>
                          <w14:schemeClr w14:val="tx1"/>
                        </w14:solidFill>
                      </w14:textFill>
                    </w:rPr>
                    <w:t>80.29</w:t>
                  </w:r>
                  <w: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t>m</w:t>
                  </w:r>
                  <w:r>
                    <w:rPr>
                      <w:rFonts w:hint="default" w:ascii="Times New Roman" w:hAnsi="Times New Roman" w:eastAsia="宋体" w:cs="Times New Roman"/>
                      <w:bCs/>
                      <w:color w:val="000000" w:themeColor="text1"/>
                      <w:sz w:val="21"/>
                      <w:szCs w:val="21"/>
                      <w:highlight w:val="none"/>
                      <w:vertAlign w:val="superscript"/>
                      <w:lang w:bidi="ar"/>
                      <w14:textFill>
                        <w14:solidFill>
                          <w14:schemeClr w14:val="tx1"/>
                        </w14:solidFill>
                      </w14:textFill>
                    </w:rPr>
                    <w:t>2</w:t>
                  </w:r>
                </w:p>
              </w:tc>
              <w:tc>
                <w:tcPr>
                  <w:tcW w:w="698" w:type="pct"/>
                  <w:tcBorders>
                    <w:tl2br w:val="nil"/>
                    <w:tr2bl w:val="nil"/>
                  </w:tcBorders>
                  <w:noWrap w:val="0"/>
                  <w:vAlign w:val="center"/>
                </w:tcPr>
                <w:p w14:paraId="0EC9501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t>桶装</w:t>
                  </w:r>
                </w:p>
              </w:tc>
              <w:tc>
                <w:tcPr>
                  <w:tcW w:w="354" w:type="pct"/>
                  <w:vMerge w:val="restart"/>
                  <w:tcBorders>
                    <w:tl2br w:val="nil"/>
                    <w:tr2bl w:val="nil"/>
                  </w:tcBorders>
                  <w:noWrap w:val="0"/>
                  <w:vAlign w:val="center"/>
                </w:tcPr>
                <w:p w14:paraId="494A657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1次/半</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年</w:t>
                  </w:r>
                </w:p>
              </w:tc>
            </w:tr>
            <w:tr w14:paraId="2DBB92B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39" w:hRule="atLeast"/>
                <w:jc w:val="center"/>
              </w:trPr>
              <w:tc>
                <w:tcPr>
                  <w:tcW w:w="267" w:type="pct"/>
                  <w:tcBorders>
                    <w:tl2br w:val="nil"/>
                    <w:tr2bl w:val="nil"/>
                  </w:tcBorders>
                  <w:noWrap w:val="0"/>
                  <w:vAlign w:val="center"/>
                </w:tcPr>
                <w:p w14:paraId="6683E24D">
                  <w:pPr>
                    <w:keepNext w:val="0"/>
                    <w:keepLines w:val="0"/>
                    <w:pageBreakBefore w:val="0"/>
                    <w:widowControl w:val="0"/>
                    <w:numPr>
                      <w:ilvl w:val="0"/>
                      <w:numId w:val="32"/>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90" w:type="pct"/>
                  <w:vMerge w:val="continue"/>
                  <w:tcBorders>
                    <w:tl2br w:val="nil"/>
                    <w:tr2bl w:val="nil"/>
                  </w:tcBorders>
                  <w:noWrap w:val="0"/>
                  <w:vAlign w:val="center"/>
                </w:tcPr>
                <w:p w14:paraId="3B736C2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kern w:val="0"/>
                      <w:sz w:val="21"/>
                      <w:szCs w:val="21"/>
                      <w:highlight w:val="none"/>
                      <w:lang w:bidi="ar"/>
                      <w14:textFill>
                        <w14:solidFill>
                          <w14:schemeClr w14:val="tx1"/>
                        </w14:solidFill>
                      </w14:textFill>
                    </w:rPr>
                  </w:pPr>
                </w:p>
              </w:tc>
              <w:tc>
                <w:tcPr>
                  <w:tcW w:w="704" w:type="pct"/>
                  <w:tcBorders>
                    <w:tl2br w:val="nil"/>
                    <w:tr2bl w:val="nil"/>
                  </w:tcBorders>
                  <w:noWrap w:val="0"/>
                  <w:vAlign w:val="center"/>
                </w:tcPr>
                <w:p w14:paraId="6D72E060">
                  <w:pPr>
                    <w:keepNext w:val="0"/>
                    <w:keepLines w:val="0"/>
                    <w:pageBreakBefore w:val="0"/>
                    <w:suppressLineNumbers w:val="0"/>
                    <w:kinsoku/>
                    <w:wordWrap/>
                    <w:overflowPunct/>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b w:val="0"/>
                      <w:bCs w:val="0"/>
                      <w:color w:val="000000" w:themeColor="text1"/>
                      <w:sz w:val="21"/>
                      <w:szCs w:val="21"/>
                      <w:highlight w:val="none"/>
                      <w:lang w:eastAsia="zh-CN"/>
                      <w14:textFill>
                        <w14:solidFill>
                          <w14:schemeClr w14:val="tx1"/>
                        </w14:solidFill>
                      </w14:textFill>
                    </w:rPr>
                    <w:t>废化学试剂瓶</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 xml:space="preserve"> </w:t>
                  </w:r>
                </w:p>
              </w:tc>
              <w:tc>
                <w:tcPr>
                  <w:tcW w:w="477" w:type="pct"/>
                  <w:tcBorders>
                    <w:tl2br w:val="nil"/>
                    <w:tr2bl w:val="nil"/>
                  </w:tcBorders>
                  <w:noWrap w:val="0"/>
                  <w:vAlign w:val="center"/>
                </w:tcPr>
                <w:p w14:paraId="546045E7">
                  <w:pPr>
                    <w:keepNext w:val="0"/>
                    <w:keepLines w:val="0"/>
                    <w:suppressLineNumbers w:val="0"/>
                    <w:tabs>
                      <w:tab w:val="left" w:pos="6090"/>
                    </w:tabs>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HW49</w:t>
                  </w:r>
                </w:p>
              </w:tc>
              <w:tc>
                <w:tcPr>
                  <w:tcW w:w="690" w:type="pct"/>
                  <w:tcBorders>
                    <w:tl2br w:val="nil"/>
                    <w:tr2bl w:val="nil"/>
                  </w:tcBorders>
                  <w:noWrap w:val="0"/>
                  <w:vAlign w:val="center"/>
                </w:tcPr>
                <w:p w14:paraId="0ECFBC8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eastAsia="宋体"/>
                      <w:bCs/>
                      <w:color w:val="000000" w:themeColor="text1"/>
                      <w:spacing w:val="-10"/>
                      <w:sz w:val="21"/>
                      <w:szCs w:val="21"/>
                      <w:highlight w:val="none"/>
                      <w:lang w:val="en-US" w:eastAsia="zh-CN"/>
                      <w14:textFill>
                        <w14:solidFill>
                          <w14:schemeClr w14:val="tx1"/>
                        </w14:solidFill>
                      </w14:textFill>
                    </w:rPr>
                    <w:t>900-04</w:t>
                  </w:r>
                  <w:r>
                    <w:rPr>
                      <w:rFonts w:hint="eastAsia"/>
                      <w:bCs/>
                      <w:color w:val="000000" w:themeColor="text1"/>
                      <w:spacing w:val="-10"/>
                      <w:sz w:val="21"/>
                      <w:szCs w:val="21"/>
                      <w:highlight w:val="none"/>
                      <w:lang w:val="en-US" w:eastAsia="zh-CN"/>
                      <w14:textFill>
                        <w14:solidFill>
                          <w14:schemeClr w14:val="tx1"/>
                        </w14:solidFill>
                      </w14:textFill>
                    </w:rPr>
                    <w:t>1</w:t>
                  </w:r>
                  <w:r>
                    <w:rPr>
                      <w:rFonts w:hint="default" w:eastAsia="宋体"/>
                      <w:bCs/>
                      <w:color w:val="000000" w:themeColor="text1"/>
                      <w:spacing w:val="-10"/>
                      <w:sz w:val="21"/>
                      <w:szCs w:val="21"/>
                      <w:highlight w:val="none"/>
                      <w:lang w:val="en-US" w:eastAsia="zh-CN"/>
                      <w14:textFill>
                        <w14:solidFill>
                          <w14:schemeClr w14:val="tx1"/>
                        </w14:solidFill>
                      </w14:textFill>
                    </w:rPr>
                    <w:t>-49</w:t>
                  </w:r>
                </w:p>
              </w:tc>
              <w:tc>
                <w:tcPr>
                  <w:tcW w:w="458" w:type="pct"/>
                  <w:tcBorders>
                    <w:tl2br w:val="nil"/>
                    <w:tr2bl w:val="nil"/>
                  </w:tcBorders>
                  <w:noWrap w:val="0"/>
                  <w:vAlign w:val="center"/>
                </w:tcPr>
                <w:p w14:paraId="6529F4FF">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0.1</w:t>
                  </w:r>
                </w:p>
              </w:tc>
              <w:tc>
                <w:tcPr>
                  <w:tcW w:w="455" w:type="pct"/>
                  <w:vMerge w:val="continue"/>
                  <w:tcBorders>
                    <w:tl2br w:val="nil"/>
                    <w:tr2bl w:val="nil"/>
                  </w:tcBorders>
                  <w:noWrap w:val="0"/>
                  <w:vAlign w:val="center"/>
                </w:tcPr>
                <w:p w14:paraId="41813FE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pPr>
                </w:p>
              </w:tc>
              <w:tc>
                <w:tcPr>
                  <w:tcW w:w="402" w:type="pct"/>
                  <w:vMerge w:val="continue"/>
                  <w:tcBorders>
                    <w:tl2br w:val="nil"/>
                    <w:tr2bl w:val="nil"/>
                  </w:tcBorders>
                  <w:noWrap w:val="0"/>
                  <w:vAlign w:val="center"/>
                </w:tcPr>
                <w:p w14:paraId="53043BC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pPr>
                </w:p>
              </w:tc>
              <w:tc>
                <w:tcPr>
                  <w:tcW w:w="698" w:type="pct"/>
                  <w:tcBorders>
                    <w:tl2br w:val="nil"/>
                    <w:tr2bl w:val="nil"/>
                  </w:tcBorders>
                  <w:noWrap w:val="0"/>
                  <w:vAlign w:val="center"/>
                </w:tcPr>
                <w:p w14:paraId="2BC0DBC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t>桶装</w:t>
                  </w:r>
                </w:p>
              </w:tc>
              <w:tc>
                <w:tcPr>
                  <w:tcW w:w="354" w:type="pct"/>
                  <w:vMerge w:val="continue"/>
                  <w:tcBorders>
                    <w:tl2br w:val="nil"/>
                    <w:tr2bl w:val="nil"/>
                  </w:tcBorders>
                  <w:noWrap w:val="0"/>
                  <w:vAlign w:val="center"/>
                </w:tcPr>
                <w:p w14:paraId="06A4D61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pPr>
                </w:p>
              </w:tc>
            </w:tr>
            <w:tr w14:paraId="4345C2E2">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39" w:hRule="atLeast"/>
                <w:jc w:val="center"/>
              </w:trPr>
              <w:tc>
                <w:tcPr>
                  <w:tcW w:w="267" w:type="pct"/>
                  <w:tcBorders>
                    <w:tl2br w:val="nil"/>
                    <w:tr2bl w:val="nil"/>
                  </w:tcBorders>
                  <w:noWrap w:val="0"/>
                  <w:vAlign w:val="center"/>
                </w:tcPr>
                <w:p w14:paraId="02DAEE02">
                  <w:pPr>
                    <w:keepNext w:val="0"/>
                    <w:keepLines w:val="0"/>
                    <w:pageBreakBefore w:val="0"/>
                    <w:widowControl w:val="0"/>
                    <w:numPr>
                      <w:ilvl w:val="0"/>
                      <w:numId w:val="32"/>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90" w:type="pct"/>
                  <w:vMerge w:val="continue"/>
                  <w:tcBorders>
                    <w:tl2br w:val="nil"/>
                    <w:tr2bl w:val="nil"/>
                  </w:tcBorders>
                  <w:noWrap w:val="0"/>
                  <w:vAlign w:val="center"/>
                </w:tcPr>
                <w:p w14:paraId="097F2BE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kern w:val="0"/>
                      <w:sz w:val="21"/>
                      <w:szCs w:val="21"/>
                      <w:highlight w:val="none"/>
                      <w:lang w:bidi="ar"/>
                      <w14:textFill>
                        <w14:solidFill>
                          <w14:schemeClr w14:val="tx1"/>
                        </w14:solidFill>
                      </w14:textFill>
                    </w:rPr>
                  </w:pPr>
                </w:p>
              </w:tc>
              <w:tc>
                <w:tcPr>
                  <w:tcW w:w="1141" w:type="dxa"/>
                  <w:tcBorders>
                    <w:tl2br w:val="nil"/>
                    <w:tr2bl w:val="nil"/>
                  </w:tcBorders>
                  <w:noWrap w:val="0"/>
                  <w:vAlign w:val="center"/>
                </w:tcPr>
                <w:p w14:paraId="439683EA">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rPr>
                      <w:rFonts w:hint="eastAsia" w:cs="Times New Roman"/>
                      <w:b w:val="0"/>
                      <w:bCs w:val="0"/>
                      <w:color w:val="000000" w:themeColor="text1"/>
                      <w:sz w:val="21"/>
                      <w:szCs w:val="21"/>
                      <w:highlight w:val="none"/>
                      <w:lang w:eastAsia="zh-CN"/>
                      <w14:textFill>
                        <w14:solidFill>
                          <w14:schemeClr w14:val="tx1"/>
                        </w14:solidFill>
                      </w14:textFill>
                    </w:rPr>
                  </w:pPr>
                  <w:r>
                    <w:rPr>
                      <w:rFonts w:hint="eastAsia" w:cs="Times New Roman"/>
                      <w:b w:val="0"/>
                      <w:bCs w:val="0"/>
                      <w:color w:val="000000" w:themeColor="text1"/>
                      <w:sz w:val="21"/>
                      <w:szCs w:val="21"/>
                      <w:highlight w:val="none"/>
                      <w:lang w:eastAsia="zh-CN"/>
                      <w14:textFill>
                        <w14:solidFill>
                          <w14:schemeClr w14:val="tx1"/>
                        </w14:solidFill>
                      </w14:textFill>
                    </w:rPr>
                    <w:t>废弃薄层板</w:t>
                  </w:r>
                </w:p>
              </w:tc>
              <w:tc>
                <w:tcPr>
                  <w:tcW w:w="773" w:type="dxa"/>
                  <w:tcBorders>
                    <w:tl2br w:val="nil"/>
                    <w:tr2bl w:val="nil"/>
                  </w:tcBorders>
                  <w:noWrap w:val="0"/>
                  <w:vAlign w:val="center"/>
                </w:tcPr>
                <w:p w14:paraId="3FB6D003">
                  <w:pPr>
                    <w:keepNext w:val="0"/>
                    <w:keepLines w:val="0"/>
                    <w:suppressLineNumbers w:val="0"/>
                    <w:tabs>
                      <w:tab w:val="left" w:pos="6090"/>
                    </w:tabs>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HW49</w:t>
                  </w:r>
                </w:p>
              </w:tc>
              <w:tc>
                <w:tcPr>
                  <w:tcW w:w="1119" w:type="dxa"/>
                  <w:tcBorders>
                    <w:tl2br w:val="nil"/>
                    <w:tr2bl w:val="nil"/>
                  </w:tcBorders>
                  <w:noWrap w:val="0"/>
                  <w:vAlign w:val="center"/>
                </w:tcPr>
                <w:p w14:paraId="6B874FCD">
                  <w:pPr>
                    <w:keepNext w:val="0"/>
                    <w:keepLines w:val="0"/>
                    <w:suppressLineNumbers w:val="0"/>
                    <w:spacing w:before="0" w:beforeAutospacing="0" w:after="0" w:afterAutospacing="0"/>
                    <w:ind w:left="0" w:leftChars="0" w:right="0" w:rightChars="0"/>
                    <w:jc w:val="center"/>
                    <w:rPr>
                      <w:rFonts w:hint="default" w:eastAsia="宋体"/>
                      <w:bCs/>
                      <w:color w:val="000000" w:themeColor="text1"/>
                      <w:spacing w:val="-10"/>
                      <w:sz w:val="21"/>
                      <w:szCs w:val="21"/>
                      <w:highlight w:val="none"/>
                      <w:lang w:val="en-US" w:eastAsia="zh-CN"/>
                      <w14:textFill>
                        <w14:solidFill>
                          <w14:schemeClr w14:val="tx1"/>
                        </w14:solidFill>
                      </w14:textFill>
                    </w:rPr>
                  </w:pPr>
                  <w:r>
                    <w:rPr>
                      <w:rFonts w:hint="default" w:eastAsia="宋体"/>
                      <w:bCs/>
                      <w:color w:val="000000" w:themeColor="text1"/>
                      <w:spacing w:val="-10"/>
                      <w:sz w:val="21"/>
                      <w:szCs w:val="21"/>
                      <w:highlight w:val="none"/>
                      <w:lang w:val="en-US" w:eastAsia="zh-CN"/>
                      <w14:textFill>
                        <w14:solidFill>
                          <w14:schemeClr w14:val="tx1"/>
                        </w14:solidFill>
                      </w14:textFill>
                    </w:rPr>
                    <w:t>900-04</w:t>
                  </w:r>
                  <w:r>
                    <w:rPr>
                      <w:rFonts w:hint="eastAsia"/>
                      <w:bCs/>
                      <w:color w:val="000000" w:themeColor="text1"/>
                      <w:spacing w:val="-10"/>
                      <w:sz w:val="21"/>
                      <w:szCs w:val="21"/>
                      <w:highlight w:val="none"/>
                      <w:lang w:val="en-US" w:eastAsia="zh-CN"/>
                      <w14:textFill>
                        <w14:solidFill>
                          <w14:schemeClr w14:val="tx1"/>
                        </w14:solidFill>
                      </w14:textFill>
                    </w:rPr>
                    <w:t>1</w:t>
                  </w:r>
                  <w:r>
                    <w:rPr>
                      <w:rFonts w:hint="default" w:eastAsia="宋体"/>
                      <w:bCs/>
                      <w:color w:val="000000" w:themeColor="text1"/>
                      <w:spacing w:val="-10"/>
                      <w:sz w:val="21"/>
                      <w:szCs w:val="21"/>
                      <w:highlight w:val="none"/>
                      <w:lang w:val="en-US" w:eastAsia="zh-CN"/>
                      <w14:textFill>
                        <w14:solidFill>
                          <w14:schemeClr w14:val="tx1"/>
                        </w14:solidFill>
                      </w14:textFill>
                    </w:rPr>
                    <w:t>-49</w:t>
                  </w:r>
                </w:p>
              </w:tc>
              <w:tc>
                <w:tcPr>
                  <w:tcW w:w="743" w:type="dxa"/>
                  <w:tcBorders>
                    <w:tl2br w:val="nil"/>
                    <w:tr2bl w:val="nil"/>
                  </w:tcBorders>
                  <w:noWrap w:val="0"/>
                  <w:vAlign w:val="center"/>
                </w:tcPr>
                <w:p w14:paraId="5F4DFA78">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0.145</w:t>
                  </w:r>
                </w:p>
              </w:tc>
              <w:tc>
                <w:tcPr>
                  <w:tcW w:w="455" w:type="pct"/>
                  <w:vMerge w:val="continue"/>
                  <w:tcBorders>
                    <w:tl2br w:val="nil"/>
                    <w:tr2bl w:val="nil"/>
                  </w:tcBorders>
                  <w:noWrap w:val="0"/>
                  <w:vAlign w:val="center"/>
                </w:tcPr>
                <w:p w14:paraId="23A8052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pPr>
                </w:p>
              </w:tc>
              <w:tc>
                <w:tcPr>
                  <w:tcW w:w="402" w:type="pct"/>
                  <w:vMerge w:val="continue"/>
                  <w:tcBorders>
                    <w:tl2br w:val="nil"/>
                    <w:tr2bl w:val="nil"/>
                  </w:tcBorders>
                  <w:noWrap w:val="0"/>
                  <w:vAlign w:val="center"/>
                </w:tcPr>
                <w:p w14:paraId="303A2A4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pPr>
                </w:p>
              </w:tc>
              <w:tc>
                <w:tcPr>
                  <w:tcW w:w="698" w:type="pct"/>
                  <w:tcBorders>
                    <w:tl2br w:val="nil"/>
                    <w:tr2bl w:val="nil"/>
                  </w:tcBorders>
                  <w:noWrap w:val="0"/>
                  <w:vAlign w:val="center"/>
                </w:tcPr>
                <w:p w14:paraId="09E4234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t>桶装</w:t>
                  </w:r>
                </w:p>
              </w:tc>
              <w:tc>
                <w:tcPr>
                  <w:tcW w:w="354" w:type="pct"/>
                  <w:vMerge w:val="continue"/>
                  <w:tcBorders>
                    <w:tl2br w:val="nil"/>
                    <w:tr2bl w:val="nil"/>
                  </w:tcBorders>
                  <w:noWrap w:val="0"/>
                  <w:vAlign w:val="center"/>
                </w:tcPr>
                <w:p w14:paraId="6EFFBC6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pPr>
                </w:p>
              </w:tc>
            </w:tr>
            <w:tr w14:paraId="316B35C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39" w:hRule="atLeast"/>
                <w:jc w:val="center"/>
              </w:trPr>
              <w:tc>
                <w:tcPr>
                  <w:tcW w:w="267" w:type="pct"/>
                  <w:tcBorders>
                    <w:tl2br w:val="nil"/>
                    <w:tr2bl w:val="nil"/>
                  </w:tcBorders>
                  <w:noWrap w:val="0"/>
                  <w:vAlign w:val="center"/>
                </w:tcPr>
                <w:p w14:paraId="1AE65842">
                  <w:pPr>
                    <w:keepNext w:val="0"/>
                    <w:keepLines w:val="0"/>
                    <w:pageBreakBefore w:val="0"/>
                    <w:widowControl w:val="0"/>
                    <w:numPr>
                      <w:ilvl w:val="0"/>
                      <w:numId w:val="32"/>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90" w:type="pct"/>
                  <w:vMerge w:val="continue"/>
                  <w:tcBorders>
                    <w:tl2br w:val="nil"/>
                    <w:tr2bl w:val="nil"/>
                  </w:tcBorders>
                  <w:noWrap w:val="0"/>
                  <w:vAlign w:val="center"/>
                </w:tcPr>
                <w:p w14:paraId="594573A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kern w:val="0"/>
                      <w:sz w:val="21"/>
                      <w:szCs w:val="21"/>
                      <w:highlight w:val="none"/>
                      <w:lang w:bidi="ar"/>
                      <w14:textFill>
                        <w14:solidFill>
                          <w14:schemeClr w14:val="tx1"/>
                        </w14:solidFill>
                      </w14:textFill>
                    </w:rPr>
                  </w:pPr>
                </w:p>
              </w:tc>
              <w:tc>
                <w:tcPr>
                  <w:tcW w:w="1141" w:type="dxa"/>
                  <w:tcBorders>
                    <w:tl2br w:val="nil"/>
                    <w:tr2bl w:val="nil"/>
                  </w:tcBorders>
                  <w:noWrap w:val="0"/>
                  <w:vAlign w:val="center"/>
                </w:tcPr>
                <w:p w14:paraId="17FFA10D">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rPr>
                      <w:rFonts w:hint="eastAsia" w:cs="Times New Roman"/>
                      <w:b w:val="0"/>
                      <w:bCs w:val="0"/>
                      <w:color w:val="000000" w:themeColor="text1"/>
                      <w:sz w:val="21"/>
                      <w:szCs w:val="21"/>
                      <w:highlight w:val="none"/>
                      <w:lang w:eastAsia="zh-CN"/>
                      <w14:textFill>
                        <w14:solidFill>
                          <w14:schemeClr w14:val="tx1"/>
                        </w14:solidFill>
                      </w14:textFill>
                    </w:rPr>
                  </w:pPr>
                  <w:r>
                    <w:rPr>
                      <w:rFonts w:hint="eastAsia" w:cs="Times New Roman"/>
                      <w:b w:val="0"/>
                      <w:bCs w:val="0"/>
                      <w:color w:val="000000" w:themeColor="text1"/>
                      <w:sz w:val="21"/>
                      <w:szCs w:val="21"/>
                      <w:highlight w:val="none"/>
                      <w:lang w:eastAsia="zh-CN"/>
                      <w14:textFill>
                        <w14:solidFill>
                          <w14:schemeClr w14:val="tx1"/>
                        </w14:solidFill>
                      </w14:textFill>
                    </w:rPr>
                    <w:t>废试药</w:t>
                  </w:r>
                </w:p>
              </w:tc>
              <w:tc>
                <w:tcPr>
                  <w:tcW w:w="773" w:type="dxa"/>
                  <w:tcBorders>
                    <w:tl2br w:val="nil"/>
                    <w:tr2bl w:val="nil"/>
                  </w:tcBorders>
                  <w:noWrap w:val="0"/>
                  <w:vAlign w:val="center"/>
                </w:tcPr>
                <w:p w14:paraId="66A0FF10">
                  <w:pPr>
                    <w:keepNext w:val="0"/>
                    <w:keepLines w:val="0"/>
                    <w:suppressLineNumbers w:val="0"/>
                    <w:tabs>
                      <w:tab w:val="left" w:pos="6090"/>
                    </w:tabs>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HW49</w:t>
                  </w:r>
                </w:p>
              </w:tc>
              <w:tc>
                <w:tcPr>
                  <w:tcW w:w="1119" w:type="dxa"/>
                  <w:tcBorders>
                    <w:tl2br w:val="nil"/>
                    <w:tr2bl w:val="nil"/>
                  </w:tcBorders>
                  <w:noWrap w:val="0"/>
                  <w:vAlign w:val="center"/>
                </w:tcPr>
                <w:p w14:paraId="05F00A86">
                  <w:pPr>
                    <w:keepNext w:val="0"/>
                    <w:keepLines w:val="0"/>
                    <w:suppressLineNumbers w:val="0"/>
                    <w:spacing w:before="0" w:beforeAutospacing="0" w:after="0" w:afterAutospacing="0"/>
                    <w:ind w:left="0" w:leftChars="0" w:right="0" w:rightChars="0"/>
                    <w:jc w:val="center"/>
                    <w:rPr>
                      <w:rFonts w:hint="default" w:eastAsia="宋体"/>
                      <w:bCs/>
                      <w:color w:val="000000" w:themeColor="text1"/>
                      <w:spacing w:val="-10"/>
                      <w:sz w:val="21"/>
                      <w:szCs w:val="21"/>
                      <w:highlight w:val="none"/>
                      <w:lang w:val="en-US" w:eastAsia="zh-CN"/>
                      <w14:textFill>
                        <w14:solidFill>
                          <w14:schemeClr w14:val="tx1"/>
                        </w14:solidFill>
                      </w14:textFill>
                    </w:rPr>
                  </w:pPr>
                  <w:r>
                    <w:rPr>
                      <w:rFonts w:hint="default" w:eastAsia="宋体"/>
                      <w:bCs/>
                      <w:color w:val="000000" w:themeColor="text1"/>
                      <w:spacing w:val="-10"/>
                      <w:sz w:val="21"/>
                      <w:szCs w:val="21"/>
                      <w:highlight w:val="none"/>
                      <w:lang w:val="en-US" w:eastAsia="zh-CN"/>
                      <w14:textFill>
                        <w14:solidFill>
                          <w14:schemeClr w14:val="tx1"/>
                        </w14:solidFill>
                      </w14:textFill>
                    </w:rPr>
                    <w:t>900-047-49</w:t>
                  </w:r>
                </w:p>
              </w:tc>
              <w:tc>
                <w:tcPr>
                  <w:tcW w:w="743" w:type="dxa"/>
                  <w:tcBorders>
                    <w:tl2br w:val="nil"/>
                    <w:tr2bl w:val="nil"/>
                  </w:tcBorders>
                  <w:noWrap w:val="0"/>
                  <w:vAlign w:val="center"/>
                </w:tcPr>
                <w:p w14:paraId="482E2C20">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0.01</w:t>
                  </w:r>
                </w:p>
              </w:tc>
              <w:tc>
                <w:tcPr>
                  <w:tcW w:w="455" w:type="pct"/>
                  <w:vMerge w:val="continue"/>
                  <w:tcBorders>
                    <w:tl2br w:val="nil"/>
                    <w:tr2bl w:val="nil"/>
                  </w:tcBorders>
                  <w:noWrap w:val="0"/>
                  <w:vAlign w:val="center"/>
                </w:tcPr>
                <w:p w14:paraId="706845B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pPr>
                </w:p>
              </w:tc>
              <w:tc>
                <w:tcPr>
                  <w:tcW w:w="402" w:type="pct"/>
                  <w:vMerge w:val="continue"/>
                  <w:tcBorders>
                    <w:tl2br w:val="nil"/>
                    <w:tr2bl w:val="nil"/>
                  </w:tcBorders>
                  <w:noWrap w:val="0"/>
                  <w:vAlign w:val="center"/>
                </w:tcPr>
                <w:p w14:paraId="5FE442C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pPr>
                </w:p>
              </w:tc>
              <w:tc>
                <w:tcPr>
                  <w:tcW w:w="698" w:type="pct"/>
                  <w:tcBorders>
                    <w:tl2br w:val="nil"/>
                    <w:tr2bl w:val="nil"/>
                  </w:tcBorders>
                  <w:noWrap w:val="0"/>
                  <w:vAlign w:val="center"/>
                </w:tcPr>
                <w:p w14:paraId="2A0C489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t>桶装</w:t>
                  </w:r>
                </w:p>
              </w:tc>
              <w:tc>
                <w:tcPr>
                  <w:tcW w:w="354" w:type="pct"/>
                  <w:vMerge w:val="continue"/>
                  <w:tcBorders>
                    <w:tl2br w:val="nil"/>
                    <w:tr2bl w:val="nil"/>
                  </w:tcBorders>
                  <w:noWrap w:val="0"/>
                  <w:vAlign w:val="center"/>
                </w:tcPr>
                <w:p w14:paraId="311113E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pPr>
                </w:p>
              </w:tc>
            </w:tr>
            <w:tr w14:paraId="5875BA9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67" w:type="pct"/>
                  <w:tcBorders>
                    <w:tl2br w:val="nil"/>
                    <w:tr2bl w:val="nil"/>
                  </w:tcBorders>
                  <w:noWrap w:val="0"/>
                  <w:vAlign w:val="center"/>
                </w:tcPr>
                <w:p w14:paraId="36807F13">
                  <w:pPr>
                    <w:keepNext w:val="0"/>
                    <w:keepLines w:val="0"/>
                    <w:pageBreakBefore w:val="0"/>
                    <w:widowControl w:val="0"/>
                    <w:numPr>
                      <w:ilvl w:val="0"/>
                      <w:numId w:val="32"/>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90" w:type="pct"/>
                  <w:vMerge w:val="continue"/>
                  <w:tcBorders>
                    <w:tl2br w:val="nil"/>
                    <w:tr2bl w:val="nil"/>
                  </w:tcBorders>
                  <w:noWrap w:val="0"/>
                  <w:vAlign w:val="center"/>
                </w:tcPr>
                <w:p w14:paraId="377AC83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kern w:val="0"/>
                      <w:sz w:val="21"/>
                      <w:szCs w:val="21"/>
                      <w:highlight w:val="none"/>
                      <w:lang w:bidi="ar"/>
                      <w14:textFill>
                        <w14:solidFill>
                          <w14:schemeClr w14:val="tx1"/>
                        </w14:solidFill>
                      </w14:textFill>
                    </w:rPr>
                  </w:pPr>
                </w:p>
              </w:tc>
              <w:tc>
                <w:tcPr>
                  <w:tcW w:w="704" w:type="pct"/>
                  <w:tcBorders>
                    <w:tl2br w:val="nil"/>
                    <w:tr2bl w:val="nil"/>
                  </w:tcBorders>
                  <w:noWrap w:val="0"/>
                  <w:vAlign w:val="center"/>
                </w:tcPr>
                <w:p w14:paraId="51117828">
                  <w:pPr>
                    <w:keepNext w:val="0"/>
                    <w:keepLines w:val="0"/>
                    <w:suppressLineNumbers w:val="0"/>
                    <w:tabs>
                      <w:tab w:val="left" w:pos="6090"/>
                    </w:tabs>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废活性炭</w:t>
                  </w:r>
                </w:p>
              </w:tc>
              <w:tc>
                <w:tcPr>
                  <w:tcW w:w="477" w:type="pct"/>
                  <w:tcBorders>
                    <w:tl2br w:val="nil"/>
                    <w:tr2bl w:val="nil"/>
                  </w:tcBorders>
                  <w:noWrap w:val="0"/>
                  <w:vAlign w:val="center"/>
                </w:tcPr>
                <w:p w14:paraId="568E62B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cs="Times New Roman"/>
                      <w:bCs/>
                      <w:color w:val="000000" w:themeColor="text1"/>
                      <w:spacing w:val="-10"/>
                      <w:sz w:val="21"/>
                      <w:szCs w:val="21"/>
                      <w:highlight w:val="none"/>
                      <w14:textFill>
                        <w14:solidFill>
                          <w14:schemeClr w14:val="tx1"/>
                        </w14:solidFill>
                      </w14:textFill>
                    </w:rPr>
                    <w:t>HW49</w:t>
                  </w:r>
                </w:p>
              </w:tc>
              <w:tc>
                <w:tcPr>
                  <w:tcW w:w="690" w:type="pct"/>
                  <w:tcBorders>
                    <w:tl2br w:val="nil"/>
                    <w:tr2bl w:val="nil"/>
                  </w:tcBorders>
                  <w:noWrap w:val="0"/>
                  <w:vAlign w:val="center"/>
                </w:tcPr>
                <w:p w14:paraId="53338EA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pacing w:val="-10"/>
                      <w:sz w:val="21"/>
                      <w:szCs w:val="21"/>
                      <w:highlight w:val="none"/>
                      <w14:textFill>
                        <w14:solidFill>
                          <w14:schemeClr w14:val="tx1"/>
                        </w14:solidFill>
                      </w14:textFill>
                    </w:rPr>
                    <w:t>900-0</w:t>
                  </w:r>
                  <w:r>
                    <w:rPr>
                      <w:rFonts w:hint="default" w:ascii="Times New Roman" w:hAnsi="Times New Roman" w:cs="Times New Roman"/>
                      <w:bCs/>
                      <w:color w:val="000000" w:themeColor="text1"/>
                      <w:spacing w:val="-10"/>
                      <w:sz w:val="21"/>
                      <w:szCs w:val="21"/>
                      <w:highlight w:val="none"/>
                      <w:lang w:val="en-US" w:eastAsia="zh-CN"/>
                      <w14:textFill>
                        <w14:solidFill>
                          <w14:schemeClr w14:val="tx1"/>
                        </w14:solidFill>
                      </w14:textFill>
                    </w:rPr>
                    <w:t>39</w:t>
                  </w:r>
                  <w:r>
                    <w:rPr>
                      <w:rFonts w:hint="default" w:ascii="Times New Roman" w:hAnsi="Times New Roman" w:cs="Times New Roman"/>
                      <w:bCs/>
                      <w:color w:val="000000" w:themeColor="text1"/>
                      <w:spacing w:val="-10"/>
                      <w:sz w:val="21"/>
                      <w:szCs w:val="21"/>
                      <w:highlight w:val="none"/>
                      <w14:textFill>
                        <w14:solidFill>
                          <w14:schemeClr w14:val="tx1"/>
                        </w14:solidFill>
                      </w14:textFill>
                    </w:rPr>
                    <w:t>-49</w:t>
                  </w:r>
                </w:p>
              </w:tc>
              <w:tc>
                <w:tcPr>
                  <w:tcW w:w="458" w:type="pct"/>
                  <w:tcBorders>
                    <w:tl2br w:val="nil"/>
                    <w:tr2bl w:val="nil"/>
                  </w:tcBorders>
                  <w:noWrap w:val="0"/>
                  <w:vAlign w:val="center"/>
                </w:tcPr>
                <w:p w14:paraId="6BE9F5B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1.66</w:t>
                  </w:r>
                </w:p>
              </w:tc>
              <w:tc>
                <w:tcPr>
                  <w:tcW w:w="455" w:type="pct"/>
                  <w:vMerge w:val="continue"/>
                  <w:tcBorders>
                    <w:tl2br w:val="nil"/>
                    <w:tr2bl w:val="nil"/>
                  </w:tcBorders>
                  <w:noWrap w:val="0"/>
                  <w:vAlign w:val="center"/>
                </w:tcPr>
                <w:p w14:paraId="22F787B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pPr>
                </w:p>
              </w:tc>
              <w:tc>
                <w:tcPr>
                  <w:tcW w:w="402" w:type="pct"/>
                  <w:vMerge w:val="continue"/>
                  <w:tcBorders>
                    <w:tl2br w:val="nil"/>
                    <w:tr2bl w:val="nil"/>
                  </w:tcBorders>
                  <w:noWrap w:val="0"/>
                  <w:vAlign w:val="center"/>
                </w:tcPr>
                <w:p w14:paraId="54CFE54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pPr>
                </w:p>
              </w:tc>
              <w:tc>
                <w:tcPr>
                  <w:tcW w:w="698" w:type="pct"/>
                  <w:tcBorders>
                    <w:tl2br w:val="nil"/>
                    <w:tr2bl w:val="nil"/>
                  </w:tcBorders>
                  <w:noWrap w:val="0"/>
                  <w:vAlign w:val="center"/>
                </w:tcPr>
                <w:p w14:paraId="7948960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cs="Times New Roman"/>
                      <w:b w:val="0"/>
                      <w:bCs w:val="0"/>
                      <w:color w:val="000000" w:themeColor="text1"/>
                      <w:kern w:val="2"/>
                      <w:sz w:val="21"/>
                      <w:szCs w:val="21"/>
                      <w:highlight w:val="none"/>
                      <w:vertAlign w:val="baseline"/>
                      <w:lang w:val="en-US" w:eastAsia="zh-CN" w:bidi="ar-SA"/>
                      <w14:textFill>
                        <w14:solidFill>
                          <w14:schemeClr w14:val="tx1"/>
                        </w14:solidFill>
                      </w14:textFill>
                    </w:rPr>
                    <w:t>袋装</w:t>
                  </w:r>
                </w:p>
              </w:tc>
              <w:tc>
                <w:tcPr>
                  <w:tcW w:w="354" w:type="pct"/>
                  <w:vMerge w:val="continue"/>
                  <w:tcBorders>
                    <w:tl2br w:val="nil"/>
                    <w:tr2bl w:val="nil"/>
                  </w:tcBorders>
                  <w:noWrap w:val="0"/>
                  <w:vAlign w:val="center"/>
                </w:tcPr>
                <w:p w14:paraId="6F62118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000000" w:themeColor="text1"/>
                      <w:sz w:val="21"/>
                      <w:szCs w:val="21"/>
                      <w:highlight w:val="none"/>
                      <w:lang w:bidi="ar"/>
                      <w14:textFill>
                        <w14:solidFill>
                          <w14:schemeClr w14:val="tx1"/>
                        </w14:solidFill>
                      </w14:textFill>
                    </w:rPr>
                  </w:pPr>
                </w:p>
              </w:tc>
            </w:tr>
          </w:tbl>
          <w:p w14:paraId="420606F4">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jc w:val="both"/>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4.3.2危险废物贮存设施建设情况及贮存可行性分析</w:t>
            </w:r>
          </w:p>
          <w:p w14:paraId="47D769E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pPr>
            <w:r>
              <w:rPr>
                <w:rFonts w:hint="eastAsia" w:cs="Times New Roman"/>
                <w:color w:val="000000" w:themeColor="text1"/>
                <w:kern w:val="0"/>
                <w:sz w:val="24"/>
                <w:szCs w:val="24"/>
                <w:highlight w:val="none"/>
                <w:lang w:val="en-US" w:eastAsia="zh-CN" w:bidi="ar"/>
                <w14:textFill>
                  <w14:solidFill>
                    <w14:schemeClr w14:val="tx1"/>
                  </w14:solidFill>
                </w14:textFill>
              </w:rPr>
              <w:t>现有项目危废贮存库位于前处理车间西南，</w:t>
            </w:r>
            <w:r>
              <w:rPr>
                <w:rFonts w:hint="eastAsia" w:cs="Times New Roman"/>
                <w:color w:val="000000" w:themeColor="text1"/>
                <w:sz w:val="24"/>
                <w:szCs w:val="24"/>
                <w:highlight w:val="none"/>
                <w:lang w:val="en-US" w:eastAsia="zh-CN"/>
                <w14:textFill>
                  <w14:solidFill>
                    <w14:schemeClr w14:val="tx1"/>
                  </w14:solidFill>
                </w14:textFill>
              </w:rPr>
              <w:t>占地面积</w:t>
            </w:r>
            <w:r>
              <w:rPr>
                <w:rFonts w:hint="default" w:ascii="Times New Roman" w:hAnsi="Times New Roman" w:cs="Times New Roman"/>
                <w:bCs/>
                <w:color w:val="000000" w:themeColor="text1"/>
                <w:sz w:val="24"/>
                <w:szCs w:val="24"/>
                <w:highlight w:val="none"/>
                <w:lang w:val="en-US" w:eastAsia="zh-CN" w:bidi="ar"/>
                <w14:textFill>
                  <w14:solidFill>
                    <w14:schemeClr w14:val="tx1"/>
                  </w14:solidFill>
                </w14:textFill>
              </w:rPr>
              <w:t>80.29</w:t>
            </w:r>
            <w:r>
              <w:rPr>
                <w:rFonts w:hint="default" w:ascii="Times New Roman" w:hAnsi="Times New Roman" w:eastAsia="宋体" w:cs="Times New Roman"/>
                <w:bCs/>
                <w:color w:val="000000" w:themeColor="text1"/>
                <w:sz w:val="24"/>
                <w:szCs w:val="24"/>
                <w:highlight w:val="none"/>
                <w:lang w:bidi="ar"/>
                <w14:textFill>
                  <w14:solidFill>
                    <w14:schemeClr w14:val="tx1"/>
                  </w14:solidFill>
                </w14:textFill>
              </w:rPr>
              <w:t>m</w:t>
            </w:r>
            <w:r>
              <w:rPr>
                <w:rFonts w:hint="default" w:ascii="Times New Roman" w:hAnsi="Times New Roman" w:eastAsia="宋体" w:cs="Times New Roman"/>
                <w:bCs/>
                <w:color w:val="000000" w:themeColor="text1"/>
                <w:sz w:val="24"/>
                <w:szCs w:val="24"/>
                <w:highlight w:val="none"/>
                <w:vertAlign w:val="superscript"/>
                <w:lang w:bidi="ar"/>
                <w14:textFill>
                  <w14:solidFill>
                    <w14:schemeClr w14:val="tx1"/>
                  </w14:solidFill>
                </w14:textFill>
              </w:rPr>
              <w:t>2</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，用于</w:t>
            </w:r>
            <w:r>
              <w:rPr>
                <w:rFonts w:hint="eastAsia" w:cs="Times New Roman"/>
                <w:color w:val="000000" w:themeColor="text1"/>
                <w:sz w:val="24"/>
                <w:szCs w:val="24"/>
                <w:highlight w:val="none"/>
                <w:lang w:val="en-US" w:eastAsia="zh-CN"/>
                <w14:textFill>
                  <w14:solidFill>
                    <w14:schemeClr w14:val="tx1"/>
                  </w14:solidFill>
                </w14:textFill>
              </w:rPr>
              <w:t>厂区产生的危险废物</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可</w:t>
            </w:r>
            <w:r>
              <w:rPr>
                <w:rFonts w:hint="default" w:ascii="Times New Roman" w:hAnsi="Times New Roman" w:cs="Times New Roman"/>
                <w:color w:val="000000" w:themeColor="text1"/>
                <w:sz w:val="24"/>
                <w:szCs w:val="24"/>
                <w:highlight w:val="none"/>
                <w14:textFill>
                  <w14:solidFill>
                    <w14:schemeClr w14:val="tx1"/>
                  </w14:solidFill>
                </w14:textFill>
              </w:rPr>
              <w:t>满足</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本项目</w:t>
            </w:r>
            <w:r>
              <w:rPr>
                <w:rFonts w:hint="eastAsia" w:cs="Times New Roman"/>
                <w:color w:val="000000" w:themeColor="text1"/>
                <w:sz w:val="24"/>
                <w:szCs w:val="24"/>
                <w:highlight w:val="none"/>
                <w:lang w:val="en-US" w:eastAsia="zh-CN"/>
                <w14:textFill>
                  <w14:solidFill>
                    <w14:schemeClr w14:val="tx1"/>
                  </w14:solidFill>
                </w14:textFill>
              </w:rPr>
              <w:t>危险废物</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贮存</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要求</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贮存可行</w:t>
            </w:r>
            <w:r>
              <w:rPr>
                <w:rFonts w:hint="eastAsia" w:cs="Times New Roman"/>
                <w:color w:val="000000" w:themeColor="text1"/>
                <w:sz w:val="24"/>
                <w:szCs w:val="24"/>
                <w:highlight w:val="none"/>
                <w:lang w:val="en-US" w:eastAsia="zh-CN"/>
                <w14:textFill>
                  <w14:solidFill>
                    <w14:schemeClr w14:val="tx1"/>
                  </w14:solidFill>
                </w14:textFill>
              </w:rPr>
              <w:t>，满足《危险废物贮存污染控制标准》（GB 18597—2023）要求。</w:t>
            </w:r>
          </w:p>
          <w:p w14:paraId="1BE0C08C">
            <w:pPr>
              <w:keepNext w:val="0"/>
              <w:keepLines w:val="0"/>
              <w:suppressLineNumbers w:val="0"/>
              <w:autoSpaceDE w:val="0"/>
              <w:autoSpaceDN w:val="0"/>
              <w:spacing w:before="0" w:beforeAutospacing="0" w:after="0" w:afterAutospacing="0" w:line="360" w:lineRule="auto"/>
              <w:ind w:left="0" w:right="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color w:val="000000" w:themeColor="text1"/>
                <w:kern w:val="0"/>
                <w:sz w:val="24"/>
                <w:szCs w:val="24"/>
                <w:highlight w:val="none"/>
                <w:lang w:val="en-US" w:eastAsia="zh-CN" w:bidi="ar-SA"/>
                <w14:textFill>
                  <w14:solidFill>
                    <w14:schemeClr w14:val="tx1"/>
                  </w14:solidFill>
                </w14:textFill>
              </w:rPr>
              <w:t>4</w:t>
            </w:r>
            <w:r>
              <w:rPr>
                <w:rFonts w:hint="eastAsia" w:cs="Times New Roman"/>
                <w:b/>
                <w:color w:val="000000" w:themeColor="text1"/>
                <w:kern w:val="0"/>
                <w:sz w:val="24"/>
                <w:szCs w:val="24"/>
                <w:highlight w:val="none"/>
                <w:lang w:val="en-US" w:eastAsia="zh-CN" w:bidi="ar-SA"/>
                <w14:textFill>
                  <w14:solidFill>
                    <w14:schemeClr w14:val="tx1"/>
                  </w14:solidFill>
                </w14:textFill>
              </w:rPr>
              <w:t>.3.4 危险</w:t>
            </w:r>
            <w:r>
              <w:rPr>
                <w:rFonts w:hint="default" w:ascii="Times New Roman" w:hAnsi="Times New Roman" w:eastAsia="宋体" w:cs="Times New Roman"/>
                <w:b/>
                <w:color w:val="000000" w:themeColor="text1"/>
                <w:kern w:val="0"/>
                <w:sz w:val="24"/>
                <w:szCs w:val="24"/>
                <w:highlight w:val="none"/>
                <w:lang w:val="en-US" w:eastAsia="zh-CN" w:bidi="ar-SA"/>
                <w14:textFill>
                  <w14:solidFill>
                    <w14:schemeClr w14:val="tx1"/>
                  </w14:solidFill>
                </w14:textFill>
              </w:rPr>
              <w:t>废物环境管理要求</w:t>
            </w:r>
          </w:p>
          <w:p w14:paraId="5554F324">
            <w:pPr>
              <w:keepNext w:val="0"/>
              <w:keepLines w:val="0"/>
              <w:widowControl/>
              <w:suppressLineNumbers w:val="0"/>
              <w:adjustRightInd w:val="0"/>
              <w:snapToGrid w:val="0"/>
              <w:spacing w:before="0" w:beforeAutospacing="0" w:after="0" w:afterAutospacing="0" w:line="360" w:lineRule="auto"/>
              <w:ind w:left="0" w:right="0" w:firstLine="480" w:firstLineChars="200"/>
              <w:jc w:val="left"/>
              <w:rPr>
                <w:rFonts w:hint="default" w:ascii="Times New Roman" w:hAnsi="Times New Roman" w:cs="Times New Roman"/>
                <w:color w:val="000000" w:themeColor="text1"/>
                <w:sz w:val="24"/>
                <w:szCs w:val="24"/>
                <w:highlight w:val="none"/>
                <w:u w:val="none"/>
                <w:lang w:val="en-US" w:eastAsia="zh-CN"/>
                <w14:textFill>
                  <w14:solidFill>
                    <w14:schemeClr w14:val="tx1"/>
                  </w14:solidFill>
                </w14:textFill>
              </w:rPr>
            </w:pPr>
            <w:r>
              <w:rPr>
                <w:rFonts w:hint="eastAsia" w:cs="Times New Roman"/>
                <w:color w:val="000000" w:themeColor="text1"/>
                <w:sz w:val="24"/>
                <w:szCs w:val="24"/>
                <w:highlight w:val="none"/>
                <w:u w:val="none"/>
                <w:lang w:val="en-US" w:eastAsia="zh-CN"/>
                <w14:textFill>
                  <w14:solidFill>
                    <w14:schemeClr w14:val="tx1"/>
                  </w14:solidFill>
                </w14:textFill>
              </w:rPr>
              <w:t>（1）危废贮存库</w:t>
            </w:r>
            <w:r>
              <w:rPr>
                <w:rFonts w:hint="eastAsia" w:ascii="Times New Roman" w:hAnsi="Times New Roman" w:cs="Times New Roman"/>
                <w:color w:val="000000" w:themeColor="text1"/>
                <w:sz w:val="24"/>
                <w:szCs w:val="24"/>
                <w:highlight w:val="none"/>
                <w:u w:val="none"/>
                <w:lang w:val="en-US" w:eastAsia="zh-CN"/>
                <w14:textFill>
                  <w14:solidFill>
                    <w14:schemeClr w14:val="tx1"/>
                  </w14:solidFill>
                </w14:textFill>
              </w:rPr>
              <w:t>环境管理要求</w:t>
            </w:r>
            <w:r>
              <w:rPr>
                <w:rFonts w:hint="eastAsia" w:cs="Times New Roman"/>
                <w:color w:val="000000" w:themeColor="text1"/>
                <w:sz w:val="24"/>
                <w:szCs w:val="24"/>
                <w:highlight w:val="none"/>
                <w:u w:val="none"/>
                <w:lang w:val="en-US" w:eastAsia="zh-CN"/>
                <w14:textFill>
                  <w14:solidFill>
                    <w14:schemeClr w14:val="tx1"/>
                  </w14:solidFill>
                </w14:textFill>
              </w:rPr>
              <w:t>如下：</w:t>
            </w:r>
          </w:p>
          <w:p w14:paraId="64829DE4">
            <w:pPr>
              <w:pStyle w:val="29"/>
              <w:keepNext w:val="0"/>
              <w:keepLines w:val="0"/>
              <w:numPr>
                <w:ilvl w:val="0"/>
                <w:numId w:val="0"/>
              </w:numPr>
              <w:suppressLineNumbers w:val="0"/>
              <w:spacing w:beforeAutospacing="0" w:after="0" w:afterAutospacing="0" w:line="360" w:lineRule="auto"/>
              <w:ind w:left="0" w:right="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instrText xml:space="preserve"> = 1 \* GB3 \* MERGEFORMAT </w:instrTex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fldChar w:fldCharType="separate"/>
            </w:r>
            <w:r>
              <w:rPr>
                <w:rFonts w:hint="default" w:ascii="Times New Roman" w:hAnsi="Times New Roman" w:eastAsia="宋体" w:cs="Times New Roman"/>
                <w:color w:val="000000" w:themeColor="text1"/>
                <w:sz w:val="24"/>
                <w:szCs w:val="24"/>
                <w:highlight w:val="none"/>
                <w14:textFill>
                  <w14:solidFill>
                    <w14:schemeClr w14:val="tx1"/>
                  </w14:solidFill>
                </w14:textFill>
              </w:rPr>
              <w:t>①</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fldChar w:fldCharType="end"/>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贮存库</w:t>
            </w:r>
            <w:r>
              <w:rPr>
                <w:rFonts w:hint="default" w:ascii="Times New Roman" w:hAnsi="Times New Roman" w:eastAsia="宋体" w:cs="Times New Roman"/>
                <w:color w:val="000000" w:themeColor="text1"/>
                <w:sz w:val="24"/>
                <w:szCs w:val="24"/>
                <w:highlight w:val="none"/>
                <w14:textFill>
                  <w14:solidFill>
                    <w14:schemeClr w14:val="tx1"/>
                  </w14:solidFill>
                </w14:textFill>
              </w:rPr>
              <w:t>应具有固定的区域边界，并应采取与其他区域进行隔离的措施。</w:t>
            </w:r>
          </w:p>
          <w:p w14:paraId="3D40E53F">
            <w:pPr>
              <w:pStyle w:val="29"/>
              <w:keepNext w:val="0"/>
              <w:keepLines w:val="0"/>
              <w:numPr>
                <w:ilvl w:val="0"/>
                <w:numId w:val="0"/>
              </w:numPr>
              <w:suppressLineNumbers w:val="0"/>
              <w:spacing w:beforeAutospacing="0" w:after="0" w:afterAutospacing="0" w:line="360" w:lineRule="auto"/>
              <w:ind w:left="0" w:right="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4"/>
                <w:szCs w:val="24"/>
                <w:highlight w:val="none"/>
                <w14:textFill>
                  <w14:solidFill>
                    <w14:schemeClr w14:val="tx1"/>
                  </w14:solidFill>
                </w14:textFill>
              </w:rPr>
              <w:instrText xml:space="preserve"> = 2 \* GB3 \* MERGEFORMAT </w:instrText>
            </w: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4"/>
                <w:szCs w:val="24"/>
                <w:highlight w:val="none"/>
                <w14:textFill>
                  <w14:solidFill>
                    <w14:schemeClr w14:val="tx1"/>
                  </w14:solidFill>
                </w14:textFill>
              </w:rPr>
              <w:t>②</w:t>
            </w: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end"/>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贮存库</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应采取防风、防雨、防晒和防止危险废物流失、扬散等措施。 </w:t>
            </w:r>
          </w:p>
          <w:p w14:paraId="359C8320">
            <w:pPr>
              <w:pStyle w:val="29"/>
              <w:keepNext w:val="0"/>
              <w:keepLines w:val="0"/>
              <w:numPr>
                <w:ilvl w:val="0"/>
                <w:numId w:val="0"/>
              </w:numPr>
              <w:suppressLineNumbers w:val="0"/>
              <w:spacing w:beforeAutospacing="0" w:after="0" w:afterAutospacing="0" w:line="360" w:lineRule="auto"/>
              <w:ind w:left="0" w:right="0" w:firstLine="480" w:firstLineChars="20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4"/>
                <w:szCs w:val="24"/>
                <w:highlight w:val="none"/>
                <w14:textFill>
                  <w14:solidFill>
                    <w14:schemeClr w14:val="tx1"/>
                  </w14:solidFill>
                </w14:textFill>
              </w:rPr>
              <w:instrText xml:space="preserve"> = 3 \* GB3 \* MERGEFORMAT </w:instrText>
            </w: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4"/>
                <w:szCs w:val="24"/>
                <w:highlight w:val="none"/>
                <w14:textFill>
                  <w14:solidFill>
                    <w14:schemeClr w14:val="tx1"/>
                  </w14:solidFill>
                </w14:textFill>
              </w:rPr>
              <w:t>③</w:t>
            </w: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end"/>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贮存库</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贮存的危险废物应置于容器或包装物中，不应直接散堆。 </w:t>
            </w:r>
          </w:p>
          <w:p w14:paraId="24CE0EB3">
            <w:pPr>
              <w:pStyle w:val="29"/>
              <w:keepNext w:val="0"/>
              <w:keepLines w:val="0"/>
              <w:numPr>
                <w:ilvl w:val="0"/>
                <w:numId w:val="0"/>
              </w:numPr>
              <w:suppressLineNumbers w:val="0"/>
              <w:spacing w:beforeAutospacing="0" w:after="0" w:afterAutospacing="0" w:line="360" w:lineRule="auto"/>
              <w:ind w:left="0" w:right="0" w:firstLine="480" w:firstLineChars="200"/>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instrText xml:space="preserve"> = 4 \* GB3 \* MERGEFORMAT </w:instrTex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fldChar w:fldCharType="separate"/>
            </w:r>
            <w:r>
              <w:rPr>
                <w:rFonts w:hint="default" w:ascii="Times New Roman" w:hAnsi="Times New Roman" w:eastAsia="宋体" w:cs="Times New Roman"/>
                <w:color w:val="000000" w:themeColor="text1"/>
                <w:sz w:val="24"/>
                <w:szCs w:val="24"/>
                <w:highlight w:val="none"/>
                <w14:textFill>
                  <w14:solidFill>
                    <w14:schemeClr w14:val="tx1"/>
                  </w14:solidFill>
                </w14:textFill>
              </w:rPr>
              <w:t>④</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fldChar w:fldCharType="end"/>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贮存库</w:t>
            </w:r>
            <w:r>
              <w:rPr>
                <w:rFonts w:hint="default" w:ascii="Times New Roman" w:hAnsi="Times New Roman" w:eastAsia="宋体" w:cs="Times New Roman"/>
                <w:color w:val="000000" w:themeColor="text1"/>
                <w:sz w:val="24"/>
                <w:szCs w:val="24"/>
                <w:highlight w:val="none"/>
                <w14:textFill>
                  <w14:solidFill>
                    <w14:schemeClr w14:val="tx1"/>
                  </w14:solidFill>
                </w14:textFill>
              </w:rPr>
              <w:t>应根据危险废物的形态、物理化学性质、包装形式等，采取防渗、防漏等污染防治措施</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4F881C0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000000" w:themeColor="text1"/>
                <w:kern w:val="0"/>
                <w:sz w:val="24"/>
                <w:szCs w:val="24"/>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instrText xml:space="preserve"> = 5 \* GB3 \* MERGEFORMAT </w:instrTex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fldChar w:fldCharType="separate"/>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⑤</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fldChar w:fldCharType="end"/>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废物的储存设施应设置在专门的危废暂存场所，暂存场按《危险废物贮存污染控制标准》（GB18597-2023），对危废暂存间地面进行硬化防渗，并采取加锁封闭等方式严格管理。</w:t>
            </w:r>
          </w:p>
          <w:p w14:paraId="6BFB6743">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szCs w:val="24"/>
                <w:highlight w:val="none"/>
                <w:u w:val="none"/>
                <w14:textFill>
                  <w14:solidFill>
                    <w14:schemeClr w14:val="tx1"/>
                  </w14:solidFill>
                </w14:textFill>
              </w:rPr>
            </w:pPr>
            <w:r>
              <w:rPr>
                <w:rFonts w:hint="eastAsia" w:ascii="Times New Roman" w:hAnsi="Times New Roman" w:cs="Times New Roman"/>
                <w:color w:val="000000" w:themeColor="text1"/>
                <w:sz w:val="24"/>
                <w:szCs w:val="24"/>
                <w:highlight w:val="none"/>
                <w:u w:val="none"/>
                <w:lang w:eastAsia="zh-CN"/>
                <w14:textFill>
                  <w14:solidFill>
                    <w14:schemeClr w14:val="tx1"/>
                  </w14:solidFill>
                </w14:textFill>
              </w:rPr>
              <w:t>（</w:t>
            </w:r>
            <w:r>
              <w:rPr>
                <w:rFonts w:hint="eastAsia" w:cs="Times New Roman"/>
                <w:color w:val="000000" w:themeColor="text1"/>
                <w:sz w:val="24"/>
                <w:szCs w:val="24"/>
                <w:highlight w:val="none"/>
                <w:u w:val="none"/>
                <w:lang w:val="en-US" w:eastAsia="zh-CN"/>
                <w14:textFill>
                  <w14:solidFill>
                    <w14:schemeClr w14:val="tx1"/>
                  </w14:solidFill>
                </w14:textFill>
              </w:rPr>
              <w:t>2</w:t>
            </w:r>
            <w:r>
              <w:rPr>
                <w:rFonts w:hint="eastAsia" w:ascii="Times New Roman" w:hAnsi="Times New Roman" w:cs="Times New Roman"/>
                <w:color w:val="000000" w:themeColor="text1"/>
                <w:sz w:val="24"/>
                <w:szCs w:val="24"/>
                <w:highlight w:val="none"/>
                <w:u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u w:val="none"/>
                <w14:textFill>
                  <w14:solidFill>
                    <w14:schemeClr w14:val="tx1"/>
                  </w14:solidFill>
                </w14:textFill>
              </w:rPr>
              <w:t>危险废物收集</w:t>
            </w:r>
            <w:r>
              <w:rPr>
                <w:rFonts w:hint="eastAsia" w:cs="Times New Roman"/>
                <w:color w:val="000000" w:themeColor="text1"/>
                <w:sz w:val="24"/>
                <w:szCs w:val="24"/>
                <w:highlight w:val="none"/>
                <w:u w:val="none"/>
                <w:lang w:val="en-US" w:eastAsia="zh-CN"/>
                <w14:textFill>
                  <w14:solidFill>
                    <w14:schemeClr w14:val="tx1"/>
                  </w14:solidFill>
                </w14:textFill>
              </w:rPr>
              <w:t>及污染防治</w:t>
            </w:r>
            <w:r>
              <w:rPr>
                <w:rFonts w:hint="default" w:ascii="Times New Roman" w:hAnsi="Times New Roman" w:cs="Times New Roman"/>
                <w:color w:val="000000" w:themeColor="text1"/>
                <w:sz w:val="24"/>
                <w:szCs w:val="24"/>
                <w:highlight w:val="none"/>
                <w:u w:val="none"/>
                <w14:textFill>
                  <w14:solidFill>
                    <w14:schemeClr w14:val="tx1"/>
                  </w14:solidFill>
                </w14:textFill>
              </w:rPr>
              <w:t>措施</w:t>
            </w:r>
          </w:p>
          <w:p w14:paraId="3250BFAC">
            <w:pPr>
              <w:keepNext w:val="0"/>
              <w:keepLines w:val="0"/>
              <w:widowControl/>
              <w:suppressLineNumbers w:val="0"/>
              <w:adjustRightInd w:val="0"/>
              <w:snapToGrid w:val="0"/>
              <w:spacing w:before="0" w:beforeAutospacing="0" w:after="0" w:afterAutospacing="0" w:line="360" w:lineRule="auto"/>
              <w:ind w:left="0" w:right="0" w:firstLine="480" w:firstLineChars="200"/>
              <w:jc w:val="left"/>
              <w:rPr>
                <w:rFonts w:hint="default" w:ascii="Times New Roman" w:hAnsi="Times New Roman" w:cs="Times New Roman"/>
                <w:color w:val="000000" w:themeColor="text1"/>
                <w:sz w:val="24"/>
                <w:szCs w:val="24"/>
                <w:highlight w:val="none"/>
                <w:u w:val="none"/>
                <w14:textFill>
                  <w14:solidFill>
                    <w14:schemeClr w14:val="tx1"/>
                  </w14:solidFill>
                </w14:textFill>
              </w:rPr>
            </w:pPr>
            <w:r>
              <w:rPr>
                <w:rFonts w:hint="default" w:ascii="Times New Roman" w:hAnsi="Times New Roman" w:cs="Times New Roman"/>
                <w:color w:val="000000" w:themeColor="text1"/>
                <w:sz w:val="24"/>
                <w:szCs w:val="24"/>
                <w:highlight w:val="none"/>
                <w:u w:val="none"/>
                <w14:textFill>
                  <w14:solidFill>
                    <w14:schemeClr w14:val="tx1"/>
                  </w14:solidFill>
                </w14:textFill>
              </w:rPr>
              <w:t>危险废物贮存过程依</w:t>
            </w:r>
            <w:r>
              <w:rPr>
                <w:rFonts w:hint="eastAsia"/>
                <w:color w:val="000000" w:themeColor="text1"/>
                <w:sz w:val="24"/>
                <w:szCs w:val="24"/>
                <w:highlight w:val="none"/>
                <w:lang w:val="en-US" w:eastAsia="zh-CN"/>
                <w14:textFill>
                  <w14:solidFill>
                    <w14:schemeClr w14:val="tx1"/>
                  </w14:solidFill>
                </w14:textFill>
              </w:rPr>
              <w:t>据</w:t>
            </w:r>
            <w:r>
              <w:rPr>
                <w:rFonts w:hint="default" w:ascii="Times New Roman" w:hAnsi="Times New Roman" w:cs="Times New Roman"/>
                <w:color w:val="000000" w:themeColor="text1"/>
                <w:sz w:val="24"/>
                <w:szCs w:val="24"/>
                <w:highlight w:val="none"/>
                <w:u w:val="none"/>
                <w14:textFill>
                  <w14:solidFill>
                    <w14:schemeClr w14:val="tx1"/>
                  </w14:solidFill>
                </w14:textFill>
              </w:rPr>
              <w:t>《中华人民共和国固体废物污染环境防治法》和《危险废物贮存污染控制标准》（GB18597-20</w:t>
            </w:r>
            <w:r>
              <w:rPr>
                <w:rFonts w:hint="eastAsia" w:ascii="Times New Roman" w:hAnsi="Times New Roman" w:cs="Times New Roman"/>
                <w:color w:val="000000" w:themeColor="text1"/>
                <w:sz w:val="24"/>
                <w:szCs w:val="24"/>
                <w:highlight w:val="none"/>
                <w:u w:val="none"/>
                <w:lang w:val="en-US" w:eastAsia="zh-CN"/>
                <w14:textFill>
                  <w14:solidFill>
                    <w14:schemeClr w14:val="tx1"/>
                  </w14:solidFill>
                </w14:textFill>
              </w:rPr>
              <w:t>23</w:t>
            </w:r>
            <w:r>
              <w:rPr>
                <w:rFonts w:hint="default" w:ascii="Times New Roman" w:hAnsi="Times New Roman" w:cs="Times New Roman"/>
                <w:color w:val="000000" w:themeColor="text1"/>
                <w:sz w:val="24"/>
                <w:szCs w:val="24"/>
                <w:highlight w:val="none"/>
                <w:u w:val="none"/>
                <w14:textFill>
                  <w14:solidFill>
                    <w14:schemeClr w14:val="tx1"/>
                  </w14:solidFill>
                </w14:textFill>
              </w:rPr>
              <w:t>）中的有关贮存设施的设计原则执行，安全存储。危险废物收集、暂存措施分析如下：</w:t>
            </w:r>
          </w:p>
          <w:p w14:paraId="03F84DA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000000" w:themeColor="text1"/>
                <w:sz w:val="24"/>
                <w:szCs w:val="24"/>
                <w:highlight w:val="none"/>
                <w:u w:val="none"/>
                <w14:textFill>
                  <w14:solidFill>
                    <w14:schemeClr w14:val="tx1"/>
                  </w14:solidFill>
                </w14:textFill>
              </w:rPr>
            </w:pPr>
            <w:r>
              <w:rPr>
                <w:rFonts w:hint="default" w:ascii="Times New Roman" w:hAnsi="Times New Roman" w:cs="Times New Roman"/>
                <w:color w:val="000000" w:themeColor="text1"/>
                <w:sz w:val="24"/>
                <w:szCs w:val="24"/>
                <w:highlight w:val="none"/>
                <w:u w:val="none"/>
                <w14:textFill>
                  <w14:solidFill>
                    <w14:schemeClr w14:val="tx1"/>
                  </w14:solidFill>
                </w14:textFill>
              </w:rPr>
              <w:t>危险废物在收集时，应清楚废物的类别及</w:t>
            </w:r>
            <w:r>
              <w:rPr>
                <w:rFonts w:hint="eastAsia" w:ascii="Times New Roman" w:hAnsi="Times New Roman" w:cs="Times New Roman"/>
                <w:color w:val="000000" w:themeColor="text1"/>
                <w:sz w:val="24"/>
                <w:szCs w:val="24"/>
                <w:highlight w:val="none"/>
                <w:u w:val="none"/>
                <w:lang w:eastAsia="zh-CN"/>
                <w14:textFill>
                  <w14:solidFill>
                    <w14:schemeClr w14:val="tx1"/>
                  </w14:solidFill>
                </w14:textFill>
              </w:rPr>
              <w:t>主要成分</w:t>
            </w:r>
            <w:r>
              <w:rPr>
                <w:rFonts w:hint="default" w:ascii="Times New Roman" w:hAnsi="Times New Roman" w:cs="Times New Roman"/>
                <w:color w:val="000000" w:themeColor="text1"/>
                <w:sz w:val="24"/>
                <w:szCs w:val="24"/>
                <w:highlight w:val="none"/>
                <w:u w:val="none"/>
                <w14:textFill>
                  <w14:solidFill>
                    <w14:schemeClr w14:val="tx1"/>
                  </w14:solidFill>
                </w14:textFill>
              </w:rPr>
              <w:t>，以方便委托处理单位处理，根据危险废物的性质和形态，可采用不同大小和不同材质的容器进行包装，所有包装容器应足够安全，并经过周密检查，严防在装载、搬移或运输途中出现渗漏、溢出、抛洒或挥发等情况。对危险废物进行安全包装，并在包装的明显位置附上危险废物标签。</w:t>
            </w:r>
          </w:p>
          <w:p w14:paraId="30F91E02">
            <w:pPr>
              <w:keepNext w:val="0"/>
              <w:keepLines w:val="0"/>
              <w:suppressLineNumbers w:val="0"/>
              <w:spacing w:before="0" w:beforeAutospacing="0" w:after="0" w:afterAutospacing="0" w:line="360" w:lineRule="auto"/>
              <w:ind w:left="0" w:right="0" w:firstLine="480" w:firstLineChars="200"/>
              <w:jc w:val="both"/>
              <w:rPr>
                <w:rFonts w:hint="eastAsia" w:ascii="Times New Roman" w:hAnsi="Times New Roman" w:cs="Times New Roman"/>
                <w:color w:val="000000" w:themeColor="text1"/>
                <w:sz w:val="24"/>
                <w:szCs w:val="24"/>
                <w:highlight w:val="none"/>
                <w:u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w:t>
            </w:r>
            <w:r>
              <w:rPr>
                <w:rFonts w:hint="eastAsia" w:cs="Times New Roman"/>
                <w:color w:val="000000" w:themeColor="text1"/>
                <w:sz w:val="24"/>
                <w:szCs w:val="24"/>
                <w:highlight w:val="none"/>
                <w:u w:val="none"/>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危险废物</w:t>
            </w:r>
            <w:r>
              <w:rPr>
                <w:rFonts w:hint="eastAsia"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转移</w:t>
            </w:r>
            <w:r>
              <w:rPr>
                <w:rFonts w:hint="eastAsia" w:cs="Times New Roman"/>
                <w:color w:val="000000" w:themeColor="text1"/>
                <w:sz w:val="24"/>
                <w:szCs w:val="24"/>
                <w:highlight w:val="none"/>
                <w:u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处置</w:t>
            </w:r>
            <w:r>
              <w:rPr>
                <w:rFonts w:hint="eastAsia" w:cs="Times New Roman"/>
                <w:color w:val="000000" w:themeColor="text1"/>
                <w:sz w:val="24"/>
                <w:szCs w:val="24"/>
                <w:highlight w:val="none"/>
                <w:u w:val="none"/>
                <w:lang w:val="en-US" w:eastAsia="zh-CN"/>
                <w14:textFill>
                  <w14:solidFill>
                    <w14:schemeClr w14:val="tx1"/>
                  </w14:solidFill>
                </w14:textFill>
              </w:rPr>
              <w:t>及污染防治</w:t>
            </w:r>
            <w:r>
              <w:rPr>
                <w:rFonts w:hint="default" w:ascii="Times New Roman" w:hAnsi="Times New Roman" w:cs="Times New Roman"/>
                <w:color w:val="000000" w:themeColor="text1"/>
                <w:sz w:val="24"/>
                <w:szCs w:val="24"/>
                <w:highlight w:val="none"/>
                <w:u w:val="none"/>
                <w14:textFill>
                  <w14:solidFill>
                    <w14:schemeClr w14:val="tx1"/>
                  </w14:solidFill>
                </w14:textFill>
              </w:rPr>
              <w:t>措施</w:t>
            </w:r>
          </w:p>
          <w:p w14:paraId="3378D8A0">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000000" w:themeColor="text1"/>
                <w:sz w:val="24"/>
                <w:szCs w:val="24"/>
                <w:highlight w:val="none"/>
                <w:u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a.危险废物运输单位和处置单位需具有相应的危废运输资质和处置资质，建设单位应</w:t>
            </w:r>
            <w:r>
              <w:rPr>
                <w:rFonts w:hint="default"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对</w:t>
            </w:r>
            <w:r>
              <w:rPr>
                <w:rFonts w:hint="eastAsia"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危险废物运输单位和处置单位</w:t>
            </w:r>
            <w:r>
              <w:rPr>
                <w:rFonts w:hint="default"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的主体资格和技术能力进行核实，依法签订书面合同</w:t>
            </w:r>
            <w:r>
              <w:rPr>
                <w:rFonts w:hint="eastAsia"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w:t>
            </w:r>
          </w:p>
          <w:p w14:paraId="53CEF96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left"/>
              <w:textAlignment w:val="auto"/>
              <w:rPr>
                <w:rFonts w:hint="eastAsia" w:ascii="Times New Roman" w:hAnsi="Times New Roman" w:eastAsia="宋体" w:cs="Times New Roman"/>
                <w:color w:val="000000" w:themeColor="text1"/>
                <w:sz w:val="24"/>
                <w:szCs w:val="24"/>
                <w:highlight w:val="none"/>
                <w:u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b.</w:t>
            </w:r>
            <w:r>
              <w:rPr>
                <w:rFonts w:hint="default"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建</w:t>
            </w:r>
            <w:r>
              <w:rPr>
                <w:rFonts w:hint="eastAsia"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设</w:t>
            </w:r>
            <w:r>
              <w:rPr>
                <w:rFonts w:hint="default"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单位</w:t>
            </w:r>
            <w:r>
              <w:rPr>
                <w:rFonts w:hint="eastAsia"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转移危险废物，应当通过国家危险废物信息管理系统（以下简称信息系统）填写、运行危险废物电子转移联单，并依照国家有关规定公开危险废物转移相关污染环境防治信息。</w:t>
            </w:r>
          </w:p>
          <w:p w14:paraId="2AF2ED0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left"/>
              <w:textAlignment w:val="auto"/>
              <w:rPr>
                <w:rFonts w:hint="default" w:ascii="Times New Roman" w:hAnsi="Times New Roman" w:eastAsia="宋体" w:cs="Times New Roman"/>
                <w:color w:val="000000" w:themeColor="text1"/>
                <w:sz w:val="24"/>
                <w:szCs w:val="24"/>
                <w:highlight w:val="none"/>
                <w:u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运输危废的车辆必须是危险废物专用车辆。</w:t>
            </w:r>
          </w:p>
          <w:p w14:paraId="4CECE587">
            <w:pPr>
              <w:keepNext w:val="0"/>
              <w:keepLines w:val="0"/>
              <w:suppressLineNumbers w:val="0"/>
              <w:spacing w:before="0" w:beforeAutospacing="0" w:after="0" w:afterAutospacing="0" w:line="360" w:lineRule="auto"/>
              <w:ind w:left="0" w:right="0" w:firstLine="480" w:firstLineChars="200"/>
              <w:jc w:val="both"/>
              <w:rPr>
                <w:rFonts w:hint="eastAsia" w:ascii="仿宋" w:hAnsi="仿宋" w:eastAsia="仿宋" w:cs="仿宋"/>
                <w:i w:val="0"/>
                <w:iCs w:val="0"/>
                <w:caps w:val="0"/>
                <w:color w:val="000000" w:themeColor="text1"/>
                <w:spacing w:val="0"/>
                <w:sz w:val="24"/>
                <w:szCs w:val="24"/>
                <w:highlight w:val="none"/>
                <w:shd w:val="clear" w:color="auto" w:fill="FFFFFF"/>
                <w:lang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c.</w:t>
            </w:r>
            <w:r>
              <w:rPr>
                <w:rFonts w:hint="default"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及时核实</w:t>
            </w:r>
            <w:r>
              <w:rPr>
                <w:rFonts w:hint="eastAsia"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危废处置单位</w:t>
            </w:r>
            <w:r>
              <w:rPr>
                <w:rFonts w:hint="default"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贮存、利用或者处置相关危险废物情况</w:t>
            </w:r>
            <w:r>
              <w:rPr>
                <w:rFonts w:hint="eastAsia" w:ascii="仿宋" w:hAnsi="仿宋" w:eastAsia="仿宋" w:cs="仿宋"/>
                <w:i w:val="0"/>
                <w:iCs w:val="0"/>
                <w:caps w:val="0"/>
                <w:color w:val="000000" w:themeColor="text1"/>
                <w:spacing w:val="0"/>
                <w:sz w:val="24"/>
                <w:szCs w:val="24"/>
                <w:highlight w:val="none"/>
                <w:shd w:val="clear" w:color="auto" w:fill="FFFFFF"/>
                <w:lang w:eastAsia="zh-CN"/>
                <w14:textFill>
                  <w14:solidFill>
                    <w14:schemeClr w14:val="tx1"/>
                  </w14:solidFill>
                </w14:textFill>
              </w:rPr>
              <w:t>。</w:t>
            </w:r>
          </w:p>
          <w:p w14:paraId="0EDBFBD9">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000000" w:themeColor="text1"/>
                <w:sz w:val="24"/>
                <w:szCs w:val="24"/>
                <w:highlight w:val="none"/>
                <w:u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d.</w:t>
            </w:r>
            <w:r>
              <w:rPr>
                <w:rFonts w:hint="default"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建立危险废物管理台账，对转移的危险废物进行计量称重，如实记录、妥善保管转移危险废物的种类、重量（数量）和</w:t>
            </w:r>
            <w:r>
              <w:rPr>
                <w:rFonts w:hint="eastAsia"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处置单位</w:t>
            </w:r>
            <w:r>
              <w:rPr>
                <w:rFonts w:hint="default"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等相关信息</w:t>
            </w:r>
            <w:r>
              <w:rPr>
                <w:rFonts w:hint="eastAsia"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w:t>
            </w:r>
          </w:p>
          <w:p w14:paraId="5BAC9506">
            <w:pPr>
              <w:pStyle w:val="10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综上所述，本项目所有固体废物均得到有效处理</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及采取合理的污染防治措施</w:t>
            </w:r>
            <w:r>
              <w:rPr>
                <w:rFonts w:hint="default" w:ascii="Times New Roman" w:hAnsi="Times New Roman" w:eastAsia="宋体" w:cs="Times New Roman"/>
                <w:color w:val="000000" w:themeColor="text1"/>
                <w:sz w:val="24"/>
                <w:szCs w:val="24"/>
                <w:highlight w:val="none"/>
                <w14:textFill>
                  <w14:solidFill>
                    <w14:schemeClr w14:val="tx1"/>
                  </w14:solidFill>
                </w14:textFill>
              </w:rPr>
              <w:t>，不会对周围环境产生有害影响。</w:t>
            </w:r>
          </w:p>
          <w:p w14:paraId="3694041C">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jc w:val="both"/>
              <w:textAlignment w:val="auto"/>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5</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地下水及土壤</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环境影响分析和保护措施</w:t>
            </w:r>
          </w:p>
          <w:p w14:paraId="1B334944">
            <w:pPr>
              <w:pStyle w:val="10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项目厂界外</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500m</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范围内无地下水集中式饮用水源和热水、矿泉水、温泉等特殊地下水资源，根据工程分析，本项目可能产生地下水和土壤污染的主要环节为污水处理设施、危废贮存库泄漏等，本环评</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要求企业对</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其</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防渗性</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按照</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《环境影响评价技术导则 地下水环境》（</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HJ610-2016</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）表</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7</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的相关要求</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，确保满足其相关防渗要求。</w:t>
            </w:r>
          </w:p>
          <w:p w14:paraId="19442587">
            <w:pPr>
              <w:pStyle w:val="10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为方便日后</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管理</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，为企业列明如下防渗分区要求和防渗分区图，详见</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下</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表</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03A1A498">
            <w:pPr>
              <w:keepNext w:val="0"/>
              <w:keepLines w:val="0"/>
              <w:pageBreakBefore w:val="0"/>
              <w:widowControl w:val="0"/>
              <w:numPr>
                <w:ilvl w:val="0"/>
                <w:numId w:val="26"/>
              </w:numPr>
              <w:suppressLineNumbers w:val="0"/>
              <w:kinsoku/>
              <w:wordWrap/>
              <w:overflowPunct/>
              <w:topLinePunct w:val="0"/>
              <w:autoSpaceDE/>
              <w:autoSpaceDN/>
              <w:bidi w:val="0"/>
              <w:adjustRightInd/>
              <w:snapToGrid w:val="0"/>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分区防渗方案及防渗措施一览表</w:t>
            </w:r>
          </w:p>
          <w:tbl>
            <w:tblPr>
              <w:tblStyle w:val="35"/>
              <w:tblW w:w="4996" w:type="pct"/>
              <w:tblInd w:w="0" w:type="dxa"/>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647"/>
              <w:gridCol w:w="1340"/>
              <w:gridCol w:w="2743"/>
              <w:gridCol w:w="3379"/>
            </w:tblGrid>
            <w:tr w14:paraId="15E169B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07" w:hRule="atLeast"/>
              </w:trPr>
              <w:tc>
                <w:tcPr>
                  <w:tcW w:w="399" w:type="pct"/>
                  <w:tcBorders>
                    <w:tl2br w:val="nil"/>
                    <w:tr2bl w:val="nil"/>
                  </w:tcBorders>
                  <w:noWrap w:val="0"/>
                  <w:vAlign w:val="center"/>
                </w:tcPr>
                <w:p w14:paraId="14CE8874">
                  <w:pPr>
                    <w:pStyle w:val="6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序号</w:t>
                  </w:r>
                </w:p>
              </w:tc>
              <w:tc>
                <w:tcPr>
                  <w:tcW w:w="826" w:type="pct"/>
                  <w:tcBorders>
                    <w:tl2br w:val="nil"/>
                    <w:tr2bl w:val="nil"/>
                  </w:tcBorders>
                  <w:noWrap w:val="0"/>
                  <w:vAlign w:val="center"/>
                </w:tcPr>
                <w:p w14:paraId="30F2BE43">
                  <w:pPr>
                    <w:pStyle w:val="6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防治分区</w:t>
                  </w:r>
                </w:p>
              </w:tc>
              <w:tc>
                <w:tcPr>
                  <w:tcW w:w="1691" w:type="pct"/>
                  <w:tcBorders>
                    <w:tl2br w:val="nil"/>
                    <w:tr2bl w:val="nil"/>
                  </w:tcBorders>
                  <w:noWrap w:val="0"/>
                  <w:vAlign w:val="center"/>
                </w:tcPr>
                <w:p w14:paraId="5038768F">
                  <w:pPr>
                    <w:pStyle w:val="6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分区位置</w:t>
                  </w:r>
                </w:p>
              </w:tc>
              <w:tc>
                <w:tcPr>
                  <w:tcW w:w="2083" w:type="pct"/>
                  <w:tcBorders>
                    <w:tl2br w:val="nil"/>
                    <w:tr2bl w:val="nil"/>
                  </w:tcBorders>
                  <w:noWrap w:val="0"/>
                  <w:vAlign w:val="center"/>
                </w:tcPr>
                <w:p w14:paraId="38CAB374">
                  <w:pPr>
                    <w:pStyle w:val="6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防渗要求</w:t>
                  </w:r>
                </w:p>
              </w:tc>
            </w:tr>
            <w:tr w14:paraId="5D9417B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99" w:type="pct"/>
                  <w:tcBorders>
                    <w:tl2br w:val="nil"/>
                    <w:tr2bl w:val="nil"/>
                  </w:tcBorders>
                  <w:noWrap w:val="0"/>
                  <w:vAlign w:val="center"/>
                </w:tcPr>
                <w:p w14:paraId="641718BF">
                  <w:pPr>
                    <w:keepNext w:val="0"/>
                    <w:keepLines w:val="0"/>
                    <w:pageBreakBefore w:val="0"/>
                    <w:widowControl w:val="0"/>
                    <w:numPr>
                      <w:ilvl w:val="0"/>
                      <w:numId w:val="33"/>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6" w:type="pct"/>
                  <w:tcBorders>
                    <w:tl2br w:val="nil"/>
                    <w:tr2bl w:val="nil"/>
                  </w:tcBorders>
                  <w:noWrap w:val="0"/>
                  <w:vAlign w:val="center"/>
                </w:tcPr>
                <w:p w14:paraId="3429330E">
                  <w:pPr>
                    <w:pStyle w:val="6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重点</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防渗区</w:t>
                  </w:r>
                </w:p>
              </w:tc>
              <w:tc>
                <w:tcPr>
                  <w:tcW w:w="1691" w:type="pct"/>
                  <w:tcBorders>
                    <w:tl2br w:val="nil"/>
                    <w:tr2bl w:val="nil"/>
                  </w:tcBorders>
                  <w:noWrap w:val="0"/>
                  <w:vAlign w:val="center"/>
                </w:tcPr>
                <w:p w14:paraId="41DF2C49">
                  <w:pPr>
                    <w:pStyle w:val="30"/>
                    <w:keepNext w:val="0"/>
                    <w:keepLines w:val="0"/>
                    <w:suppressLineNumbers w:val="0"/>
                    <w:tabs>
                      <w:tab w:val="left" w:pos="4425"/>
                    </w:tabs>
                    <w:adjustRightInd w:val="0"/>
                    <w:snapToGrid w:val="0"/>
                    <w:spacing w:before="0" w:beforeAutospacing="0" w:afterAutospacing="0"/>
                    <w:ind w:left="0" w:leftChars="0" w:right="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废水处理站、危废贮存库</w:t>
                  </w:r>
                </w:p>
              </w:tc>
              <w:tc>
                <w:tcPr>
                  <w:tcW w:w="2083" w:type="pct"/>
                  <w:tcBorders>
                    <w:tl2br w:val="nil"/>
                    <w:tr2bl w:val="nil"/>
                  </w:tcBorders>
                  <w:noWrap w:val="0"/>
                  <w:vAlign w:val="center"/>
                </w:tcPr>
                <w:p w14:paraId="009015F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 xml:space="preserve">等效黏土防渗层 </w:t>
                  </w:r>
                  <w:r>
                    <w:rPr>
                      <w:rFonts w:hint="default" w:ascii="Times New Roman" w:hAnsi="Times New Roman" w:eastAsia="宋体" w:cs="Times New Roman"/>
                      <w:i/>
                      <w:iCs/>
                      <w:color w:val="000000" w:themeColor="text1"/>
                      <w:kern w:val="0"/>
                      <w:sz w:val="21"/>
                      <w:szCs w:val="21"/>
                      <w:highlight w:val="none"/>
                      <w:lang w:val="en-US" w:eastAsia="zh-CN" w:bidi="ar"/>
                      <w14:textFill>
                        <w14:solidFill>
                          <w14:schemeClr w14:val="tx1"/>
                        </w14:solidFill>
                      </w14:textFill>
                    </w:rPr>
                    <w:t>Mb</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t>6.0</w:t>
                  </w:r>
                  <w:r>
                    <w:rPr>
                      <w:rFonts w:hint="default" w:ascii="Times New Roman" w:hAnsi="Times New Roman" w:eastAsia="宋体" w:cs="Times New Roman"/>
                      <w:bCs/>
                      <w:color w:val="000000" w:themeColor="text1"/>
                      <w:sz w:val="21"/>
                      <w:szCs w:val="21"/>
                      <w:highlight w:val="none"/>
                      <w14:textFill>
                        <w14:solidFill>
                          <w14:schemeClr w14:val="tx1"/>
                        </w14:solidFill>
                      </w14:textFill>
                    </w:rPr>
                    <w:t>m</w:t>
                  </w:r>
                  <w:r>
                    <w:rPr>
                      <w:rFonts w:hint="eastAsia" w:ascii="Times New Roman" w:hAnsi="Times New Roman" w:eastAsia="宋体" w:cs="Times New Roman"/>
                      <w:bCs/>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i/>
                      <w:iCs/>
                      <w:color w:val="000000" w:themeColor="text1"/>
                      <w:kern w:val="0"/>
                      <w:sz w:val="21"/>
                      <w:szCs w:val="21"/>
                      <w:highlight w:val="none"/>
                      <w:lang w:val="en-US" w:eastAsia="zh-CN" w:bidi="ar"/>
                      <w14:textFill>
                        <w14:solidFill>
                          <w14:schemeClr w14:val="tx1"/>
                        </w14:solidFill>
                      </w14:textFill>
                    </w:rPr>
                    <w:t>K</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r>
                    <w:rPr>
                      <w:rFonts w:hint="default" w:ascii="Times New Roman" w:hAnsi="Times New Roman" w:eastAsia="宋体" w:cs="Times New Roman"/>
                      <w:bCs/>
                      <w:color w:val="000000" w:themeColor="text1"/>
                      <w:sz w:val="21"/>
                      <w:szCs w:val="21"/>
                      <w:highlight w:val="none"/>
                      <w14:textFill>
                        <w14:solidFill>
                          <w14:schemeClr w14:val="tx1"/>
                        </w14:solidFill>
                      </w14:textFill>
                    </w:rPr>
                    <w:t>1.0×10</w:t>
                  </w:r>
                  <w:r>
                    <w:rPr>
                      <w:rFonts w:hint="default" w:ascii="Times New Roman" w:hAnsi="Times New Roman" w:eastAsia="宋体" w:cs="Times New Roman"/>
                      <w:bCs/>
                      <w:color w:val="000000" w:themeColor="text1"/>
                      <w:sz w:val="21"/>
                      <w:szCs w:val="21"/>
                      <w:highlight w:val="none"/>
                      <w:vertAlign w:val="superscript"/>
                      <w14:textFill>
                        <w14:solidFill>
                          <w14:schemeClr w14:val="tx1"/>
                        </w14:solidFill>
                      </w14:textFill>
                    </w:rPr>
                    <w:t>-7</w:t>
                  </w:r>
                  <w:r>
                    <w:rPr>
                      <w:rFonts w:hint="default" w:ascii="Times New Roman" w:hAnsi="Times New Roman" w:eastAsia="宋体" w:cs="Times New Roman"/>
                      <w:bCs/>
                      <w:color w:val="000000" w:themeColor="text1"/>
                      <w:sz w:val="21"/>
                      <w:szCs w:val="21"/>
                      <w:highlight w:val="none"/>
                      <w14:textFill>
                        <w14:solidFill>
                          <w14:schemeClr w14:val="tx1"/>
                        </w14:solidFill>
                      </w14:textFill>
                    </w:rPr>
                    <w:t>cm/s</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；或参照</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GB18598</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执行</w:t>
                  </w:r>
                  <w:r>
                    <w:rPr>
                      <w:rFonts w:hint="eastAsia" w:ascii="宋体" w:hAnsi="宋体" w:cs="宋体"/>
                      <w:color w:val="000000" w:themeColor="text1"/>
                      <w:kern w:val="0"/>
                      <w:sz w:val="21"/>
                      <w:szCs w:val="21"/>
                      <w:highlight w:val="none"/>
                      <w:lang w:val="en-US" w:eastAsia="zh-CN" w:bidi="ar"/>
                      <w14:textFill>
                        <w14:solidFill>
                          <w14:schemeClr w14:val="tx1"/>
                        </w14:solidFill>
                      </w14:textFill>
                    </w:rPr>
                    <w:t>。</w:t>
                  </w:r>
                </w:p>
              </w:tc>
            </w:tr>
            <w:tr w14:paraId="0DACBF8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729" w:hRule="atLeast"/>
              </w:trPr>
              <w:tc>
                <w:tcPr>
                  <w:tcW w:w="399" w:type="pct"/>
                  <w:tcBorders>
                    <w:tl2br w:val="nil"/>
                    <w:tr2bl w:val="nil"/>
                  </w:tcBorders>
                  <w:noWrap w:val="0"/>
                  <w:vAlign w:val="center"/>
                </w:tcPr>
                <w:p w14:paraId="284D05B2">
                  <w:pPr>
                    <w:keepNext w:val="0"/>
                    <w:keepLines w:val="0"/>
                    <w:pageBreakBefore w:val="0"/>
                    <w:widowControl w:val="0"/>
                    <w:numPr>
                      <w:ilvl w:val="0"/>
                      <w:numId w:val="33"/>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6" w:type="pct"/>
                  <w:tcBorders>
                    <w:tl2br w:val="nil"/>
                    <w:tr2bl w:val="nil"/>
                  </w:tcBorders>
                  <w:noWrap w:val="0"/>
                  <w:vAlign w:val="center"/>
                </w:tcPr>
                <w:p w14:paraId="38778E68">
                  <w:pPr>
                    <w:pStyle w:val="6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一般防渗区</w:t>
                  </w:r>
                </w:p>
              </w:tc>
              <w:tc>
                <w:tcPr>
                  <w:tcW w:w="1691" w:type="pct"/>
                  <w:tcBorders>
                    <w:tl2br w:val="nil"/>
                    <w:tr2bl w:val="nil"/>
                  </w:tcBorders>
                  <w:noWrap w:val="0"/>
                  <w:vAlign w:val="center"/>
                </w:tcPr>
                <w:p w14:paraId="6D7370EB">
                  <w:pPr>
                    <w:pStyle w:val="6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前处理车间</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eastAsia" w:cs="Times New Roman"/>
                      <w:color w:val="000000" w:themeColor="text1"/>
                      <w:sz w:val="21"/>
                      <w:szCs w:val="21"/>
                      <w:highlight w:val="none"/>
                      <w:vertAlign w:val="baseline"/>
                      <w:lang w:val="en-US" w:eastAsia="zh-CN"/>
                      <w14:textFill>
                        <w14:solidFill>
                          <w14:schemeClr w14:val="tx1"/>
                        </w14:solidFill>
                      </w14:textFill>
                    </w:rPr>
                    <w:t>综合制剂车间</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eastAsia" w:cs="Times New Roman"/>
                      <w:color w:val="000000" w:themeColor="text1"/>
                      <w:sz w:val="21"/>
                      <w:szCs w:val="21"/>
                      <w:highlight w:val="none"/>
                      <w:vertAlign w:val="baseline"/>
                      <w:lang w:val="en-US" w:eastAsia="zh-CN"/>
                      <w14:textFill>
                        <w14:solidFill>
                          <w14:schemeClr w14:val="tx1"/>
                        </w14:solidFill>
                      </w14:textFill>
                    </w:rPr>
                    <w:t>综合仓库、创新制剂车间</w:t>
                  </w:r>
                </w:p>
              </w:tc>
              <w:tc>
                <w:tcPr>
                  <w:tcW w:w="2083" w:type="pct"/>
                  <w:tcBorders>
                    <w:tl2br w:val="nil"/>
                    <w:tr2bl w:val="nil"/>
                  </w:tcBorders>
                  <w:noWrap w:val="0"/>
                  <w:vAlign w:val="center"/>
                </w:tcPr>
                <w:p w14:paraId="7A6093B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right="0"/>
                    <w:jc w:val="left"/>
                    <w:textAlignment w:val="auto"/>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 xml:space="preserve">等效黏土防渗层 </w:t>
                  </w:r>
                  <w:r>
                    <w:rPr>
                      <w:rFonts w:hint="default" w:ascii="Times New Roman" w:hAnsi="Times New Roman" w:eastAsia="宋体" w:cs="Times New Roman"/>
                      <w:i/>
                      <w:iCs/>
                      <w:color w:val="000000" w:themeColor="text1"/>
                      <w:kern w:val="0"/>
                      <w:sz w:val="21"/>
                      <w:szCs w:val="21"/>
                      <w:highlight w:val="none"/>
                      <w:lang w:val="en-US" w:eastAsia="zh-CN" w:bidi="ar"/>
                      <w14:textFill>
                        <w14:solidFill>
                          <w14:schemeClr w14:val="tx1"/>
                        </w14:solidFill>
                      </w14:textFill>
                    </w:rPr>
                    <w:t>Mb</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r>
                    <w:rPr>
                      <w:rFonts w:hint="default" w:ascii="Times New Roman" w:hAnsi="Times New Roman" w:eastAsia="宋体" w:cs="Times New Roman"/>
                      <w:bCs/>
                      <w:color w:val="000000" w:themeColor="text1"/>
                      <w:sz w:val="21"/>
                      <w:szCs w:val="21"/>
                      <w:highlight w:val="none"/>
                      <w14:textFill>
                        <w14:solidFill>
                          <w14:schemeClr w14:val="tx1"/>
                        </w14:solidFill>
                      </w14:textFill>
                    </w:rPr>
                    <w:t>1.5m</w:t>
                  </w:r>
                  <w:r>
                    <w:rPr>
                      <w:rFonts w:hint="eastAsia" w:ascii="Times New Roman" w:hAnsi="Times New Roman" w:eastAsia="宋体" w:cs="Times New Roman"/>
                      <w:bCs/>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i/>
                      <w:iCs/>
                      <w:color w:val="000000" w:themeColor="text1"/>
                      <w:kern w:val="0"/>
                      <w:sz w:val="21"/>
                      <w:szCs w:val="21"/>
                      <w:highlight w:val="none"/>
                      <w:lang w:val="en-US" w:eastAsia="zh-CN" w:bidi="ar"/>
                      <w14:textFill>
                        <w14:solidFill>
                          <w14:schemeClr w14:val="tx1"/>
                        </w14:solidFill>
                      </w14:textFill>
                    </w:rPr>
                    <w:t>K</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r>
                    <w:rPr>
                      <w:rFonts w:hint="default" w:ascii="Times New Roman" w:hAnsi="Times New Roman" w:eastAsia="宋体" w:cs="Times New Roman"/>
                      <w:bCs/>
                      <w:color w:val="000000" w:themeColor="text1"/>
                      <w:sz w:val="21"/>
                      <w:szCs w:val="21"/>
                      <w:highlight w:val="none"/>
                      <w14:textFill>
                        <w14:solidFill>
                          <w14:schemeClr w14:val="tx1"/>
                        </w14:solidFill>
                      </w14:textFill>
                    </w:rPr>
                    <w:t>1.0×10</w:t>
                  </w:r>
                  <w:r>
                    <w:rPr>
                      <w:rFonts w:hint="default" w:ascii="Times New Roman" w:hAnsi="Times New Roman" w:eastAsia="宋体" w:cs="Times New Roman"/>
                      <w:bCs/>
                      <w:color w:val="000000" w:themeColor="text1"/>
                      <w:sz w:val="21"/>
                      <w:szCs w:val="21"/>
                      <w:highlight w:val="none"/>
                      <w:vertAlign w:val="superscript"/>
                      <w14:textFill>
                        <w14:solidFill>
                          <w14:schemeClr w14:val="tx1"/>
                        </w14:solidFill>
                      </w14:textFill>
                    </w:rPr>
                    <w:t>-7</w:t>
                  </w:r>
                  <w:r>
                    <w:rPr>
                      <w:rFonts w:hint="default" w:ascii="Times New Roman" w:hAnsi="Times New Roman" w:eastAsia="宋体" w:cs="Times New Roman"/>
                      <w:bCs/>
                      <w:color w:val="000000" w:themeColor="text1"/>
                      <w:sz w:val="21"/>
                      <w:szCs w:val="21"/>
                      <w:highlight w:val="none"/>
                      <w14:textFill>
                        <w14:solidFill>
                          <w14:schemeClr w14:val="tx1"/>
                        </w14:solidFill>
                      </w14:textFill>
                    </w:rPr>
                    <w:t>cm/s</w:t>
                  </w:r>
                  <w:r>
                    <w:rPr>
                      <w:rFonts w:hint="eastAsia" w:ascii="Times New Roman" w:hAnsi="Times New Roman" w:eastAsia="宋体" w:cs="Times New Roman"/>
                      <w:bCs/>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或参照</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GB16889</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执行</w:t>
                  </w:r>
                  <w:r>
                    <w:rPr>
                      <w:rFonts w:hint="eastAsia" w:ascii="宋体" w:hAnsi="宋体" w:cs="宋体"/>
                      <w:color w:val="000000" w:themeColor="text1"/>
                      <w:kern w:val="0"/>
                      <w:sz w:val="21"/>
                      <w:szCs w:val="21"/>
                      <w:highlight w:val="none"/>
                      <w:lang w:val="en-US" w:eastAsia="zh-CN" w:bidi="ar"/>
                      <w14:textFill>
                        <w14:solidFill>
                          <w14:schemeClr w14:val="tx1"/>
                        </w14:solidFill>
                      </w14:textFill>
                    </w:rPr>
                    <w:t>。</w:t>
                  </w:r>
                </w:p>
              </w:tc>
            </w:tr>
            <w:tr w14:paraId="39348C38">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99" w:type="pct"/>
                  <w:tcBorders>
                    <w:tl2br w:val="nil"/>
                    <w:tr2bl w:val="nil"/>
                  </w:tcBorders>
                  <w:noWrap w:val="0"/>
                  <w:vAlign w:val="center"/>
                </w:tcPr>
                <w:p w14:paraId="4BACCB10">
                  <w:pPr>
                    <w:keepNext w:val="0"/>
                    <w:keepLines w:val="0"/>
                    <w:pageBreakBefore w:val="0"/>
                    <w:widowControl w:val="0"/>
                    <w:numPr>
                      <w:ilvl w:val="0"/>
                      <w:numId w:val="33"/>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26" w:type="pct"/>
                  <w:tcBorders>
                    <w:tl2br w:val="nil"/>
                    <w:tr2bl w:val="nil"/>
                  </w:tcBorders>
                  <w:noWrap w:val="0"/>
                  <w:vAlign w:val="center"/>
                </w:tcPr>
                <w:p w14:paraId="4AA50D03">
                  <w:pPr>
                    <w:pStyle w:val="6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简单防渗区</w:t>
                  </w:r>
                </w:p>
              </w:tc>
              <w:tc>
                <w:tcPr>
                  <w:tcW w:w="1691" w:type="pct"/>
                  <w:tcBorders>
                    <w:tl2br w:val="nil"/>
                    <w:tr2bl w:val="nil"/>
                  </w:tcBorders>
                  <w:noWrap w:val="0"/>
                  <w:vAlign w:val="center"/>
                </w:tcPr>
                <w:p w14:paraId="0542100C">
                  <w:pPr>
                    <w:pStyle w:val="6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成品</w:t>
                  </w:r>
                  <w:r>
                    <w:rPr>
                      <w:rFonts w:hint="eastAsia" w:cs="Times New Roman"/>
                      <w:color w:val="000000" w:themeColor="text1"/>
                      <w:sz w:val="21"/>
                      <w:szCs w:val="21"/>
                      <w:highlight w:val="none"/>
                      <w:vertAlign w:val="baseline"/>
                      <w:lang w:val="en-US" w:eastAsia="zh-CN"/>
                      <w14:textFill>
                        <w14:solidFill>
                          <w14:schemeClr w14:val="tx1"/>
                        </w14:solidFill>
                      </w14:textFill>
                    </w:rPr>
                    <w:t>库、综合楼</w:t>
                  </w: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及厂区运输道路等</w:t>
                  </w:r>
                </w:p>
              </w:tc>
              <w:tc>
                <w:tcPr>
                  <w:tcW w:w="2083" w:type="pct"/>
                  <w:tcBorders>
                    <w:tl2br w:val="nil"/>
                    <w:tr2bl w:val="nil"/>
                  </w:tcBorders>
                  <w:noWrap w:val="0"/>
                  <w:vAlign w:val="center"/>
                </w:tcPr>
                <w:p w14:paraId="5A74933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一般地面硬化</w:t>
                  </w:r>
                </w:p>
              </w:tc>
            </w:tr>
          </w:tbl>
          <w:p w14:paraId="63D5197D">
            <w:pPr>
              <w:pStyle w:val="10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由上述分析可知，项目对可能产生的地下水影响的各项途径均进行有效预防，在确保各项防渗措施得以落实，并加强环境管理的前提下，可有效控制化粪池及危废贮存库的下渗现象，避免地下水、土壤的污染。</w:t>
            </w:r>
          </w:p>
          <w:p w14:paraId="40F91494">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360" w:lineRule="auto"/>
              <w:ind w:left="0" w:right="0"/>
              <w:jc w:val="both"/>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6</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、环境风险</w:t>
            </w:r>
          </w:p>
          <w:p w14:paraId="78F341C3">
            <w:pPr>
              <w:keepNext w:val="0"/>
              <w:keepLines w:val="0"/>
              <w:suppressLineNumbers w:val="0"/>
              <w:autoSpaceDE w:val="0"/>
              <w:autoSpaceDN w:val="0"/>
              <w:spacing w:before="0" w:beforeAutospacing="0" w:after="0" w:afterAutospacing="0" w:line="360" w:lineRule="auto"/>
              <w:ind w:left="0" w:right="0"/>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6.1</w:t>
            </w:r>
            <w:r>
              <w:rPr>
                <w:rFonts w:hint="eastAsia"/>
                <w:b/>
                <w:bCs/>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危险物质识别</w:t>
            </w:r>
          </w:p>
          <w:p w14:paraId="0044E3BC">
            <w:pPr>
              <w:pStyle w:val="10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环境风险评价的目的是分析和预测本项目存在的潜在危险、有害因素、项目 建设和运行期间可能发生的突发性事件或事故（一般不包括人为破坏及自然灾害），引起有毒有害和易燃易爆的物质泄漏，所造成的人身安全与环境影响和损害程度，提出合理可行的防范、应急与减缓措施，以使项目事故率、损失和环境影响达到可接受水平。</w:t>
            </w:r>
          </w:p>
          <w:p w14:paraId="6A052EE2">
            <w:pPr>
              <w:pStyle w:val="10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根据《建设项目环境风险评价技术导则》（HJ 169-2018）对项目主要物料的毒性及其风险危害特性进行识别。本项目风险物质为柴油、化学检验废液</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4"/>
                <w:szCs w:val="24"/>
                <w:highlight w:val="none"/>
                <w:lang w:eastAsia="zh-CN"/>
                <w14:textFill>
                  <w14:solidFill>
                    <w14:schemeClr w14:val="tx1"/>
                  </w14:solidFill>
                </w14:textFill>
              </w:rPr>
              <w:t>废化学试剂瓶</w:t>
            </w:r>
            <w:r>
              <w:rPr>
                <w:rFonts w:hint="eastAsia" w:cs="Times New Roman"/>
                <w:b w:val="0"/>
                <w:bCs w:val="0"/>
                <w:color w:val="000000" w:themeColor="text1"/>
                <w:sz w:val="24"/>
                <w:szCs w:val="24"/>
                <w:highlight w:val="none"/>
                <w:lang w:eastAsia="zh-CN"/>
                <w14:textFill>
                  <w14:solidFill>
                    <w14:schemeClr w14:val="tx1"/>
                  </w14:solidFill>
                </w14:textFill>
              </w:rPr>
              <w:t>、</w:t>
            </w:r>
            <w:r>
              <w:rPr>
                <w:rFonts w:hint="eastAsia" w:cs="Times New Roman"/>
                <w:b w:val="0"/>
                <w:bCs w:val="0"/>
                <w:color w:val="000000" w:themeColor="text1"/>
                <w:sz w:val="24"/>
                <w:szCs w:val="24"/>
                <w:highlight w:val="none"/>
                <w:lang w:val="en-US" w:eastAsia="zh-CN"/>
                <w14:textFill>
                  <w14:solidFill>
                    <w14:schemeClr w14:val="tx1"/>
                  </w14:solidFill>
                </w14:textFill>
              </w:rPr>
              <w:t>废活性炭</w:t>
            </w:r>
            <w:r>
              <w:rPr>
                <w:rFonts w:hint="eastAsia"/>
                <w:color w:val="000000" w:themeColor="text1"/>
                <w:spacing w:val="-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属于《建设项目环境风险评价技术导则》（</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HJ169-2018</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）附录</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B.1</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中风险物质，计算涉及的每种危险物质在厂界内的最大存在总量与其在附录</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B</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中对应临界量的比值</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Q</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3FBA72B9">
            <w:pPr>
              <w:pStyle w:val="104"/>
              <w:keepNext w:val="0"/>
              <w:keepLines w:val="0"/>
              <w:suppressLineNumbers w:val="0"/>
              <w:spacing w:before="0" w:beforeAutospacing="0" w:after="0" w:afterAutospacing="0" w:line="360" w:lineRule="auto"/>
              <w:ind w:left="0" w:right="0" w:firstLine="42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color w:val="000000" w:themeColor="text1"/>
                <w:sz w:val="24"/>
                <w:szCs w:val="24"/>
                <w:highlight w:val="none"/>
                <w14:textFill>
                  <w14:solidFill>
                    <w14:schemeClr w14:val="tx1"/>
                  </w14:solidFill>
                </w14:textFill>
              </w:rPr>
              <w:drawing>
                <wp:inline distT="0" distB="0" distL="114300" distR="114300">
                  <wp:extent cx="2019300" cy="5715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29"/>
                          <a:stretch>
                            <a:fillRect/>
                          </a:stretch>
                        </pic:blipFill>
                        <pic:spPr>
                          <a:xfrm>
                            <a:off x="0" y="0"/>
                            <a:ext cx="2019300" cy="571500"/>
                          </a:xfrm>
                          <a:prstGeom prst="rect">
                            <a:avLst/>
                          </a:prstGeom>
                          <a:noFill/>
                          <a:ln>
                            <a:noFill/>
                          </a:ln>
                        </pic:spPr>
                      </pic:pic>
                    </a:graphicData>
                  </a:graphic>
                </wp:inline>
              </w:drawing>
            </w:r>
          </w:p>
          <w:p w14:paraId="2F0D4D6C">
            <w:pPr>
              <w:pStyle w:val="10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式中：q1，q2，…，qn</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一一</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每种危险物质的最大存在总量，t；</w:t>
            </w:r>
          </w:p>
          <w:p w14:paraId="2C51627A">
            <w:pPr>
              <w:pStyle w:val="104"/>
              <w:keepNext w:val="0"/>
              <w:keepLines w:val="0"/>
              <w:suppressLineNumbers w:val="0"/>
              <w:spacing w:before="0" w:beforeAutospacing="0" w:after="0" w:afterAutospacing="0" w:line="360" w:lineRule="auto"/>
              <w:ind w:left="0" w:right="0" w:firstLine="1200" w:firstLineChars="50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Q1，Q2，…，Qn</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一一</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每种危险物质的临界量，t。</w:t>
            </w:r>
          </w:p>
          <w:p w14:paraId="729C8B28">
            <w:pPr>
              <w:pStyle w:val="10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当Q&lt;1时，该项目环境风险潜势为I。</w:t>
            </w:r>
          </w:p>
          <w:p w14:paraId="2FF31CE1">
            <w:pPr>
              <w:pStyle w:val="10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当Q≥1时，将Q值划分为：（1）1≤Q&lt;10；（2）10≤Q&lt;100；（3）Q≥100。</w:t>
            </w:r>
          </w:p>
          <w:p w14:paraId="68D4B5C7">
            <w:pPr>
              <w:pStyle w:val="10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p>
          <w:p w14:paraId="18B5EC7C">
            <w:pPr>
              <w:pStyle w:val="10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p>
          <w:p w14:paraId="4C0FA6E4">
            <w:pPr>
              <w:keepNext w:val="0"/>
              <w:keepLines w:val="0"/>
              <w:suppressLineNumbers w:val="0"/>
              <w:bidi w:val="0"/>
              <w:spacing w:before="0" w:beforeAutospacing="0" w:after="0" w:afterAutospacing="0"/>
              <w:ind w:left="0" w:right="0"/>
              <w:rPr>
                <w:rFonts w:hint="eastAsia"/>
                <w:lang w:val="en-US" w:eastAsia="zh-CN"/>
              </w:rPr>
            </w:pPr>
          </w:p>
          <w:p w14:paraId="588CA2ED">
            <w:pPr>
              <w:keepNext w:val="0"/>
              <w:keepLines w:val="0"/>
              <w:pageBreakBefore w:val="0"/>
              <w:widowControl w:val="0"/>
              <w:numPr>
                <w:ilvl w:val="0"/>
                <w:numId w:val="26"/>
              </w:numPr>
              <w:suppressLineNumbers w:val="0"/>
              <w:kinsoku/>
              <w:wordWrap/>
              <w:overflowPunct/>
              <w:topLinePunct w:val="0"/>
              <w:autoSpaceDE/>
              <w:autoSpaceDN/>
              <w:bidi w:val="0"/>
              <w:adjustRightInd/>
              <w:snapToGrid w:val="0"/>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项目危险物质数量与临界量分析</w:t>
            </w:r>
          </w:p>
          <w:tbl>
            <w:tblPr>
              <w:tblStyle w:val="76"/>
              <w:tblW w:w="4974"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742"/>
              <w:gridCol w:w="1392"/>
              <w:gridCol w:w="1034"/>
              <w:gridCol w:w="1352"/>
              <w:gridCol w:w="1415"/>
              <w:gridCol w:w="746"/>
              <w:gridCol w:w="1392"/>
            </w:tblGrid>
            <w:tr w14:paraId="47870C3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675" w:hRule="atLeast"/>
                <w:jc w:val="center"/>
              </w:trPr>
              <w:tc>
                <w:tcPr>
                  <w:tcW w:w="459" w:type="pct"/>
                  <w:tcBorders>
                    <w:tl2br w:val="nil"/>
                    <w:tr2bl w:val="nil"/>
                  </w:tcBorders>
                  <w:noWrap w:val="0"/>
                  <w:vAlign w:val="center"/>
                </w:tcPr>
                <w:p w14:paraId="19262E90">
                  <w:pPr>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序号</w:t>
                  </w:r>
                </w:p>
              </w:tc>
              <w:tc>
                <w:tcPr>
                  <w:tcW w:w="862" w:type="pct"/>
                  <w:tcBorders>
                    <w:tl2br w:val="nil"/>
                    <w:tr2bl w:val="nil"/>
                  </w:tcBorders>
                  <w:noWrap w:val="0"/>
                  <w:vAlign w:val="center"/>
                </w:tcPr>
                <w:p w14:paraId="5D92234D">
                  <w:pPr>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名称</w:t>
                  </w:r>
                </w:p>
              </w:tc>
              <w:tc>
                <w:tcPr>
                  <w:tcW w:w="640" w:type="pct"/>
                  <w:tcBorders>
                    <w:tl2br w:val="nil"/>
                    <w:tr2bl w:val="nil"/>
                  </w:tcBorders>
                  <w:noWrap w:val="0"/>
                  <w:vAlign w:val="center"/>
                </w:tcPr>
                <w:p w14:paraId="274719B0">
                  <w:pPr>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形态</w:t>
                  </w:r>
                </w:p>
              </w:tc>
              <w:tc>
                <w:tcPr>
                  <w:tcW w:w="837" w:type="pct"/>
                  <w:tcBorders>
                    <w:tl2br w:val="nil"/>
                    <w:tr2bl w:val="nil"/>
                  </w:tcBorders>
                  <w:noWrap w:val="0"/>
                  <w:vAlign w:val="center"/>
                </w:tcPr>
                <w:p w14:paraId="20598C96">
                  <w:pPr>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储存场所</w:t>
                  </w:r>
                </w:p>
              </w:tc>
              <w:tc>
                <w:tcPr>
                  <w:tcW w:w="876" w:type="pct"/>
                  <w:tcBorders>
                    <w:tl2br w:val="nil"/>
                    <w:tr2bl w:val="nil"/>
                  </w:tcBorders>
                  <w:noWrap w:val="0"/>
                  <w:vAlign w:val="center"/>
                </w:tcPr>
                <w:p w14:paraId="72548955">
                  <w:pPr>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最大储存量</w:t>
                  </w:r>
                </w:p>
                <w:p w14:paraId="121AA180">
                  <w:pPr>
                    <w:jc w:val="center"/>
                    <w:rPr>
                      <w:b/>
                      <w:bCs/>
                      <w:color w:val="000000" w:themeColor="text1"/>
                      <w:sz w:val="21"/>
                      <w:szCs w:val="21"/>
                      <w:highlight w:val="none"/>
                      <w14:textFill>
                        <w14:solidFill>
                          <w14:schemeClr w14:val="tx1"/>
                        </w14:solidFill>
                      </w14:textFill>
                    </w:rPr>
                  </w:pPr>
                  <w:r>
                    <w:rPr>
                      <w:b/>
                      <w:bCs/>
                      <w:color w:val="000000" w:themeColor="text1"/>
                      <w:spacing w:val="7"/>
                      <w:sz w:val="21"/>
                      <w:szCs w:val="21"/>
                      <w:highlight w:val="none"/>
                      <w14:textFill>
                        <w14:solidFill>
                          <w14:schemeClr w14:val="tx1"/>
                        </w14:solidFill>
                      </w14:textFill>
                    </w:rPr>
                    <w:t>（</w:t>
                  </w:r>
                  <w:r>
                    <w:rPr>
                      <w:rFonts w:ascii="Times New Roman" w:hAnsi="Times New Roman" w:eastAsia="Times New Roman" w:cs="Times New Roman"/>
                      <w:b/>
                      <w:bCs/>
                      <w:color w:val="000000" w:themeColor="text1"/>
                      <w:spacing w:val="7"/>
                      <w:sz w:val="21"/>
                      <w:szCs w:val="21"/>
                      <w:highlight w:val="none"/>
                      <w14:textFill>
                        <w14:solidFill>
                          <w14:schemeClr w14:val="tx1"/>
                        </w14:solidFill>
                      </w14:textFill>
                    </w:rPr>
                    <w:t>t</w:t>
                  </w:r>
                  <w:r>
                    <w:rPr>
                      <w:b/>
                      <w:bCs/>
                      <w:color w:val="000000" w:themeColor="text1"/>
                      <w:spacing w:val="7"/>
                      <w:sz w:val="21"/>
                      <w:szCs w:val="21"/>
                      <w:highlight w:val="none"/>
                      <w14:textFill>
                        <w14:solidFill>
                          <w14:schemeClr w14:val="tx1"/>
                        </w14:solidFill>
                      </w14:textFill>
                    </w:rPr>
                    <w:t>）</w:t>
                  </w:r>
                </w:p>
              </w:tc>
              <w:tc>
                <w:tcPr>
                  <w:tcW w:w="462" w:type="pct"/>
                  <w:tcBorders>
                    <w:tl2br w:val="nil"/>
                    <w:tr2bl w:val="nil"/>
                  </w:tcBorders>
                  <w:noWrap w:val="0"/>
                  <w:vAlign w:val="center"/>
                </w:tcPr>
                <w:p w14:paraId="3C16D28C">
                  <w:pPr>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临界量</w:t>
                  </w:r>
                </w:p>
                <w:p w14:paraId="371C1E67">
                  <w:pPr>
                    <w:jc w:val="center"/>
                    <w:rPr>
                      <w:b/>
                      <w:bCs/>
                      <w:color w:val="000000" w:themeColor="text1"/>
                      <w:sz w:val="21"/>
                      <w:szCs w:val="21"/>
                      <w:highlight w:val="none"/>
                      <w14:textFill>
                        <w14:solidFill>
                          <w14:schemeClr w14:val="tx1"/>
                        </w14:solidFill>
                      </w14:textFill>
                    </w:rPr>
                  </w:pPr>
                  <w:r>
                    <w:rPr>
                      <w:b/>
                      <w:bCs/>
                      <w:color w:val="000000" w:themeColor="text1"/>
                      <w:spacing w:val="7"/>
                      <w:sz w:val="21"/>
                      <w:szCs w:val="21"/>
                      <w:highlight w:val="none"/>
                      <w14:textFill>
                        <w14:solidFill>
                          <w14:schemeClr w14:val="tx1"/>
                        </w14:solidFill>
                      </w14:textFill>
                    </w:rPr>
                    <w:t>（</w:t>
                  </w:r>
                  <w:r>
                    <w:rPr>
                      <w:rFonts w:ascii="Times New Roman" w:hAnsi="Times New Roman" w:eastAsia="Times New Roman" w:cs="Times New Roman"/>
                      <w:b/>
                      <w:bCs/>
                      <w:color w:val="000000" w:themeColor="text1"/>
                      <w:spacing w:val="7"/>
                      <w:sz w:val="21"/>
                      <w:szCs w:val="21"/>
                      <w:highlight w:val="none"/>
                      <w14:textFill>
                        <w14:solidFill>
                          <w14:schemeClr w14:val="tx1"/>
                        </w14:solidFill>
                      </w14:textFill>
                    </w:rPr>
                    <w:t>t</w:t>
                  </w:r>
                  <w:r>
                    <w:rPr>
                      <w:b/>
                      <w:bCs/>
                      <w:color w:val="000000" w:themeColor="text1"/>
                      <w:spacing w:val="7"/>
                      <w:sz w:val="21"/>
                      <w:szCs w:val="21"/>
                      <w:highlight w:val="none"/>
                      <w14:textFill>
                        <w14:solidFill>
                          <w14:schemeClr w14:val="tx1"/>
                        </w14:solidFill>
                      </w14:textFill>
                    </w:rPr>
                    <w:t>）</w:t>
                  </w:r>
                </w:p>
              </w:tc>
              <w:tc>
                <w:tcPr>
                  <w:tcW w:w="862" w:type="pct"/>
                  <w:tcBorders>
                    <w:tl2br w:val="nil"/>
                    <w:tr2bl w:val="nil"/>
                  </w:tcBorders>
                  <w:noWrap w:val="0"/>
                  <w:vAlign w:val="center"/>
                </w:tcPr>
                <w:p w14:paraId="023F9CFB">
                  <w:pPr>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Q值</w:t>
                  </w:r>
                </w:p>
              </w:tc>
            </w:tr>
            <w:tr w14:paraId="4BEABE2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7" w:hRule="atLeast"/>
                <w:jc w:val="center"/>
              </w:trPr>
              <w:tc>
                <w:tcPr>
                  <w:tcW w:w="459" w:type="pct"/>
                  <w:tcBorders>
                    <w:tl2br w:val="nil"/>
                    <w:tr2bl w:val="nil"/>
                  </w:tcBorders>
                  <w:noWrap w:val="0"/>
                  <w:vAlign w:val="center"/>
                </w:tcPr>
                <w:p w14:paraId="2D31F07D">
                  <w:pPr>
                    <w:keepNext w:val="0"/>
                    <w:keepLines w:val="0"/>
                    <w:pageBreakBefore w:val="0"/>
                    <w:widowControl w:val="0"/>
                    <w:numPr>
                      <w:ilvl w:val="0"/>
                      <w:numId w:val="34"/>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62" w:type="pct"/>
                  <w:tcBorders>
                    <w:tl2br w:val="nil"/>
                    <w:tr2bl w:val="nil"/>
                  </w:tcBorders>
                  <w:noWrap w:val="0"/>
                  <w:vAlign w:val="center"/>
                </w:tcPr>
                <w:p w14:paraId="776E5521">
                  <w:pPr>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柴油</w:t>
                  </w:r>
                </w:p>
              </w:tc>
              <w:tc>
                <w:tcPr>
                  <w:tcW w:w="640" w:type="pct"/>
                  <w:tcBorders>
                    <w:tl2br w:val="nil"/>
                    <w:tr2bl w:val="nil"/>
                  </w:tcBorders>
                  <w:noWrap w:val="0"/>
                  <w:vAlign w:val="center"/>
                </w:tcPr>
                <w:p w14:paraId="57829135">
                  <w:pPr>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液态</w:t>
                  </w:r>
                </w:p>
              </w:tc>
              <w:tc>
                <w:tcPr>
                  <w:tcW w:w="837" w:type="pct"/>
                  <w:tcBorders>
                    <w:tl2br w:val="nil"/>
                    <w:tr2bl w:val="nil"/>
                  </w:tcBorders>
                  <w:noWrap w:val="0"/>
                  <w:vAlign w:val="center"/>
                </w:tcPr>
                <w:p w14:paraId="095DDE6D">
                  <w:pPr>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设备库房、成品库</w:t>
                  </w:r>
                </w:p>
              </w:tc>
              <w:tc>
                <w:tcPr>
                  <w:tcW w:w="876" w:type="pct"/>
                  <w:tcBorders>
                    <w:tl2br w:val="nil"/>
                    <w:tr2bl w:val="nil"/>
                  </w:tcBorders>
                  <w:noWrap w:val="0"/>
                  <w:vAlign w:val="center"/>
                </w:tcPr>
                <w:p w14:paraId="64840B8F">
                  <w:pPr>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1760L，按照密度0.835kg/L换算为1.47t</w:t>
                  </w:r>
                </w:p>
              </w:tc>
              <w:tc>
                <w:tcPr>
                  <w:tcW w:w="462" w:type="pct"/>
                  <w:tcBorders>
                    <w:tl2br w:val="nil"/>
                    <w:tr2bl w:val="nil"/>
                  </w:tcBorders>
                  <w:noWrap w:val="0"/>
                  <w:vAlign w:val="center"/>
                </w:tcPr>
                <w:p w14:paraId="38614C53">
                  <w:pPr>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2500</w:t>
                  </w:r>
                </w:p>
              </w:tc>
              <w:tc>
                <w:tcPr>
                  <w:tcW w:w="862" w:type="pct"/>
                  <w:tcBorders>
                    <w:tl2br w:val="nil"/>
                    <w:tr2bl w:val="nil"/>
                  </w:tcBorders>
                  <w:noWrap w:val="0"/>
                  <w:vAlign w:val="center"/>
                </w:tcPr>
                <w:p w14:paraId="7D460CD9">
                  <w:pPr>
                    <w:keepNext w:val="0"/>
                    <w:keepLines w:val="0"/>
                    <w:widowControl/>
                    <w:suppressLineNumbers w:val="0"/>
                    <w:jc w:val="center"/>
                    <w:textAlignment w:val="center"/>
                    <w:rPr>
                      <w:rFonts w:hint="default"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0.000588</w:t>
                  </w:r>
                </w:p>
              </w:tc>
            </w:tr>
            <w:tr w14:paraId="480C4BE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7" w:hRule="atLeast"/>
                <w:jc w:val="center"/>
              </w:trPr>
              <w:tc>
                <w:tcPr>
                  <w:tcW w:w="459" w:type="pct"/>
                  <w:tcBorders>
                    <w:tl2br w:val="nil"/>
                    <w:tr2bl w:val="nil"/>
                  </w:tcBorders>
                  <w:noWrap w:val="0"/>
                  <w:vAlign w:val="center"/>
                </w:tcPr>
                <w:p w14:paraId="321A9172">
                  <w:pPr>
                    <w:keepNext w:val="0"/>
                    <w:keepLines w:val="0"/>
                    <w:pageBreakBefore w:val="0"/>
                    <w:widowControl w:val="0"/>
                    <w:numPr>
                      <w:ilvl w:val="0"/>
                      <w:numId w:val="34"/>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62" w:type="pct"/>
                  <w:tcBorders>
                    <w:tl2br w:val="nil"/>
                    <w:tr2bl w:val="nil"/>
                  </w:tcBorders>
                  <w:noWrap w:val="0"/>
                  <w:vAlign w:val="center"/>
                </w:tcPr>
                <w:p w14:paraId="23F577F9">
                  <w:pPr>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化学检验废液</w:t>
                  </w:r>
                </w:p>
              </w:tc>
              <w:tc>
                <w:tcPr>
                  <w:tcW w:w="640" w:type="pct"/>
                  <w:tcBorders>
                    <w:tl2br w:val="nil"/>
                    <w:tr2bl w:val="nil"/>
                  </w:tcBorders>
                  <w:noWrap w:val="0"/>
                  <w:vAlign w:val="center"/>
                </w:tcPr>
                <w:p w14:paraId="372D532D">
                  <w:pPr>
                    <w:jc w:val="center"/>
                    <w:rPr>
                      <w:rFonts w:hint="eastAsia"/>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液态</w:t>
                  </w:r>
                </w:p>
              </w:tc>
              <w:tc>
                <w:tcPr>
                  <w:tcW w:w="837" w:type="pct"/>
                  <w:vMerge w:val="restart"/>
                  <w:tcBorders>
                    <w:tl2br w:val="nil"/>
                    <w:tr2bl w:val="nil"/>
                  </w:tcBorders>
                  <w:noWrap w:val="0"/>
                  <w:vAlign w:val="center"/>
                </w:tcPr>
                <w:p w14:paraId="68C9A8BF">
                  <w:pPr>
                    <w:jc w:val="center"/>
                    <w:rPr>
                      <w:rFonts w:hint="eastAsia" w:eastAsia="宋体"/>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危废贮存库</w:t>
                  </w:r>
                </w:p>
              </w:tc>
              <w:tc>
                <w:tcPr>
                  <w:tcW w:w="876" w:type="pct"/>
                  <w:tcBorders>
                    <w:tl2br w:val="nil"/>
                    <w:tr2bl w:val="nil"/>
                  </w:tcBorders>
                  <w:noWrap w:val="0"/>
                  <w:vAlign w:val="center"/>
                </w:tcPr>
                <w:p w14:paraId="68DB4379">
                  <w:pPr>
                    <w:keepNext w:val="0"/>
                    <w:keepLines w:val="0"/>
                    <w:suppressLineNumbers w:val="0"/>
                    <w:spacing w:before="0" w:beforeAutospacing="0" w:after="0" w:afterAutospacing="0" w:line="240" w:lineRule="auto"/>
                    <w:ind w:left="0" w:leftChars="0" w:right="0" w:rightChars="0" w:firstLine="0" w:firstLineChars="0"/>
                    <w:jc w:val="center"/>
                    <w:rPr>
                      <w:rFonts w:hint="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4</w:t>
                  </w:r>
                </w:p>
              </w:tc>
              <w:tc>
                <w:tcPr>
                  <w:tcW w:w="462" w:type="pct"/>
                  <w:tcBorders>
                    <w:tl2br w:val="nil"/>
                    <w:tr2bl w:val="nil"/>
                  </w:tcBorders>
                  <w:noWrap w:val="0"/>
                  <w:vAlign w:val="center"/>
                </w:tcPr>
                <w:p w14:paraId="387B1CF9">
                  <w:pPr>
                    <w:jc w:val="center"/>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1</w:t>
                  </w:r>
                  <w:r>
                    <w:rPr>
                      <w:color w:val="000000" w:themeColor="text1"/>
                      <w:sz w:val="21"/>
                      <w:szCs w:val="21"/>
                      <w:highlight w:val="none"/>
                      <w14:textFill>
                        <w14:solidFill>
                          <w14:schemeClr w14:val="tx1"/>
                        </w14:solidFill>
                      </w14:textFill>
                    </w:rPr>
                    <w:t>00</w:t>
                  </w:r>
                </w:p>
              </w:tc>
              <w:tc>
                <w:tcPr>
                  <w:tcW w:w="862" w:type="pct"/>
                  <w:tcBorders>
                    <w:tl2br w:val="nil"/>
                    <w:tr2bl w:val="nil"/>
                  </w:tcBorders>
                  <w:noWrap w:val="0"/>
                  <w:vAlign w:val="center"/>
                </w:tcPr>
                <w:p w14:paraId="7875DFCB">
                  <w:pPr>
                    <w:keepNext w:val="0"/>
                    <w:keepLines w:val="0"/>
                    <w:widowControl/>
                    <w:suppressLineNumbers w:val="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0.004</w:t>
                  </w:r>
                </w:p>
              </w:tc>
            </w:tr>
            <w:tr w14:paraId="2D464EF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7" w:hRule="atLeast"/>
                <w:jc w:val="center"/>
              </w:trPr>
              <w:tc>
                <w:tcPr>
                  <w:tcW w:w="459" w:type="pct"/>
                  <w:tcBorders>
                    <w:tl2br w:val="nil"/>
                    <w:tr2bl w:val="nil"/>
                  </w:tcBorders>
                  <w:noWrap w:val="0"/>
                  <w:vAlign w:val="center"/>
                </w:tcPr>
                <w:p w14:paraId="6190A327">
                  <w:pPr>
                    <w:keepNext w:val="0"/>
                    <w:keepLines w:val="0"/>
                    <w:pageBreakBefore w:val="0"/>
                    <w:widowControl w:val="0"/>
                    <w:numPr>
                      <w:ilvl w:val="0"/>
                      <w:numId w:val="34"/>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62" w:type="pct"/>
                  <w:tcBorders>
                    <w:tl2br w:val="nil"/>
                    <w:tr2bl w:val="nil"/>
                  </w:tcBorders>
                  <w:noWrap w:val="0"/>
                  <w:vAlign w:val="center"/>
                </w:tcPr>
                <w:p w14:paraId="50DFEC21">
                  <w:pPr>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废化学试剂瓶</w:t>
                  </w:r>
                </w:p>
              </w:tc>
              <w:tc>
                <w:tcPr>
                  <w:tcW w:w="640" w:type="pct"/>
                  <w:tcBorders>
                    <w:tl2br w:val="nil"/>
                    <w:tr2bl w:val="nil"/>
                  </w:tcBorders>
                  <w:noWrap w:val="0"/>
                  <w:vAlign w:val="center"/>
                </w:tcPr>
                <w:p w14:paraId="49BD9857">
                  <w:pPr>
                    <w:jc w:val="center"/>
                    <w:rPr>
                      <w:rFonts w:hint="eastAsia"/>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固态</w:t>
                  </w:r>
                </w:p>
              </w:tc>
              <w:tc>
                <w:tcPr>
                  <w:tcW w:w="837" w:type="pct"/>
                  <w:vMerge w:val="continue"/>
                  <w:tcBorders>
                    <w:tl2br w:val="nil"/>
                    <w:tr2bl w:val="nil"/>
                  </w:tcBorders>
                  <w:noWrap w:val="0"/>
                  <w:vAlign w:val="center"/>
                </w:tcPr>
                <w:p w14:paraId="1DCC8E61">
                  <w:pPr>
                    <w:jc w:val="center"/>
                    <w:rPr>
                      <w:rFonts w:hint="eastAsia"/>
                      <w:color w:val="000000" w:themeColor="text1"/>
                      <w:sz w:val="21"/>
                      <w:szCs w:val="21"/>
                      <w:highlight w:val="none"/>
                      <w:lang w:eastAsia="zh-CN"/>
                      <w14:textFill>
                        <w14:solidFill>
                          <w14:schemeClr w14:val="tx1"/>
                        </w14:solidFill>
                      </w14:textFill>
                    </w:rPr>
                  </w:pPr>
                </w:p>
              </w:tc>
              <w:tc>
                <w:tcPr>
                  <w:tcW w:w="876" w:type="pct"/>
                  <w:tcBorders>
                    <w:tl2br w:val="nil"/>
                    <w:tr2bl w:val="nil"/>
                  </w:tcBorders>
                  <w:noWrap w:val="0"/>
                  <w:vAlign w:val="center"/>
                </w:tcPr>
                <w:p w14:paraId="466CAC89">
                  <w:pPr>
                    <w:keepNext w:val="0"/>
                    <w:keepLines w:val="0"/>
                    <w:suppressLineNumbers w:val="0"/>
                    <w:spacing w:before="0" w:beforeAutospacing="0" w:after="0" w:afterAutospacing="0" w:line="240" w:lineRule="auto"/>
                    <w:ind w:left="0" w:leftChars="0" w:right="0" w:rightChars="0" w:firstLine="0" w:firstLineChars="0"/>
                    <w:jc w:val="center"/>
                    <w:rPr>
                      <w:rFonts w:hint="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0.1</w:t>
                  </w:r>
                </w:p>
              </w:tc>
              <w:tc>
                <w:tcPr>
                  <w:tcW w:w="462" w:type="pct"/>
                  <w:tcBorders>
                    <w:tl2br w:val="nil"/>
                    <w:tr2bl w:val="nil"/>
                  </w:tcBorders>
                  <w:noWrap w:val="0"/>
                  <w:vAlign w:val="center"/>
                </w:tcPr>
                <w:p w14:paraId="462427DF">
                  <w:pPr>
                    <w:jc w:val="center"/>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1</w:t>
                  </w:r>
                  <w:r>
                    <w:rPr>
                      <w:color w:val="000000" w:themeColor="text1"/>
                      <w:sz w:val="21"/>
                      <w:szCs w:val="21"/>
                      <w:highlight w:val="none"/>
                      <w14:textFill>
                        <w14:solidFill>
                          <w14:schemeClr w14:val="tx1"/>
                        </w14:solidFill>
                      </w14:textFill>
                    </w:rPr>
                    <w:t>00</w:t>
                  </w:r>
                </w:p>
              </w:tc>
              <w:tc>
                <w:tcPr>
                  <w:tcW w:w="862" w:type="pct"/>
                  <w:tcBorders>
                    <w:tl2br w:val="nil"/>
                    <w:tr2bl w:val="nil"/>
                  </w:tcBorders>
                  <w:noWrap w:val="0"/>
                  <w:vAlign w:val="center"/>
                </w:tcPr>
                <w:p w14:paraId="641657E1">
                  <w:pPr>
                    <w:keepNext w:val="0"/>
                    <w:keepLines w:val="0"/>
                    <w:widowControl/>
                    <w:suppressLineNumbers w:val="0"/>
                    <w:jc w:val="center"/>
                    <w:textAlignment w:val="cente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0.001</w:t>
                  </w:r>
                </w:p>
              </w:tc>
            </w:tr>
            <w:tr w14:paraId="59B4D14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7" w:hRule="atLeast"/>
                <w:jc w:val="center"/>
              </w:trPr>
              <w:tc>
                <w:tcPr>
                  <w:tcW w:w="459" w:type="pct"/>
                  <w:tcBorders>
                    <w:tl2br w:val="nil"/>
                    <w:tr2bl w:val="nil"/>
                  </w:tcBorders>
                  <w:noWrap w:val="0"/>
                  <w:vAlign w:val="center"/>
                </w:tcPr>
                <w:p w14:paraId="2D44682C">
                  <w:pPr>
                    <w:keepNext w:val="0"/>
                    <w:keepLines w:val="0"/>
                    <w:pageBreakBefore w:val="0"/>
                    <w:widowControl w:val="0"/>
                    <w:numPr>
                      <w:ilvl w:val="0"/>
                      <w:numId w:val="34"/>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62" w:type="pct"/>
                  <w:tcBorders>
                    <w:tl2br w:val="nil"/>
                    <w:tr2bl w:val="nil"/>
                  </w:tcBorders>
                  <w:noWrap w:val="0"/>
                  <w:vAlign w:val="center"/>
                </w:tcPr>
                <w:p w14:paraId="7FF1F374">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eastAsia="zh-CN"/>
                      <w14:textFill>
                        <w14:solidFill>
                          <w14:schemeClr w14:val="tx1"/>
                        </w14:solidFill>
                      </w14:textFill>
                    </w:rPr>
                    <w:t>废弃薄层板</w:t>
                  </w:r>
                </w:p>
              </w:tc>
              <w:tc>
                <w:tcPr>
                  <w:tcW w:w="640" w:type="pct"/>
                  <w:tcBorders>
                    <w:tl2br w:val="nil"/>
                    <w:tr2bl w:val="nil"/>
                  </w:tcBorders>
                  <w:noWrap w:val="0"/>
                  <w:vAlign w:val="center"/>
                </w:tcPr>
                <w:p w14:paraId="68B1A739">
                  <w:pPr>
                    <w:jc w:val="center"/>
                    <w:rPr>
                      <w:rFonts w:hint="eastAsia"/>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固态</w:t>
                  </w:r>
                </w:p>
              </w:tc>
              <w:tc>
                <w:tcPr>
                  <w:tcW w:w="837" w:type="pct"/>
                  <w:vMerge w:val="continue"/>
                  <w:tcBorders>
                    <w:tl2br w:val="nil"/>
                    <w:tr2bl w:val="nil"/>
                  </w:tcBorders>
                  <w:noWrap w:val="0"/>
                  <w:vAlign w:val="center"/>
                </w:tcPr>
                <w:p w14:paraId="4FEFDD98">
                  <w:pPr>
                    <w:jc w:val="center"/>
                    <w:rPr>
                      <w:rFonts w:hint="eastAsia"/>
                      <w:color w:val="000000" w:themeColor="text1"/>
                      <w:sz w:val="21"/>
                      <w:szCs w:val="21"/>
                      <w:highlight w:val="none"/>
                      <w:lang w:eastAsia="zh-CN"/>
                      <w14:textFill>
                        <w14:solidFill>
                          <w14:schemeClr w14:val="tx1"/>
                        </w14:solidFill>
                      </w14:textFill>
                    </w:rPr>
                  </w:pPr>
                </w:p>
              </w:tc>
              <w:tc>
                <w:tcPr>
                  <w:tcW w:w="876" w:type="pct"/>
                  <w:tcBorders>
                    <w:tl2br w:val="nil"/>
                    <w:tr2bl w:val="nil"/>
                  </w:tcBorders>
                  <w:noWrap w:val="0"/>
                  <w:vAlign w:val="center"/>
                </w:tcPr>
                <w:p w14:paraId="5E71F2B1">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0.145</w:t>
                  </w:r>
                </w:p>
              </w:tc>
              <w:tc>
                <w:tcPr>
                  <w:tcW w:w="462" w:type="pct"/>
                  <w:tcBorders>
                    <w:tl2br w:val="nil"/>
                    <w:tr2bl w:val="nil"/>
                  </w:tcBorders>
                  <w:noWrap w:val="0"/>
                  <w:vAlign w:val="center"/>
                </w:tcPr>
                <w:p w14:paraId="00EF5B8F">
                  <w:pPr>
                    <w:jc w:val="center"/>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1</w:t>
                  </w:r>
                  <w:r>
                    <w:rPr>
                      <w:color w:val="000000" w:themeColor="text1"/>
                      <w:sz w:val="21"/>
                      <w:szCs w:val="21"/>
                      <w:highlight w:val="none"/>
                      <w14:textFill>
                        <w14:solidFill>
                          <w14:schemeClr w14:val="tx1"/>
                        </w14:solidFill>
                      </w14:textFill>
                    </w:rPr>
                    <w:t>00</w:t>
                  </w:r>
                </w:p>
              </w:tc>
              <w:tc>
                <w:tcPr>
                  <w:tcW w:w="862" w:type="pct"/>
                  <w:tcBorders>
                    <w:tl2br w:val="nil"/>
                    <w:tr2bl w:val="nil"/>
                  </w:tcBorders>
                  <w:noWrap w:val="0"/>
                  <w:vAlign w:val="center"/>
                </w:tcPr>
                <w:p w14:paraId="12CD4EC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0.001</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4</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w:t>
                  </w:r>
                </w:p>
              </w:tc>
            </w:tr>
            <w:tr w14:paraId="7D46C02E">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7" w:hRule="atLeast"/>
                <w:jc w:val="center"/>
              </w:trPr>
              <w:tc>
                <w:tcPr>
                  <w:tcW w:w="459" w:type="pct"/>
                  <w:tcBorders>
                    <w:tl2br w:val="nil"/>
                    <w:tr2bl w:val="nil"/>
                  </w:tcBorders>
                  <w:noWrap w:val="0"/>
                  <w:vAlign w:val="center"/>
                </w:tcPr>
                <w:p w14:paraId="7706BBFF">
                  <w:pPr>
                    <w:keepNext w:val="0"/>
                    <w:keepLines w:val="0"/>
                    <w:pageBreakBefore w:val="0"/>
                    <w:widowControl w:val="0"/>
                    <w:numPr>
                      <w:ilvl w:val="0"/>
                      <w:numId w:val="34"/>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62" w:type="pct"/>
                  <w:tcBorders>
                    <w:tl2br w:val="nil"/>
                    <w:tr2bl w:val="nil"/>
                  </w:tcBorders>
                  <w:noWrap w:val="0"/>
                  <w:vAlign w:val="center"/>
                </w:tcPr>
                <w:p w14:paraId="17884DBD">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eastAsia="zh-CN"/>
                      <w14:textFill>
                        <w14:solidFill>
                          <w14:schemeClr w14:val="tx1"/>
                        </w14:solidFill>
                      </w14:textFill>
                    </w:rPr>
                    <w:t>废试药</w:t>
                  </w:r>
                </w:p>
              </w:tc>
              <w:tc>
                <w:tcPr>
                  <w:tcW w:w="640" w:type="pct"/>
                  <w:tcBorders>
                    <w:tl2br w:val="nil"/>
                    <w:tr2bl w:val="nil"/>
                  </w:tcBorders>
                  <w:noWrap w:val="0"/>
                  <w:vAlign w:val="center"/>
                </w:tcPr>
                <w:p w14:paraId="14C21894">
                  <w:pPr>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液体</w:t>
                  </w:r>
                </w:p>
              </w:tc>
              <w:tc>
                <w:tcPr>
                  <w:tcW w:w="837" w:type="pct"/>
                  <w:vMerge w:val="continue"/>
                  <w:tcBorders>
                    <w:tl2br w:val="nil"/>
                    <w:tr2bl w:val="nil"/>
                  </w:tcBorders>
                  <w:noWrap w:val="0"/>
                  <w:vAlign w:val="center"/>
                </w:tcPr>
                <w:p w14:paraId="3F045291">
                  <w:pPr>
                    <w:jc w:val="center"/>
                    <w:rPr>
                      <w:rFonts w:hint="eastAsia"/>
                      <w:color w:val="000000" w:themeColor="text1"/>
                      <w:sz w:val="21"/>
                      <w:szCs w:val="21"/>
                      <w:highlight w:val="none"/>
                      <w:lang w:eastAsia="zh-CN"/>
                      <w14:textFill>
                        <w14:solidFill>
                          <w14:schemeClr w14:val="tx1"/>
                        </w14:solidFill>
                      </w14:textFill>
                    </w:rPr>
                  </w:pPr>
                </w:p>
              </w:tc>
              <w:tc>
                <w:tcPr>
                  <w:tcW w:w="876" w:type="pct"/>
                  <w:tcBorders>
                    <w:tl2br w:val="nil"/>
                    <w:tr2bl w:val="nil"/>
                  </w:tcBorders>
                  <w:noWrap w:val="0"/>
                  <w:vAlign w:val="center"/>
                </w:tcPr>
                <w:p w14:paraId="36B595EF">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0.01</w:t>
                  </w:r>
                </w:p>
              </w:tc>
              <w:tc>
                <w:tcPr>
                  <w:tcW w:w="462" w:type="pct"/>
                  <w:tcBorders>
                    <w:tl2br w:val="nil"/>
                    <w:tr2bl w:val="nil"/>
                  </w:tcBorders>
                  <w:noWrap w:val="0"/>
                  <w:vAlign w:val="center"/>
                </w:tcPr>
                <w:p w14:paraId="5606A05C">
                  <w:pPr>
                    <w:jc w:val="center"/>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1</w:t>
                  </w:r>
                  <w:r>
                    <w:rPr>
                      <w:color w:val="000000" w:themeColor="text1"/>
                      <w:sz w:val="21"/>
                      <w:szCs w:val="21"/>
                      <w:highlight w:val="none"/>
                      <w14:textFill>
                        <w14:solidFill>
                          <w14:schemeClr w14:val="tx1"/>
                        </w14:solidFill>
                      </w14:textFill>
                    </w:rPr>
                    <w:t>00</w:t>
                  </w:r>
                </w:p>
              </w:tc>
              <w:tc>
                <w:tcPr>
                  <w:tcW w:w="862" w:type="pct"/>
                  <w:tcBorders>
                    <w:tl2br w:val="nil"/>
                    <w:tr2bl w:val="nil"/>
                  </w:tcBorders>
                  <w:noWrap w:val="0"/>
                  <w:vAlign w:val="center"/>
                </w:tcPr>
                <w:p w14:paraId="6312481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0.0001</w:t>
                  </w:r>
                </w:p>
              </w:tc>
            </w:tr>
            <w:tr w14:paraId="6E4FC7B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7" w:hRule="atLeast"/>
                <w:jc w:val="center"/>
              </w:trPr>
              <w:tc>
                <w:tcPr>
                  <w:tcW w:w="459" w:type="pct"/>
                  <w:tcBorders>
                    <w:tl2br w:val="nil"/>
                    <w:tr2bl w:val="nil"/>
                  </w:tcBorders>
                  <w:noWrap w:val="0"/>
                  <w:vAlign w:val="center"/>
                </w:tcPr>
                <w:p w14:paraId="438334CB">
                  <w:pPr>
                    <w:keepNext w:val="0"/>
                    <w:keepLines w:val="0"/>
                    <w:pageBreakBefore w:val="0"/>
                    <w:widowControl w:val="0"/>
                    <w:numPr>
                      <w:ilvl w:val="0"/>
                      <w:numId w:val="34"/>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62" w:type="pct"/>
                  <w:tcBorders>
                    <w:tl2br w:val="nil"/>
                    <w:tr2bl w:val="nil"/>
                  </w:tcBorders>
                  <w:noWrap w:val="0"/>
                  <w:vAlign w:val="center"/>
                </w:tcPr>
                <w:p w14:paraId="02F374E1">
                  <w:pPr>
                    <w:jc w:val="center"/>
                    <w:rPr>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废活性炭</w:t>
                  </w:r>
                </w:p>
              </w:tc>
              <w:tc>
                <w:tcPr>
                  <w:tcW w:w="640" w:type="pct"/>
                  <w:tcBorders>
                    <w:tl2br w:val="nil"/>
                    <w:tr2bl w:val="nil"/>
                  </w:tcBorders>
                  <w:noWrap w:val="0"/>
                  <w:vAlign w:val="center"/>
                </w:tcPr>
                <w:p w14:paraId="281F3E3F">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固态</w:t>
                  </w:r>
                </w:p>
              </w:tc>
              <w:tc>
                <w:tcPr>
                  <w:tcW w:w="837" w:type="pct"/>
                  <w:vMerge w:val="continue"/>
                  <w:tcBorders>
                    <w:tl2br w:val="nil"/>
                    <w:tr2bl w:val="nil"/>
                  </w:tcBorders>
                  <w:noWrap w:val="0"/>
                  <w:vAlign w:val="center"/>
                </w:tcPr>
                <w:p w14:paraId="347EBE62">
                  <w:pPr>
                    <w:jc w:val="center"/>
                    <w:rPr>
                      <w:rFonts w:hint="eastAsia" w:eastAsia="宋体"/>
                      <w:color w:val="000000" w:themeColor="text1"/>
                      <w:sz w:val="21"/>
                      <w:szCs w:val="21"/>
                      <w:highlight w:val="none"/>
                      <w:lang w:eastAsia="zh-CN"/>
                      <w14:textFill>
                        <w14:solidFill>
                          <w14:schemeClr w14:val="tx1"/>
                        </w14:solidFill>
                      </w14:textFill>
                    </w:rPr>
                  </w:pPr>
                </w:p>
              </w:tc>
              <w:tc>
                <w:tcPr>
                  <w:tcW w:w="876" w:type="pct"/>
                  <w:tcBorders>
                    <w:tl2br w:val="nil"/>
                    <w:tr2bl w:val="nil"/>
                  </w:tcBorders>
                  <w:noWrap w:val="0"/>
                  <w:vAlign w:val="center"/>
                </w:tcPr>
                <w:p w14:paraId="06B676D4">
                  <w:pPr>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0.83</w:t>
                  </w:r>
                </w:p>
              </w:tc>
              <w:tc>
                <w:tcPr>
                  <w:tcW w:w="462" w:type="pct"/>
                  <w:tcBorders>
                    <w:tl2br w:val="nil"/>
                    <w:tr2bl w:val="nil"/>
                  </w:tcBorders>
                  <w:noWrap w:val="0"/>
                  <w:vAlign w:val="center"/>
                </w:tcPr>
                <w:p w14:paraId="6D160645">
                  <w:pPr>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1</w:t>
                  </w:r>
                  <w:r>
                    <w:rPr>
                      <w:color w:val="000000" w:themeColor="text1"/>
                      <w:sz w:val="21"/>
                      <w:szCs w:val="21"/>
                      <w:highlight w:val="none"/>
                      <w14:textFill>
                        <w14:solidFill>
                          <w14:schemeClr w14:val="tx1"/>
                        </w14:solidFill>
                      </w14:textFill>
                    </w:rPr>
                    <w:t>00</w:t>
                  </w:r>
                </w:p>
              </w:tc>
              <w:tc>
                <w:tcPr>
                  <w:tcW w:w="862" w:type="pct"/>
                  <w:tcBorders>
                    <w:tl2br w:val="nil"/>
                    <w:tr2bl w:val="nil"/>
                  </w:tcBorders>
                  <w:noWrap w:val="0"/>
                  <w:vAlign w:val="center"/>
                </w:tcPr>
                <w:p w14:paraId="762BEA13">
                  <w:pPr>
                    <w:keepNext w:val="0"/>
                    <w:keepLines w:val="0"/>
                    <w:widowControl/>
                    <w:suppressLineNumbers w:val="0"/>
                    <w:jc w:val="center"/>
                    <w:textAlignment w:val="center"/>
                    <w:rPr>
                      <w:rFonts w:hint="default" w:eastAsia="宋体"/>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0.0083</w:t>
                  </w:r>
                </w:p>
              </w:tc>
            </w:tr>
            <w:tr w14:paraId="0F940CD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70" w:hRule="atLeast"/>
                <w:jc w:val="center"/>
              </w:trPr>
              <w:tc>
                <w:tcPr>
                  <w:tcW w:w="4137" w:type="pct"/>
                  <w:gridSpan w:val="6"/>
                  <w:tcBorders>
                    <w:tl2br w:val="nil"/>
                    <w:tr2bl w:val="nil"/>
                  </w:tcBorders>
                  <w:noWrap w:val="0"/>
                  <w:vAlign w:val="center"/>
                </w:tcPr>
                <w:p w14:paraId="6EF839AB">
                  <w:pPr>
                    <w:jc w:val="center"/>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总计</w:t>
                  </w:r>
                </w:p>
              </w:tc>
              <w:tc>
                <w:tcPr>
                  <w:tcW w:w="862" w:type="pct"/>
                  <w:tcBorders>
                    <w:tl2br w:val="nil"/>
                    <w:tr2bl w:val="nil"/>
                  </w:tcBorders>
                  <w:shd w:val="clear" w:color="auto" w:fill="auto"/>
                  <w:noWrap w:val="0"/>
                  <w:vAlign w:val="center"/>
                </w:tcPr>
                <w:p w14:paraId="77922374">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0.0154</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8</w:t>
                  </w:r>
                </w:p>
              </w:tc>
            </w:tr>
          </w:tbl>
          <w:p w14:paraId="1E86BE76">
            <w:pPr>
              <w:keepNext w:val="0"/>
              <w:keepLines w:val="0"/>
              <w:suppressLineNumbers w:val="0"/>
              <w:spacing w:before="175" w:beforeAutospacing="0" w:after="0" w:afterAutospacing="0" w:line="360" w:lineRule="auto"/>
              <w:ind w:left="0" w:right="0" w:firstLine="456" w:firstLineChars="200"/>
              <w:jc w:val="left"/>
              <w:rPr>
                <w:rFonts w:hint="eastAsia" w:ascii="宋体" w:hAnsi="宋体" w:eastAsia="宋体" w:cs="宋体"/>
                <w:color w:val="000000" w:themeColor="text1"/>
                <w:spacing w:val="-6"/>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6"/>
                <w:sz w:val="24"/>
                <w:szCs w:val="24"/>
                <w:highlight w:val="none"/>
                <w:lang w:val="en-US" w:eastAsia="zh-CN"/>
                <w14:textFill>
                  <w14:solidFill>
                    <w14:schemeClr w14:val="tx1"/>
                  </w14:solidFill>
                </w14:textFill>
              </w:rPr>
              <w:t>经计算，</w:t>
            </w:r>
            <w:r>
              <w:rPr>
                <w:rFonts w:hint="eastAsia" w:cs="Times New Roman"/>
                <w:color w:val="000000" w:themeColor="text1"/>
                <w:spacing w:val="-6"/>
                <w:sz w:val="24"/>
                <w:szCs w:val="24"/>
                <w:highlight w:val="none"/>
                <w:lang w:val="en-US" w:eastAsia="zh-CN"/>
                <w14:textFill>
                  <w14:solidFill>
                    <w14:schemeClr w14:val="tx1"/>
                  </w14:solidFill>
                </w14:textFill>
              </w:rPr>
              <w:t>本</w:t>
            </w:r>
            <w:r>
              <w:rPr>
                <w:rFonts w:hint="default" w:ascii="Times New Roman" w:hAnsi="Times New Roman" w:eastAsia="宋体" w:cs="Times New Roman"/>
                <w:color w:val="000000" w:themeColor="text1"/>
                <w:spacing w:val="-6"/>
                <w:sz w:val="24"/>
                <w:szCs w:val="24"/>
                <w:highlight w:val="none"/>
                <w:lang w:val="en-US" w:eastAsia="zh-CN"/>
                <w14:textFill>
                  <w14:solidFill>
                    <w14:schemeClr w14:val="tx1"/>
                  </w14:solidFill>
                </w14:textFill>
              </w:rPr>
              <w:t>项目Q=0.015488＜1，</w:t>
            </w:r>
            <w:r>
              <w:rPr>
                <w:rFonts w:hint="eastAsia" w:ascii="Times New Roman" w:hAnsi="宋体" w:cs="宋体"/>
                <w:color w:val="000000" w:themeColor="text1"/>
                <w:sz w:val="24"/>
                <w:szCs w:val="24"/>
                <w:highlight w:val="none"/>
                <w:lang w:val="en-US" w:eastAsia="zh-CN" w:bidi="ar-SA"/>
                <w14:textFill>
                  <w14:solidFill>
                    <w14:schemeClr w14:val="tx1"/>
                  </w14:solidFill>
                </w14:textFill>
              </w:rPr>
              <w:t>由此可直接判断</w:t>
            </w:r>
            <w:r>
              <w:rPr>
                <w:rFonts w:hint="eastAsia" w:hAnsi="宋体" w:cs="宋体"/>
                <w:color w:val="000000" w:themeColor="text1"/>
                <w:sz w:val="24"/>
                <w:szCs w:val="24"/>
                <w:highlight w:val="none"/>
                <w:lang w:val="en-US" w:eastAsia="zh-CN" w:bidi="ar-SA"/>
                <w14:textFill>
                  <w14:solidFill>
                    <w14:schemeClr w14:val="tx1"/>
                  </w14:solidFill>
                </w14:textFill>
              </w:rPr>
              <w:t>本</w:t>
            </w:r>
            <w:r>
              <w:rPr>
                <w:rFonts w:hint="eastAsia" w:ascii="Times New Roman" w:hAnsi="宋体" w:cs="宋体"/>
                <w:color w:val="000000" w:themeColor="text1"/>
                <w:sz w:val="24"/>
                <w:szCs w:val="24"/>
                <w:highlight w:val="none"/>
                <w:lang w:val="en-US" w:eastAsia="zh-CN" w:bidi="ar-SA"/>
                <w14:textFill>
                  <w14:solidFill>
                    <w14:schemeClr w14:val="tx1"/>
                  </w14:solidFill>
                </w14:textFill>
              </w:rPr>
              <w:t>项目无需设置环境风险专项评价</w:t>
            </w:r>
            <w:r>
              <w:rPr>
                <w:rFonts w:hint="eastAsia" w:hAnsi="宋体" w:cs="宋体"/>
                <w:color w:val="000000" w:themeColor="text1"/>
                <w:sz w:val="24"/>
                <w:szCs w:val="24"/>
                <w:highlight w:val="none"/>
                <w:lang w:val="en-US" w:eastAsia="zh-CN" w:bidi="ar-SA"/>
                <w14:textFill>
                  <w14:solidFill>
                    <w14:schemeClr w14:val="tx1"/>
                  </w14:solidFill>
                </w14:textFill>
              </w:rPr>
              <w:t>。</w:t>
            </w:r>
          </w:p>
          <w:p w14:paraId="40060C5E">
            <w:pPr>
              <w:keepNext w:val="0"/>
              <w:keepLines w:val="0"/>
              <w:suppressLineNumbers w:val="0"/>
              <w:autoSpaceDE w:val="0"/>
              <w:autoSpaceDN w:val="0"/>
              <w:spacing w:before="0" w:beforeAutospacing="0" w:after="0" w:afterAutospacing="0" w:line="360" w:lineRule="auto"/>
              <w:ind w:left="0" w:right="0"/>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b/>
                <w:bCs/>
                <w:color w:val="000000" w:themeColor="text1"/>
                <w:sz w:val="24"/>
                <w:szCs w:val="24"/>
                <w:highlight w:val="none"/>
                <w:lang w:val="en-US" w:eastAsia="zh-CN"/>
                <w14:textFill>
                  <w14:solidFill>
                    <w14:schemeClr w14:val="tx1"/>
                  </w14:solidFill>
                </w14:textFill>
              </w:rPr>
              <w:t>6.2、</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风险识别</w:t>
            </w:r>
          </w:p>
          <w:p w14:paraId="52D5531D">
            <w:pPr>
              <w:pStyle w:val="104"/>
              <w:keepNext w:val="0"/>
              <w:keepLines w:val="0"/>
              <w:suppressLineNumbers w:val="0"/>
              <w:spacing w:before="0" w:beforeAutospacing="0" w:after="0" w:afterAutospacing="0" w:line="360" w:lineRule="auto"/>
              <w:ind w:left="0" w:right="0" w:firstLine="42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6.2.1、废气处理措施故障</w:t>
            </w:r>
          </w:p>
          <w:p w14:paraId="3D832A72">
            <w:pPr>
              <w:pStyle w:val="104"/>
              <w:keepNext w:val="0"/>
              <w:keepLines w:val="0"/>
              <w:suppressLineNumbers w:val="0"/>
              <w:spacing w:before="0" w:beforeAutospacing="0" w:after="0" w:afterAutospacing="0" w:line="360" w:lineRule="auto"/>
              <w:ind w:left="0" w:right="0" w:firstLine="42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本项目废气处理设施发生故障，不能正常工作时，项目产生的废气甚至完全不经处理即直接排入空气中，会对周围的环境空气带来一定程度的污染。</w:t>
            </w:r>
          </w:p>
          <w:p w14:paraId="0178ABBE">
            <w:pPr>
              <w:pStyle w:val="104"/>
              <w:keepNext w:val="0"/>
              <w:keepLines w:val="0"/>
              <w:suppressLineNumbers w:val="0"/>
              <w:spacing w:before="0" w:beforeAutospacing="0" w:after="0" w:afterAutospacing="0" w:line="360" w:lineRule="auto"/>
              <w:ind w:left="0" w:right="0" w:firstLine="42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6.2.2、泄漏事故环境影响分析</w:t>
            </w:r>
          </w:p>
          <w:p w14:paraId="63C90703">
            <w:pPr>
              <w:pStyle w:val="104"/>
              <w:keepNext w:val="0"/>
              <w:keepLines w:val="0"/>
              <w:suppressLineNumbers w:val="0"/>
              <w:spacing w:before="0" w:beforeAutospacing="0" w:after="0" w:afterAutospacing="0" w:line="360" w:lineRule="auto"/>
              <w:ind w:left="0" w:right="0" w:firstLine="42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（1）泄漏事故对大气环境影响分析</w:t>
            </w:r>
          </w:p>
          <w:p w14:paraId="1B1C3818">
            <w:pPr>
              <w:pStyle w:val="104"/>
              <w:keepNext w:val="0"/>
              <w:keepLines w:val="0"/>
              <w:suppressLineNumbers w:val="0"/>
              <w:spacing w:before="0" w:beforeAutospacing="0" w:after="0" w:afterAutospacing="0" w:line="360" w:lineRule="auto"/>
              <w:ind w:left="0" w:right="0" w:firstLine="42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本项目</w:t>
            </w:r>
            <w:r>
              <w:rPr>
                <w:rFonts w:hint="eastAsia"/>
                <w:color w:val="000000" w:themeColor="text1"/>
                <w:spacing w:val="-1"/>
                <w:sz w:val="24"/>
                <w:szCs w:val="24"/>
                <w:highlight w:val="none"/>
                <w:lang w:val="en-US" w:eastAsia="zh-CN"/>
                <w14:textFill>
                  <w14:solidFill>
                    <w14:schemeClr w14:val="tx1"/>
                  </w14:solidFill>
                </w14:textFill>
              </w:rPr>
              <w:t>废活性炭、废化学试剂瓶、</w:t>
            </w:r>
            <w:r>
              <w:rPr>
                <w:rFonts w:hint="eastAsia" w:cs="Times New Roman"/>
                <w:b w:val="0"/>
                <w:bCs w:val="0"/>
                <w:color w:val="000000" w:themeColor="text1"/>
                <w:sz w:val="24"/>
                <w:szCs w:val="24"/>
                <w:highlight w:val="none"/>
                <w:lang w:eastAsia="zh-CN"/>
                <w14:textFill>
                  <w14:solidFill>
                    <w14:schemeClr w14:val="tx1"/>
                  </w14:solidFill>
                </w14:textFill>
              </w:rPr>
              <w:t>废弃薄层板</w:t>
            </w:r>
            <w:r>
              <w:rPr>
                <w:rFonts w:hint="eastAsia"/>
                <w:color w:val="000000" w:themeColor="text1"/>
                <w:spacing w:val="-1"/>
                <w:sz w:val="24"/>
                <w:szCs w:val="24"/>
                <w:highlight w:val="none"/>
                <w:lang w:val="en-US" w:eastAsia="zh-CN"/>
                <w14:textFill>
                  <w14:solidFill>
                    <w14:schemeClr w14:val="tx1"/>
                  </w14:solidFill>
                </w14:textFill>
              </w:rPr>
              <w:t>为固态环境风险物质，应装在密封袋内分区存放</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；化学检验废液</w:t>
            </w:r>
            <w:r>
              <w:rPr>
                <w:rFonts w:hint="eastAsia" w:cs="Times New Roman"/>
                <w:b w:val="0"/>
                <w:bCs w:val="0"/>
                <w:color w:val="000000" w:themeColor="text1"/>
                <w:sz w:val="24"/>
                <w:szCs w:val="24"/>
                <w:highlight w:val="none"/>
                <w:lang w:eastAsia="zh-CN"/>
                <w14:textFill>
                  <w14:solidFill>
                    <w14:schemeClr w14:val="tx1"/>
                  </w14:solidFill>
                </w14:textFill>
              </w:rPr>
              <w:t>、</w:t>
            </w:r>
            <w:r>
              <w:rPr>
                <w:rFonts w:hint="eastAsia" w:cs="Times New Roman"/>
                <w:b w:val="0"/>
                <w:bCs w:val="0"/>
                <w:color w:val="000000" w:themeColor="text1"/>
                <w:sz w:val="24"/>
                <w:szCs w:val="24"/>
                <w:highlight w:val="none"/>
                <w:lang w:val="en-US" w:eastAsia="zh-CN"/>
                <w14:textFill>
                  <w14:solidFill>
                    <w14:schemeClr w14:val="tx1"/>
                  </w14:solidFill>
                </w14:textFill>
              </w:rPr>
              <w:t>废试药</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为液态</w:t>
            </w:r>
            <w:r>
              <w:rPr>
                <w:rFonts w:hint="eastAsia"/>
                <w:color w:val="000000" w:themeColor="text1"/>
                <w:spacing w:val="-1"/>
                <w:sz w:val="24"/>
                <w:szCs w:val="24"/>
                <w:highlight w:val="none"/>
                <w:lang w:val="en-US" w:eastAsia="zh-CN"/>
                <w14:textFill>
                  <w14:solidFill>
                    <w14:schemeClr w14:val="tx1"/>
                  </w14:solidFill>
                </w14:textFill>
              </w:rPr>
              <w:t>环境风险物质，应装在专用密封桶内分区存放</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本项目危废贮存库均采取了地面防渗措施，发生泄漏后，不会造成地表水环境污染事故，但因在风力蒸发作用下，会挥发至大气中，产生大气环境影响。本项目柴油贮存在柴油发电机组油箱内，不额外贮存，油箱为密封结构，发生泄漏产生的影响较小。</w:t>
            </w:r>
          </w:p>
          <w:p w14:paraId="7EAA80D0">
            <w:pPr>
              <w:pStyle w:val="104"/>
              <w:keepNext w:val="0"/>
              <w:keepLines w:val="0"/>
              <w:suppressLineNumbers w:val="0"/>
              <w:spacing w:before="0" w:beforeAutospacing="0" w:after="0" w:afterAutospacing="0" w:line="360" w:lineRule="auto"/>
              <w:ind w:left="0" w:right="0" w:firstLine="42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（2）泄漏事故对地下水环境影响分析</w:t>
            </w:r>
          </w:p>
          <w:p w14:paraId="0BC21152">
            <w:pPr>
              <w:pStyle w:val="104"/>
              <w:keepNext w:val="0"/>
              <w:keepLines w:val="0"/>
              <w:suppressLineNumbers w:val="0"/>
              <w:spacing w:before="0" w:beforeAutospacing="0" w:after="0" w:afterAutospacing="0" w:line="360" w:lineRule="auto"/>
              <w:ind w:left="0" w:right="0" w:firstLine="42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泄漏事故发生后，若危废贮存库设置的地面防渗层或防流散措施存在裂隙，或沉淀池出现裂隙，企业未能及时采取有效堵漏措施，导致泄漏物渗透进入地下，会对厂区周边地下水环境造成污染。</w:t>
            </w:r>
          </w:p>
          <w:p w14:paraId="64147151">
            <w:pPr>
              <w:pStyle w:val="104"/>
              <w:keepNext w:val="0"/>
              <w:keepLines w:val="0"/>
              <w:suppressLineNumbers w:val="0"/>
              <w:spacing w:before="0" w:beforeAutospacing="0" w:after="0" w:afterAutospacing="0" w:line="360" w:lineRule="auto"/>
              <w:ind w:left="0" w:right="0" w:firstLine="42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（3）火灾事故</w:t>
            </w:r>
          </w:p>
          <w:p w14:paraId="30669CE4">
            <w:pPr>
              <w:pStyle w:val="104"/>
              <w:keepNext w:val="0"/>
              <w:keepLines w:val="0"/>
              <w:suppressLineNumbers w:val="0"/>
              <w:spacing w:before="0" w:beforeAutospacing="0" w:after="0" w:afterAutospacing="0" w:line="360" w:lineRule="auto"/>
              <w:ind w:left="0" w:right="0" w:firstLine="420"/>
              <w:jc w:val="both"/>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本项目火灾发生时厂区人员不及时撤离，可能危及人的健康和生命；燃烧产生的一氧化碳、烟尘等污染物扩散至厂区周边，会对周围一定区域内的人员和环境空气带来一定程度的不利影响。</w:t>
            </w:r>
          </w:p>
          <w:p w14:paraId="3AFB65CB">
            <w:pPr>
              <w:pStyle w:val="104"/>
              <w:keepNext w:val="0"/>
              <w:keepLines w:val="0"/>
              <w:suppressLineNumbers w:val="0"/>
              <w:spacing w:before="0" w:beforeAutospacing="0" w:after="0" w:afterAutospacing="0" w:line="360" w:lineRule="auto"/>
              <w:ind w:left="0" w:right="0" w:firstLine="42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6.2.3、风险管理及风险防范措施</w:t>
            </w:r>
          </w:p>
          <w:p w14:paraId="06A158E9">
            <w:pPr>
              <w:pStyle w:val="104"/>
              <w:keepNext w:val="0"/>
              <w:keepLines w:val="0"/>
              <w:suppressLineNumbers w:val="0"/>
              <w:spacing w:before="0" w:beforeAutospacing="0" w:after="0" w:afterAutospacing="0" w:line="360" w:lineRule="auto"/>
              <w:ind w:left="0" w:right="0" w:firstLine="42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（1）环保工程</w:t>
            </w:r>
          </w:p>
          <w:p w14:paraId="0DDE6058">
            <w:pPr>
              <w:pStyle w:val="104"/>
              <w:keepNext w:val="0"/>
              <w:keepLines w:val="0"/>
              <w:suppressLineNumbers w:val="0"/>
              <w:spacing w:before="0" w:beforeAutospacing="0" w:after="0" w:afterAutospacing="0" w:line="360" w:lineRule="auto"/>
              <w:ind w:left="0" w:right="0" w:firstLine="42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废气处理设施发生故障，不能正常工作时，本项目产生的粉尘完全不经处理即直接排入空气中，会对周围的环境空气带来一定程度的污染。</w:t>
            </w:r>
          </w:p>
          <w:p w14:paraId="020D229E">
            <w:pPr>
              <w:pStyle w:val="104"/>
              <w:keepNext w:val="0"/>
              <w:keepLines w:val="0"/>
              <w:suppressLineNumbers w:val="0"/>
              <w:spacing w:before="0" w:beforeAutospacing="0" w:after="0" w:afterAutospacing="0" w:line="360" w:lineRule="auto"/>
              <w:ind w:left="0" w:right="0" w:firstLine="42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非正常工况的预防措施：</w:t>
            </w:r>
          </w:p>
          <w:p w14:paraId="66B7B548">
            <w:pPr>
              <w:pStyle w:val="104"/>
              <w:keepNext w:val="0"/>
              <w:keepLines w:val="0"/>
              <w:suppressLineNumbers w:val="0"/>
              <w:spacing w:before="0" w:beforeAutospacing="0" w:after="0" w:afterAutospacing="0" w:line="360" w:lineRule="auto"/>
              <w:ind w:left="0" w:right="0" w:firstLine="42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①生产过程风险防范与管理。项目严格落实安监、消防部门对生产过程风险防范与管理的相关要求，同时自觉接受安监、消防部门的监督管理；</w:t>
            </w:r>
          </w:p>
          <w:p w14:paraId="6EE8CEB2">
            <w:pPr>
              <w:pStyle w:val="104"/>
              <w:keepNext w:val="0"/>
              <w:keepLines w:val="0"/>
              <w:suppressLineNumbers w:val="0"/>
              <w:spacing w:before="0" w:beforeAutospacing="0" w:after="0" w:afterAutospacing="0" w:line="360" w:lineRule="auto"/>
              <w:ind w:left="0" w:right="0" w:firstLine="42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②为了减少污染治理措施事故性排放的概率，建设单位设立管理专员维护各项环保措施的运行，特别关注废气处理措施的运行情况，对除尘系统定期检查，及时更换除尘器布袋。</w:t>
            </w:r>
            <w:r>
              <w:rPr>
                <w:rFonts w:hint="eastAsia"/>
                <w:color w:val="000000" w:themeColor="text1"/>
                <w:sz w:val="24"/>
                <w:szCs w:val="24"/>
                <w:highlight w:val="none"/>
                <w:lang w:val="en-US" w:eastAsia="zh-CN"/>
                <w14:textFill>
                  <w14:solidFill>
                    <w14:schemeClr w14:val="tx1"/>
                  </w14:solidFill>
                </w14:textFill>
              </w:rPr>
              <w:t>发生非正常工况及时停产维修，尽可能减小其影响。</w:t>
            </w:r>
          </w:p>
          <w:p w14:paraId="74AF8673">
            <w:pPr>
              <w:pStyle w:val="104"/>
              <w:keepNext w:val="0"/>
              <w:keepLines w:val="0"/>
              <w:suppressLineNumbers w:val="0"/>
              <w:spacing w:before="0" w:beforeAutospacing="0" w:after="0" w:afterAutospacing="0" w:line="360" w:lineRule="auto"/>
              <w:ind w:left="0" w:right="0" w:firstLine="420"/>
              <w:jc w:val="both"/>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（2）为减小</w:t>
            </w:r>
            <w:r>
              <w:rPr>
                <w:rFonts w:hint="eastAsia"/>
                <w:color w:val="000000" w:themeColor="text1"/>
                <w:spacing w:val="-1"/>
                <w:sz w:val="24"/>
                <w:szCs w:val="24"/>
                <w:highlight w:val="none"/>
                <w:lang w:val="en-US" w:eastAsia="zh-CN"/>
                <w14:textFill>
                  <w14:solidFill>
                    <w14:schemeClr w14:val="tx1"/>
                  </w14:solidFill>
                </w14:textFill>
              </w:rPr>
              <w:t>风险物质</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风险事故的概率及产生的影响，本项目提出防范措施如下：</w:t>
            </w:r>
          </w:p>
          <w:p w14:paraId="3233F2D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left"/>
              <w:textAlignment w:val="auto"/>
              <w:rPr>
                <w:rFonts w:hint="eastAsia" w:ascii="Times New Roman" w:hAnsi="Times New Roman" w:eastAsia="宋体" w:cs="Times New Roman"/>
                <w:b w:val="0"/>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color w:val="000000" w:themeColor="text1"/>
                <w:kern w:val="0"/>
                <w:sz w:val="24"/>
                <w:szCs w:val="24"/>
                <w:highlight w:val="none"/>
                <w:lang w:val="en-US" w:eastAsia="zh-CN" w:bidi="ar-SA"/>
                <w14:textFill>
                  <w14:solidFill>
                    <w14:schemeClr w14:val="tx1"/>
                  </w14:solidFill>
                </w14:textFill>
              </w:rPr>
              <w:t>①项目</w:t>
            </w:r>
            <w:r>
              <w:rPr>
                <w:rFonts w:hint="eastAsia" w:cs="Times New Roman"/>
                <w:b w:val="0"/>
                <w:color w:val="000000" w:themeColor="text1"/>
                <w:kern w:val="0"/>
                <w:sz w:val="24"/>
                <w:szCs w:val="24"/>
                <w:highlight w:val="none"/>
                <w:lang w:val="en-US" w:eastAsia="zh-CN" w:bidi="ar-SA"/>
                <w14:textFill>
                  <w14:solidFill>
                    <w14:schemeClr w14:val="tx1"/>
                  </w14:solidFill>
                </w14:textFill>
              </w:rPr>
              <w:t>危废贮存库</w:t>
            </w:r>
            <w:r>
              <w:rPr>
                <w:rFonts w:hint="eastAsia" w:ascii="Times New Roman" w:hAnsi="Times New Roman" w:eastAsia="宋体" w:cs="Times New Roman"/>
                <w:b w:val="0"/>
                <w:color w:val="000000" w:themeColor="text1"/>
                <w:kern w:val="0"/>
                <w:sz w:val="24"/>
                <w:szCs w:val="24"/>
                <w:highlight w:val="none"/>
                <w:lang w:val="en-US" w:eastAsia="zh-CN" w:bidi="ar-SA"/>
                <w14:textFill>
                  <w14:solidFill>
                    <w14:schemeClr w14:val="tx1"/>
                  </w14:solidFill>
                </w14:textFill>
              </w:rPr>
              <w:t>必须按《危险废物贮存污染控制标准》（G</w:t>
            </w:r>
            <w:r>
              <w:rPr>
                <w:rFonts w:hint="default" w:ascii="Times New Roman" w:hAnsi="Times New Roman" w:eastAsia="宋体" w:cs="Times New Roman"/>
                <w:b w:val="0"/>
                <w:color w:val="000000" w:themeColor="text1"/>
                <w:kern w:val="0"/>
                <w:sz w:val="24"/>
                <w:szCs w:val="24"/>
                <w:highlight w:val="none"/>
                <w:lang w:val="en-US" w:eastAsia="zh-CN" w:bidi="ar-SA"/>
                <w14:textFill>
                  <w14:solidFill>
                    <w14:schemeClr w14:val="tx1"/>
                  </w14:solidFill>
                </w14:textFill>
              </w:rPr>
              <w:t>B18597-20</w:t>
            </w:r>
            <w:r>
              <w:rPr>
                <w:rFonts w:hint="eastAsia" w:ascii="Times New Roman" w:hAnsi="Times New Roman" w:eastAsia="宋体" w:cs="Times New Roman"/>
                <w:b w:val="0"/>
                <w:color w:val="000000" w:themeColor="text1"/>
                <w:kern w:val="0"/>
                <w:sz w:val="24"/>
                <w:szCs w:val="24"/>
                <w:highlight w:val="none"/>
                <w:lang w:val="en-US" w:eastAsia="zh-CN" w:bidi="ar-SA"/>
                <w14:textFill>
                  <w14:solidFill>
                    <w14:schemeClr w14:val="tx1"/>
                  </w14:solidFill>
                </w14:textFill>
              </w:rPr>
              <w:t>23）进行建设和管理，具备防风、防雨、防晒、防渗漏措施。危险废物用专用容器（专用密封桶或密封袋）收集并置于暂存区内，贮放期间封闭危险废物暂存区，危险废物收集容器及时加盖或密封。（相关要求参见“危险废物贮存场所（设施）环境影响分析”章节）</w:t>
            </w:r>
          </w:p>
          <w:p w14:paraId="18EE66CF">
            <w:pPr>
              <w:pStyle w:val="104"/>
              <w:keepNext w:val="0"/>
              <w:keepLines w:val="0"/>
              <w:suppressLineNumbers w:val="0"/>
              <w:spacing w:before="0" w:beforeAutospacing="0" w:after="0" w:afterAutospacing="0" w:line="360" w:lineRule="auto"/>
              <w:ind w:left="0" w:right="0" w:firstLine="42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②必须组织专门人员每天每班多次进行周期性巡回检查，加强危废贮存库的运行管理，防患于未然。 </w:t>
            </w:r>
          </w:p>
          <w:p w14:paraId="370E1F06">
            <w:pPr>
              <w:pStyle w:val="104"/>
              <w:keepNext w:val="0"/>
              <w:keepLines w:val="0"/>
              <w:suppressLineNumbers w:val="0"/>
              <w:spacing w:before="0" w:beforeAutospacing="0" w:after="0" w:afterAutospacing="0" w:line="360" w:lineRule="auto"/>
              <w:ind w:left="0" w:right="0" w:firstLine="42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③危废贮存库应挂有提醒人们注意的警示标志，按照《环境保护图形标志 固体废物贮存（处理）场》（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GB15562.2-1995</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）及</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2023</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年修改单的要求设置标志牌，并配置一定数量的灭火器。</w:t>
            </w:r>
          </w:p>
          <w:p w14:paraId="2DA0CD82">
            <w:pPr>
              <w:pStyle w:val="104"/>
              <w:keepNext w:val="0"/>
              <w:keepLines w:val="0"/>
              <w:suppressLineNumbers w:val="0"/>
              <w:spacing w:before="0" w:beforeAutospacing="0" w:after="0" w:afterAutospacing="0" w:line="360" w:lineRule="auto"/>
              <w:ind w:left="0" w:right="0" w:firstLine="420"/>
              <w:jc w:val="both"/>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④定期对柴油发电机组进行检查维护，如发现密封配件老化及时更换。</w:t>
            </w:r>
          </w:p>
          <w:p w14:paraId="256C34A6">
            <w:pPr>
              <w:pStyle w:val="104"/>
              <w:keepNext w:val="0"/>
              <w:keepLines w:val="0"/>
              <w:numPr>
                <w:ilvl w:val="0"/>
                <w:numId w:val="35"/>
              </w:numPr>
              <w:suppressLineNumbers w:val="0"/>
              <w:spacing w:before="0" w:beforeAutospacing="0" w:after="0" w:afterAutospacing="0" w:line="360" w:lineRule="auto"/>
              <w:ind w:left="0" w:leftChars="0" w:right="0" w:firstLine="480" w:firstLineChars="20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生产废水风险事故措施</w:t>
            </w:r>
          </w:p>
          <w:p w14:paraId="537F0386">
            <w:pPr>
              <w:pStyle w:val="104"/>
              <w:keepNext w:val="0"/>
              <w:keepLines w:val="0"/>
              <w:numPr>
                <w:ilvl w:val="0"/>
                <w:numId w:val="0"/>
              </w:numPr>
              <w:suppressLineNumbers w:val="0"/>
              <w:spacing w:before="0" w:beforeAutospacing="0" w:after="0" w:afterAutospacing="0" w:line="360" w:lineRule="auto"/>
              <w:ind w:left="420" w:leftChars="200" w:right="0" w:rightChars="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①污水处理系统所有池体按要求进行重点防渗处理；</w:t>
            </w:r>
          </w:p>
          <w:p w14:paraId="7C45B9C4">
            <w:pPr>
              <w:pStyle w:val="104"/>
              <w:keepNext w:val="0"/>
              <w:keepLines w:val="0"/>
              <w:numPr>
                <w:ilvl w:val="0"/>
                <w:numId w:val="0"/>
              </w:numPr>
              <w:suppressLineNumbers w:val="0"/>
              <w:spacing w:before="0" w:beforeAutospacing="0" w:after="0" w:afterAutospacing="0" w:line="360" w:lineRule="auto"/>
              <w:ind w:left="420" w:leftChars="200" w:right="0" w:rightChars="0"/>
              <w:jc w:val="both"/>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②安排专人定期维护，发现异常及时停产维修。</w:t>
            </w:r>
          </w:p>
          <w:p w14:paraId="694F643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6.2.4、</w:t>
            </w:r>
            <w:r>
              <w:rPr>
                <w:rFonts w:hint="eastAsia" w:ascii="Times New Roman" w:hAnsi="Times New Roman"/>
                <w:color w:val="000000" w:themeColor="text1"/>
                <w:sz w:val="24"/>
                <w:szCs w:val="24"/>
                <w:highlight w:val="none"/>
                <w14:textFill>
                  <w14:solidFill>
                    <w14:schemeClr w14:val="tx1"/>
                  </w14:solidFill>
                </w14:textFill>
              </w:rPr>
              <w:t>环境风险分析结论</w:t>
            </w:r>
          </w:p>
          <w:p w14:paraId="4E6D26DD">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auto"/>
              <w:ind w:left="0" w:right="0" w:firstLine="480" w:firstLineChars="200"/>
              <w:textAlignment w:val="auto"/>
              <w:rPr>
                <w:rFonts w:hint="eastAsia"/>
                <w:color w:val="000000" w:themeColor="text1"/>
                <w:kern w:val="2"/>
                <w:sz w:val="24"/>
                <w:szCs w:val="24"/>
                <w:highlight w:val="none"/>
                <w:lang w:val="en-US" w:eastAsia="zh-CN" w:bidi="ar-SA"/>
                <w14:textFill>
                  <w14:solidFill>
                    <w14:schemeClr w14:val="tx1"/>
                  </w14:solidFill>
                </w14:textFill>
              </w:rPr>
            </w:pPr>
            <w:r>
              <w:rPr>
                <w:rFonts w:hint="eastAsia"/>
                <w:color w:val="000000" w:themeColor="text1"/>
                <w:kern w:val="2"/>
                <w:sz w:val="24"/>
                <w:szCs w:val="24"/>
                <w:highlight w:val="none"/>
                <w:lang w:val="en-US" w:eastAsia="zh-CN" w:bidi="ar-SA"/>
                <w14:textFill>
                  <w14:solidFill>
                    <w14:schemeClr w14:val="tx1"/>
                  </w14:solidFill>
                </w14:textFill>
              </w:rPr>
              <w:t>本项目在确保环境风险防范措施落实的基础上，在加强风险管理的条件下，项目的建设从环境风险的角度分析是可以接受，不会对周围环境及人群造成安全威胁。</w:t>
            </w:r>
          </w:p>
          <w:p w14:paraId="5E2C9A9E">
            <w:pPr>
              <w:pStyle w:val="84"/>
              <w:keepNext w:val="0"/>
              <w:keepLines w:val="0"/>
              <w:suppressLineNumbers w:val="0"/>
              <w:spacing w:before="0" w:beforeAutospacing="0" w:after="0" w:afterAutospacing="0" w:line="360" w:lineRule="auto"/>
              <w:ind w:left="0" w:leftChars="0" w:right="0" w:firstLine="0" w:firstLineChars="0"/>
              <w:rPr>
                <w:rFonts w:hint="default" w:ascii="Times New Roman" w:hAnsi="Times New Roman" w:cs="Times New Roman"/>
                <w:b/>
                <w:color w:val="000000" w:themeColor="text1"/>
                <w:sz w:val="24"/>
                <w:szCs w:val="24"/>
                <w:highlight w:val="none"/>
                <w14:textFill>
                  <w14:solidFill>
                    <w14:schemeClr w14:val="tx1"/>
                  </w14:solidFill>
                </w14:textFill>
              </w:rPr>
            </w:pPr>
            <w:r>
              <w:rPr>
                <w:rFonts w:hint="eastAsia" w:ascii="Times New Roman" w:hAnsi="Times New Roman" w:cs="Times New Roman"/>
                <w:b/>
                <w:color w:val="000000" w:themeColor="text1"/>
                <w:sz w:val="24"/>
                <w:szCs w:val="24"/>
                <w:highlight w:val="none"/>
                <w:lang w:val="en-US" w:eastAsia="zh-CN"/>
                <w14:textFill>
                  <w14:solidFill>
                    <w14:schemeClr w14:val="tx1"/>
                  </w14:solidFill>
                </w14:textFill>
              </w:rPr>
              <w:t>7</w:t>
            </w:r>
            <w:r>
              <w:rPr>
                <w:rFonts w:hint="default" w:ascii="Times New Roman" w:hAnsi="Times New Roman" w:cs="Times New Roman"/>
                <w:b/>
                <w:color w:val="000000" w:themeColor="text1"/>
                <w:sz w:val="24"/>
                <w:szCs w:val="24"/>
                <w:highlight w:val="none"/>
                <w14:textFill>
                  <w14:solidFill>
                    <w14:schemeClr w14:val="tx1"/>
                  </w14:solidFill>
                </w14:textFill>
              </w:rPr>
              <w:t>、</w:t>
            </w:r>
            <w:r>
              <w:rPr>
                <w:rFonts w:hint="default" w:ascii="Times New Roman" w:hAnsi="Times New Roman" w:cs="Times New Roman"/>
                <w:b/>
                <w:bCs/>
                <w:color w:val="000000" w:themeColor="text1"/>
                <w:kern w:val="0"/>
                <w:sz w:val="24"/>
                <w:szCs w:val="24"/>
                <w:highlight w:val="none"/>
                <w14:textFill>
                  <w14:solidFill>
                    <w14:schemeClr w14:val="tx1"/>
                  </w14:solidFill>
                </w14:textFill>
              </w:rPr>
              <w:t>环境管理</w:t>
            </w:r>
          </w:p>
          <w:p w14:paraId="347EF9A7">
            <w:pPr>
              <w:pStyle w:val="84"/>
              <w:keepNext w:val="0"/>
              <w:keepLines w:val="0"/>
              <w:suppressLineNumbers w:val="0"/>
              <w:spacing w:before="0" w:beforeAutospacing="0" w:after="0" w:afterAutospacing="0" w:line="360" w:lineRule="auto"/>
              <w:ind w:left="0" w:right="0"/>
              <w:rPr>
                <w:rFonts w:hint="default" w:ascii="Times New Roman" w:hAnsi="Times New Roman" w:cs="Times New Roman"/>
                <w:color w:val="000000" w:themeColor="text1"/>
                <w:kern w:val="2"/>
                <w:sz w:val="24"/>
                <w:szCs w:val="24"/>
                <w:highlight w:val="none"/>
                <w14:textFill>
                  <w14:solidFill>
                    <w14:schemeClr w14:val="tx1"/>
                  </w14:solidFill>
                </w14:textFill>
              </w:rPr>
            </w:pPr>
            <w:r>
              <w:rPr>
                <w:rFonts w:hint="default" w:ascii="Times New Roman" w:hAnsi="Times New Roman" w:cs="Times New Roman"/>
                <w:color w:val="000000" w:themeColor="text1"/>
                <w:kern w:val="2"/>
                <w:sz w:val="24"/>
                <w:szCs w:val="24"/>
                <w:highlight w:val="none"/>
                <w14:textFill>
                  <w14:solidFill>
                    <w14:schemeClr w14:val="tx1"/>
                  </w14:solidFill>
                </w14:textFill>
              </w:rPr>
              <w:t>为切实加强环境保护工作，搞好全厂污染源的监控，需配备专职或兼职环保管理人员1人，负责企业环保工作，其职责如下：</w:t>
            </w:r>
          </w:p>
          <w:p w14:paraId="123F1328">
            <w:pPr>
              <w:pStyle w:val="84"/>
              <w:keepNext w:val="0"/>
              <w:keepLines w:val="0"/>
              <w:suppressLineNumbers w:val="0"/>
              <w:spacing w:before="0" w:beforeAutospacing="0" w:after="0" w:afterAutospacing="0" w:line="360" w:lineRule="auto"/>
              <w:ind w:left="0" w:right="0"/>
              <w:rPr>
                <w:rFonts w:hint="default" w:ascii="Times New Roman" w:hAnsi="Times New Roman" w:cs="Times New Roman"/>
                <w:color w:val="000000" w:themeColor="text1"/>
                <w:kern w:val="2"/>
                <w:sz w:val="24"/>
                <w:szCs w:val="24"/>
                <w:highlight w:val="none"/>
                <w14:textFill>
                  <w14:solidFill>
                    <w14:schemeClr w14:val="tx1"/>
                  </w14:solidFill>
                </w14:textFill>
              </w:rPr>
            </w:pPr>
            <w:r>
              <w:rPr>
                <w:rFonts w:hint="default" w:ascii="Times New Roman" w:hAnsi="Times New Roman" w:cs="Times New Roman"/>
                <w:color w:val="000000" w:themeColor="text1"/>
                <w:kern w:val="2"/>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2"/>
                <w:sz w:val="24"/>
                <w:szCs w:val="24"/>
                <w:highlight w:val="none"/>
                <w:lang w:val="en-US" w:eastAsia="zh-CN"/>
                <w14:textFill>
                  <w14:solidFill>
                    <w14:schemeClr w14:val="tx1"/>
                  </w14:solidFill>
                </w14:textFill>
              </w:rPr>
              <w:t>1</w:t>
            </w:r>
            <w:r>
              <w:rPr>
                <w:rFonts w:hint="default" w:ascii="Times New Roman" w:hAnsi="Times New Roman" w:cs="Times New Roman"/>
                <w:color w:val="000000" w:themeColor="text1"/>
                <w:kern w:val="2"/>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2"/>
                <w:sz w:val="24"/>
                <w:szCs w:val="24"/>
                <w:highlight w:val="none"/>
                <w14:textFill>
                  <w14:solidFill>
                    <w14:schemeClr w14:val="tx1"/>
                  </w14:solidFill>
                </w14:textFill>
              </w:rPr>
              <w:t>贯彻执行《中华人民共和国环境保护法》及其相关法律、法规，按照国家的环保政策、环境标准及环境监测要求，制定环境管理规章制度，并监督执行；</w:t>
            </w:r>
          </w:p>
          <w:p w14:paraId="6320CAFB">
            <w:pPr>
              <w:pStyle w:val="84"/>
              <w:keepNext w:val="0"/>
              <w:keepLines w:val="0"/>
              <w:suppressLineNumbers w:val="0"/>
              <w:spacing w:before="0" w:beforeAutospacing="0" w:after="0" w:afterAutospacing="0" w:line="360" w:lineRule="auto"/>
              <w:ind w:left="0" w:right="0"/>
              <w:rPr>
                <w:rFonts w:hint="default" w:ascii="Times New Roman" w:hAnsi="Times New Roman" w:cs="Times New Roman"/>
                <w:color w:val="000000" w:themeColor="text1"/>
                <w:kern w:val="2"/>
                <w:sz w:val="24"/>
                <w:szCs w:val="24"/>
                <w:highlight w:val="none"/>
                <w14:textFill>
                  <w14:solidFill>
                    <w14:schemeClr w14:val="tx1"/>
                  </w14:solidFill>
                </w14:textFill>
              </w:rPr>
            </w:pPr>
            <w:r>
              <w:rPr>
                <w:rFonts w:hint="default" w:ascii="Times New Roman" w:hAnsi="Times New Roman" w:cs="Times New Roman"/>
                <w:color w:val="000000" w:themeColor="text1"/>
                <w:kern w:val="2"/>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2"/>
                <w:sz w:val="24"/>
                <w:szCs w:val="24"/>
                <w:highlight w:val="none"/>
                <w:lang w:val="en-US" w:eastAsia="zh-CN"/>
                <w14:textFill>
                  <w14:solidFill>
                    <w14:schemeClr w14:val="tx1"/>
                  </w14:solidFill>
                </w14:textFill>
              </w:rPr>
              <w:t>2</w:t>
            </w:r>
            <w:r>
              <w:rPr>
                <w:rFonts w:hint="default" w:ascii="Times New Roman" w:hAnsi="Times New Roman" w:cs="Times New Roman"/>
                <w:color w:val="000000" w:themeColor="text1"/>
                <w:kern w:val="2"/>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2"/>
                <w:sz w:val="24"/>
                <w:szCs w:val="24"/>
                <w:highlight w:val="none"/>
                <w14:textFill>
                  <w14:solidFill>
                    <w14:schemeClr w14:val="tx1"/>
                  </w14:solidFill>
                </w14:textFill>
              </w:rPr>
              <w:t>掌握本企业各污染源治理措施工艺、设备、运行及维护等资料，掌握废物综合利用情况，建立污染控制管理档案；</w:t>
            </w:r>
          </w:p>
          <w:p w14:paraId="0574EF43">
            <w:pPr>
              <w:pStyle w:val="84"/>
              <w:keepNext w:val="0"/>
              <w:keepLines w:val="0"/>
              <w:suppressLineNumbers w:val="0"/>
              <w:spacing w:before="0" w:beforeAutospacing="0" w:after="0" w:afterAutospacing="0" w:line="360" w:lineRule="auto"/>
              <w:ind w:left="0" w:right="0"/>
              <w:rPr>
                <w:rFonts w:hint="default" w:ascii="Times New Roman" w:hAnsi="Times New Roman" w:cs="Times New Roman"/>
                <w:color w:val="000000" w:themeColor="text1"/>
                <w:kern w:val="2"/>
                <w:sz w:val="24"/>
                <w:szCs w:val="24"/>
                <w:highlight w:val="none"/>
                <w14:textFill>
                  <w14:solidFill>
                    <w14:schemeClr w14:val="tx1"/>
                  </w14:solidFill>
                </w14:textFill>
              </w:rPr>
            </w:pPr>
            <w:r>
              <w:rPr>
                <w:rFonts w:hint="default" w:ascii="Times New Roman" w:hAnsi="Times New Roman" w:cs="Times New Roman"/>
                <w:color w:val="000000" w:themeColor="text1"/>
                <w:kern w:val="2"/>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2"/>
                <w:sz w:val="24"/>
                <w:szCs w:val="24"/>
                <w:highlight w:val="none"/>
                <w:lang w:val="en-US" w:eastAsia="zh-CN"/>
                <w14:textFill>
                  <w14:solidFill>
                    <w14:schemeClr w14:val="tx1"/>
                  </w14:solidFill>
                </w14:textFill>
              </w:rPr>
              <w:t>3</w:t>
            </w:r>
            <w:r>
              <w:rPr>
                <w:rFonts w:hint="default" w:ascii="Times New Roman" w:hAnsi="Times New Roman" w:cs="Times New Roman"/>
                <w:color w:val="000000" w:themeColor="text1"/>
                <w:kern w:val="2"/>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2"/>
                <w:sz w:val="24"/>
                <w:szCs w:val="24"/>
                <w:highlight w:val="none"/>
                <w14:textFill>
                  <w14:solidFill>
                    <w14:schemeClr w14:val="tx1"/>
                  </w14:solidFill>
                </w14:textFill>
              </w:rPr>
              <w:t>检查企业环保设施的运行情况，领导和组织本企业的环境监测工作，制定应急防范措施，一旦发生风险排污应及时组织好污染监测工作，并分析原因，总结经验教训，杜绝污染事故的发生；</w:t>
            </w:r>
          </w:p>
          <w:p w14:paraId="09DCA7AC">
            <w:pPr>
              <w:pStyle w:val="84"/>
              <w:keepNext w:val="0"/>
              <w:keepLines w:val="0"/>
              <w:suppressLineNumbers w:val="0"/>
              <w:spacing w:before="0" w:beforeAutospacing="0" w:after="0" w:afterAutospacing="0" w:line="360" w:lineRule="auto"/>
              <w:ind w:left="0" w:right="0"/>
              <w:rPr>
                <w:rFonts w:hint="default" w:ascii="Times New Roman" w:hAnsi="Times New Roman" w:cs="Times New Roman"/>
                <w:color w:val="000000" w:themeColor="text1"/>
                <w:kern w:val="2"/>
                <w:sz w:val="24"/>
                <w:szCs w:val="24"/>
                <w:highlight w:val="none"/>
                <w14:textFill>
                  <w14:solidFill>
                    <w14:schemeClr w14:val="tx1"/>
                  </w14:solidFill>
                </w14:textFill>
              </w:rPr>
            </w:pPr>
            <w:r>
              <w:rPr>
                <w:rFonts w:hint="default" w:ascii="Times New Roman" w:hAnsi="Times New Roman" w:cs="Times New Roman"/>
                <w:color w:val="000000" w:themeColor="text1"/>
                <w:kern w:val="2"/>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2"/>
                <w:sz w:val="24"/>
                <w:szCs w:val="24"/>
                <w:highlight w:val="none"/>
                <w:lang w:val="en-US" w:eastAsia="zh-CN"/>
                <w14:textFill>
                  <w14:solidFill>
                    <w14:schemeClr w14:val="tx1"/>
                  </w14:solidFill>
                </w14:textFill>
              </w:rPr>
              <w:t>4</w:t>
            </w:r>
            <w:r>
              <w:rPr>
                <w:rFonts w:hint="default" w:ascii="Times New Roman" w:hAnsi="Times New Roman" w:cs="Times New Roman"/>
                <w:color w:val="000000" w:themeColor="text1"/>
                <w:kern w:val="2"/>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2"/>
                <w:sz w:val="24"/>
                <w:szCs w:val="24"/>
                <w:highlight w:val="none"/>
                <w14:textFill>
                  <w14:solidFill>
                    <w14:schemeClr w14:val="tx1"/>
                  </w14:solidFill>
                </w14:textFill>
              </w:rPr>
              <w:t>制定生产过程中各项污染物排放指标以及环保设施的运行参数，定期考核统计；</w:t>
            </w:r>
          </w:p>
          <w:p w14:paraId="759039FD">
            <w:pPr>
              <w:pStyle w:val="84"/>
              <w:keepNext w:val="0"/>
              <w:keepLines w:val="0"/>
              <w:suppressLineNumbers w:val="0"/>
              <w:spacing w:before="0" w:beforeAutospacing="0" w:after="0" w:afterAutospacing="0" w:line="360" w:lineRule="auto"/>
              <w:ind w:left="0" w:right="0"/>
              <w:rPr>
                <w:rFonts w:hint="default" w:ascii="Times New Roman" w:hAnsi="Times New Roman" w:cs="Times New Roman"/>
                <w:color w:val="000000" w:themeColor="text1"/>
                <w:kern w:val="2"/>
                <w:sz w:val="24"/>
                <w:szCs w:val="24"/>
                <w:highlight w:val="none"/>
                <w14:textFill>
                  <w14:solidFill>
                    <w14:schemeClr w14:val="tx1"/>
                  </w14:solidFill>
                </w14:textFill>
              </w:rPr>
            </w:pPr>
            <w:r>
              <w:rPr>
                <w:rFonts w:hint="default" w:ascii="Times New Roman" w:hAnsi="Times New Roman" w:cs="Times New Roman"/>
                <w:color w:val="000000" w:themeColor="text1"/>
                <w:kern w:val="2"/>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2"/>
                <w:sz w:val="24"/>
                <w:szCs w:val="24"/>
                <w:highlight w:val="none"/>
                <w:lang w:val="en-US" w:eastAsia="zh-CN"/>
                <w14:textFill>
                  <w14:solidFill>
                    <w14:schemeClr w14:val="tx1"/>
                  </w14:solidFill>
                </w14:textFill>
              </w:rPr>
              <w:t>5</w:t>
            </w:r>
            <w:r>
              <w:rPr>
                <w:rFonts w:hint="default" w:ascii="Times New Roman" w:hAnsi="Times New Roman" w:cs="Times New Roman"/>
                <w:color w:val="000000" w:themeColor="text1"/>
                <w:kern w:val="2"/>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2"/>
                <w:sz w:val="24"/>
                <w:szCs w:val="24"/>
                <w:highlight w:val="none"/>
                <w14:textFill>
                  <w14:solidFill>
                    <w14:schemeClr w14:val="tx1"/>
                  </w14:solidFill>
                </w14:textFill>
              </w:rPr>
              <w:t>监督本项目环保设施的安装、调试等工作，坚持“三同时”原则，保证环保设施设计、施工、运行与主体工程同时进行。</w:t>
            </w:r>
          </w:p>
          <w:p w14:paraId="05FAC545">
            <w:pPr>
              <w:keepNext w:val="0"/>
              <w:keepLines w:val="0"/>
              <w:pageBreakBefore w:val="0"/>
              <w:widowControl w:val="0"/>
              <w:suppressLineNumbers w:val="0"/>
              <w:kinsoku/>
              <w:wordWrap/>
              <w:overflowPunct/>
              <w:topLinePunct w:val="0"/>
              <w:autoSpaceDE/>
              <w:autoSpaceDN/>
              <w:bidi w:val="0"/>
              <w:adjustRightInd/>
              <w:snapToGrid/>
              <w:spacing w:before="313" w:beforeLines="100" w:beforeAutospacing="0" w:after="0" w:afterAutospacing="0" w:line="360" w:lineRule="auto"/>
              <w:ind w:left="0" w:right="0"/>
              <w:jc w:val="both"/>
              <w:textAlignment w:val="auto"/>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8</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、排污许可申领要求及排污口规范化设置</w:t>
            </w:r>
          </w:p>
          <w:p w14:paraId="221B3E83">
            <w:pPr>
              <w:keepNext w:val="0"/>
              <w:keepLines w:val="0"/>
              <w:suppressLineNumbers w:val="0"/>
              <w:autoSpaceDE w:val="0"/>
              <w:autoSpaceDN w:val="0"/>
              <w:spacing w:before="0" w:beforeAutospacing="0" w:after="0" w:afterAutospacing="0" w:line="360" w:lineRule="auto"/>
              <w:ind w:left="0" w:right="0"/>
              <w:rPr>
                <w:rFonts w:hint="eastAsia" w:ascii="Times New Roman" w:hAnsi="Times New Roman" w:eastAsia="宋体" w:cs="Times New Roman"/>
                <w:b/>
                <w:color w:val="000000" w:themeColor="text1"/>
                <w:kern w:val="0"/>
                <w:sz w:val="24"/>
                <w:szCs w:val="24"/>
                <w:highlight w:val="none"/>
                <w:lang w:val="en-US" w:eastAsia="zh-CN" w:bidi="ar-SA"/>
                <w14:textFill>
                  <w14:solidFill>
                    <w14:schemeClr w14:val="tx1"/>
                  </w14:solidFill>
                </w14:textFill>
              </w:rPr>
            </w:pPr>
            <w:r>
              <w:rPr>
                <w:rFonts w:hint="eastAsia" w:cs="Times New Roman"/>
                <w:b/>
                <w:color w:val="000000" w:themeColor="text1"/>
                <w:kern w:val="0"/>
                <w:sz w:val="24"/>
                <w:szCs w:val="24"/>
                <w:highlight w:val="none"/>
                <w:lang w:val="en-US" w:eastAsia="zh-CN" w:bidi="ar-SA"/>
                <w14:textFill>
                  <w14:solidFill>
                    <w14:schemeClr w14:val="tx1"/>
                  </w14:solidFill>
                </w14:textFill>
              </w:rPr>
              <w:t>8.1</w:t>
            </w:r>
            <w:r>
              <w:rPr>
                <w:rFonts w:hint="eastAsia" w:ascii="Times New Roman" w:hAnsi="Times New Roman" w:eastAsia="宋体" w:cs="Times New Roman"/>
                <w:b/>
                <w:color w:val="000000" w:themeColor="text1"/>
                <w:kern w:val="0"/>
                <w:sz w:val="24"/>
                <w:szCs w:val="24"/>
                <w:highlight w:val="none"/>
                <w:lang w:val="en-US" w:eastAsia="zh-CN" w:bidi="ar-SA"/>
                <w14:textFill>
                  <w14:solidFill>
                    <w14:schemeClr w14:val="tx1"/>
                  </w14:solidFill>
                </w14:textFill>
              </w:rPr>
              <w:t>、排污许可申领要求</w:t>
            </w:r>
          </w:p>
          <w:p w14:paraId="58BD87AC">
            <w:pPr>
              <w:pStyle w:val="104"/>
              <w:keepNext w:val="0"/>
              <w:keepLines w:val="0"/>
              <w:suppressLineNumbers w:val="0"/>
              <w:spacing w:before="0" w:beforeAutospacing="0" w:after="0" w:afterAutospacing="0" w:line="360" w:lineRule="auto"/>
              <w:ind w:left="0" w:right="0" w:firstLine="42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本项目在启动生产设施或者实际排污之前，要提前去办理排污许可证重新申请，如不办理排污许可相关手续，排污单位不得排污。</w:t>
            </w:r>
          </w:p>
          <w:p w14:paraId="63DA3719">
            <w:pPr>
              <w:keepNext w:val="0"/>
              <w:keepLines w:val="0"/>
              <w:suppressLineNumbers w:val="0"/>
              <w:autoSpaceDE w:val="0"/>
              <w:autoSpaceDN w:val="0"/>
              <w:spacing w:before="0" w:beforeAutospacing="0" w:after="0" w:afterAutospacing="0" w:line="360" w:lineRule="auto"/>
              <w:ind w:left="0" w:right="0"/>
              <w:rPr>
                <w:rFonts w:hint="eastAsia" w:ascii="Times New Roman" w:hAnsi="Times New Roman" w:eastAsia="宋体" w:cs="Times New Roman"/>
                <w:b/>
                <w:color w:val="000000" w:themeColor="text1"/>
                <w:kern w:val="0"/>
                <w:sz w:val="24"/>
                <w:szCs w:val="24"/>
                <w:highlight w:val="none"/>
                <w:lang w:val="en-US" w:eastAsia="zh-CN" w:bidi="ar-SA"/>
                <w14:textFill>
                  <w14:solidFill>
                    <w14:schemeClr w14:val="tx1"/>
                  </w14:solidFill>
                </w14:textFill>
              </w:rPr>
            </w:pPr>
            <w:r>
              <w:rPr>
                <w:rFonts w:hint="eastAsia" w:cs="Times New Roman"/>
                <w:b/>
                <w:color w:val="000000" w:themeColor="text1"/>
                <w:kern w:val="0"/>
                <w:sz w:val="24"/>
                <w:szCs w:val="24"/>
                <w:highlight w:val="none"/>
                <w:lang w:val="en-US" w:eastAsia="zh-CN" w:bidi="ar-SA"/>
                <w14:textFill>
                  <w14:solidFill>
                    <w14:schemeClr w14:val="tx1"/>
                  </w14:solidFill>
                </w14:textFill>
              </w:rPr>
              <w:t>8.2</w:t>
            </w:r>
            <w:r>
              <w:rPr>
                <w:rFonts w:hint="eastAsia" w:ascii="Times New Roman" w:hAnsi="Times New Roman" w:eastAsia="宋体" w:cs="Times New Roman"/>
                <w:b/>
                <w:color w:val="000000" w:themeColor="text1"/>
                <w:kern w:val="0"/>
                <w:sz w:val="24"/>
                <w:szCs w:val="24"/>
                <w:highlight w:val="none"/>
                <w:lang w:val="en-US" w:eastAsia="zh-CN" w:bidi="ar-SA"/>
                <w14:textFill>
                  <w14:solidFill>
                    <w14:schemeClr w14:val="tx1"/>
                  </w14:solidFill>
                </w14:textFill>
              </w:rPr>
              <w:t>、排污口规范化设置</w:t>
            </w:r>
          </w:p>
          <w:p w14:paraId="2C642801">
            <w:pPr>
              <w:pStyle w:val="104"/>
              <w:keepNext w:val="0"/>
              <w:keepLines w:val="0"/>
              <w:suppressLineNumbers w:val="0"/>
              <w:spacing w:before="0" w:beforeAutospacing="0" w:after="0" w:afterAutospacing="0" w:line="360" w:lineRule="auto"/>
              <w:ind w:left="0" w:right="0" w:firstLine="42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排污口规范化是实施污染物总量管理的基础工作，也是总量控制不可缺少的一项内容。排污口规范化对于污染源管理，现场监督检查，促进公司企业强化环保管理，促进污染治理，实现科学化、定量化都有极大的现实意义。</w:t>
            </w:r>
          </w:p>
          <w:p w14:paraId="0DFCEF8E">
            <w:pPr>
              <w:pStyle w:val="104"/>
              <w:keepNext w:val="0"/>
              <w:keepLines w:val="0"/>
              <w:suppressLineNumbers w:val="0"/>
              <w:spacing w:before="0" w:beforeAutospacing="0" w:after="0" w:afterAutospacing="0" w:line="360" w:lineRule="auto"/>
              <w:ind w:left="0" w:right="0" w:firstLine="42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）根据《排污口规范化整治技术要求（试行）》环监〔1996〕470 号设置规范化的采样口。设置规范化的排污口，应包括监测平台、监测开孔、通往监测平台的通道（应设置1.1 m高的安全防护栏）、固定的永久性电源等。依据《固定源废气监测技术规范》（HJ/T 397-2007）中5.1.2规定的“采样位置应设置在距弯头、阀门、变径管下游方向不少于6倍直径，和上述部件上游方向不小于3倍直径处。</w:t>
            </w:r>
          </w:p>
          <w:p w14:paraId="48849C64">
            <w:pPr>
              <w:pStyle w:val="104"/>
              <w:keepNext w:val="0"/>
              <w:keepLines w:val="0"/>
              <w:suppressLineNumbers w:val="0"/>
              <w:spacing w:before="0" w:beforeAutospacing="0" w:after="0" w:afterAutospacing="0" w:line="360" w:lineRule="auto"/>
              <w:ind w:left="0" w:right="0" w:firstLine="42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）排污口应按《环境保护图形标志-排放口（源）》（</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GB15562.1-1995</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）、《环境保护图形标志 固体废物贮存（处置）场》（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GB15562.2-1995</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）及其修改单设置明显提示和警示图形标志。</w:t>
            </w:r>
          </w:p>
          <w:p w14:paraId="2A80E2D1">
            <w:pPr>
              <w:pStyle w:val="104"/>
              <w:keepNext w:val="0"/>
              <w:keepLines w:val="0"/>
              <w:suppressLineNumbers w:val="0"/>
              <w:spacing w:before="0" w:beforeAutospacing="0" w:after="0" w:afterAutospacing="0" w:line="360" w:lineRule="auto"/>
              <w:ind w:left="0" w:right="0" w:firstLine="42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（3）一般污染物排污口（源），设置提示式标志牌，有毒、有害污染物的排污口设置警告式标志牌。</w:t>
            </w:r>
          </w:p>
          <w:p w14:paraId="518102CC">
            <w:pPr>
              <w:pStyle w:val="104"/>
              <w:keepNext w:val="0"/>
              <w:keepLines w:val="0"/>
              <w:suppressLineNumbers w:val="0"/>
              <w:spacing w:before="0" w:beforeAutospacing="0" w:after="0" w:afterAutospacing="0" w:line="360" w:lineRule="auto"/>
              <w:ind w:left="0" w:right="0" w:firstLine="42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标志牌设置位置在排污口（采样点）附近且醒目处，高度为标志牌上缘离地面</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2m</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。排污口附近</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1m</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范围内有建筑物的，设平面式标志牌，无建筑物的设立式标志牌。</w:t>
            </w:r>
          </w:p>
          <w:p w14:paraId="1EFC3B80">
            <w:pPr>
              <w:pStyle w:val="104"/>
              <w:keepNext w:val="0"/>
              <w:keepLines w:val="0"/>
              <w:suppressLineNumbers w:val="0"/>
              <w:spacing w:before="0" w:beforeAutospacing="0" w:after="0" w:afterAutospacing="0" w:line="360" w:lineRule="auto"/>
              <w:ind w:left="0" w:right="0" w:firstLine="42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规范化排污口的有关设置（如图形标志牌、计量装置、监控装置等）属环保设施，建设单位必须负责日常的维护保养。</w:t>
            </w:r>
          </w:p>
          <w:p w14:paraId="097CB3CA">
            <w:pPr>
              <w:pStyle w:val="31"/>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4）</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根据排污口管理档案内容要求，项目建成投产后，应将主要污染物的种类、数量、浓度、排放去向、</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达标</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情况及设施运行情况记录于档案。</w:t>
            </w:r>
          </w:p>
          <w:p w14:paraId="3AE695B6">
            <w:pPr>
              <w:keepNext w:val="0"/>
              <w:keepLines w:val="0"/>
              <w:pageBreakBefore w:val="0"/>
              <w:widowControl w:val="0"/>
              <w:numPr>
                <w:ilvl w:val="0"/>
                <w:numId w:val="26"/>
              </w:numPr>
              <w:suppressLineNumbers w:val="0"/>
              <w:kinsoku/>
              <w:wordWrap/>
              <w:overflowPunct/>
              <w:topLinePunct w:val="0"/>
              <w:autoSpaceDE/>
              <w:autoSpaceDN/>
              <w:bidi w:val="0"/>
              <w:adjustRightInd/>
              <w:snapToGrid w:val="0"/>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排放口提示标识</w:t>
            </w:r>
          </w:p>
          <w:tbl>
            <w:tblPr>
              <w:tblStyle w:val="35"/>
              <w:tblW w:w="4997"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24"/>
              <w:gridCol w:w="1968"/>
              <w:gridCol w:w="1927"/>
              <w:gridCol w:w="1111"/>
              <w:gridCol w:w="2280"/>
            </w:tblGrid>
            <w:tr w14:paraId="707BFC46">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8" w:type="pct"/>
                  <w:tcBorders>
                    <w:tl2br w:val="nil"/>
                    <w:tr2bl w:val="nil"/>
                  </w:tcBorders>
                  <w:noWrap w:val="0"/>
                  <w:vAlign w:val="center"/>
                </w:tcPr>
                <w:p w14:paraId="050AEEBB">
                  <w:pPr>
                    <w:pStyle w:val="8"/>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14:textFill>
                        <w14:solidFill>
                          <w14:schemeClr w14:val="tx1"/>
                        </w14:solidFill>
                      </w14:textFill>
                    </w:rPr>
                    <w:t>序号</w:t>
                  </w:r>
                </w:p>
              </w:tc>
              <w:tc>
                <w:tcPr>
                  <w:tcW w:w="1213" w:type="pct"/>
                  <w:tcBorders>
                    <w:tl2br w:val="nil"/>
                    <w:tr2bl w:val="nil"/>
                  </w:tcBorders>
                  <w:noWrap w:val="0"/>
                  <w:vAlign w:val="center"/>
                </w:tcPr>
                <w:p w14:paraId="7E7033BA">
                  <w:pPr>
                    <w:pStyle w:val="8"/>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14:textFill>
                        <w14:solidFill>
                          <w14:schemeClr w14:val="tx1"/>
                        </w14:solidFill>
                      </w14:textFill>
                    </w:rPr>
                    <w:t>提示图形符号</w:t>
                  </w:r>
                </w:p>
              </w:tc>
              <w:tc>
                <w:tcPr>
                  <w:tcW w:w="1188" w:type="pct"/>
                  <w:tcBorders>
                    <w:tl2br w:val="nil"/>
                    <w:tr2bl w:val="nil"/>
                  </w:tcBorders>
                  <w:noWrap w:val="0"/>
                  <w:vAlign w:val="center"/>
                </w:tcPr>
                <w:p w14:paraId="275641CF">
                  <w:pPr>
                    <w:pStyle w:val="8"/>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14:textFill>
                        <w14:solidFill>
                          <w14:schemeClr w14:val="tx1"/>
                        </w14:solidFill>
                      </w14:textFill>
                    </w:rPr>
                    <w:t>警告图形符号</w:t>
                  </w:r>
                </w:p>
              </w:tc>
              <w:tc>
                <w:tcPr>
                  <w:tcW w:w="685" w:type="pct"/>
                  <w:tcBorders>
                    <w:tl2br w:val="nil"/>
                    <w:tr2bl w:val="nil"/>
                  </w:tcBorders>
                  <w:noWrap w:val="0"/>
                  <w:vAlign w:val="center"/>
                </w:tcPr>
                <w:p w14:paraId="26A86E8B">
                  <w:pPr>
                    <w:pStyle w:val="8"/>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14:textFill>
                        <w14:solidFill>
                          <w14:schemeClr w14:val="tx1"/>
                        </w14:solidFill>
                      </w14:textFill>
                    </w:rPr>
                    <w:t>名称</w:t>
                  </w:r>
                </w:p>
              </w:tc>
              <w:tc>
                <w:tcPr>
                  <w:tcW w:w="1405" w:type="pct"/>
                  <w:tcBorders>
                    <w:tl2br w:val="nil"/>
                    <w:tr2bl w:val="nil"/>
                  </w:tcBorders>
                  <w:noWrap w:val="0"/>
                  <w:vAlign w:val="center"/>
                </w:tcPr>
                <w:p w14:paraId="79C6011D">
                  <w:pPr>
                    <w:pStyle w:val="8"/>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14:textFill>
                        <w14:solidFill>
                          <w14:schemeClr w14:val="tx1"/>
                        </w14:solidFill>
                      </w14:textFill>
                    </w:rPr>
                    <w:t>功能</w:t>
                  </w:r>
                </w:p>
              </w:tc>
            </w:tr>
            <w:tr w14:paraId="3167DA9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8" w:type="pct"/>
                  <w:tcBorders>
                    <w:tl2br w:val="nil"/>
                    <w:tr2bl w:val="nil"/>
                  </w:tcBorders>
                  <w:noWrap w:val="0"/>
                  <w:vAlign w:val="center"/>
                </w:tcPr>
                <w:p w14:paraId="6AC0B0CD">
                  <w:pPr>
                    <w:keepNext w:val="0"/>
                    <w:keepLines w:val="0"/>
                    <w:pageBreakBefore w:val="0"/>
                    <w:widowControl w:val="0"/>
                    <w:numPr>
                      <w:ilvl w:val="0"/>
                      <w:numId w:val="36"/>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213" w:type="pct"/>
                  <w:tcBorders>
                    <w:tl2br w:val="nil"/>
                    <w:tr2bl w:val="nil"/>
                  </w:tcBorders>
                  <w:noWrap w:val="0"/>
                  <w:vAlign w:val="center"/>
                </w:tcPr>
                <w:p w14:paraId="2448CF8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drawing>
                      <wp:inline distT="0" distB="0" distL="114300" distR="114300">
                        <wp:extent cx="709930" cy="720090"/>
                        <wp:effectExtent l="0" t="0" r="13970" b="3810"/>
                        <wp:docPr id="11" name="图片 9" descr="说明: 说明: 13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descr="说明: 说明: 13003"/>
                                <pic:cNvPicPr>
                                  <a:picLocks noChangeAspect="1"/>
                                </pic:cNvPicPr>
                              </pic:nvPicPr>
                              <pic:blipFill>
                                <a:blip r:embed="rId30"/>
                                <a:stretch>
                                  <a:fillRect/>
                                </a:stretch>
                              </pic:blipFill>
                              <pic:spPr>
                                <a:xfrm>
                                  <a:off x="0" y="0"/>
                                  <a:ext cx="709930" cy="720090"/>
                                </a:xfrm>
                                <a:prstGeom prst="rect">
                                  <a:avLst/>
                                </a:prstGeom>
                                <a:noFill/>
                                <a:ln>
                                  <a:noFill/>
                                </a:ln>
                              </pic:spPr>
                            </pic:pic>
                          </a:graphicData>
                        </a:graphic>
                      </wp:inline>
                    </w:drawing>
                  </w:r>
                </w:p>
              </w:tc>
              <w:tc>
                <w:tcPr>
                  <w:tcW w:w="1188" w:type="pct"/>
                  <w:tcBorders>
                    <w:tl2br w:val="nil"/>
                    <w:tr2bl w:val="nil"/>
                  </w:tcBorders>
                  <w:noWrap w:val="0"/>
                  <w:vAlign w:val="center"/>
                </w:tcPr>
                <w:p w14:paraId="46913C0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drawing>
                      <wp:inline distT="0" distB="0" distL="114300" distR="114300">
                        <wp:extent cx="778510" cy="778510"/>
                        <wp:effectExtent l="0" t="0" r="2540" b="2540"/>
                        <wp:docPr id="12" name="图片 10" descr="说明: 说明: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 descr="说明: 说明: 4"/>
                                <pic:cNvPicPr>
                                  <a:picLocks noChangeAspect="1"/>
                                </pic:cNvPicPr>
                              </pic:nvPicPr>
                              <pic:blipFill>
                                <a:blip r:embed="rId31"/>
                                <a:stretch>
                                  <a:fillRect/>
                                </a:stretch>
                              </pic:blipFill>
                              <pic:spPr>
                                <a:xfrm>
                                  <a:off x="0" y="0"/>
                                  <a:ext cx="778510" cy="778510"/>
                                </a:xfrm>
                                <a:prstGeom prst="rect">
                                  <a:avLst/>
                                </a:prstGeom>
                                <a:noFill/>
                                <a:ln>
                                  <a:noFill/>
                                </a:ln>
                              </pic:spPr>
                            </pic:pic>
                          </a:graphicData>
                        </a:graphic>
                      </wp:inline>
                    </w:drawing>
                  </w:r>
                </w:p>
              </w:tc>
              <w:tc>
                <w:tcPr>
                  <w:tcW w:w="685" w:type="pct"/>
                  <w:tcBorders>
                    <w:tl2br w:val="nil"/>
                    <w:tr2bl w:val="nil"/>
                  </w:tcBorders>
                  <w:noWrap w:val="0"/>
                  <w:vAlign w:val="center"/>
                </w:tcPr>
                <w:p w14:paraId="06EA8403">
                  <w:pPr>
                    <w:pStyle w:val="8"/>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废气排放口</w:t>
                  </w:r>
                </w:p>
              </w:tc>
              <w:tc>
                <w:tcPr>
                  <w:tcW w:w="1405" w:type="pct"/>
                  <w:tcBorders>
                    <w:tl2br w:val="nil"/>
                    <w:tr2bl w:val="nil"/>
                  </w:tcBorders>
                  <w:noWrap w:val="0"/>
                  <w:vAlign w:val="center"/>
                </w:tcPr>
                <w:p w14:paraId="456BB8C7">
                  <w:pPr>
                    <w:pStyle w:val="8"/>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表示废气向大气环境排放</w:t>
                  </w:r>
                </w:p>
              </w:tc>
            </w:tr>
            <w:tr w14:paraId="4F945C90">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8" w:type="pct"/>
                  <w:tcBorders>
                    <w:tl2br w:val="nil"/>
                    <w:tr2bl w:val="nil"/>
                  </w:tcBorders>
                  <w:noWrap w:val="0"/>
                  <w:vAlign w:val="center"/>
                </w:tcPr>
                <w:p w14:paraId="5C00DBB0">
                  <w:pPr>
                    <w:keepNext w:val="0"/>
                    <w:keepLines w:val="0"/>
                    <w:pageBreakBefore w:val="0"/>
                    <w:widowControl w:val="0"/>
                    <w:numPr>
                      <w:ilvl w:val="0"/>
                      <w:numId w:val="36"/>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213" w:type="pct"/>
                  <w:tcBorders>
                    <w:tl2br w:val="nil"/>
                    <w:tr2bl w:val="nil"/>
                  </w:tcBorders>
                  <w:noWrap w:val="0"/>
                  <w:vAlign w:val="center"/>
                </w:tcPr>
                <w:p w14:paraId="162550F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drawing>
                      <wp:inline distT="0" distB="0" distL="114300" distR="114300">
                        <wp:extent cx="733425" cy="733425"/>
                        <wp:effectExtent l="0" t="0" r="9525" b="9525"/>
                        <wp:docPr id="1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
                                <pic:cNvPicPr>
                                  <a:picLocks noChangeAspect="1"/>
                                </pic:cNvPicPr>
                              </pic:nvPicPr>
                              <pic:blipFill>
                                <a:blip r:embed="rId32"/>
                                <a:stretch>
                                  <a:fillRect/>
                                </a:stretch>
                              </pic:blipFill>
                              <pic:spPr>
                                <a:xfrm>
                                  <a:off x="0" y="0"/>
                                  <a:ext cx="733425" cy="733425"/>
                                </a:xfrm>
                                <a:prstGeom prst="rect">
                                  <a:avLst/>
                                </a:prstGeom>
                                <a:noFill/>
                                <a:ln>
                                  <a:noFill/>
                                </a:ln>
                              </pic:spPr>
                            </pic:pic>
                          </a:graphicData>
                        </a:graphic>
                      </wp:inline>
                    </w:drawing>
                  </w:r>
                </w:p>
              </w:tc>
              <w:tc>
                <w:tcPr>
                  <w:tcW w:w="1188" w:type="pct"/>
                  <w:tcBorders>
                    <w:tl2br w:val="nil"/>
                    <w:tr2bl w:val="nil"/>
                  </w:tcBorders>
                  <w:noWrap w:val="0"/>
                  <w:vAlign w:val="center"/>
                </w:tcPr>
                <w:p w14:paraId="15B193D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drawing>
                      <wp:inline distT="0" distB="0" distL="114300" distR="114300">
                        <wp:extent cx="815340" cy="681990"/>
                        <wp:effectExtent l="0" t="0" r="3810" b="3810"/>
                        <wp:docPr id="1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
                                <pic:cNvPicPr>
                                  <a:picLocks noChangeAspect="1"/>
                                </pic:cNvPicPr>
                              </pic:nvPicPr>
                              <pic:blipFill>
                                <a:blip r:embed="rId33"/>
                                <a:stretch>
                                  <a:fillRect/>
                                </a:stretch>
                              </pic:blipFill>
                              <pic:spPr>
                                <a:xfrm>
                                  <a:off x="0" y="0"/>
                                  <a:ext cx="815340" cy="681990"/>
                                </a:xfrm>
                                <a:prstGeom prst="rect">
                                  <a:avLst/>
                                </a:prstGeom>
                                <a:noFill/>
                                <a:ln>
                                  <a:noFill/>
                                </a:ln>
                              </pic:spPr>
                            </pic:pic>
                          </a:graphicData>
                        </a:graphic>
                      </wp:inline>
                    </w:drawing>
                  </w:r>
                </w:p>
              </w:tc>
              <w:tc>
                <w:tcPr>
                  <w:tcW w:w="685" w:type="pct"/>
                  <w:tcBorders>
                    <w:tl2br w:val="nil"/>
                    <w:tr2bl w:val="nil"/>
                  </w:tcBorders>
                  <w:noWrap w:val="0"/>
                  <w:vAlign w:val="center"/>
                </w:tcPr>
                <w:p w14:paraId="716D44BD">
                  <w:pPr>
                    <w:pStyle w:val="8"/>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噪声源</w:t>
                  </w:r>
                </w:p>
              </w:tc>
              <w:tc>
                <w:tcPr>
                  <w:tcW w:w="1405" w:type="pct"/>
                  <w:tcBorders>
                    <w:tl2br w:val="nil"/>
                    <w:tr2bl w:val="nil"/>
                  </w:tcBorders>
                  <w:noWrap w:val="0"/>
                  <w:vAlign w:val="center"/>
                </w:tcPr>
                <w:p w14:paraId="7FB5964E">
                  <w:pPr>
                    <w:pStyle w:val="8"/>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表示噪声向外环境排放</w:t>
                  </w:r>
                </w:p>
              </w:tc>
            </w:tr>
            <w:tr w14:paraId="4BE708A7">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8" w:type="pct"/>
                  <w:tcBorders>
                    <w:tl2br w:val="nil"/>
                    <w:tr2bl w:val="nil"/>
                  </w:tcBorders>
                  <w:noWrap w:val="0"/>
                  <w:vAlign w:val="center"/>
                </w:tcPr>
                <w:p w14:paraId="69F5C4D9">
                  <w:pPr>
                    <w:keepNext w:val="0"/>
                    <w:keepLines w:val="0"/>
                    <w:pageBreakBefore w:val="0"/>
                    <w:widowControl w:val="0"/>
                    <w:numPr>
                      <w:ilvl w:val="0"/>
                      <w:numId w:val="36"/>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213" w:type="pct"/>
                  <w:tcBorders>
                    <w:tl2br w:val="nil"/>
                    <w:tr2bl w:val="nil"/>
                  </w:tcBorders>
                  <w:noWrap w:val="0"/>
                  <w:vAlign w:val="center"/>
                </w:tcPr>
                <w:p w14:paraId="0F073F8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drawing>
                      <wp:inline distT="0" distB="0" distL="114300" distR="114300">
                        <wp:extent cx="720090" cy="720090"/>
                        <wp:effectExtent l="0" t="0" r="3810" b="3810"/>
                        <wp:docPr id="18" name="图片 13" descr="说明: 说明: 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3" descr="说明: 说明: 14001"/>
                                <pic:cNvPicPr>
                                  <a:picLocks noChangeAspect="1"/>
                                </pic:cNvPicPr>
                              </pic:nvPicPr>
                              <pic:blipFill>
                                <a:blip r:embed="rId34"/>
                                <a:stretch>
                                  <a:fillRect/>
                                </a:stretch>
                              </pic:blipFill>
                              <pic:spPr>
                                <a:xfrm>
                                  <a:off x="0" y="0"/>
                                  <a:ext cx="720090" cy="720090"/>
                                </a:xfrm>
                                <a:prstGeom prst="rect">
                                  <a:avLst/>
                                </a:prstGeom>
                                <a:noFill/>
                                <a:ln>
                                  <a:noFill/>
                                </a:ln>
                              </pic:spPr>
                            </pic:pic>
                          </a:graphicData>
                        </a:graphic>
                      </wp:inline>
                    </w:drawing>
                  </w:r>
                </w:p>
              </w:tc>
              <w:tc>
                <w:tcPr>
                  <w:tcW w:w="1188" w:type="pct"/>
                  <w:tcBorders>
                    <w:tl2br w:val="nil"/>
                    <w:tr2bl w:val="nil"/>
                  </w:tcBorders>
                  <w:noWrap w:val="0"/>
                  <w:vAlign w:val="center"/>
                </w:tcPr>
                <w:p w14:paraId="24D2991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drawing>
                      <wp:inline distT="0" distB="0" distL="114300" distR="114300">
                        <wp:extent cx="807085" cy="749300"/>
                        <wp:effectExtent l="0" t="0" r="12065" b="12700"/>
                        <wp:docPr id="9" name="图片 14" descr="说明: 说明: 14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4" descr="说明: 说明: 14002"/>
                                <pic:cNvPicPr>
                                  <a:picLocks noChangeAspect="1"/>
                                </pic:cNvPicPr>
                              </pic:nvPicPr>
                              <pic:blipFill>
                                <a:blip r:embed="rId35"/>
                                <a:stretch>
                                  <a:fillRect/>
                                </a:stretch>
                              </pic:blipFill>
                              <pic:spPr>
                                <a:xfrm>
                                  <a:off x="0" y="0"/>
                                  <a:ext cx="807085" cy="749300"/>
                                </a:xfrm>
                                <a:prstGeom prst="rect">
                                  <a:avLst/>
                                </a:prstGeom>
                                <a:noFill/>
                                <a:ln>
                                  <a:noFill/>
                                </a:ln>
                              </pic:spPr>
                            </pic:pic>
                          </a:graphicData>
                        </a:graphic>
                      </wp:inline>
                    </w:drawing>
                  </w:r>
                </w:p>
              </w:tc>
              <w:tc>
                <w:tcPr>
                  <w:tcW w:w="685" w:type="pct"/>
                  <w:tcBorders>
                    <w:tl2br w:val="nil"/>
                    <w:tr2bl w:val="nil"/>
                  </w:tcBorders>
                  <w:noWrap w:val="0"/>
                  <w:vAlign w:val="center"/>
                </w:tcPr>
                <w:p w14:paraId="73D367DB">
                  <w:pPr>
                    <w:pStyle w:val="8"/>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一般固体废物</w:t>
                  </w:r>
                </w:p>
              </w:tc>
              <w:tc>
                <w:tcPr>
                  <w:tcW w:w="1405" w:type="pct"/>
                  <w:tcBorders>
                    <w:tl2br w:val="nil"/>
                    <w:tr2bl w:val="nil"/>
                  </w:tcBorders>
                  <w:noWrap w:val="0"/>
                  <w:vAlign w:val="center"/>
                </w:tcPr>
                <w:p w14:paraId="22B604B5">
                  <w:pPr>
                    <w:pStyle w:val="8"/>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表示固体废物贮存、处置场</w:t>
                  </w:r>
                </w:p>
              </w:tc>
            </w:tr>
            <w:tr w14:paraId="0FAAFDD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8" w:type="pct"/>
                  <w:tcBorders>
                    <w:tl2br w:val="nil"/>
                    <w:tr2bl w:val="nil"/>
                  </w:tcBorders>
                  <w:noWrap w:val="0"/>
                  <w:vAlign w:val="center"/>
                </w:tcPr>
                <w:p w14:paraId="27ED8849">
                  <w:pPr>
                    <w:keepNext w:val="0"/>
                    <w:keepLines w:val="0"/>
                    <w:pageBreakBefore w:val="0"/>
                    <w:widowControl w:val="0"/>
                    <w:numPr>
                      <w:ilvl w:val="0"/>
                      <w:numId w:val="36"/>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213" w:type="pct"/>
                  <w:tcBorders>
                    <w:tl2br w:val="nil"/>
                    <w:tr2bl w:val="nil"/>
                  </w:tcBorders>
                  <w:noWrap w:val="0"/>
                  <w:vAlign w:val="center"/>
                </w:tcPr>
                <w:p w14:paraId="750A968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1188" w:type="pct"/>
                  <w:tcBorders>
                    <w:tl2br w:val="nil"/>
                    <w:tr2bl w:val="nil"/>
                  </w:tcBorders>
                  <w:noWrap w:val="0"/>
                  <w:vAlign w:val="center"/>
                </w:tcPr>
                <w:p w14:paraId="4AA1C63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bCs/>
                      <w:color w:val="000000" w:themeColor="text1"/>
                      <w:sz w:val="21"/>
                      <w:szCs w:val="21"/>
                      <w:highlight w:val="none"/>
                      <w14:textFill>
                        <w14:solidFill>
                          <w14:schemeClr w14:val="tx1"/>
                        </w14:solidFill>
                      </w14:textFill>
                    </w:rPr>
                    <w:drawing>
                      <wp:inline distT="0" distB="0" distL="114300" distR="114300">
                        <wp:extent cx="775970" cy="720090"/>
                        <wp:effectExtent l="0" t="0" r="5080" b="3810"/>
                        <wp:docPr id="10" name="图片 15" descr="1690852660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5" descr="1690852660721"/>
                                <pic:cNvPicPr>
                                  <a:picLocks noChangeAspect="1"/>
                                </pic:cNvPicPr>
                              </pic:nvPicPr>
                              <pic:blipFill>
                                <a:blip r:embed="rId36"/>
                                <a:srcRect l="51347" t="12524" r="5695" b="25363"/>
                                <a:stretch>
                                  <a:fillRect/>
                                </a:stretch>
                              </pic:blipFill>
                              <pic:spPr>
                                <a:xfrm>
                                  <a:off x="0" y="0"/>
                                  <a:ext cx="775970" cy="720090"/>
                                </a:xfrm>
                                <a:prstGeom prst="rect">
                                  <a:avLst/>
                                </a:prstGeom>
                                <a:noFill/>
                                <a:ln>
                                  <a:noFill/>
                                </a:ln>
                              </pic:spPr>
                            </pic:pic>
                          </a:graphicData>
                        </a:graphic>
                      </wp:inline>
                    </w:drawing>
                  </w:r>
                </w:p>
              </w:tc>
              <w:tc>
                <w:tcPr>
                  <w:tcW w:w="685" w:type="pct"/>
                  <w:tcBorders>
                    <w:tl2br w:val="nil"/>
                    <w:tr2bl w:val="nil"/>
                  </w:tcBorders>
                  <w:noWrap w:val="0"/>
                  <w:vAlign w:val="center"/>
                </w:tcPr>
                <w:p w14:paraId="661A9C9A">
                  <w:pPr>
                    <w:pStyle w:val="105"/>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危险废物储存</w:t>
                  </w:r>
                </w:p>
              </w:tc>
              <w:tc>
                <w:tcPr>
                  <w:tcW w:w="1405" w:type="pct"/>
                  <w:tcBorders>
                    <w:tl2br w:val="nil"/>
                    <w:tr2bl w:val="nil"/>
                  </w:tcBorders>
                  <w:noWrap w:val="0"/>
                  <w:vAlign w:val="center"/>
                </w:tcPr>
                <w:p w14:paraId="15052C32">
                  <w:pPr>
                    <w:pStyle w:val="105"/>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表示危险废物储存处置场所</w:t>
                  </w:r>
                </w:p>
              </w:tc>
            </w:tr>
          </w:tbl>
          <w:p w14:paraId="07D6F9AB">
            <w:pPr>
              <w:pStyle w:val="106"/>
              <w:keepNext w:val="0"/>
              <w:keepLines w:val="0"/>
              <w:suppressLineNumbers w:val="0"/>
              <w:spacing w:before="0" w:beforeAutospacing="0" w:after="0" w:afterAutospacing="0"/>
              <w:ind w:left="0" w:right="0" w:firstLine="480"/>
              <w:rPr>
                <w:rFonts w:hint="eastAsia" w:ascii="Times New Roman" w:hAnsi="Times New Roman" w:eastAsia="宋体" w:cs="宋体"/>
                <w:color w:val="000000" w:themeColor="text1"/>
                <w:sz w:val="24"/>
                <w:szCs w:val="24"/>
                <w:highlight w:val="none"/>
                <w14:textFill>
                  <w14:solidFill>
                    <w14:schemeClr w14:val="tx1"/>
                  </w14:solidFill>
                </w14:textFill>
              </w:rPr>
            </w:pPr>
            <w:r>
              <w:rPr>
                <w:rFonts w:hint="eastAsia" w:ascii="Times New Roman" w:hAnsi="Times New Roman" w:eastAsia="宋体" w:cs="宋体"/>
                <w:color w:val="000000" w:themeColor="text1"/>
                <w:sz w:val="24"/>
                <w:szCs w:val="24"/>
                <w:highlight w:val="none"/>
                <w14:textFill>
                  <w14:solidFill>
                    <w14:schemeClr w14:val="tx1"/>
                  </w14:solidFill>
                </w14:textFill>
              </w:rPr>
              <w:t>环境保护图形标志的形状及颜色见下表。</w:t>
            </w:r>
          </w:p>
          <w:p w14:paraId="0FD80DFC">
            <w:pPr>
              <w:keepNext w:val="0"/>
              <w:keepLines w:val="0"/>
              <w:pageBreakBefore w:val="0"/>
              <w:widowControl w:val="0"/>
              <w:numPr>
                <w:ilvl w:val="0"/>
                <w:numId w:val="26"/>
              </w:numPr>
              <w:suppressLineNumbers w:val="0"/>
              <w:kinsoku/>
              <w:wordWrap/>
              <w:overflowPunct/>
              <w:topLinePunct w:val="0"/>
              <w:autoSpaceDE/>
              <w:autoSpaceDN/>
              <w:bidi w:val="0"/>
              <w:adjustRightInd/>
              <w:snapToGrid w:val="0"/>
              <w:spacing w:before="0" w:beforeAutospacing="0" w:after="0" w:afterLines="0" w:afterAutospacing="0" w:line="240" w:lineRule="auto"/>
              <w:ind w:left="0" w:leftChars="0" w:right="0" w:rightChars="0" w:firstLine="0" w:firstLineChars="0"/>
              <w:jc w:val="center"/>
              <w:textAlignment w:val="auto"/>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环境保护图形标志的形状及颜色表</w:t>
            </w:r>
          </w:p>
          <w:tbl>
            <w:tblPr>
              <w:tblStyle w:val="109"/>
              <w:tblW w:w="4999" w:type="pct"/>
              <w:jc w:val="center"/>
              <w:tblBorders>
                <w:top w:val="double" w:color="auto" w:sz="4" w:space="0"/>
                <w:left w:val="none" w:color="auto" w:sz="0" w:space="0"/>
                <w:bottom w:val="double" w:color="auto" w:sz="4"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943"/>
              <w:gridCol w:w="1871"/>
              <w:gridCol w:w="1871"/>
              <w:gridCol w:w="2428"/>
            </w:tblGrid>
            <w:tr w14:paraId="3E47AC20">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27" w:hRule="atLeast"/>
                <w:jc w:val="center"/>
              </w:trPr>
              <w:tc>
                <w:tcPr>
                  <w:tcW w:w="1197" w:type="pct"/>
                  <w:tcBorders>
                    <w:tl2br w:val="nil"/>
                    <w:tr2bl w:val="nil"/>
                  </w:tcBorders>
                  <w:noWrap w:val="0"/>
                  <w:vAlign w:val="center"/>
                </w:tcPr>
                <w:p w14:paraId="50FA49D3">
                  <w:pPr>
                    <w:pStyle w:val="108"/>
                    <w:keepNext w:val="0"/>
                    <w:keepLines w:val="0"/>
                    <w:suppressLineNumbers w:val="0"/>
                    <w:spacing w:before="0" w:beforeAutospacing="0" w:after="0" w:afterAutospacing="0"/>
                    <w:ind w:left="0" w:right="0"/>
                    <w:rPr>
                      <w:rFonts w:hint="eastAsia" w:ascii="Times New Roman" w:hAnsi="Times New Roman" w:eastAsia="宋体" w:cs="宋体"/>
                      <w:b/>
                      <w:bCs/>
                      <w:color w:val="000000" w:themeColor="text1"/>
                      <w:sz w:val="21"/>
                      <w:szCs w:val="21"/>
                      <w:highlight w:val="none"/>
                      <w14:textFill>
                        <w14:solidFill>
                          <w14:schemeClr w14:val="tx1"/>
                        </w14:solidFill>
                      </w14:textFill>
                    </w:rPr>
                  </w:pPr>
                  <w:r>
                    <w:rPr>
                      <w:rFonts w:hint="eastAsia" w:ascii="Times New Roman" w:hAnsi="Times New Roman" w:eastAsia="宋体" w:cs="宋体"/>
                      <w:b/>
                      <w:bCs/>
                      <w:color w:val="000000" w:themeColor="text1"/>
                      <w:sz w:val="21"/>
                      <w:szCs w:val="21"/>
                      <w:highlight w:val="none"/>
                      <w14:textFill>
                        <w14:solidFill>
                          <w14:schemeClr w14:val="tx1"/>
                        </w14:solidFill>
                      </w14:textFill>
                    </w:rPr>
                    <w:t>标志名称</w:t>
                  </w:r>
                </w:p>
              </w:tc>
              <w:tc>
                <w:tcPr>
                  <w:tcW w:w="1153" w:type="pct"/>
                  <w:tcBorders>
                    <w:tl2br w:val="nil"/>
                    <w:tr2bl w:val="nil"/>
                  </w:tcBorders>
                  <w:noWrap w:val="0"/>
                  <w:vAlign w:val="center"/>
                </w:tcPr>
                <w:p w14:paraId="686D59B5">
                  <w:pPr>
                    <w:pStyle w:val="108"/>
                    <w:keepNext w:val="0"/>
                    <w:keepLines w:val="0"/>
                    <w:suppressLineNumbers w:val="0"/>
                    <w:spacing w:before="0" w:beforeAutospacing="0" w:after="0" w:afterAutospacing="0"/>
                    <w:ind w:left="0" w:right="0"/>
                    <w:rPr>
                      <w:rFonts w:hint="eastAsia" w:ascii="Times New Roman" w:hAnsi="Times New Roman" w:eastAsia="宋体" w:cs="宋体"/>
                      <w:b/>
                      <w:bCs/>
                      <w:color w:val="000000" w:themeColor="text1"/>
                      <w:sz w:val="21"/>
                      <w:szCs w:val="21"/>
                      <w:highlight w:val="none"/>
                      <w14:textFill>
                        <w14:solidFill>
                          <w14:schemeClr w14:val="tx1"/>
                        </w14:solidFill>
                      </w14:textFill>
                    </w:rPr>
                  </w:pPr>
                  <w:r>
                    <w:rPr>
                      <w:rFonts w:hint="eastAsia" w:ascii="Times New Roman" w:hAnsi="Times New Roman" w:eastAsia="宋体" w:cs="宋体"/>
                      <w:b/>
                      <w:bCs/>
                      <w:color w:val="000000" w:themeColor="text1"/>
                      <w:sz w:val="21"/>
                      <w:szCs w:val="21"/>
                      <w:highlight w:val="none"/>
                      <w14:textFill>
                        <w14:solidFill>
                          <w14:schemeClr w14:val="tx1"/>
                        </w14:solidFill>
                      </w14:textFill>
                    </w:rPr>
                    <w:t>形状</w:t>
                  </w:r>
                </w:p>
              </w:tc>
              <w:tc>
                <w:tcPr>
                  <w:tcW w:w="1153" w:type="pct"/>
                  <w:tcBorders>
                    <w:tl2br w:val="nil"/>
                    <w:tr2bl w:val="nil"/>
                  </w:tcBorders>
                  <w:noWrap w:val="0"/>
                  <w:vAlign w:val="center"/>
                </w:tcPr>
                <w:p w14:paraId="4A516873">
                  <w:pPr>
                    <w:pStyle w:val="108"/>
                    <w:keepNext w:val="0"/>
                    <w:keepLines w:val="0"/>
                    <w:suppressLineNumbers w:val="0"/>
                    <w:spacing w:before="0" w:beforeAutospacing="0" w:after="0" w:afterAutospacing="0"/>
                    <w:ind w:left="0" w:right="0"/>
                    <w:rPr>
                      <w:rFonts w:hint="eastAsia" w:ascii="Times New Roman" w:hAnsi="Times New Roman" w:eastAsia="宋体" w:cs="宋体"/>
                      <w:b/>
                      <w:bCs/>
                      <w:color w:val="000000" w:themeColor="text1"/>
                      <w:sz w:val="21"/>
                      <w:szCs w:val="21"/>
                      <w:highlight w:val="none"/>
                      <w14:textFill>
                        <w14:solidFill>
                          <w14:schemeClr w14:val="tx1"/>
                        </w14:solidFill>
                      </w14:textFill>
                    </w:rPr>
                  </w:pPr>
                  <w:r>
                    <w:rPr>
                      <w:rFonts w:hint="eastAsia" w:ascii="Times New Roman" w:hAnsi="Times New Roman" w:eastAsia="宋体" w:cs="宋体"/>
                      <w:b/>
                      <w:bCs/>
                      <w:color w:val="000000" w:themeColor="text1"/>
                      <w:sz w:val="21"/>
                      <w:szCs w:val="21"/>
                      <w:highlight w:val="none"/>
                      <w14:textFill>
                        <w14:solidFill>
                          <w14:schemeClr w14:val="tx1"/>
                        </w14:solidFill>
                      </w14:textFill>
                    </w:rPr>
                    <w:t>背景颜色</w:t>
                  </w:r>
                </w:p>
              </w:tc>
              <w:tc>
                <w:tcPr>
                  <w:tcW w:w="1496" w:type="pct"/>
                  <w:tcBorders>
                    <w:tl2br w:val="nil"/>
                    <w:tr2bl w:val="nil"/>
                  </w:tcBorders>
                  <w:noWrap w:val="0"/>
                  <w:vAlign w:val="center"/>
                </w:tcPr>
                <w:p w14:paraId="03A57D16">
                  <w:pPr>
                    <w:pStyle w:val="108"/>
                    <w:keepNext w:val="0"/>
                    <w:keepLines w:val="0"/>
                    <w:suppressLineNumbers w:val="0"/>
                    <w:spacing w:before="0" w:beforeAutospacing="0" w:after="0" w:afterAutospacing="0"/>
                    <w:ind w:left="0" w:right="0"/>
                    <w:rPr>
                      <w:rFonts w:hint="eastAsia" w:ascii="Times New Roman" w:hAnsi="Times New Roman" w:eastAsia="宋体" w:cs="宋体"/>
                      <w:b/>
                      <w:bCs/>
                      <w:color w:val="000000" w:themeColor="text1"/>
                      <w:sz w:val="21"/>
                      <w:szCs w:val="21"/>
                      <w:highlight w:val="none"/>
                      <w14:textFill>
                        <w14:solidFill>
                          <w14:schemeClr w14:val="tx1"/>
                        </w14:solidFill>
                      </w14:textFill>
                    </w:rPr>
                  </w:pPr>
                  <w:r>
                    <w:rPr>
                      <w:rFonts w:hint="eastAsia" w:ascii="Times New Roman" w:hAnsi="Times New Roman" w:eastAsia="宋体" w:cs="宋体"/>
                      <w:b/>
                      <w:bCs/>
                      <w:color w:val="000000" w:themeColor="text1"/>
                      <w:sz w:val="21"/>
                      <w:szCs w:val="21"/>
                      <w:highlight w:val="none"/>
                      <w14:textFill>
                        <w14:solidFill>
                          <w14:schemeClr w14:val="tx1"/>
                        </w14:solidFill>
                      </w14:textFill>
                    </w:rPr>
                    <w:t>图形颜色</w:t>
                  </w:r>
                </w:p>
              </w:tc>
            </w:tr>
            <w:tr w14:paraId="0CCF4252">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3" w:hRule="atLeast"/>
                <w:jc w:val="center"/>
              </w:trPr>
              <w:tc>
                <w:tcPr>
                  <w:tcW w:w="1197" w:type="pct"/>
                  <w:tcBorders>
                    <w:tl2br w:val="nil"/>
                    <w:tr2bl w:val="nil"/>
                  </w:tcBorders>
                  <w:noWrap w:val="0"/>
                  <w:vAlign w:val="center"/>
                </w:tcPr>
                <w:p w14:paraId="3B328E40">
                  <w:pPr>
                    <w:pStyle w:val="108"/>
                    <w:keepNext w:val="0"/>
                    <w:keepLines w:val="0"/>
                    <w:suppressLineNumbers w:val="0"/>
                    <w:spacing w:before="0" w:beforeAutospacing="0" w:after="0" w:afterAutospacing="0"/>
                    <w:ind w:left="0" w:right="0"/>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警告标志</w:t>
                  </w:r>
                </w:p>
              </w:tc>
              <w:tc>
                <w:tcPr>
                  <w:tcW w:w="1153" w:type="pct"/>
                  <w:tcBorders>
                    <w:tl2br w:val="nil"/>
                    <w:tr2bl w:val="nil"/>
                  </w:tcBorders>
                  <w:noWrap w:val="0"/>
                  <w:vAlign w:val="center"/>
                </w:tcPr>
                <w:p w14:paraId="1DBEAB90">
                  <w:pPr>
                    <w:pStyle w:val="108"/>
                    <w:keepNext w:val="0"/>
                    <w:keepLines w:val="0"/>
                    <w:suppressLineNumbers w:val="0"/>
                    <w:spacing w:before="0" w:beforeAutospacing="0" w:after="0" w:afterAutospacing="0"/>
                    <w:ind w:left="0" w:right="0"/>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三角形边框</w:t>
                  </w:r>
                </w:p>
              </w:tc>
              <w:tc>
                <w:tcPr>
                  <w:tcW w:w="1153" w:type="pct"/>
                  <w:tcBorders>
                    <w:tl2br w:val="nil"/>
                    <w:tr2bl w:val="nil"/>
                  </w:tcBorders>
                  <w:noWrap w:val="0"/>
                  <w:vAlign w:val="center"/>
                </w:tcPr>
                <w:p w14:paraId="0BEE5693">
                  <w:pPr>
                    <w:pStyle w:val="108"/>
                    <w:keepNext w:val="0"/>
                    <w:keepLines w:val="0"/>
                    <w:suppressLineNumbers w:val="0"/>
                    <w:spacing w:before="0" w:beforeAutospacing="0" w:after="0" w:afterAutospacing="0"/>
                    <w:ind w:left="0" w:right="0"/>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黄色</w:t>
                  </w:r>
                </w:p>
              </w:tc>
              <w:tc>
                <w:tcPr>
                  <w:tcW w:w="1496" w:type="pct"/>
                  <w:tcBorders>
                    <w:tl2br w:val="nil"/>
                    <w:tr2bl w:val="nil"/>
                  </w:tcBorders>
                  <w:noWrap w:val="0"/>
                  <w:vAlign w:val="center"/>
                </w:tcPr>
                <w:p w14:paraId="1DA7BF92">
                  <w:pPr>
                    <w:pStyle w:val="108"/>
                    <w:keepNext w:val="0"/>
                    <w:keepLines w:val="0"/>
                    <w:suppressLineNumbers w:val="0"/>
                    <w:spacing w:before="0" w:beforeAutospacing="0" w:after="0" w:afterAutospacing="0"/>
                    <w:ind w:left="0" w:right="0"/>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黑色</w:t>
                  </w:r>
                </w:p>
              </w:tc>
            </w:tr>
            <w:tr w14:paraId="0C53E27E">
              <w:tblPrEx>
                <w:tblBorders>
                  <w:top w:val="double" w:color="auto" w:sz="4" w:space="0"/>
                  <w:left w:val="none" w:color="auto" w:sz="0" w:space="0"/>
                  <w:bottom w:val="doub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2" w:hRule="atLeast"/>
                <w:jc w:val="center"/>
              </w:trPr>
              <w:tc>
                <w:tcPr>
                  <w:tcW w:w="1197" w:type="pct"/>
                  <w:tcBorders>
                    <w:tl2br w:val="nil"/>
                    <w:tr2bl w:val="nil"/>
                  </w:tcBorders>
                  <w:noWrap w:val="0"/>
                  <w:vAlign w:val="center"/>
                </w:tcPr>
                <w:p w14:paraId="5B504D2B">
                  <w:pPr>
                    <w:pStyle w:val="108"/>
                    <w:keepNext w:val="0"/>
                    <w:keepLines w:val="0"/>
                    <w:suppressLineNumbers w:val="0"/>
                    <w:spacing w:before="0" w:beforeAutospacing="0" w:after="0" w:afterAutospacing="0"/>
                    <w:ind w:left="0" w:right="0"/>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提示标志</w:t>
                  </w:r>
                </w:p>
              </w:tc>
              <w:tc>
                <w:tcPr>
                  <w:tcW w:w="1153" w:type="pct"/>
                  <w:tcBorders>
                    <w:tl2br w:val="nil"/>
                    <w:tr2bl w:val="nil"/>
                  </w:tcBorders>
                  <w:noWrap w:val="0"/>
                  <w:vAlign w:val="center"/>
                </w:tcPr>
                <w:p w14:paraId="61FB94F7">
                  <w:pPr>
                    <w:pStyle w:val="108"/>
                    <w:keepNext w:val="0"/>
                    <w:keepLines w:val="0"/>
                    <w:suppressLineNumbers w:val="0"/>
                    <w:spacing w:before="0" w:beforeAutospacing="0" w:after="0" w:afterAutospacing="0"/>
                    <w:ind w:left="0" w:right="0"/>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正方形边框</w:t>
                  </w:r>
                </w:p>
              </w:tc>
              <w:tc>
                <w:tcPr>
                  <w:tcW w:w="1153" w:type="pct"/>
                  <w:tcBorders>
                    <w:tl2br w:val="nil"/>
                    <w:tr2bl w:val="nil"/>
                  </w:tcBorders>
                  <w:noWrap w:val="0"/>
                  <w:vAlign w:val="center"/>
                </w:tcPr>
                <w:p w14:paraId="742BDB8D">
                  <w:pPr>
                    <w:pStyle w:val="108"/>
                    <w:keepNext w:val="0"/>
                    <w:keepLines w:val="0"/>
                    <w:suppressLineNumbers w:val="0"/>
                    <w:spacing w:before="0" w:beforeAutospacing="0" w:after="0" w:afterAutospacing="0"/>
                    <w:ind w:left="0" w:right="0"/>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绿色</w:t>
                  </w:r>
                </w:p>
              </w:tc>
              <w:tc>
                <w:tcPr>
                  <w:tcW w:w="1496" w:type="pct"/>
                  <w:tcBorders>
                    <w:tl2br w:val="nil"/>
                    <w:tr2bl w:val="nil"/>
                  </w:tcBorders>
                  <w:noWrap w:val="0"/>
                  <w:vAlign w:val="center"/>
                </w:tcPr>
                <w:p w14:paraId="19B26A04">
                  <w:pPr>
                    <w:pStyle w:val="108"/>
                    <w:keepNext w:val="0"/>
                    <w:keepLines w:val="0"/>
                    <w:suppressLineNumbers w:val="0"/>
                    <w:spacing w:before="0" w:beforeAutospacing="0" w:after="0" w:afterAutospacing="0"/>
                    <w:ind w:left="0" w:right="0"/>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白色</w:t>
                  </w:r>
                </w:p>
              </w:tc>
            </w:tr>
          </w:tbl>
          <w:p w14:paraId="62B4AFDC">
            <w:pPr>
              <w:keepNext w:val="0"/>
              <w:keepLines w:val="0"/>
              <w:pageBreakBefore w:val="0"/>
              <w:widowControl w:val="0"/>
              <w:suppressLineNumbers w:val="0"/>
              <w:kinsoku/>
              <w:wordWrap/>
              <w:overflowPunct/>
              <w:topLinePunct w:val="0"/>
              <w:autoSpaceDE/>
              <w:autoSpaceDN/>
              <w:bidi w:val="0"/>
              <w:adjustRightInd/>
              <w:snapToGrid/>
              <w:spacing w:before="313" w:beforeLines="100" w:beforeAutospacing="0" w:after="0" w:afterAutospacing="0" w:line="360" w:lineRule="auto"/>
              <w:ind w:left="0" w:right="0"/>
              <w:jc w:val="both"/>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9</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环保投资</w:t>
            </w:r>
          </w:p>
          <w:p w14:paraId="5CC92B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本次项目总投</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资193.5万</w:t>
            </w:r>
            <w:r>
              <w:rPr>
                <w:rFonts w:hint="default" w:ascii="Times New Roman" w:hAnsi="Times New Roman" w:eastAsia="宋体" w:cs="Times New Roman"/>
                <w:color w:val="000000" w:themeColor="text1"/>
                <w:sz w:val="24"/>
                <w:szCs w:val="24"/>
                <w:highlight w:val="none"/>
                <w14:textFill>
                  <w14:solidFill>
                    <w14:schemeClr w14:val="tx1"/>
                  </w14:solidFill>
                </w14:textFill>
              </w:rPr>
              <w:t>元，其中环保设施投资约</w:t>
            </w:r>
            <w:r>
              <w:rPr>
                <w:rFonts w:hint="eastAsia" w:cs="Times New Roman"/>
                <w:color w:val="000000" w:themeColor="text1"/>
                <w:sz w:val="24"/>
                <w:szCs w:val="24"/>
                <w:highlight w:val="none"/>
                <w:lang w:val="en-US" w:eastAsia="zh-CN"/>
                <w14:textFill>
                  <w14:solidFill>
                    <w14:schemeClr w14:val="tx1"/>
                  </w14:solidFill>
                </w14:textFill>
              </w:rPr>
              <w:t>19.2</w:t>
            </w:r>
            <w:r>
              <w:rPr>
                <w:rFonts w:hint="default" w:ascii="Times New Roman" w:hAnsi="Times New Roman" w:eastAsia="宋体" w:cs="Times New Roman"/>
                <w:color w:val="000000" w:themeColor="text1"/>
                <w:sz w:val="24"/>
                <w:szCs w:val="24"/>
                <w:highlight w:val="none"/>
                <w14:textFill>
                  <w14:solidFill>
                    <w14:schemeClr w14:val="tx1"/>
                  </w14:solidFill>
                </w14:textFill>
              </w:rPr>
              <w:t>万元，所占比例</w:t>
            </w:r>
            <w:r>
              <w:rPr>
                <w:rFonts w:hint="eastAsia" w:cs="Times New Roman"/>
                <w:color w:val="000000" w:themeColor="text1"/>
                <w:sz w:val="24"/>
                <w:szCs w:val="24"/>
                <w:highlight w:val="none"/>
                <w:lang w:val="en-US" w:eastAsia="zh-CN"/>
                <w14:textFill>
                  <w14:solidFill>
                    <w14:schemeClr w14:val="tx1"/>
                  </w14:solidFill>
                </w14:textFill>
              </w:rPr>
              <w:t>9.92</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，建设项目环保投资具体见</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下</w:t>
            </w:r>
            <w:r>
              <w:rPr>
                <w:rFonts w:hint="default" w:ascii="Times New Roman" w:hAnsi="Times New Roman" w:eastAsia="宋体" w:cs="Times New Roman"/>
                <w:color w:val="000000" w:themeColor="text1"/>
                <w:sz w:val="24"/>
                <w:szCs w:val="24"/>
                <w:highlight w:val="none"/>
                <w14:textFill>
                  <w14:solidFill>
                    <w14:schemeClr w14:val="tx1"/>
                  </w14:solidFill>
                </w14:textFill>
              </w:rPr>
              <w:t>表。</w:t>
            </w:r>
          </w:p>
          <w:p w14:paraId="6CE36398">
            <w:pPr>
              <w:keepNext w:val="0"/>
              <w:keepLines w:val="0"/>
              <w:pageBreakBefore w:val="0"/>
              <w:widowControl w:val="0"/>
              <w:numPr>
                <w:ilvl w:val="0"/>
                <w:numId w:val="26"/>
              </w:numPr>
              <w:suppressLineNumbers w:val="0"/>
              <w:kinsoku/>
              <w:wordWrap/>
              <w:overflowPunct/>
              <w:topLinePunct w:val="0"/>
              <w:autoSpaceDE/>
              <w:autoSpaceDN/>
              <w:bidi w:val="0"/>
              <w:adjustRightInd/>
              <w:snapToGrid w:val="0"/>
              <w:spacing w:before="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项目环保投资估算</w:t>
            </w:r>
          </w:p>
          <w:tbl>
            <w:tblPr>
              <w:tblStyle w:val="35"/>
              <w:tblW w:w="4993" w:type="pct"/>
              <w:jc w:val="center"/>
              <w:tblBorders>
                <w:top w:val="double" w:color="auto" w:sz="4" w:space="0"/>
                <w:left w:val="none" w:color="auto" w:sz="0" w:space="0"/>
                <w:bottom w:val="doub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45"/>
              <w:gridCol w:w="790"/>
              <w:gridCol w:w="1116"/>
              <w:gridCol w:w="4304"/>
              <w:gridCol w:w="1149"/>
            </w:tblGrid>
            <w:tr w14:paraId="5558747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5" w:type="dxa"/>
                  <w:tcBorders>
                    <w:tl2br w:val="nil"/>
                    <w:tr2bl w:val="nil"/>
                  </w:tcBorders>
                  <w:noWrap w:val="0"/>
                  <w:vAlign w:val="center"/>
                </w:tcPr>
                <w:p w14:paraId="367041DB">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宋体" w:cs="Times New Roman"/>
                      <w:b/>
                      <w:color w:val="000000" w:themeColor="text1"/>
                      <w:sz w:val="21"/>
                      <w:szCs w:val="21"/>
                      <w:highlight w:val="none"/>
                      <w14:textFill>
                        <w14:solidFill>
                          <w14:schemeClr w14:val="tx1"/>
                        </w14:solidFill>
                      </w14:textFill>
                    </w:rPr>
                    <w:t>序号</w:t>
                  </w:r>
                </w:p>
              </w:tc>
              <w:tc>
                <w:tcPr>
                  <w:tcW w:w="1906" w:type="dxa"/>
                  <w:gridSpan w:val="2"/>
                  <w:tcBorders>
                    <w:tl2br w:val="nil"/>
                    <w:tr2bl w:val="nil"/>
                  </w:tcBorders>
                  <w:noWrap w:val="0"/>
                  <w:vAlign w:val="center"/>
                </w:tcPr>
                <w:p w14:paraId="0FE7C881">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宋体" w:cs="Times New Roman"/>
                      <w:b/>
                      <w:color w:val="000000" w:themeColor="text1"/>
                      <w:sz w:val="21"/>
                      <w:szCs w:val="21"/>
                      <w:highlight w:val="none"/>
                      <w14:textFill>
                        <w14:solidFill>
                          <w14:schemeClr w14:val="tx1"/>
                        </w14:solidFill>
                      </w14:textFill>
                    </w:rPr>
                    <w:t>名称</w:t>
                  </w:r>
                </w:p>
              </w:tc>
              <w:tc>
                <w:tcPr>
                  <w:tcW w:w="4304" w:type="dxa"/>
                  <w:tcBorders>
                    <w:tl2br w:val="nil"/>
                    <w:tr2bl w:val="nil"/>
                  </w:tcBorders>
                  <w:noWrap w:val="0"/>
                  <w:vAlign w:val="center"/>
                </w:tcPr>
                <w:p w14:paraId="3D344F32">
                  <w:pPr>
                    <w:keepNext w:val="0"/>
                    <w:keepLines w:val="0"/>
                    <w:suppressLineNumbers w:val="0"/>
                    <w:spacing w:before="0" w:beforeAutospacing="0" w:after="0" w:afterAutospacing="0"/>
                    <w:ind w:left="0" w:right="0"/>
                    <w:jc w:val="center"/>
                    <w:rPr>
                      <w:rFonts w:hint="default" w:ascii="Times New Roman" w:hAnsi="Times New Roman" w:cs="Times New Roman"/>
                      <w:b/>
                      <w:color w:val="000000" w:themeColor="text1"/>
                      <w:sz w:val="21"/>
                      <w:szCs w:val="21"/>
                      <w:highlight w:val="none"/>
                      <w14:textFill>
                        <w14:solidFill>
                          <w14:schemeClr w14:val="tx1"/>
                        </w14:solidFill>
                      </w14:textFill>
                    </w:rPr>
                  </w:pPr>
                  <w:r>
                    <w:rPr>
                      <w:rFonts w:hint="default" w:ascii="Times New Roman" w:hAnsi="宋体" w:cs="Times New Roman"/>
                      <w:b/>
                      <w:color w:val="000000" w:themeColor="text1"/>
                      <w:sz w:val="21"/>
                      <w:szCs w:val="21"/>
                      <w:highlight w:val="none"/>
                      <w14:textFill>
                        <w14:solidFill>
                          <w14:schemeClr w14:val="tx1"/>
                        </w14:solidFill>
                      </w14:textFill>
                    </w:rPr>
                    <w:t>主要内容</w:t>
                  </w:r>
                </w:p>
              </w:tc>
              <w:tc>
                <w:tcPr>
                  <w:tcW w:w="1149" w:type="dxa"/>
                  <w:tcBorders>
                    <w:tl2br w:val="nil"/>
                    <w:tr2bl w:val="nil"/>
                  </w:tcBorders>
                  <w:noWrap w:val="0"/>
                  <w:vAlign w:val="center"/>
                </w:tcPr>
                <w:p w14:paraId="4055A40E">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000000" w:themeColor="text1"/>
                      <w:sz w:val="21"/>
                      <w:szCs w:val="21"/>
                      <w:highlight w:val="none"/>
                      <w:lang w:eastAsia="zh-CN"/>
                      <w14:textFill>
                        <w14:solidFill>
                          <w14:schemeClr w14:val="tx1"/>
                        </w14:solidFill>
                      </w14:textFill>
                    </w:rPr>
                  </w:pPr>
                  <w:r>
                    <w:rPr>
                      <w:rFonts w:hint="default" w:ascii="Times New Roman" w:hAnsi="宋体" w:cs="Times New Roman"/>
                      <w:b/>
                      <w:color w:val="000000" w:themeColor="text1"/>
                      <w:sz w:val="21"/>
                      <w:szCs w:val="21"/>
                      <w:highlight w:val="none"/>
                      <w14:textFill>
                        <w14:solidFill>
                          <w14:schemeClr w14:val="tx1"/>
                        </w14:solidFill>
                      </w14:textFill>
                    </w:rPr>
                    <w:t>投资估算</w:t>
                  </w:r>
                  <w:r>
                    <w:rPr>
                      <w:rFonts w:hint="eastAsia" w:hAnsi="宋体" w:cs="Times New Roman"/>
                      <w:b/>
                      <w:color w:val="000000" w:themeColor="text1"/>
                      <w:sz w:val="21"/>
                      <w:szCs w:val="21"/>
                      <w:highlight w:val="none"/>
                      <w:lang w:eastAsia="zh-CN"/>
                      <w14:textFill>
                        <w14:solidFill>
                          <w14:schemeClr w14:val="tx1"/>
                        </w14:solidFill>
                      </w14:textFill>
                    </w:rPr>
                    <w:t>（</w:t>
                  </w:r>
                  <w:r>
                    <w:rPr>
                      <w:rFonts w:hint="eastAsia" w:hAnsi="宋体" w:cs="Times New Roman"/>
                      <w:b/>
                      <w:color w:val="000000" w:themeColor="text1"/>
                      <w:sz w:val="21"/>
                      <w:szCs w:val="21"/>
                      <w:highlight w:val="none"/>
                      <w:lang w:val="en-US" w:eastAsia="zh-CN"/>
                      <w14:textFill>
                        <w14:solidFill>
                          <w14:schemeClr w14:val="tx1"/>
                        </w14:solidFill>
                      </w14:textFill>
                    </w:rPr>
                    <w:t>万元</w:t>
                  </w:r>
                  <w:r>
                    <w:rPr>
                      <w:rFonts w:hint="eastAsia" w:hAnsi="宋体" w:cs="Times New Roman"/>
                      <w:b/>
                      <w:color w:val="000000" w:themeColor="text1"/>
                      <w:sz w:val="21"/>
                      <w:szCs w:val="21"/>
                      <w:highlight w:val="none"/>
                      <w:lang w:eastAsia="zh-CN"/>
                      <w14:textFill>
                        <w14:solidFill>
                          <w14:schemeClr w14:val="tx1"/>
                        </w14:solidFill>
                      </w14:textFill>
                    </w:rPr>
                    <w:t>）</w:t>
                  </w:r>
                </w:p>
              </w:tc>
            </w:tr>
            <w:tr w14:paraId="6C69DEC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745" w:type="dxa"/>
                  <w:vMerge w:val="restart"/>
                  <w:tcBorders>
                    <w:tl2br w:val="nil"/>
                    <w:tr2bl w:val="nil"/>
                  </w:tcBorders>
                  <w:noWrap w:val="0"/>
                  <w:vAlign w:val="center"/>
                </w:tcPr>
                <w:p w14:paraId="6F8F5D8D">
                  <w:pPr>
                    <w:keepNext w:val="0"/>
                    <w:keepLines w:val="0"/>
                    <w:pageBreakBefore w:val="0"/>
                    <w:widowControl w:val="0"/>
                    <w:numPr>
                      <w:ilvl w:val="0"/>
                      <w:numId w:val="3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90" w:type="dxa"/>
                  <w:vMerge w:val="restart"/>
                  <w:tcBorders>
                    <w:tl2br w:val="nil"/>
                    <w:tr2bl w:val="nil"/>
                  </w:tcBorders>
                  <w:noWrap w:val="0"/>
                  <w:vAlign w:val="center"/>
                </w:tcPr>
                <w:p w14:paraId="46407D45">
                  <w:pPr>
                    <w:keepNext w:val="0"/>
                    <w:keepLines w:val="0"/>
                    <w:suppressLineNumbers w:val="0"/>
                    <w:spacing w:before="0" w:beforeAutospacing="0" w:after="0" w:afterAutospacing="0"/>
                    <w:ind w:left="0" w:right="0"/>
                    <w:jc w:val="center"/>
                    <w:rPr>
                      <w:rFonts w:hint="eastAsia"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14:textFill>
                        <w14:solidFill>
                          <w14:schemeClr w14:val="tx1"/>
                        </w14:solidFill>
                      </w14:textFill>
                    </w:rPr>
                    <w:t>废气处理</w:t>
                  </w:r>
                </w:p>
              </w:tc>
              <w:tc>
                <w:tcPr>
                  <w:tcW w:w="1116" w:type="dxa"/>
                  <w:tcBorders>
                    <w:tl2br w:val="nil"/>
                    <w:tr2bl w:val="nil"/>
                  </w:tcBorders>
                  <w:noWrap w:val="0"/>
                  <w:vAlign w:val="center"/>
                </w:tcPr>
                <w:p w14:paraId="584CFCFE">
                  <w:pPr>
                    <w:keepNext w:val="0"/>
                    <w:keepLines w:val="0"/>
                    <w:suppressLineNumbers w:val="0"/>
                    <w:spacing w:before="0" w:beforeAutospacing="0" w:after="0" w:afterAutospacing="0"/>
                    <w:ind w:left="0" w:right="0"/>
                    <w:jc w:val="center"/>
                    <w:rPr>
                      <w:rFonts w:hint="default" w:ascii="Times New Roman" w:hAnsi="宋体" w:cs="Times New Roman"/>
                      <w:color w:val="000000" w:themeColor="text1"/>
                      <w:sz w:val="21"/>
                      <w:szCs w:val="21"/>
                      <w:highlight w:val="none"/>
                      <w:lang w:val="en-US"/>
                      <w14:textFill>
                        <w14:solidFill>
                          <w14:schemeClr w14:val="tx1"/>
                        </w14:solidFill>
                      </w14:textFill>
                    </w:rPr>
                  </w:pPr>
                  <w:r>
                    <w:rPr>
                      <w:rFonts w:hint="eastAsia" w:hAnsi="宋体" w:cs="Times New Roman"/>
                      <w:color w:val="000000" w:themeColor="text1"/>
                      <w:sz w:val="21"/>
                      <w:szCs w:val="21"/>
                      <w:highlight w:val="none"/>
                      <w:lang w:val="en-US" w:eastAsia="zh-CN"/>
                      <w14:textFill>
                        <w14:solidFill>
                          <w14:schemeClr w14:val="tx1"/>
                        </w14:solidFill>
                      </w14:textFill>
                    </w:rPr>
                    <w:t>前处理车间</w:t>
                  </w:r>
                </w:p>
              </w:tc>
              <w:tc>
                <w:tcPr>
                  <w:tcW w:w="4304" w:type="dxa"/>
                  <w:tcBorders>
                    <w:tl2br w:val="nil"/>
                    <w:tr2bl w:val="nil"/>
                  </w:tcBorders>
                  <w:noWrap w:val="0"/>
                  <w:vAlign w:val="center"/>
                </w:tcPr>
                <w:p w14:paraId="68F186A3">
                  <w:pPr>
                    <w:keepNext w:val="0"/>
                    <w:keepLines w:val="0"/>
                    <w:suppressLineNumbers w:val="0"/>
                    <w:spacing w:before="0" w:beforeAutospacing="0" w:after="0" w:afterAutospacing="0"/>
                    <w:ind w:left="0" w:right="0"/>
                    <w:jc w:val="center"/>
                    <w:rPr>
                      <w:rFonts w:hint="default" w:ascii="Times New Roman" w:hAnsi="宋体"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炮制工序设置</w:t>
                  </w:r>
                  <w:r>
                    <w:rPr>
                      <w:rFonts w:hint="eastAsia"/>
                      <w:color w:val="000000" w:themeColor="text1"/>
                      <w:sz w:val="21"/>
                      <w:szCs w:val="21"/>
                      <w:highlight w:val="none"/>
                      <w:lang w:val="en-US" w:eastAsia="zh-CN"/>
                      <w14:textFill>
                        <w14:solidFill>
                          <w14:schemeClr w14:val="tx1"/>
                        </w14:solidFill>
                      </w14:textFill>
                    </w:rPr>
                    <w:t>上吸式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集气罩+布袋除尘器（TA025）</w:t>
                  </w:r>
                  <w:r>
                    <w:rPr>
                      <w:rFonts w:hint="eastAsia"/>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布袋除尘器</w:t>
                  </w:r>
                  <w:r>
                    <w:rPr>
                      <w:rFonts w:hint="eastAsia"/>
                      <w:color w:val="000000" w:themeColor="text1"/>
                      <w:sz w:val="21"/>
                      <w:szCs w:val="21"/>
                      <w:highlight w:val="none"/>
                      <w:lang w:val="en-US" w:eastAsia="zh-CN"/>
                      <w14:textFill>
                        <w14:solidFill>
                          <w14:schemeClr w14:val="tx1"/>
                        </w14:solidFill>
                      </w14:textFill>
                    </w:rPr>
                    <w:t>+二级活性炭吸附设施</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（TA0</w:t>
                  </w:r>
                  <w:r>
                    <w:rPr>
                      <w:rFonts w:hint="eastAsia"/>
                      <w:color w:val="000000" w:themeColor="text1"/>
                      <w:sz w:val="24"/>
                      <w:szCs w:val="24"/>
                      <w:highlight w:val="none"/>
                      <w:lang w:val="en-US" w:eastAsia="zh-CN"/>
                      <w14:textFill>
                        <w14:solidFill>
                          <w14:schemeClr w14:val="tx1"/>
                        </w14:solidFill>
                      </w14:textFill>
                    </w:rPr>
                    <w:t>26</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处理后由不低于15m高的排气筒（DA0</w:t>
                  </w:r>
                  <w:r>
                    <w:rPr>
                      <w:rFonts w:hint="eastAsia"/>
                      <w:color w:val="000000" w:themeColor="text1"/>
                      <w:sz w:val="21"/>
                      <w:szCs w:val="21"/>
                      <w:highlight w:val="none"/>
                      <w:lang w:val="en-US" w:eastAsia="zh-CN"/>
                      <w14:textFill>
                        <w14:solidFill>
                          <w14:schemeClr w14:val="tx1"/>
                        </w14:solidFill>
                      </w14:textFill>
                    </w:rPr>
                    <w:t>16</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）排放</w:t>
                  </w:r>
                </w:p>
              </w:tc>
              <w:tc>
                <w:tcPr>
                  <w:tcW w:w="1149" w:type="dxa"/>
                  <w:tcBorders>
                    <w:tl2br w:val="nil"/>
                    <w:tr2bl w:val="nil"/>
                  </w:tcBorders>
                  <w:noWrap w:val="0"/>
                  <w:vAlign w:val="center"/>
                </w:tcPr>
                <w:p w14:paraId="34EEFF2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w:t>
                  </w:r>
                </w:p>
              </w:tc>
            </w:tr>
            <w:tr w14:paraId="38218DEF">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745" w:type="dxa"/>
                  <w:vMerge w:val="continue"/>
                  <w:tcBorders>
                    <w:tl2br w:val="nil"/>
                    <w:tr2bl w:val="nil"/>
                  </w:tcBorders>
                  <w:noWrap w:val="0"/>
                  <w:vAlign w:val="center"/>
                </w:tcPr>
                <w:p w14:paraId="4D9ABDFE">
                  <w:pPr>
                    <w:keepNext w:val="0"/>
                    <w:keepLines w:val="0"/>
                    <w:pageBreakBefore w:val="0"/>
                    <w:widowControl w:val="0"/>
                    <w:numPr>
                      <w:ilvl w:val="0"/>
                      <w:numId w:val="36"/>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90" w:type="dxa"/>
                  <w:vMerge w:val="continue"/>
                  <w:tcBorders>
                    <w:tl2br w:val="nil"/>
                    <w:tr2bl w:val="nil"/>
                  </w:tcBorders>
                  <w:noWrap w:val="0"/>
                  <w:vAlign w:val="center"/>
                </w:tcPr>
                <w:p w14:paraId="096B1BB6">
                  <w:pPr>
                    <w:keepNext w:val="0"/>
                    <w:keepLines w:val="0"/>
                    <w:suppressLineNumbers w:val="0"/>
                    <w:spacing w:before="0" w:beforeAutospacing="0" w:after="0" w:afterAutospacing="0"/>
                    <w:ind w:left="0" w:right="0"/>
                    <w:jc w:val="center"/>
                    <w:rPr>
                      <w:rFonts w:hint="eastAsia" w:ascii="Times New Roman" w:hAnsi="Times New Roman" w:cs="Times New Roman"/>
                      <w:color w:val="000000" w:themeColor="text1"/>
                      <w:sz w:val="21"/>
                      <w:szCs w:val="21"/>
                      <w:highlight w:val="none"/>
                      <w14:textFill>
                        <w14:solidFill>
                          <w14:schemeClr w14:val="tx1"/>
                        </w14:solidFill>
                      </w14:textFill>
                    </w:rPr>
                  </w:pPr>
                </w:p>
              </w:tc>
              <w:tc>
                <w:tcPr>
                  <w:tcW w:w="1116" w:type="dxa"/>
                  <w:tcBorders>
                    <w:tl2br w:val="nil"/>
                    <w:tr2bl w:val="nil"/>
                  </w:tcBorders>
                  <w:noWrap w:val="0"/>
                  <w:vAlign w:val="center"/>
                </w:tcPr>
                <w:p w14:paraId="3E2ECBAD">
                  <w:pPr>
                    <w:keepNext w:val="0"/>
                    <w:keepLines w:val="0"/>
                    <w:suppressLineNumbers w:val="0"/>
                    <w:spacing w:before="0" w:beforeAutospacing="0" w:after="0" w:afterAutospacing="0"/>
                    <w:ind w:left="0" w:right="0"/>
                    <w:jc w:val="center"/>
                    <w:rPr>
                      <w:rFonts w:hint="eastAsia" w:hAnsi="宋体" w:cs="Times New Roman"/>
                      <w:color w:val="000000" w:themeColor="text1"/>
                      <w:sz w:val="21"/>
                      <w:szCs w:val="21"/>
                      <w:highlight w:val="none"/>
                      <w:lang w:eastAsia="zh-CN"/>
                      <w14:textFill>
                        <w14:solidFill>
                          <w14:schemeClr w14:val="tx1"/>
                        </w14:solidFill>
                      </w14:textFill>
                    </w:rPr>
                  </w:pPr>
                  <w:r>
                    <w:rPr>
                      <w:rFonts w:hint="eastAsia" w:hAnsi="宋体" w:cs="Times New Roman"/>
                      <w:color w:val="000000" w:themeColor="text1"/>
                      <w:sz w:val="21"/>
                      <w:szCs w:val="21"/>
                      <w:highlight w:val="none"/>
                      <w:lang w:eastAsia="zh-CN"/>
                      <w14:textFill>
                        <w14:solidFill>
                          <w14:schemeClr w14:val="tx1"/>
                        </w14:solidFill>
                      </w14:textFill>
                    </w:rPr>
                    <w:t>创新制剂车间</w:t>
                  </w:r>
                </w:p>
              </w:tc>
              <w:tc>
                <w:tcPr>
                  <w:tcW w:w="4304" w:type="dxa"/>
                  <w:tcBorders>
                    <w:tl2br w:val="nil"/>
                    <w:tr2bl w:val="nil"/>
                  </w:tcBorders>
                  <w:noWrap w:val="0"/>
                  <w:vAlign w:val="center"/>
                </w:tcPr>
                <w:p w14:paraId="7B40C235">
                  <w:pPr>
                    <w:keepNext w:val="0"/>
                    <w:keepLines w:val="0"/>
                    <w:suppressLineNumbers w:val="0"/>
                    <w:spacing w:before="0" w:beforeAutospacing="0" w:after="0" w:afterAutospacing="0"/>
                    <w:ind w:left="0" w:right="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eastAsia="宋体"/>
                      <w:color w:val="000000" w:themeColor="text1"/>
                      <w:sz w:val="21"/>
                      <w:szCs w:val="21"/>
                      <w:highlight w:val="none"/>
                      <w:lang w:val="en-US" w:eastAsia="zh-CN"/>
                      <w14:textFill>
                        <w14:solidFill>
                          <w14:schemeClr w14:val="tx1"/>
                        </w14:solidFill>
                      </w14:textFill>
                    </w:rPr>
                    <w:t>密闭结构+负压进料+出口密闭管道连接+</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呼吸口处捕集袋除尘+</w:t>
                  </w:r>
                  <w:r>
                    <w:rPr>
                      <w:rFonts w:hint="eastAsia" w:eastAsia="宋体"/>
                      <w:color w:val="000000" w:themeColor="text1"/>
                      <w:sz w:val="21"/>
                      <w:szCs w:val="21"/>
                      <w:highlight w:val="none"/>
                      <w:lang w:val="en-US" w:eastAsia="zh-CN"/>
                      <w14:textFill>
                        <w14:solidFill>
                          <w14:schemeClr w14:val="tx1"/>
                        </w14:solidFill>
                      </w14:textFill>
                    </w:rPr>
                    <w:t>旋风</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除尘器（TA0</w:t>
                  </w:r>
                  <w:r>
                    <w:rPr>
                      <w:rFonts w:hint="eastAsia"/>
                      <w:color w:val="000000" w:themeColor="text1"/>
                      <w:sz w:val="21"/>
                      <w:szCs w:val="21"/>
                      <w:highlight w:val="none"/>
                      <w:lang w:val="en-US" w:eastAsia="zh-CN"/>
                      <w14:textFill>
                        <w14:solidFill>
                          <w14:schemeClr w14:val="tx1"/>
                        </w14:solidFill>
                      </w14:textFill>
                    </w:rPr>
                    <w:t>27</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）处理后由不低于15m高的排气筒（DA00</w:t>
                  </w:r>
                  <w:r>
                    <w:rPr>
                      <w:rFonts w:hint="eastAsia"/>
                      <w:color w:val="000000" w:themeColor="text1"/>
                      <w:sz w:val="21"/>
                      <w:szCs w:val="21"/>
                      <w:highlight w:val="none"/>
                      <w:lang w:val="en-US" w:eastAsia="zh-CN"/>
                      <w14:textFill>
                        <w14:solidFill>
                          <w14:schemeClr w14:val="tx1"/>
                        </w14:solidFill>
                      </w14:textFill>
                    </w:rPr>
                    <w:t>5</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）排放</w:t>
                  </w:r>
                </w:p>
              </w:tc>
              <w:tc>
                <w:tcPr>
                  <w:tcW w:w="1149" w:type="dxa"/>
                  <w:tcBorders>
                    <w:tl2br w:val="nil"/>
                    <w:tr2bl w:val="nil"/>
                  </w:tcBorders>
                  <w:noWrap w:val="0"/>
                  <w:vAlign w:val="center"/>
                </w:tcPr>
                <w:p w14:paraId="6545EC2C">
                  <w:pPr>
                    <w:keepNext w:val="0"/>
                    <w:keepLines w:val="0"/>
                    <w:suppressLineNumbers w:val="0"/>
                    <w:spacing w:before="0" w:beforeAutospacing="0" w:after="0" w:afterAutospacing="0"/>
                    <w:ind w:left="0" w:right="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w:t>
                  </w:r>
                </w:p>
              </w:tc>
            </w:tr>
            <w:tr w14:paraId="622C550B">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45" w:type="dxa"/>
                  <w:tcBorders>
                    <w:tl2br w:val="nil"/>
                    <w:tr2bl w:val="nil"/>
                  </w:tcBorders>
                  <w:noWrap w:val="0"/>
                  <w:vAlign w:val="center"/>
                </w:tcPr>
                <w:p w14:paraId="6FA0D559">
                  <w:pPr>
                    <w:keepNext w:val="0"/>
                    <w:keepLines w:val="0"/>
                    <w:pageBreakBefore w:val="0"/>
                    <w:widowControl w:val="0"/>
                    <w:numPr>
                      <w:ilvl w:val="0"/>
                      <w:numId w:val="3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90" w:type="dxa"/>
                  <w:vMerge w:val="continue"/>
                  <w:tcBorders>
                    <w:tl2br w:val="nil"/>
                    <w:tr2bl w:val="nil"/>
                  </w:tcBorders>
                  <w:noWrap w:val="0"/>
                  <w:vAlign w:val="center"/>
                </w:tcPr>
                <w:p w14:paraId="1CA09A00">
                  <w:pPr>
                    <w:keepNext w:val="0"/>
                    <w:keepLines w:val="0"/>
                    <w:suppressLineNumbers w:val="0"/>
                    <w:spacing w:before="0" w:beforeAutospacing="0" w:after="0" w:afterAutospacing="0"/>
                    <w:ind w:left="0" w:right="0"/>
                    <w:jc w:val="center"/>
                    <w:rPr>
                      <w:rFonts w:hint="eastAsia" w:ascii="Times New Roman" w:hAnsi="Times New Roman" w:cs="Times New Roman"/>
                      <w:color w:val="000000" w:themeColor="text1"/>
                      <w:sz w:val="21"/>
                      <w:szCs w:val="21"/>
                      <w:highlight w:val="none"/>
                      <w14:textFill>
                        <w14:solidFill>
                          <w14:schemeClr w14:val="tx1"/>
                        </w14:solidFill>
                      </w14:textFill>
                    </w:rPr>
                  </w:pPr>
                </w:p>
              </w:tc>
              <w:tc>
                <w:tcPr>
                  <w:tcW w:w="1116" w:type="dxa"/>
                  <w:tcBorders>
                    <w:tl2br w:val="nil"/>
                    <w:tr2bl w:val="nil"/>
                  </w:tcBorders>
                  <w:noWrap w:val="0"/>
                  <w:vAlign w:val="center"/>
                </w:tcPr>
                <w:p w14:paraId="1172C77A">
                  <w:pPr>
                    <w:keepNext w:val="0"/>
                    <w:keepLines w:val="0"/>
                    <w:suppressLineNumbers w:val="0"/>
                    <w:spacing w:before="0" w:beforeAutospacing="0" w:after="0" w:afterAutospacing="0"/>
                    <w:ind w:left="0" w:right="0"/>
                    <w:jc w:val="center"/>
                    <w:rPr>
                      <w:rFonts w:hint="eastAsia" w:hAnsi="宋体" w:cs="Times New Roman"/>
                      <w:color w:val="000000" w:themeColor="text1"/>
                      <w:sz w:val="21"/>
                      <w:szCs w:val="21"/>
                      <w:highlight w:val="none"/>
                      <w:lang w:eastAsia="zh-CN"/>
                      <w14:textFill>
                        <w14:solidFill>
                          <w14:schemeClr w14:val="tx1"/>
                        </w14:solidFill>
                      </w14:textFill>
                    </w:rPr>
                  </w:pPr>
                  <w:r>
                    <w:rPr>
                      <w:rFonts w:hint="eastAsia" w:hAnsi="宋体" w:cs="Times New Roman"/>
                      <w:color w:val="000000" w:themeColor="text1"/>
                      <w:sz w:val="21"/>
                      <w:szCs w:val="21"/>
                      <w:highlight w:val="none"/>
                      <w:lang w:eastAsia="zh-CN"/>
                      <w14:textFill>
                        <w14:solidFill>
                          <w14:schemeClr w14:val="tx1"/>
                        </w14:solidFill>
                      </w14:textFill>
                    </w:rPr>
                    <w:t>综合制剂车间</w:t>
                  </w:r>
                </w:p>
              </w:tc>
              <w:tc>
                <w:tcPr>
                  <w:tcW w:w="4304" w:type="dxa"/>
                  <w:tcBorders>
                    <w:tl2br w:val="nil"/>
                    <w:tr2bl w:val="nil"/>
                  </w:tcBorders>
                  <w:noWrap w:val="0"/>
                  <w:vAlign w:val="center"/>
                </w:tcPr>
                <w:p w14:paraId="36D7508A">
                  <w:pPr>
                    <w:keepNext w:val="0"/>
                    <w:keepLines w:val="0"/>
                    <w:suppressLineNumbers w:val="0"/>
                    <w:spacing w:before="0" w:beforeAutospacing="0" w:after="0" w:afterAutospacing="0"/>
                    <w:ind w:left="0" w:right="0"/>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依托现有废气处理设施，改造现有排气筒为8个（DA006~DA013）</w:t>
                  </w:r>
                </w:p>
              </w:tc>
              <w:tc>
                <w:tcPr>
                  <w:tcW w:w="1149" w:type="dxa"/>
                  <w:tcBorders>
                    <w:tl2br w:val="nil"/>
                    <w:tr2bl w:val="nil"/>
                  </w:tcBorders>
                  <w:noWrap w:val="0"/>
                  <w:vAlign w:val="center"/>
                </w:tcPr>
                <w:p w14:paraId="23D52A27">
                  <w:pPr>
                    <w:keepNext w:val="0"/>
                    <w:keepLines w:val="0"/>
                    <w:suppressLineNumbers w:val="0"/>
                    <w:spacing w:before="0" w:beforeAutospacing="0" w:after="0" w:afterAutospacing="0"/>
                    <w:ind w:left="0" w:right="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w:t>
                  </w:r>
                </w:p>
              </w:tc>
            </w:tr>
            <w:tr w14:paraId="45ABCBA3">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5" w:type="dxa"/>
                  <w:tcBorders>
                    <w:tl2br w:val="nil"/>
                    <w:tr2bl w:val="nil"/>
                  </w:tcBorders>
                  <w:noWrap w:val="0"/>
                  <w:vAlign w:val="center"/>
                </w:tcPr>
                <w:p w14:paraId="3DA1396C">
                  <w:pPr>
                    <w:keepNext w:val="0"/>
                    <w:keepLines w:val="0"/>
                    <w:pageBreakBefore w:val="0"/>
                    <w:widowControl w:val="0"/>
                    <w:numPr>
                      <w:ilvl w:val="0"/>
                      <w:numId w:val="3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90" w:type="dxa"/>
                  <w:tcBorders>
                    <w:tl2br w:val="nil"/>
                    <w:tr2bl w:val="nil"/>
                  </w:tcBorders>
                  <w:noWrap w:val="0"/>
                  <w:vAlign w:val="center"/>
                </w:tcPr>
                <w:p w14:paraId="779267F3">
                  <w:pPr>
                    <w:keepNext w:val="0"/>
                    <w:keepLines w:val="0"/>
                    <w:suppressLineNumbers w:val="0"/>
                    <w:spacing w:before="0" w:beforeAutospacing="0" w:after="0" w:afterAutospacing="0"/>
                    <w:ind w:left="0" w:right="0"/>
                    <w:jc w:val="center"/>
                    <w:rPr>
                      <w:rFonts w:hint="eastAsia"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14:textFill>
                        <w14:solidFill>
                          <w14:schemeClr w14:val="tx1"/>
                        </w14:solidFill>
                      </w14:textFill>
                    </w:rPr>
                    <w:t>废水处理</w:t>
                  </w:r>
                </w:p>
              </w:tc>
              <w:tc>
                <w:tcPr>
                  <w:tcW w:w="1116" w:type="dxa"/>
                  <w:tcBorders>
                    <w:tl2br w:val="nil"/>
                    <w:tr2bl w:val="nil"/>
                  </w:tcBorders>
                  <w:shd w:val="clear" w:color="auto" w:fill="auto"/>
                  <w:noWrap w:val="0"/>
                  <w:vAlign w:val="center"/>
                </w:tcPr>
                <w:p w14:paraId="205203C6">
                  <w:pPr>
                    <w:keepNext w:val="0"/>
                    <w:keepLines w:val="0"/>
                    <w:suppressLineNumbers w:val="0"/>
                    <w:spacing w:before="0" w:beforeAutospacing="0" w:after="0" w:afterAutospacing="0"/>
                    <w:ind w:left="0" w:leftChars="0" w:right="0" w:rightChars="0"/>
                    <w:jc w:val="center"/>
                    <w:rPr>
                      <w:rFonts w:hint="eastAsia" w:ascii="Times New Roman"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hAnsi="宋体" w:cs="Times New Roman"/>
                      <w:color w:val="000000" w:themeColor="text1"/>
                      <w:sz w:val="21"/>
                      <w:szCs w:val="21"/>
                      <w:highlight w:val="none"/>
                      <w:lang w:val="en-US" w:eastAsia="zh-CN"/>
                      <w14:textFill>
                        <w14:solidFill>
                          <w14:schemeClr w14:val="tx1"/>
                        </w14:solidFill>
                      </w14:textFill>
                    </w:rPr>
                    <w:t>生产废水</w:t>
                  </w:r>
                </w:p>
              </w:tc>
              <w:tc>
                <w:tcPr>
                  <w:tcW w:w="4304" w:type="dxa"/>
                  <w:tcBorders>
                    <w:tl2br w:val="nil"/>
                    <w:tr2bl w:val="nil"/>
                  </w:tcBorders>
                  <w:shd w:val="clear" w:color="auto" w:fill="auto"/>
                  <w:noWrap w:val="0"/>
                  <w:vAlign w:val="center"/>
                </w:tcPr>
                <w:p w14:paraId="6AD67D2C">
                  <w:pPr>
                    <w:keepNext w:val="0"/>
                    <w:keepLines w:val="0"/>
                    <w:suppressLineNumbers w:val="0"/>
                    <w:spacing w:before="0" w:beforeAutospacing="0" w:after="0" w:afterAutospacing="0"/>
                    <w:ind w:left="0" w:leftChars="0" w:right="0" w:rightChars="0"/>
                    <w:jc w:val="center"/>
                    <w:rPr>
                      <w:rFonts w:hint="default" w:ascii="Times New Roman"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hAnsi="宋体" w:cs="Times New Roman"/>
                      <w:color w:val="000000" w:themeColor="text1"/>
                      <w:sz w:val="21"/>
                      <w:szCs w:val="21"/>
                      <w:highlight w:val="none"/>
                      <w:lang w:val="en-US" w:eastAsia="zh-CN"/>
                      <w14:textFill>
                        <w14:solidFill>
                          <w14:schemeClr w14:val="tx1"/>
                        </w14:solidFill>
                      </w14:textFill>
                    </w:rPr>
                    <w:t>依托现有污水处理系统</w:t>
                  </w:r>
                </w:p>
              </w:tc>
              <w:tc>
                <w:tcPr>
                  <w:tcW w:w="1149" w:type="dxa"/>
                  <w:tcBorders>
                    <w:tl2br w:val="nil"/>
                    <w:tr2bl w:val="nil"/>
                  </w:tcBorders>
                  <w:shd w:val="clear" w:color="auto" w:fill="auto"/>
                  <w:noWrap w:val="0"/>
                  <w:vAlign w:val="center"/>
                </w:tcPr>
                <w:p w14:paraId="13E98B7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w:t>
                  </w:r>
                </w:p>
              </w:tc>
            </w:tr>
            <w:tr w14:paraId="29385FF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5" w:type="dxa"/>
                  <w:tcBorders>
                    <w:tl2br w:val="nil"/>
                    <w:tr2bl w:val="nil"/>
                  </w:tcBorders>
                  <w:noWrap w:val="0"/>
                  <w:vAlign w:val="center"/>
                </w:tcPr>
                <w:p w14:paraId="2639804D">
                  <w:pPr>
                    <w:keepNext w:val="0"/>
                    <w:keepLines w:val="0"/>
                    <w:pageBreakBefore w:val="0"/>
                    <w:widowControl w:val="0"/>
                    <w:numPr>
                      <w:ilvl w:val="0"/>
                      <w:numId w:val="3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90" w:type="dxa"/>
                  <w:tcBorders>
                    <w:tl2br w:val="nil"/>
                    <w:tr2bl w:val="nil"/>
                  </w:tcBorders>
                  <w:noWrap w:val="0"/>
                  <w:vAlign w:val="center"/>
                </w:tcPr>
                <w:p w14:paraId="594D4EFE">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宋体" w:cs="Times New Roman"/>
                      <w:color w:val="000000" w:themeColor="text1"/>
                      <w:sz w:val="21"/>
                      <w:szCs w:val="21"/>
                      <w:highlight w:val="none"/>
                      <w14:textFill>
                        <w14:solidFill>
                          <w14:schemeClr w14:val="tx1"/>
                        </w14:solidFill>
                      </w14:textFill>
                    </w:rPr>
                    <w:t>噪声处理</w:t>
                  </w:r>
                </w:p>
              </w:tc>
              <w:tc>
                <w:tcPr>
                  <w:tcW w:w="1116" w:type="dxa"/>
                  <w:tcBorders>
                    <w:tl2br w:val="nil"/>
                    <w:tr2bl w:val="nil"/>
                  </w:tcBorders>
                  <w:noWrap w:val="0"/>
                  <w:vAlign w:val="center"/>
                </w:tcPr>
                <w:p w14:paraId="4BAC3A09">
                  <w:pPr>
                    <w:keepNext w:val="0"/>
                    <w:keepLines w:val="0"/>
                    <w:suppressLineNumbers w:val="0"/>
                    <w:spacing w:before="0" w:beforeAutospacing="0" w:after="0" w:afterAutospacing="0"/>
                    <w:ind w:left="0" w:right="0"/>
                    <w:jc w:val="center"/>
                    <w:rPr>
                      <w:rFonts w:hint="default" w:ascii="Times New Roman" w:hAnsi="宋体" w:cs="Times New Roman"/>
                      <w:color w:val="000000" w:themeColor="text1"/>
                      <w:sz w:val="21"/>
                      <w:szCs w:val="21"/>
                      <w:highlight w:val="none"/>
                      <w:lang w:eastAsia="zh-CN"/>
                      <w14:textFill>
                        <w14:solidFill>
                          <w14:schemeClr w14:val="tx1"/>
                        </w14:solidFill>
                      </w14:textFill>
                    </w:rPr>
                  </w:pPr>
                  <w:r>
                    <w:rPr>
                      <w:rFonts w:hint="default" w:ascii="Times New Roman" w:hAnsi="宋体" w:cs="Times New Roman"/>
                      <w:color w:val="000000" w:themeColor="text1"/>
                      <w:sz w:val="21"/>
                      <w:szCs w:val="21"/>
                      <w:highlight w:val="none"/>
                      <w:lang w:eastAsia="zh-CN"/>
                      <w14:textFill>
                        <w14:solidFill>
                          <w14:schemeClr w14:val="tx1"/>
                        </w14:solidFill>
                      </w14:textFill>
                    </w:rPr>
                    <w:t>设备噪声</w:t>
                  </w:r>
                </w:p>
              </w:tc>
              <w:tc>
                <w:tcPr>
                  <w:tcW w:w="4304" w:type="dxa"/>
                  <w:tcBorders>
                    <w:tl2br w:val="nil"/>
                    <w:tr2bl w:val="nil"/>
                  </w:tcBorders>
                  <w:noWrap w:val="0"/>
                  <w:vAlign w:val="center"/>
                </w:tcPr>
                <w:p w14:paraId="250913A4">
                  <w:pPr>
                    <w:keepNext w:val="0"/>
                    <w:keepLines w:val="0"/>
                    <w:suppressLineNumbers w:val="0"/>
                    <w:spacing w:before="0" w:beforeAutospacing="0" w:after="0" w:afterAutospacing="0"/>
                    <w:ind w:left="0" w:right="0"/>
                    <w:jc w:val="center"/>
                    <w:rPr>
                      <w:rFonts w:hint="default" w:ascii="Times New Roman" w:hAnsi="宋体" w:cs="Times New Roman"/>
                      <w:color w:val="000000" w:themeColor="text1"/>
                      <w:sz w:val="21"/>
                      <w:szCs w:val="21"/>
                      <w:highlight w:val="none"/>
                      <w:lang w:val="en-US" w:eastAsia="zh-CN"/>
                      <w14:textFill>
                        <w14:solidFill>
                          <w14:schemeClr w14:val="tx1"/>
                        </w14:solidFill>
                      </w14:textFill>
                    </w:rPr>
                  </w:pPr>
                  <w:r>
                    <w:rPr>
                      <w:rFonts w:hint="default" w:ascii="Times New Roman" w:hAnsi="宋体" w:cs="Times New Roman"/>
                      <w:color w:val="000000" w:themeColor="text1"/>
                      <w:sz w:val="21"/>
                      <w:szCs w:val="21"/>
                      <w:highlight w:val="none"/>
                      <w:lang w:val="en-US" w:eastAsia="zh-CN"/>
                      <w14:textFill>
                        <w14:solidFill>
                          <w14:schemeClr w14:val="tx1"/>
                        </w14:solidFill>
                      </w14:textFill>
                    </w:rPr>
                    <w:t>低噪声设备选型、基础减振、建筑隔声</w:t>
                  </w:r>
                </w:p>
              </w:tc>
              <w:tc>
                <w:tcPr>
                  <w:tcW w:w="1149" w:type="dxa"/>
                  <w:tcBorders>
                    <w:tl2br w:val="nil"/>
                    <w:tr2bl w:val="nil"/>
                  </w:tcBorders>
                  <w:noWrap w:val="0"/>
                  <w:vAlign w:val="center"/>
                </w:tcPr>
                <w:p w14:paraId="79342B0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w:t>
                  </w:r>
                </w:p>
              </w:tc>
            </w:tr>
            <w:tr w14:paraId="75610F99">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745" w:type="dxa"/>
                  <w:vMerge w:val="restart"/>
                  <w:tcBorders>
                    <w:tl2br w:val="nil"/>
                    <w:tr2bl w:val="nil"/>
                  </w:tcBorders>
                  <w:noWrap w:val="0"/>
                  <w:vAlign w:val="center"/>
                </w:tcPr>
                <w:p w14:paraId="3BAA0ADA">
                  <w:pPr>
                    <w:keepNext w:val="0"/>
                    <w:keepLines w:val="0"/>
                    <w:pageBreakBefore w:val="0"/>
                    <w:widowControl w:val="0"/>
                    <w:numPr>
                      <w:ilvl w:val="0"/>
                      <w:numId w:val="3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90" w:type="dxa"/>
                  <w:vMerge w:val="restart"/>
                  <w:tcBorders>
                    <w:tl2br w:val="nil"/>
                    <w:tr2bl w:val="nil"/>
                  </w:tcBorders>
                  <w:noWrap w:val="0"/>
                  <w:vAlign w:val="center"/>
                </w:tcPr>
                <w:p w14:paraId="1259FFEA">
                  <w:pPr>
                    <w:keepNext w:val="0"/>
                    <w:keepLines w:val="0"/>
                    <w:suppressLineNumbers w:val="0"/>
                    <w:spacing w:before="0" w:beforeAutospacing="0" w:after="0" w:afterAutospacing="0"/>
                    <w:ind w:left="0" w:right="0"/>
                    <w:jc w:val="center"/>
                    <w:rPr>
                      <w:rFonts w:hint="eastAsia" w:ascii="Times New Roman" w:hAnsi="宋体" w:cs="Times New Roman"/>
                      <w:color w:val="000000" w:themeColor="text1"/>
                      <w:sz w:val="21"/>
                      <w:szCs w:val="21"/>
                      <w:highlight w:val="none"/>
                      <w:lang w:eastAsia="zh-CN"/>
                      <w14:textFill>
                        <w14:solidFill>
                          <w14:schemeClr w14:val="tx1"/>
                        </w14:solidFill>
                      </w14:textFill>
                    </w:rPr>
                  </w:pPr>
                  <w:r>
                    <w:rPr>
                      <w:rFonts w:hint="eastAsia" w:ascii="Times New Roman" w:hAnsi="宋体" w:cs="Times New Roman"/>
                      <w:color w:val="000000" w:themeColor="text1"/>
                      <w:sz w:val="21"/>
                      <w:szCs w:val="21"/>
                      <w:highlight w:val="none"/>
                      <w:lang w:eastAsia="zh-CN"/>
                      <w14:textFill>
                        <w14:solidFill>
                          <w14:schemeClr w14:val="tx1"/>
                        </w14:solidFill>
                      </w14:textFill>
                    </w:rPr>
                    <w:t>固废</w:t>
                  </w:r>
                </w:p>
              </w:tc>
              <w:tc>
                <w:tcPr>
                  <w:tcW w:w="1116" w:type="dxa"/>
                  <w:tcBorders>
                    <w:tl2br w:val="nil"/>
                    <w:tr2bl w:val="nil"/>
                  </w:tcBorders>
                  <w:noWrap w:val="0"/>
                  <w:vAlign w:val="center"/>
                </w:tcPr>
                <w:p w14:paraId="34DB3FE2">
                  <w:pPr>
                    <w:keepNext w:val="0"/>
                    <w:keepLines w:val="0"/>
                    <w:suppressLineNumbers w:val="0"/>
                    <w:spacing w:before="0" w:beforeAutospacing="0" w:after="0" w:afterAutospacing="0"/>
                    <w:ind w:left="0" w:right="0"/>
                    <w:jc w:val="center"/>
                    <w:rPr>
                      <w:rFonts w:hint="eastAsia" w:ascii="Times New Roman" w:hAnsi="宋体" w:cs="Times New Roman"/>
                      <w:color w:val="000000" w:themeColor="text1"/>
                      <w:sz w:val="21"/>
                      <w:szCs w:val="21"/>
                      <w:highlight w:val="none"/>
                      <w:lang w:eastAsia="zh-CN"/>
                      <w14:textFill>
                        <w14:solidFill>
                          <w14:schemeClr w14:val="tx1"/>
                        </w14:solidFill>
                      </w14:textFill>
                    </w:rPr>
                  </w:pPr>
                  <w:r>
                    <w:rPr>
                      <w:rFonts w:hint="eastAsia" w:ascii="Times New Roman" w:hAnsi="宋体" w:cs="Times New Roman"/>
                      <w:color w:val="000000" w:themeColor="text1"/>
                      <w:sz w:val="21"/>
                      <w:szCs w:val="21"/>
                      <w:highlight w:val="none"/>
                      <w:lang w:eastAsia="zh-CN"/>
                      <w14:textFill>
                        <w14:solidFill>
                          <w14:schemeClr w14:val="tx1"/>
                        </w14:solidFill>
                      </w14:textFill>
                    </w:rPr>
                    <w:t>危险废物</w:t>
                  </w:r>
                </w:p>
              </w:tc>
              <w:tc>
                <w:tcPr>
                  <w:tcW w:w="4304" w:type="dxa"/>
                  <w:tcBorders>
                    <w:tl2br w:val="nil"/>
                    <w:tr2bl w:val="nil"/>
                  </w:tcBorders>
                  <w:noWrap w:val="0"/>
                  <w:vAlign w:val="center"/>
                </w:tcPr>
                <w:p w14:paraId="5AB7C141">
                  <w:pPr>
                    <w:keepNext w:val="0"/>
                    <w:keepLines w:val="0"/>
                    <w:suppressLineNumbers w:val="0"/>
                    <w:spacing w:before="0" w:beforeAutospacing="0" w:after="0" w:afterAutospacing="0"/>
                    <w:ind w:left="0" w:right="0"/>
                    <w:jc w:val="center"/>
                    <w:rPr>
                      <w:rFonts w:hint="eastAsia" w:ascii="Times New Roman" w:hAnsi="宋体" w:cs="Times New Roman"/>
                      <w:color w:val="000000" w:themeColor="text1"/>
                      <w:sz w:val="21"/>
                      <w:szCs w:val="21"/>
                      <w:highlight w:val="none"/>
                      <w:lang w:eastAsia="zh-CN"/>
                      <w14:textFill>
                        <w14:solidFill>
                          <w14:schemeClr w14:val="tx1"/>
                        </w14:solidFill>
                      </w14:textFill>
                    </w:rPr>
                  </w:pPr>
                  <w:r>
                    <w:rPr>
                      <w:rFonts w:hint="eastAsia" w:hAnsi="宋体" w:cs="Times New Roman"/>
                      <w:color w:val="000000" w:themeColor="text1"/>
                      <w:sz w:val="21"/>
                      <w:szCs w:val="21"/>
                      <w:highlight w:val="none"/>
                      <w:lang w:val="en-US" w:eastAsia="zh-CN"/>
                      <w14:textFill>
                        <w14:solidFill>
                          <w14:schemeClr w14:val="tx1"/>
                        </w14:solidFill>
                      </w14:textFill>
                    </w:rPr>
                    <w:t>依托现有</w:t>
                  </w:r>
                  <w:r>
                    <w:rPr>
                      <w:rFonts w:hint="eastAsia" w:hAnsi="宋体" w:cs="Times New Roman"/>
                      <w:color w:val="000000" w:themeColor="text1"/>
                      <w:sz w:val="21"/>
                      <w:szCs w:val="21"/>
                      <w:highlight w:val="none"/>
                      <w:lang w:eastAsia="zh-CN"/>
                      <w14:textFill>
                        <w14:solidFill>
                          <w14:schemeClr w14:val="tx1"/>
                        </w14:solidFill>
                      </w14:textFill>
                    </w:rPr>
                    <w:t>危废贮存库</w:t>
                  </w:r>
                  <w:r>
                    <w:rPr>
                      <w:rFonts w:hint="eastAsia" w:ascii="Times New Roman" w:hAnsi="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bCs/>
                      <w:color w:val="000000" w:themeColor="text1"/>
                      <w:sz w:val="21"/>
                      <w:szCs w:val="21"/>
                      <w:highlight w:val="none"/>
                      <w:lang w:val="en-US" w:eastAsia="zh-CN" w:bidi="ar"/>
                      <w14:textFill>
                        <w14:solidFill>
                          <w14:schemeClr w14:val="tx1"/>
                        </w14:solidFill>
                      </w14:textFill>
                    </w:rPr>
                    <w:t>80.29</w:t>
                  </w:r>
                  <w:r>
                    <w:rPr>
                      <w:rFonts w:hint="eastAsia" w:ascii="Times New Roman" w:hAnsi="宋体" w:cs="Times New Roman"/>
                      <w:color w:val="000000" w:themeColor="text1"/>
                      <w:sz w:val="21"/>
                      <w:szCs w:val="21"/>
                      <w:highlight w:val="none"/>
                      <w:lang w:val="en-US" w:eastAsia="zh-CN"/>
                      <w14:textFill>
                        <w14:solidFill>
                          <w14:schemeClr w14:val="tx1"/>
                        </w14:solidFill>
                      </w14:textFill>
                    </w:rPr>
                    <w:t>m</w:t>
                  </w:r>
                  <w:r>
                    <w:rPr>
                      <w:rFonts w:hint="eastAsia" w:ascii="Times New Roman" w:hAnsi="宋体" w:cs="Times New Roman"/>
                      <w:color w:val="000000" w:themeColor="text1"/>
                      <w:sz w:val="21"/>
                      <w:szCs w:val="21"/>
                      <w:highlight w:val="none"/>
                      <w:vertAlign w:val="superscript"/>
                      <w:lang w:val="en-US" w:eastAsia="zh-CN"/>
                      <w14:textFill>
                        <w14:solidFill>
                          <w14:schemeClr w14:val="tx1"/>
                        </w14:solidFill>
                      </w14:textFill>
                    </w:rPr>
                    <w:t>2</w:t>
                  </w:r>
                  <w:r>
                    <w:rPr>
                      <w:rFonts w:hint="eastAsia" w:ascii="Times New Roman" w:hAnsi="宋体" w:cs="Times New Roman"/>
                      <w:color w:val="000000" w:themeColor="text1"/>
                      <w:sz w:val="21"/>
                      <w:szCs w:val="21"/>
                      <w:highlight w:val="none"/>
                      <w:lang w:eastAsia="zh-CN"/>
                      <w14:textFill>
                        <w14:solidFill>
                          <w14:schemeClr w14:val="tx1"/>
                        </w14:solidFill>
                      </w14:textFill>
                    </w:rPr>
                    <w:t>）</w:t>
                  </w:r>
                </w:p>
              </w:tc>
              <w:tc>
                <w:tcPr>
                  <w:tcW w:w="1149" w:type="dxa"/>
                  <w:tcBorders>
                    <w:tl2br w:val="nil"/>
                    <w:tr2bl w:val="nil"/>
                  </w:tcBorders>
                  <w:noWrap w:val="0"/>
                  <w:vAlign w:val="center"/>
                </w:tcPr>
                <w:p w14:paraId="60CAD0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w:t>
                  </w:r>
                </w:p>
              </w:tc>
            </w:tr>
            <w:tr w14:paraId="5F59477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745" w:type="dxa"/>
                  <w:vMerge w:val="continue"/>
                  <w:tcBorders>
                    <w:tl2br w:val="nil"/>
                    <w:tr2bl w:val="nil"/>
                  </w:tcBorders>
                  <w:noWrap w:val="0"/>
                  <w:vAlign w:val="center"/>
                </w:tcPr>
                <w:p w14:paraId="2E969A39">
                  <w:pPr>
                    <w:keepNext w:val="0"/>
                    <w:keepLines w:val="0"/>
                    <w:pageBreakBefore w:val="0"/>
                    <w:widowControl w:val="0"/>
                    <w:numPr>
                      <w:ilvl w:val="0"/>
                      <w:numId w:val="36"/>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790" w:type="dxa"/>
                  <w:vMerge w:val="continue"/>
                  <w:tcBorders>
                    <w:tl2br w:val="nil"/>
                    <w:tr2bl w:val="nil"/>
                  </w:tcBorders>
                  <w:noWrap w:val="0"/>
                  <w:vAlign w:val="center"/>
                </w:tcPr>
                <w:p w14:paraId="78FF3B7F">
                  <w:pPr>
                    <w:keepNext w:val="0"/>
                    <w:keepLines w:val="0"/>
                    <w:suppressLineNumbers w:val="0"/>
                    <w:spacing w:before="0" w:beforeAutospacing="0" w:after="0" w:afterAutospacing="0"/>
                    <w:ind w:left="0" w:right="0"/>
                    <w:jc w:val="center"/>
                    <w:rPr>
                      <w:rFonts w:hint="eastAsia" w:ascii="Times New Roman" w:hAnsi="宋体" w:cs="Times New Roman"/>
                      <w:color w:val="000000" w:themeColor="text1"/>
                      <w:sz w:val="21"/>
                      <w:szCs w:val="21"/>
                      <w:highlight w:val="none"/>
                      <w:lang w:eastAsia="zh-CN"/>
                      <w14:textFill>
                        <w14:solidFill>
                          <w14:schemeClr w14:val="tx1"/>
                        </w14:solidFill>
                      </w14:textFill>
                    </w:rPr>
                  </w:pPr>
                </w:p>
              </w:tc>
              <w:tc>
                <w:tcPr>
                  <w:tcW w:w="1116" w:type="dxa"/>
                  <w:tcBorders>
                    <w:tl2br w:val="nil"/>
                    <w:tr2bl w:val="nil"/>
                  </w:tcBorders>
                  <w:noWrap w:val="0"/>
                  <w:vAlign w:val="center"/>
                </w:tcPr>
                <w:p w14:paraId="786C3AF6">
                  <w:pPr>
                    <w:keepNext w:val="0"/>
                    <w:keepLines w:val="0"/>
                    <w:suppressLineNumbers w:val="0"/>
                    <w:spacing w:before="0" w:beforeAutospacing="0" w:after="0" w:afterAutospacing="0"/>
                    <w:ind w:left="0" w:right="0"/>
                    <w:jc w:val="center"/>
                    <w:rPr>
                      <w:rFonts w:hint="eastAsia" w:ascii="Times New Roman" w:hAnsi="宋体" w:cs="Times New Roman"/>
                      <w:color w:val="000000" w:themeColor="text1"/>
                      <w:sz w:val="21"/>
                      <w:szCs w:val="21"/>
                      <w:highlight w:val="none"/>
                      <w:lang w:eastAsia="zh-CN"/>
                      <w14:textFill>
                        <w14:solidFill>
                          <w14:schemeClr w14:val="tx1"/>
                        </w14:solidFill>
                      </w14:textFill>
                    </w:rPr>
                  </w:pPr>
                  <w:r>
                    <w:rPr>
                      <w:rFonts w:hint="eastAsia" w:ascii="Times New Roman" w:hAnsi="宋体" w:cs="Times New Roman"/>
                      <w:color w:val="000000" w:themeColor="text1"/>
                      <w:sz w:val="21"/>
                      <w:szCs w:val="21"/>
                      <w:highlight w:val="none"/>
                      <w:lang w:eastAsia="zh-CN"/>
                      <w14:textFill>
                        <w14:solidFill>
                          <w14:schemeClr w14:val="tx1"/>
                        </w14:solidFill>
                      </w14:textFill>
                    </w:rPr>
                    <w:t>一般固废</w:t>
                  </w:r>
                </w:p>
              </w:tc>
              <w:tc>
                <w:tcPr>
                  <w:tcW w:w="4304" w:type="dxa"/>
                  <w:tcBorders>
                    <w:tl2br w:val="nil"/>
                    <w:tr2bl w:val="nil"/>
                  </w:tcBorders>
                  <w:noWrap w:val="0"/>
                  <w:vAlign w:val="center"/>
                </w:tcPr>
                <w:p w14:paraId="6BE5B0B8">
                  <w:pPr>
                    <w:keepNext w:val="0"/>
                    <w:keepLines w:val="0"/>
                    <w:suppressLineNumbers w:val="0"/>
                    <w:spacing w:before="0" w:beforeAutospacing="0" w:after="0" w:afterAutospacing="0"/>
                    <w:ind w:left="0" w:right="0"/>
                    <w:jc w:val="center"/>
                    <w:rPr>
                      <w:rFonts w:hint="default" w:ascii="Times New Roman" w:hAnsi="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依托现有一般固废暂存区和固废贮存库</w:t>
                  </w:r>
                </w:p>
              </w:tc>
              <w:tc>
                <w:tcPr>
                  <w:tcW w:w="1149" w:type="dxa"/>
                  <w:tcBorders>
                    <w:tl2br w:val="nil"/>
                    <w:tr2bl w:val="nil"/>
                  </w:tcBorders>
                  <w:noWrap w:val="0"/>
                  <w:vAlign w:val="center"/>
                </w:tcPr>
                <w:p w14:paraId="4D0E84D4">
                  <w:pPr>
                    <w:keepNext w:val="0"/>
                    <w:keepLines w:val="0"/>
                    <w:suppressLineNumbers w:val="0"/>
                    <w:spacing w:before="0" w:beforeAutospacing="0" w:after="0" w:afterAutospacing="0"/>
                    <w:ind w:left="0" w:right="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w:t>
                  </w:r>
                </w:p>
              </w:tc>
            </w:tr>
            <w:tr w14:paraId="32E414EC">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745" w:type="dxa"/>
                  <w:tcBorders>
                    <w:tl2br w:val="nil"/>
                    <w:tr2bl w:val="nil"/>
                  </w:tcBorders>
                  <w:noWrap w:val="0"/>
                  <w:vAlign w:val="center"/>
                </w:tcPr>
                <w:p w14:paraId="3643B849">
                  <w:pPr>
                    <w:keepNext w:val="0"/>
                    <w:keepLines w:val="0"/>
                    <w:pageBreakBefore w:val="0"/>
                    <w:widowControl w:val="0"/>
                    <w:numPr>
                      <w:ilvl w:val="0"/>
                      <w:numId w:val="3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906" w:type="dxa"/>
                  <w:gridSpan w:val="2"/>
                  <w:tcBorders>
                    <w:tl2br w:val="nil"/>
                    <w:tr2bl w:val="nil"/>
                  </w:tcBorders>
                  <w:noWrap w:val="0"/>
                  <w:vAlign w:val="center"/>
                </w:tcPr>
                <w:p w14:paraId="498AD6DB">
                  <w:pPr>
                    <w:keepNext w:val="0"/>
                    <w:keepLines w:val="0"/>
                    <w:suppressLineNumbers w:val="0"/>
                    <w:spacing w:before="0" w:beforeAutospacing="0" w:after="0" w:afterAutospacing="0"/>
                    <w:ind w:left="0" w:right="0"/>
                    <w:jc w:val="center"/>
                    <w:rPr>
                      <w:rFonts w:hint="eastAsia" w:ascii="Times New Roman" w:hAnsi="宋体" w:cs="Times New Roman"/>
                      <w:color w:val="000000" w:themeColor="text1"/>
                      <w:sz w:val="21"/>
                      <w:szCs w:val="21"/>
                      <w:highlight w:val="none"/>
                      <w:lang w:eastAsia="zh-CN"/>
                      <w14:textFill>
                        <w14:solidFill>
                          <w14:schemeClr w14:val="tx1"/>
                        </w14:solidFill>
                      </w14:textFill>
                    </w:rPr>
                  </w:pPr>
                  <w:r>
                    <w:rPr>
                      <w:rFonts w:hint="eastAsia" w:hAnsi="宋体" w:cs="Times New Roman"/>
                      <w:color w:val="000000" w:themeColor="text1"/>
                      <w:sz w:val="21"/>
                      <w:szCs w:val="21"/>
                      <w:highlight w:val="none"/>
                      <w:lang w:eastAsia="zh-CN"/>
                      <w14:textFill>
                        <w14:solidFill>
                          <w14:schemeClr w14:val="tx1"/>
                        </w14:solidFill>
                      </w14:textFill>
                    </w:rPr>
                    <w:t>地下水、土壤污染防治</w:t>
                  </w:r>
                </w:p>
              </w:tc>
              <w:tc>
                <w:tcPr>
                  <w:tcW w:w="4304" w:type="dxa"/>
                  <w:tcBorders>
                    <w:tl2br w:val="nil"/>
                    <w:tr2bl w:val="nil"/>
                  </w:tcBorders>
                  <w:noWrap w:val="0"/>
                  <w:vAlign w:val="center"/>
                </w:tcPr>
                <w:p w14:paraId="66FC5D9F">
                  <w:pPr>
                    <w:keepNext w:val="0"/>
                    <w:keepLines w:val="0"/>
                    <w:suppressLineNumbers w:val="0"/>
                    <w:spacing w:before="0" w:beforeAutospacing="0" w:after="0" w:afterAutospacing="0"/>
                    <w:ind w:left="0" w:right="0"/>
                    <w:jc w:val="center"/>
                    <w:rPr>
                      <w:rFonts w:hint="eastAsia" w:ascii="Times New Roman" w:hAnsi="宋体"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新建</w:t>
                  </w:r>
                  <w:r>
                    <w:rPr>
                      <w:rFonts w:hint="eastAsia" w:cs="Times New Roman"/>
                      <w:color w:val="000000" w:themeColor="text1"/>
                      <w:sz w:val="21"/>
                      <w:szCs w:val="21"/>
                      <w:highlight w:val="none"/>
                      <w:vertAlign w:val="baseline"/>
                      <w:lang w:val="en-US" w:eastAsia="zh-CN"/>
                      <w14:textFill>
                        <w14:solidFill>
                          <w14:schemeClr w14:val="tx1"/>
                        </w14:solidFill>
                      </w14:textFill>
                    </w:rPr>
                    <w:t>创新制剂车间</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为一般防渗区；新建</w:t>
                  </w: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成品</w:t>
                  </w:r>
                  <w:r>
                    <w:rPr>
                      <w:rFonts w:hint="eastAsia" w:cs="Times New Roman"/>
                      <w:color w:val="000000" w:themeColor="text1"/>
                      <w:sz w:val="21"/>
                      <w:szCs w:val="21"/>
                      <w:highlight w:val="none"/>
                      <w:vertAlign w:val="baseline"/>
                      <w:lang w:val="en-US" w:eastAsia="zh-CN"/>
                      <w14:textFill>
                        <w14:solidFill>
                          <w14:schemeClr w14:val="tx1"/>
                        </w14:solidFill>
                      </w14:textFill>
                    </w:rPr>
                    <w:t>库</w:t>
                  </w: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为简单防渗区。</w:t>
                  </w:r>
                </w:p>
              </w:tc>
              <w:tc>
                <w:tcPr>
                  <w:tcW w:w="1149" w:type="dxa"/>
                  <w:tcBorders>
                    <w:tl2br w:val="nil"/>
                    <w:tr2bl w:val="nil"/>
                  </w:tcBorders>
                  <w:noWrap w:val="0"/>
                  <w:vAlign w:val="center"/>
                </w:tcPr>
                <w:p w14:paraId="72C2F0DD">
                  <w:pPr>
                    <w:keepNext w:val="0"/>
                    <w:keepLines w:val="0"/>
                    <w:suppressLineNumbers w:val="0"/>
                    <w:spacing w:before="0" w:beforeAutospacing="0" w:after="0" w:afterAutospacing="0"/>
                    <w:ind w:left="0" w:right="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w:t>
                  </w:r>
                </w:p>
              </w:tc>
            </w:tr>
            <w:tr w14:paraId="33CF1C5D">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745" w:type="dxa"/>
                  <w:tcBorders>
                    <w:tl2br w:val="nil"/>
                    <w:tr2bl w:val="nil"/>
                  </w:tcBorders>
                  <w:noWrap w:val="0"/>
                  <w:vAlign w:val="center"/>
                </w:tcPr>
                <w:p w14:paraId="411AF97F">
                  <w:pPr>
                    <w:keepNext w:val="0"/>
                    <w:keepLines w:val="0"/>
                    <w:pageBreakBefore w:val="0"/>
                    <w:widowControl w:val="0"/>
                    <w:numPr>
                      <w:ilvl w:val="0"/>
                      <w:numId w:val="37"/>
                    </w:numPr>
                    <w:suppressLineNumbers w:val="0"/>
                    <w:tabs>
                      <w:tab w:val="clear" w:pos="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210" w:type="dxa"/>
                  <w:gridSpan w:val="3"/>
                  <w:tcBorders>
                    <w:tl2br w:val="nil"/>
                    <w:tr2bl w:val="nil"/>
                  </w:tcBorders>
                  <w:noWrap w:val="0"/>
                  <w:vAlign w:val="center"/>
                </w:tcPr>
                <w:p w14:paraId="08E2E96C">
                  <w:pPr>
                    <w:pStyle w:val="30"/>
                    <w:keepNext w:val="0"/>
                    <w:keepLines w:val="0"/>
                    <w:suppressLineNumbers w:val="0"/>
                    <w:tabs>
                      <w:tab w:val="left" w:pos="6912"/>
                    </w:tabs>
                    <w:spacing w:before="0" w:beforeAutospacing="0" w:after="0" w:afterAutospacing="0" w:line="240" w:lineRule="auto"/>
                    <w:ind w:left="0" w:right="0" w:firstLine="0" w:firstLineChars="0"/>
                    <w:jc w:val="center"/>
                    <w:rPr>
                      <w:rFonts w:hint="eastAsia"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14:textFill>
                        <w14:solidFill>
                          <w14:schemeClr w14:val="tx1"/>
                        </w14:solidFill>
                      </w14:textFill>
                    </w:rPr>
                    <w:t>规范化排污口</w:t>
                  </w:r>
                </w:p>
              </w:tc>
              <w:tc>
                <w:tcPr>
                  <w:tcW w:w="1149" w:type="dxa"/>
                  <w:tcBorders>
                    <w:tl2br w:val="nil"/>
                    <w:tr2bl w:val="nil"/>
                  </w:tcBorders>
                  <w:noWrap w:val="0"/>
                  <w:vAlign w:val="center"/>
                </w:tcPr>
                <w:p w14:paraId="67A3DCC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0.2</w:t>
                  </w:r>
                </w:p>
              </w:tc>
            </w:tr>
            <w:tr w14:paraId="798DE2A1">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6955" w:type="dxa"/>
                  <w:gridSpan w:val="4"/>
                  <w:tcBorders>
                    <w:tl2br w:val="nil"/>
                    <w:tr2bl w:val="nil"/>
                  </w:tcBorders>
                  <w:noWrap w:val="0"/>
                  <w:vAlign w:val="center"/>
                </w:tcPr>
                <w:p w14:paraId="43D3B9DE">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宋体" w:cs="Times New Roman"/>
                      <w:color w:val="000000" w:themeColor="text1"/>
                      <w:sz w:val="21"/>
                      <w:szCs w:val="21"/>
                      <w:highlight w:val="none"/>
                      <w14:textFill>
                        <w14:solidFill>
                          <w14:schemeClr w14:val="tx1"/>
                        </w14:solidFill>
                      </w14:textFill>
                    </w:rPr>
                    <w:t>合计（万元）</w:t>
                  </w:r>
                </w:p>
              </w:tc>
              <w:tc>
                <w:tcPr>
                  <w:tcW w:w="1149" w:type="dxa"/>
                  <w:tcBorders>
                    <w:tl2br w:val="nil"/>
                    <w:tr2bl w:val="nil"/>
                  </w:tcBorders>
                  <w:noWrap w:val="0"/>
                  <w:vAlign w:val="center"/>
                </w:tcPr>
                <w:p w14:paraId="025E9F6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19.2</w:t>
                  </w:r>
                </w:p>
              </w:tc>
            </w:tr>
            <w:tr w14:paraId="2D16CCA5">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6955" w:type="dxa"/>
                  <w:gridSpan w:val="4"/>
                  <w:tcBorders>
                    <w:tl2br w:val="nil"/>
                    <w:tr2bl w:val="nil"/>
                  </w:tcBorders>
                  <w:noWrap w:val="0"/>
                  <w:vAlign w:val="center"/>
                </w:tcPr>
                <w:p w14:paraId="0F5640F8">
                  <w:pPr>
                    <w:keepNext w:val="0"/>
                    <w:keepLines w:val="0"/>
                    <w:suppressLineNumbers w:val="0"/>
                    <w:spacing w:before="0" w:beforeAutospacing="0" w:after="0" w:afterAutospacing="0"/>
                    <w:ind w:left="0" w:right="0"/>
                    <w:jc w:val="center"/>
                    <w:rPr>
                      <w:rFonts w:hint="eastAsia" w:ascii="Times New Roman" w:hAnsi="宋体" w:eastAsia="宋体" w:cs="Times New Roman"/>
                      <w:color w:val="000000" w:themeColor="text1"/>
                      <w:sz w:val="21"/>
                      <w:szCs w:val="21"/>
                      <w:highlight w:val="none"/>
                      <w:lang w:val="en-US" w:eastAsia="zh-CN"/>
                      <w14:textFill>
                        <w14:solidFill>
                          <w14:schemeClr w14:val="tx1"/>
                        </w14:solidFill>
                      </w14:textFill>
                    </w:rPr>
                  </w:pPr>
                  <w:r>
                    <w:rPr>
                      <w:rFonts w:hint="eastAsia" w:hAnsi="宋体" w:cs="Times New Roman"/>
                      <w:color w:val="000000" w:themeColor="text1"/>
                      <w:sz w:val="21"/>
                      <w:szCs w:val="21"/>
                      <w:highlight w:val="none"/>
                      <w:lang w:val="en-US" w:eastAsia="zh-CN"/>
                      <w14:textFill>
                        <w14:solidFill>
                          <w14:schemeClr w14:val="tx1"/>
                        </w14:solidFill>
                      </w14:textFill>
                    </w:rPr>
                    <w:t>总投资</w:t>
                  </w:r>
                  <w:r>
                    <w:rPr>
                      <w:rFonts w:hint="default" w:ascii="Times New Roman" w:hAnsi="宋体" w:cs="Times New Roman"/>
                      <w:color w:val="000000" w:themeColor="text1"/>
                      <w:sz w:val="21"/>
                      <w:szCs w:val="21"/>
                      <w:highlight w:val="none"/>
                      <w14:textFill>
                        <w14:solidFill>
                          <w14:schemeClr w14:val="tx1"/>
                        </w14:solidFill>
                      </w14:textFill>
                    </w:rPr>
                    <w:t>（万元）</w:t>
                  </w:r>
                </w:p>
              </w:tc>
              <w:tc>
                <w:tcPr>
                  <w:tcW w:w="1149" w:type="dxa"/>
                  <w:tcBorders>
                    <w:tl2br w:val="nil"/>
                    <w:tr2bl w:val="nil"/>
                  </w:tcBorders>
                  <w:noWrap w:val="0"/>
                  <w:vAlign w:val="center"/>
                </w:tcPr>
                <w:p w14:paraId="24A97FED">
                  <w:pPr>
                    <w:keepNext w:val="0"/>
                    <w:keepLines w:val="0"/>
                    <w:suppressLineNumbers w:val="0"/>
                    <w:spacing w:before="0" w:beforeAutospacing="0" w:after="0" w:afterAutospacing="0"/>
                    <w:ind w:left="0" w:right="0"/>
                    <w:jc w:val="center"/>
                    <w:rPr>
                      <w:rFonts w:hint="default" w:cs="Times New Roman"/>
                      <w:color w:val="000000" w:themeColor="text1"/>
                      <w:sz w:val="21"/>
                      <w:szCs w:val="21"/>
                      <w:highlight w:val="none"/>
                      <w:lang w:val="en-US" w:eastAsia="zh-CN"/>
                      <w14:textFill>
                        <w14:solidFill>
                          <w14:schemeClr w14:val="tx1"/>
                        </w14:solidFill>
                      </w14:textFill>
                    </w:rPr>
                  </w:pPr>
                  <w:r>
                    <w:rPr>
                      <w:rFonts w:hint="default" w:cs="Times New Roman"/>
                      <w:color w:val="000000" w:themeColor="text1"/>
                      <w:sz w:val="21"/>
                      <w:szCs w:val="21"/>
                      <w:highlight w:val="none"/>
                      <w:lang w:val="en-US" w:eastAsia="zh-CN"/>
                      <w14:textFill>
                        <w14:solidFill>
                          <w14:schemeClr w14:val="tx1"/>
                        </w14:solidFill>
                      </w14:textFill>
                    </w:rPr>
                    <w:t>193.5</w:t>
                  </w:r>
                </w:p>
              </w:tc>
            </w:tr>
            <w:tr w14:paraId="38A7879A">
              <w:tblPrEx>
                <w:tblBorders>
                  <w:top w:val="double" w:color="auto" w:sz="4" w:space="0"/>
                  <w:left w:val="none" w:color="auto" w:sz="0" w:space="0"/>
                  <w:bottom w:val="doub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6955" w:type="dxa"/>
                  <w:gridSpan w:val="4"/>
                  <w:tcBorders>
                    <w:tl2br w:val="nil"/>
                    <w:tr2bl w:val="nil"/>
                  </w:tcBorders>
                  <w:noWrap w:val="0"/>
                  <w:vAlign w:val="center"/>
                </w:tcPr>
                <w:p w14:paraId="1CB6EC9D">
                  <w:pPr>
                    <w:keepNext w:val="0"/>
                    <w:keepLines w:val="0"/>
                    <w:suppressLineNumbers w:val="0"/>
                    <w:spacing w:before="0" w:beforeAutospacing="0" w:after="0" w:afterAutospacing="0"/>
                    <w:ind w:left="0" w:right="0"/>
                    <w:jc w:val="center"/>
                    <w:rPr>
                      <w:rFonts w:hint="default" w:hAnsi="宋体" w:cs="Times New Roman"/>
                      <w:color w:val="000000" w:themeColor="text1"/>
                      <w:sz w:val="21"/>
                      <w:szCs w:val="21"/>
                      <w:highlight w:val="none"/>
                      <w:lang w:val="en-US" w:eastAsia="zh-CN"/>
                      <w14:textFill>
                        <w14:solidFill>
                          <w14:schemeClr w14:val="tx1"/>
                        </w14:solidFill>
                      </w14:textFill>
                    </w:rPr>
                  </w:pPr>
                  <w:r>
                    <w:rPr>
                      <w:rFonts w:hint="eastAsia" w:hAnsi="宋体" w:cs="Times New Roman"/>
                      <w:color w:val="000000" w:themeColor="text1"/>
                      <w:sz w:val="21"/>
                      <w:szCs w:val="21"/>
                      <w:highlight w:val="none"/>
                      <w:lang w:val="en-US" w:eastAsia="zh-CN"/>
                      <w14:textFill>
                        <w14:solidFill>
                          <w14:schemeClr w14:val="tx1"/>
                        </w14:solidFill>
                      </w14:textFill>
                    </w:rPr>
                    <w:t>环保投资比例（%）</w:t>
                  </w:r>
                </w:p>
              </w:tc>
              <w:tc>
                <w:tcPr>
                  <w:tcW w:w="1149" w:type="dxa"/>
                  <w:tcBorders>
                    <w:tl2br w:val="nil"/>
                    <w:tr2bl w:val="nil"/>
                  </w:tcBorders>
                  <w:noWrap w:val="0"/>
                  <w:vAlign w:val="center"/>
                </w:tcPr>
                <w:p w14:paraId="5A1A5A7C">
                  <w:pPr>
                    <w:keepNext w:val="0"/>
                    <w:keepLines w:val="0"/>
                    <w:suppressLineNumbers w:val="0"/>
                    <w:spacing w:before="0" w:beforeAutospacing="0" w:after="0" w:afterAutospacing="0"/>
                    <w:ind w:left="0" w:right="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9.92</w:t>
                  </w:r>
                </w:p>
              </w:tc>
            </w:tr>
          </w:tbl>
          <w:p w14:paraId="66C6A53E">
            <w:pPr>
              <w:keepNext w:val="0"/>
              <w:keepLines w:val="0"/>
              <w:suppressLineNumbers w:val="0"/>
              <w:adjustRightInd w:val="0"/>
              <w:snapToGrid w:val="0"/>
              <w:spacing w:before="0" w:beforeAutospacing="0" w:after="0" w:afterAutospacing="0"/>
              <w:ind w:left="0" w:right="0"/>
              <w:rPr>
                <w:rFonts w:hint="default" w:ascii="宋体" w:hAnsi="宋体" w:cs="宋体"/>
                <w:bCs/>
                <w:color w:val="000000" w:themeColor="text1"/>
                <w:spacing w:val="-10"/>
                <w:sz w:val="24"/>
                <w:szCs w:val="24"/>
                <w:highlight w:val="none"/>
                <w14:textFill>
                  <w14:solidFill>
                    <w14:schemeClr w14:val="tx1"/>
                  </w14:solidFill>
                </w14:textFill>
              </w:rPr>
            </w:pPr>
          </w:p>
        </w:tc>
      </w:tr>
    </w:tbl>
    <w:p w14:paraId="7A56F6E2">
      <w:pPr>
        <w:adjustRightInd w:val="0"/>
        <w:snapToGrid w:val="0"/>
        <w:spacing w:line="360" w:lineRule="auto"/>
        <w:rPr>
          <w:rFonts w:ascii="宋体" w:cs="宋体"/>
          <w:b/>
          <w:color w:val="000000" w:themeColor="text1"/>
          <w:kern w:val="0"/>
          <w:sz w:val="28"/>
          <w:szCs w:val="28"/>
          <w:highlight w:val="none"/>
          <w14:textFill>
            <w14:solidFill>
              <w14:schemeClr w14:val="tx1"/>
            </w14:solidFill>
          </w14:textFill>
        </w:rPr>
      </w:pPr>
    </w:p>
    <w:p w14:paraId="5588F89B">
      <w:pPr>
        <w:adjustRightInd w:val="0"/>
        <w:snapToGrid w:val="0"/>
        <w:spacing w:line="360" w:lineRule="auto"/>
        <w:rPr>
          <w:rFonts w:ascii="宋体" w:cs="宋体"/>
          <w:b/>
          <w:color w:val="000000" w:themeColor="text1"/>
          <w:kern w:val="0"/>
          <w:sz w:val="28"/>
          <w:szCs w:val="28"/>
          <w:highlight w:val="none"/>
          <w14:textFill>
            <w14:solidFill>
              <w14:schemeClr w14:val="tx1"/>
            </w14:solidFill>
          </w14:textFill>
        </w:rPr>
        <w:sectPr>
          <w:pgSz w:w="11907" w:h="16840"/>
          <w:pgMar w:top="1701" w:right="1531" w:bottom="2126"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34399946">
      <w:pPr>
        <w:pStyle w:val="8"/>
        <w:jc w:val="center"/>
        <w:outlineLvl w:val="0"/>
        <w:rPr>
          <w:rFonts w:ascii="黑体" w:hAnsi="黑体" w:eastAsia="黑体"/>
          <w:snapToGrid w:val="0"/>
          <w:color w:val="000000" w:themeColor="text1"/>
          <w:sz w:val="30"/>
          <w:szCs w:val="30"/>
          <w:highlight w:val="none"/>
          <w14:textFill>
            <w14:solidFill>
              <w14:schemeClr w14:val="tx1"/>
            </w14:solidFill>
          </w14:textFill>
        </w:rPr>
      </w:pPr>
      <w:r>
        <w:rPr>
          <w:rFonts w:hint="eastAsia" w:ascii="黑体" w:hAnsi="黑体" w:eastAsia="黑体"/>
          <w:snapToGrid w:val="0"/>
          <w:color w:val="000000" w:themeColor="text1"/>
          <w:sz w:val="30"/>
          <w:szCs w:val="30"/>
          <w:highlight w:val="none"/>
          <w14:textFill>
            <w14:solidFill>
              <w14:schemeClr w14:val="tx1"/>
            </w14:solidFill>
          </w14:textFill>
        </w:rPr>
        <w:t>五、</w:t>
      </w:r>
      <w:bookmarkStart w:id="8" w:name="_Hlk54167917"/>
      <w:r>
        <w:rPr>
          <w:rFonts w:hint="eastAsia" w:ascii="黑体" w:hAnsi="黑体" w:eastAsia="黑体"/>
          <w:snapToGrid w:val="0"/>
          <w:color w:val="000000" w:themeColor="text1"/>
          <w:sz w:val="30"/>
          <w:szCs w:val="30"/>
          <w:highlight w:val="none"/>
          <w14:textFill>
            <w14:solidFill>
              <w14:schemeClr w14:val="tx1"/>
            </w14:solidFill>
          </w14:textFill>
        </w:rPr>
        <w:t>环境保护措施监督检查清单</w:t>
      </w:r>
      <w:bookmarkEnd w:id="8"/>
    </w:p>
    <w:tbl>
      <w:tblPr>
        <w:tblStyle w:val="3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53"/>
        <w:gridCol w:w="1620"/>
        <w:gridCol w:w="1245"/>
        <w:gridCol w:w="2799"/>
        <w:gridCol w:w="1983"/>
      </w:tblGrid>
      <w:tr w14:paraId="183C4A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153" w:type="dxa"/>
            <w:tcBorders>
              <w:tl2br w:val="single" w:color="auto" w:sz="4" w:space="0"/>
            </w:tcBorders>
            <w:noWrap w:val="0"/>
            <w:vAlign w:val="top"/>
          </w:tcPr>
          <w:p w14:paraId="6CBFCE0F">
            <w:pPr>
              <w:keepNext w:val="0"/>
              <w:keepLines w:val="0"/>
              <w:suppressLineNumbers w:val="0"/>
              <w:adjustRightInd w:val="0"/>
              <w:snapToGrid w:val="0"/>
              <w:spacing w:before="0" w:beforeAutospacing="0" w:after="0" w:afterAutospacing="0"/>
              <w:ind w:left="0" w:right="0" w:firstLine="630" w:firstLineChars="30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内</w:t>
            </w:r>
          </w:p>
          <w:p w14:paraId="41555AAD">
            <w:pPr>
              <w:keepNext w:val="0"/>
              <w:keepLines w:val="0"/>
              <w:suppressLineNumbers w:val="0"/>
              <w:adjustRightInd w:val="0"/>
              <w:snapToGrid w:val="0"/>
              <w:spacing w:before="0" w:beforeAutospacing="0" w:after="0" w:afterAutospacing="0"/>
              <w:ind w:left="0" w:right="0" w:firstLine="630" w:firstLineChars="30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容</w:t>
            </w:r>
          </w:p>
          <w:p w14:paraId="4A57B2CD">
            <w:pPr>
              <w:keepNext w:val="0"/>
              <w:keepLines w:val="0"/>
              <w:suppressLineNumbers w:val="0"/>
              <w:adjustRightInd w:val="0"/>
              <w:snapToGrid w:val="0"/>
              <w:spacing w:before="0" w:beforeAutospacing="0" w:after="0" w:afterAutospacing="0"/>
              <w:ind w:left="0" w:right="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要素</w:t>
            </w:r>
          </w:p>
        </w:tc>
        <w:tc>
          <w:tcPr>
            <w:tcW w:w="1620" w:type="dxa"/>
            <w:noWrap w:val="0"/>
            <w:vAlign w:val="center"/>
          </w:tcPr>
          <w:p w14:paraId="3D734AB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排放口(编号、</w:t>
            </w:r>
          </w:p>
          <w:p w14:paraId="460084B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名称)/污染源</w:t>
            </w:r>
          </w:p>
        </w:tc>
        <w:tc>
          <w:tcPr>
            <w:tcW w:w="1245" w:type="dxa"/>
            <w:noWrap w:val="0"/>
            <w:vAlign w:val="center"/>
          </w:tcPr>
          <w:p w14:paraId="409E666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污染物项目</w:t>
            </w:r>
          </w:p>
        </w:tc>
        <w:tc>
          <w:tcPr>
            <w:tcW w:w="2799" w:type="dxa"/>
            <w:noWrap w:val="0"/>
            <w:vAlign w:val="center"/>
          </w:tcPr>
          <w:p w14:paraId="5952A19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环境保护措施</w:t>
            </w:r>
          </w:p>
        </w:tc>
        <w:tc>
          <w:tcPr>
            <w:tcW w:w="1983" w:type="dxa"/>
            <w:noWrap w:val="0"/>
            <w:vAlign w:val="center"/>
          </w:tcPr>
          <w:p w14:paraId="3BDDB57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执行标准</w:t>
            </w:r>
          </w:p>
        </w:tc>
      </w:tr>
      <w:tr w14:paraId="0B9B9A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56" w:hRule="atLeast"/>
          <w:jc w:val="center"/>
        </w:trPr>
        <w:tc>
          <w:tcPr>
            <w:tcW w:w="1153" w:type="dxa"/>
            <w:vMerge w:val="restart"/>
            <w:noWrap w:val="0"/>
            <w:vAlign w:val="center"/>
          </w:tcPr>
          <w:p w14:paraId="797D70C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大气环境</w:t>
            </w:r>
          </w:p>
        </w:tc>
        <w:tc>
          <w:tcPr>
            <w:tcW w:w="1620" w:type="dxa"/>
            <w:vMerge w:val="restart"/>
            <w:noWrap w:val="0"/>
            <w:vAlign w:val="center"/>
          </w:tcPr>
          <w:p w14:paraId="3E4EE9B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前处理炮制废气排放口2</w:t>
            </w:r>
            <w:r>
              <w:rPr>
                <w:rFonts w:hint="default" w:ascii="Times New Roman" w:hAnsi="Times New Roman" w:eastAsia="宋体" w:cs="Times New Roman"/>
                <w:color w:val="000000" w:themeColor="text1"/>
                <w:sz w:val="21"/>
                <w:szCs w:val="21"/>
                <w:highlight w:val="none"/>
                <w14:textFill>
                  <w14:solidFill>
                    <w14:schemeClr w14:val="tx1"/>
                  </w14:solidFill>
                </w14:textFill>
              </w:rPr>
              <w:t>（DA0</w:t>
            </w:r>
            <w:r>
              <w:rPr>
                <w:rFonts w:hint="eastAsia" w:cs="Times New Roman"/>
                <w:color w:val="000000" w:themeColor="text1"/>
                <w:sz w:val="21"/>
                <w:szCs w:val="21"/>
                <w:highlight w:val="none"/>
                <w:lang w:val="en-US" w:eastAsia="zh-CN"/>
                <w14:textFill>
                  <w14:solidFill>
                    <w14:schemeClr w14:val="tx1"/>
                  </w14:solidFill>
                </w14:textFill>
              </w:rPr>
              <w:t>16</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1245" w:type="dxa"/>
            <w:noWrap w:val="0"/>
            <w:vAlign w:val="center"/>
          </w:tcPr>
          <w:p w14:paraId="39079E7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臭气浓度</w:t>
            </w:r>
          </w:p>
        </w:tc>
        <w:tc>
          <w:tcPr>
            <w:tcW w:w="2799" w:type="dxa"/>
            <w:vMerge w:val="restart"/>
            <w:noWrap w:val="0"/>
            <w:vAlign w:val="center"/>
          </w:tcPr>
          <w:p w14:paraId="2E2230B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上吸式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集气罩+布袋除尘器（TA025）</w:t>
            </w:r>
            <w:r>
              <w:rPr>
                <w:rFonts w:hint="eastAsia"/>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布袋除尘器</w:t>
            </w:r>
            <w:r>
              <w:rPr>
                <w:rFonts w:hint="eastAsia"/>
                <w:color w:val="000000" w:themeColor="text1"/>
                <w:sz w:val="21"/>
                <w:szCs w:val="21"/>
                <w:highlight w:val="none"/>
                <w:lang w:val="en-US" w:eastAsia="zh-CN"/>
                <w14:textFill>
                  <w14:solidFill>
                    <w14:schemeClr w14:val="tx1"/>
                  </w14:solidFill>
                </w14:textFill>
              </w:rPr>
              <w:t>+二级活性炭吸附设施</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（TA0</w:t>
            </w:r>
            <w:r>
              <w:rPr>
                <w:rFonts w:hint="eastAsia"/>
                <w:color w:val="000000" w:themeColor="text1"/>
                <w:sz w:val="24"/>
                <w:szCs w:val="24"/>
                <w:highlight w:val="none"/>
                <w:lang w:val="en-US" w:eastAsia="zh-CN"/>
                <w14:textFill>
                  <w14:solidFill>
                    <w14:schemeClr w14:val="tx1"/>
                  </w14:solidFill>
                </w14:textFill>
              </w:rPr>
              <w:t>26</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处理后由不低于15m高的排气筒（DA0</w:t>
            </w:r>
            <w:r>
              <w:rPr>
                <w:rFonts w:hint="eastAsia"/>
                <w:color w:val="000000" w:themeColor="text1"/>
                <w:sz w:val="21"/>
                <w:szCs w:val="21"/>
                <w:highlight w:val="none"/>
                <w:lang w:val="en-US" w:eastAsia="zh-CN"/>
                <w14:textFill>
                  <w14:solidFill>
                    <w14:schemeClr w14:val="tx1"/>
                  </w14:solidFill>
                </w14:textFill>
              </w:rPr>
              <w:t>16</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）排放</w:t>
            </w:r>
          </w:p>
        </w:tc>
        <w:tc>
          <w:tcPr>
            <w:tcW w:w="1983" w:type="dxa"/>
            <w:noWrap w:val="0"/>
            <w:vAlign w:val="center"/>
          </w:tcPr>
          <w:p w14:paraId="003075C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《恶臭污染物排放标准》（GB14554-93）表2</w:t>
            </w:r>
            <w:r>
              <w:rPr>
                <w:rFonts w:hint="eastAsia" w:cs="Times New Roman"/>
                <w:color w:val="000000" w:themeColor="text1"/>
                <w:kern w:val="0"/>
                <w:sz w:val="21"/>
                <w:szCs w:val="21"/>
                <w:highlight w:val="none"/>
                <w:lang w:val="en-US" w:eastAsia="zh-CN" w:bidi="ar"/>
                <w14:textFill>
                  <w14:solidFill>
                    <w14:schemeClr w14:val="tx1"/>
                  </w14:solidFill>
                </w14:textFill>
              </w:rPr>
              <w:t>标准</w:t>
            </w:r>
          </w:p>
        </w:tc>
      </w:tr>
      <w:tr w14:paraId="629586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153" w:type="dxa"/>
            <w:vMerge w:val="continue"/>
            <w:noWrap w:val="0"/>
            <w:vAlign w:val="center"/>
          </w:tcPr>
          <w:p w14:paraId="3336B84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1620" w:type="dxa"/>
            <w:vMerge w:val="continue"/>
            <w:noWrap w:val="0"/>
            <w:vAlign w:val="center"/>
          </w:tcPr>
          <w:p w14:paraId="0C4F0D4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245" w:type="dxa"/>
            <w:noWrap w:val="0"/>
            <w:vAlign w:val="center"/>
          </w:tcPr>
          <w:p w14:paraId="3532E26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颗粒物</w:t>
            </w:r>
          </w:p>
        </w:tc>
        <w:tc>
          <w:tcPr>
            <w:tcW w:w="2799" w:type="dxa"/>
            <w:vMerge w:val="continue"/>
            <w:noWrap w:val="0"/>
            <w:vAlign w:val="center"/>
          </w:tcPr>
          <w:p w14:paraId="62D3477F">
            <w:pPr>
              <w:keepNext w:val="0"/>
              <w:keepLines w:val="0"/>
              <w:suppressLineNumbers w:val="0"/>
              <w:adjustRightInd w:val="0"/>
              <w:snapToGrid w:val="0"/>
              <w:spacing w:before="0" w:beforeAutospacing="0" w:after="0" w:afterAutospacing="0"/>
              <w:ind w:left="0" w:right="0"/>
              <w:jc w:val="center"/>
              <w:rPr>
                <w:rFonts w:hint="eastAsia"/>
                <w:color w:val="000000" w:themeColor="text1"/>
                <w:sz w:val="21"/>
                <w:szCs w:val="21"/>
                <w:highlight w:val="none"/>
                <w:lang w:val="en-US" w:eastAsia="zh-CN"/>
                <w14:textFill>
                  <w14:solidFill>
                    <w14:schemeClr w14:val="tx1"/>
                  </w14:solidFill>
                </w14:textFill>
              </w:rPr>
            </w:pPr>
          </w:p>
        </w:tc>
        <w:tc>
          <w:tcPr>
            <w:tcW w:w="1983" w:type="dxa"/>
            <w:vMerge w:val="restart"/>
            <w:noWrap w:val="0"/>
            <w:vAlign w:val="center"/>
          </w:tcPr>
          <w:p w14:paraId="5725895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《制药工业大气污染物排放标准》（GB37823-2019）表1标准</w:t>
            </w:r>
          </w:p>
        </w:tc>
      </w:tr>
      <w:tr w14:paraId="11721F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6" w:hRule="atLeast"/>
          <w:jc w:val="center"/>
        </w:trPr>
        <w:tc>
          <w:tcPr>
            <w:tcW w:w="1153" w:type="dxa"/>
            <w:vMerge w:val="continue"/>
            <w:noWrap w:val="0"/>
            <w:vAlign w:val="center"/>
          </w:tcPr>
          <w:p w14:paraId="43FDCEC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1620" w:type="dxa"/>
            <w:noWrap w:val="0"/>
            <w:vAlign w:val="center"/>
          </w:tcPr>
          <w:p w14:paraId="634808C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前处理炮制废气排放口1</w:t>
            </w:r>
            <w:r>
              <w:rPr>
                <w:rFonts w:hint="default" w:ascii="Times New Roman" w:hAnsi="Times New Roman" w:eastAsia="宋体" w:cs="Times New Roman"/>
                <w:color w:val="000000" w:themeColor="text1"/>
                <w:sz w:val="21"/>
                <w:szCs w:val="21"/>
                <w:highlight w:val="none"/>
                <w14:textFill>
                  <w14:solidFill>
                    <w14:schemeClr w14:val="tx1"/>
                  </w14:solidFill>
                </w14:textFill>
              </w:rPr>
              <w:t>（DA0</w:t>
            </w:r>
            <w:r>
              <w:rPr>
                <w:rFonts w:hint="eastAsia" w:cs="Times New Roman"/>
                <w:color w:val="000000" w:themeColor="text1"/>
                <w:sz w:val="21"/>
                <w:szCs w:val="21"/>
                <w:highlight w:val="none"/>
                <w:lang w:val="en-US" w:eastAsia="zh-CN"/>
                <w14:textFill>
                  <w14:solidFill>
                    <w14:schemeClr w14:val="tx1"/>
                  </w14:solidFill>
                </w14:textFill>
              </w:rPr>
              <w:t>02</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1245" w:type="dxa"/>
            <w:noWrap w:val="0"/>
            <w:vAlign w:val="center"/>
          </w:tcPr>
          <w:p w14:paraId="44E75BF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颗粒物</w:t>
            </w:r>
          </w:p>
        </w:tc>
        <w:tc>
          <w:tcPr>
            <w:tcW w:w="2799" w:type="dxa"/>
            <w:noWrap w:val="0"/>
            <w:vAlign w:val="center"/>
          </w:tcPr>
          <w:p w14:paraId="39E8EF0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上吸式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集气罩+布袋除尘器（TA00</w:t>
            </w:r>
            <w:r>
              <w:rPr>
                <w:rFonts w:hint="eastAsia"/>
                <w:color w:val="000000" w:themeColor="text1"/>
                <w:sz w:val="21"/>
                <w:szCs w:val="21"/>
                <w:highlight w:val="none"/>
                <w:lang w:val="en-US" w:eastAsia="zh-CN"/>
                <w14:textFill>
                  <w14:solidFill>
                    <w14:schemeClr w14:val="tx1"/>
                  </w14:solidFill>
                </w14:textFill>
              </w:rPr>
              <w:t>2</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）处理后由不低于15m</w:t>
            </w:r>
            <w:r>
              <w:rPr>
                <w:rFonts w:hint="eastAsia"/>
                <w:color w:val="000000" w:themeColor="text1"/>
                <w:sz w:val="21"/>
                <w:szCs w:val="21"/>
                <w:highlight w:val="none"/>
                <w:lang w:val="en-US" w:eastAsia="zh-CN"/>
                <w14:textFill>
                  <w14:solidFill>
                    <w14:schemeClr w14:val="tx1"/>
                  </w14:solidFill>
                </w14:textFill>
              </w:rPr>
              <w:t>高</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的排气筒（DA0</w:t>
            </w:r>
            <w:r>
              <w:rPr>
                <w:rFonts w:hint="eastAsia"/>
                <w:color w:val="000000" w:themeColor="text1"/>
                <w:sz w:val="21"/>
                <w:szCs w:val="21"/>
                <w:highlight w:val="none"/>
                <w:lang w:val="en-US" w:eastAsia="zh-CN"/>
                <w14:textFill>
                  <w14:solidFill>
                    <w14:schemeClr w14:val="tx1"/>
                  </w14:solidFill>
                </w14:textFill>
              </w:rPr>
              <w:t>02</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）排放</w:t>
            </w:r>
          </w:p>
        </w:tc>
        <w:tc>
          <w:tcPr>
            <w:tcW w:w="1983" w:type="dxa"/>
            <w:vMerge w:val="continue"/>
            <w:noWrap w:val="0"/>
            <w:vAlign w:val="center"/>
          </w:tcPr>
          <w:p w14:paraId="2C55A9E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kern w:val="21"/>
                <w:sz w:val="21"/>
                <w:szCs w:val="21"/>
                <w:highlight w:val="none"/>
                <w:lang w:val="en-US" w:eastAsia="zh-CN"/>
                <w14:textFill>
                  <w14:solidFill>
                    <w14:schemeClr w14:val="tx1"/>
                  </w14:solidFill>
                </w14:textFill>
              </w:rPr>
            </w:pPr>
          </w:p>
        </w:tc>
      </w:tr>
      <w:tr w14:paraId="42C8EA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1" w:hRule="atLeast"/>
          <w:jc w:val="center"/>
        </w:trPr>
        <w:tc>
          <w:tcPr>
            <w:tcW w:w="1153" w:type="dxa"/>
            <w:vMerge w:val="continue"/>
            <w:noWrap w:val="0"/>
            <w:vAlign w:val="center"/>
          </w:tcPr>
          <w:p w14:paraId="60B9590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1620" w:type="dxa"/>
            <w:noWrap w:val="0"/>
            <w:vAlign w:val="center"/>
          </w:tcPr>
          <w:p w14:paraId="5B34C62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创新制剂</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废气排放口</w:t>
            </w:r>
            <w:r>
              <w:rPr>
                <w:rFonts w:hint="default" w:ascii="Times New Roman" w:hAnsi="Times New Roman" w:eastAsia="宋体" w:cs="Times New Roman"/>
                <w:color w:val="000000" w:themeColor="text1"/>
                <w:sz w:val="21"/>
                <w:szCs w:val="21"/>
                <w:highlight w:val="none"/>
                <w14:textFill>
                  <w14:solidFill>
                    <w14:schemeClr w14:val="tx1"/>
                  </w14:solidFill>
                </w14:textFill>
              </w:rPr>
              <w:t>（DA00</w:t>
            </w:r>
            <w:r>
              <w:rPr>
                <w:rFonts w:hint="eastAsia"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1245" w:type="dxa"/>
            <w:noWrap w:val="0"/>
            <w:vAlign w:val="center"/>
          </w:tcPr>
          <w:p w14:paraId="02A7725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vertAlign w:val="baseline"/>
                <w:lang w:val="en-US" w:eastAsia="zh-CN" w:bidi="en-US"/>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颗粒物</w:t>
            </w:r>
          </w:p>
        </w:tc>
        <w:tc>
          <w:tcPr>
            <w:tcW w:w="2799" w:type="dxa"/>
            <w:noWrap w:val="0"/>
            <w:vAlign w:val="center"/>
          </w:tcPr>
          <w:p w14:paraId="347778D7">
            <w:pPr>
              <w:keepNext w:val="0"/>
              <w:keepLines w:val="0"/>
              <w:suppressLineNumbers w:val="0"/>
              <w:adjustRightInd w:val="0"/>
              <w:snapToGrid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eastAsia="宋体"/>
                <w:color w:val="000000" w:themeColor="text1"/>
                <w:sz w:val="21"/>
                <w:szCs w:val="21"/>
                <w:highlight w:val="none"/>
                <w:lang w:val="en-US" w:eastAsia="zh-CN"/>
                <w14:textFill>
                  <w14:solidFill>
                    <w14:schemeClr w14:val="tx1"/>
                  </w14:solidFill>
                </w14:textFill>
              </w:rPr>
              <w:t>密闭结构+负压进料+出口密闭管道连接+</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呼吸口处捕集袋除尘+</w:t>
            </w:r>
            <w:r>
              <w:rPr>
                <w:rFonts w:hint="eastAsia" w:eastAsia="宋体"/>
                <w:color w:val="000000" w:themeColor="text1"/>
                <w:sz w:val="21"/>
                <w:szCs w:val="21"/>
                <w:highlight w:val="none"/>
                <w:lang w:val="en-US" w:eastAsia="zh-CN"/>
                <w14:textFill>
                  <w14:solidFill>
                    <w14:schemeClr w14:val="tx1"/>
                  </w14:solidFill>
                </w14:textFill>
              </w:rPr>
              <w:t>旋风</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除尘器（TA0</w:t>
            </w:r>
            <w:r>
              <w:rPr>
                <w:rFonts w:hint="eastAsia"/>
                <w:color w:val="000000" w:themeColor="text1"/>
                <w:sz w:val="21"/>
                <w:szCs w:val="21"/>
                <w:highlight w:val="none"/>
                <w:lang w:val="en-US" w:eastAsia="zh-CN"/>
                <w14:textFill>
                  <w14:solidFill>
                    <w14:schemeClr w14:val="tx1"/>
                  </w14:solidFill>
                </w14:textFill>
              </w:rPr>
              <w:t>27</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）处理后由不低于15m高的排气筒（DA00</w:t>
            </w:r>
            <w:r>
              <w:rPr>
                <w:rFonts w:hint="eastAsia"/>
                <w:color w:val="000000" w:themeColor="text1"/>
                <w:sz w:val="21"/>
                <w:szCs w:val="21"/>
                <w:highlight w:val="none"/>
                <w:lang w:val="en-US" w:eastAsia="zh-CN"/>
                <w14:textFill>
                  <w14:solidFill>
                    <w14:schemeClr w14:val="tx1"/>
                  </w14:solidFill>
                </w14:textFill>
              </w:rPr>
              <w:t>5</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）排放</w:t>
            </w:r>
          </w:p>
        </w:tc>
        <w:tc>
          <w:tcPr>
            <w:tcW w:w="1983" w:type="dxa"/>
            <w:vMerge w:val="continue"/>
            <w:noWrap w:val="0"/>
            <w:vAlign w:val="center"/>
          </w:tcPr>
          <w:p w14:paraId="7DBF235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6B4888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1" w:hRule="atLeast"/>
          <w:jc w:val="center"/>
        </w:trPr>
        <w:tc>
          <w:tcPr>
            <w:tcW w:w="1153" w:type="dxa"/>
            <w:vMerge w:val="continue"/>
            <w:noWrap w:val="0"/>
            <w:vAlign w:val="center"/>
          </w:tcPr>
          <w:p w14:paraId="646DA27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1620" w:type="dxa"/>
            <w:noWrap w:val="0"/>
            <w:vAlign w:val="center"/>
          </w:tcPr>
          <w:p w14:paraId="30F3B9A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制剂废气排放口</w:t>
            </w:r>
            <w:r>
              <w:rPr>
                <w:rFonts w:hint="eastAsia" w:cs="Times New Roman"/>
                <w:color w:val="000000" w:themeColor="text1"/>
                <w:sz w:val="21"/>
                <w:szCs w:val="21"/>
                <w:highlight w:val="none"/>
                <w:lang w:val="en-US" w:eastAsia="zh-CN"/>
                <w14:textFill>
                  <w14:solidFill>
                    <w14:schemeClr w14:val="tx1"/>
                  </w14:solidFill>
                </w14:textFill>
              </w:rPr>
              <w:t>1~8</w:t>
            </w:r>
            <w:r>
              <w:rPr>
                <w:rFonts w:hint="default" w:ascii="Times New Roman" w:hAnsi="Times New Roman" w:eastAsia="宋体" w:cs="Times New Roman"/>
                <w:color w:val="000000" w:themeColor="text1"/>
                <w:sz w:val="21"/>
                <w:szCs w:val="21"/>
                <w:highlight w:val="none"/>
                <w14:textFill>
                  <w14:solidFill>
                    <w14:schemeClr w14:val="tx1"/>
                  </w14:solidFill>
                </w14:textFill>
              </w:rPr>
              <w:t>（DA00</w:t>
            </w:r>
            <w:r>
              <w:rPr>
                <w:rFonts w:hint="eastAsia" w:cs="Times New Roman"/>
                <w:color w:val="000000" w:themeColor="text1"/>
                <w:sz w:val="21"/>
                <w:szCs w:val="21"/>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1"/>
                <w:szCs w:val="21"/>
                <w:highlight w:val="none"/>
                <w14:textFill>
                  <w14:solidFill>
                    <w14:schemeClr w14:val="tx1"/>
                  </w14:solidFill>
                </w14:textFill>
              </w:rPr>
              <w:t>DA0</w:t>
            </w:r>
            <w:r>
              <w:rPr>
                <w:rFonts w:hint="eastAsia" w:cs="Times New Roman"/>
                <w:color w:val="000000" w:themeColor="text1"/>
                <w:sz w:val="21"/>
                <w:szCs w:val="21"/>
                <w:highlight w:val="none"/>
                <w:lang w:val="en-US" w:eastAsia="zh-CN"/>
                <w14:textFill>
                  <w14:solidFill>
                    <w14:schemeClr w14:val="tx1"/>
                  </w14:solidFill>
                </w14:textFill>
              </w:rPr>
              <w:t>13</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1245" w:type="dxa"/>
            <w:noWrap w:val="0"/>
            <w:vAlign w:val="center"/>
          </w:tcPr>
          <w:p w14:paraId="772B2DD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颗粒物</w:t>
            </w:r>
          </w:p>
        </w:tc>
        <w:tc>
          <w:tcPr>
            <w:tcW w:w="2799" w:type="dxa"/>
            <w:noWrap w:val="0"/>
            <w:vAlign w:val="center"/>
          </w:tcPr>
          <w:p w14:paraId="205F0C70">
            <w:pPr>
              <w:keepNext w:val="0"/>
              <w:keepLines w:val="0"/>
              <w:suppressLineNumbers w:val="0"/>
              <w:adjustRightInd w:val="0"/>
              <w:snapToGrid w:val="0"/>
              <w:spacing w:before="0" w:beforeAutospacing="0" w:after="0" w:afterAutospacing="0"/>
              <w:ind w:left="0" w:right="0"/>
              <w:jc w:val="center"/>
              <w:rPr>
                <w:rFonts w:hint="eastAsia"/>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废气经旋风除尘器+布袋除尘器处理后经1根</w:t>
            </w:r>
            <w:r>
              <w:rPr>
                <w:rFonts w:hint="eastAsia" w:cs="Times New Roman"/>
                <w:color w:val="000000" w:themeColor="text1"/>
                <w:sz w:val="21"/>
                <w:szCs w:val="21"/>
                <w:highlight w:val="none"/>
                <w:lang w:val="en-US" w:eastAsia="zh-CN"/>
                <w14:textFill>
                  <w14:solidFill>
                    <w14:schemeClr w14:val="tx1"/>
                  </w14:solidFill>
                </w14:textFill>
              </w:rPr>
              <w:t>不低于</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15m高排气筒排出。</w:t>
            </w:r>
          </w:p>
        </w:tc>
        <w:tc>
          <w:tcPr>
            <w:tcW w:w="1983" w:type="dxa"/>
            <w:vMerge w:val="continue"/>
            <w:noWrap w:val="0"/>
            <w:vAlign w:val="center"/>
          </w:tcPr>
          <w:p w14:paraId="06CC2C6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2FFB05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153" w:type="dxa"/>
            <w:vMerge w:val="continue"/>
            <w:noWrap w:val="0"/>
            <w:vAlign w:val="center"/>
          </w:tcPr>
          <w:p w14:paraId="3DCB99C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1620" w:type="dxa"/>
            <w:vMerge w:val="restart"/>
            <w:noWrap w:val="0"/>
            <w:vAlign w:val="center"/>
          </w:tcPr>
          <w:p w14:paraId="74D9547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厂界无组织</w:t>
            </w:r>
          </w:p>
        </w:tc>
        <w:tc>
          <w:tcPr>
            <w:tcW w:w="1245" w:type="dxa"/>
            <w:noWrap w:val="0"/>
            <w:vAlign w:val="center"/>
          </w:tcPr>
          <w:p w14:paraId="316BA36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颗粒物</w:t>
            </w:r>
            <w:r>
              <w:rPr>
                <w:rFonts w:hint="eastAsia" w:cs="Times New Roman"/>
                <w:color w:val="000000" w:themeColor="text1"/>
                <w:sz w:val="21"/>
                <w:szCs w:val="21"/>
                <w:highlight w:val="none"/>
                <w:lang w:val="en-US" w:eastAsia="zh-CN"/>
                <w14:textFill>
                  <w14:solidFill>
                    <w14:schemeClr w14:val="tx1"/>
                  </w14:solidFill>
                </w14:textFill>
              </w:rPr>
              <w:t>、非甲烷总烃</w:t>
            </w:r>
          </w:p>
        </w:tc>
        <w:tc>
          <w:tcPr>
            <w:tcW w:w="2799" w:type="dxa"/>
            <w:noWrap w:val="0"/>
            <w:vAlign w:val="center"/>
          </w:tcPr>
          <w:p w14:paraId="727618F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生产线未收集的颗粒物和非甲烷总烃，无组织排放。</w:t>
            </w:r>
          </w:p>
        </w:tc>
        <w:tc>
          <w:tcPr>
            <w:tcW w:w="1983" w:type="dxa"/>
            <w:noWrap w:val="0"/>
            <w:vAlign w:val="center"/>
          </w:tcPr>
          <w:p w14:paraId="4FC3023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snapToGrid w:val="0"/>
                <w:color w:val="000000" w:themeColor="text1"/>
                <w:sz w:val="21"/>
                <w:szCs w:val="21"/>
                <w:highlight w:val="none"/>
                <w14:textFill>
                  <w14:solidFill>
                    <w14:schemeClr w14:val="tx1"/>
                  </w14:solidFill>
                </w14:textFill>
              </w:rPr>
              <w:t>《大气污染物综合排放标准》（GB16297-1996）</w:t>
            </w:r>
            <w:r>
              <w:rPr>
                <w:rFonts w:hint="eastAsia" w:cs="Times New Roman"/>
                <w:snapToGrid w:val="0"/>
                <w:color w:val="000000" w:themeColor="text1"/>
                <w:sz w:val="21"/>
                <w:szCs w:val="21"/>
                <w:highlight w:val="none"/>
                <w:lang w:val="en-US" w:eastAsia="zh-CN"/>
                <w14:textFill>
                  <w14:solidFill>
                    <w14:schemeClr w14:val="tx1"/>
                  </w14:solidFill>
                </w14:textFill>
              </w:rPr>
              <w:t>表2</w:t>
            </w:r>
          </w:p>
        </w:tc>
      </w:tr>
      <w:tr w14:paraId="18EE16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153" w:type="dxa"/>
            <w:vMerge w:val="continue"/>
            <w:noWrap w:val="0"/>
            <w:vAlign w:val="center"/>
          </w:tcPr>
          <w:p w14:paraId="49A92D8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1620" w:type="dxa"/>
            <w:vMerge w:val="continue"/>
            <w:noWrap w:val="0"/>
            <w:vAlign w:val="center"/>
          </w:tcPr>
          <w:p w14:paraId="7066366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tc>
        <w:tc>
          <w:tcPr>
            <w:tcW w:w="1245" w:type="dxa"/>
            <w:noWrap w:val="0"/>
            <w:vAlign w:val="center"/>
          </w:tcPr>
          <w:p w14:paraId="4DF0B58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氨、硫化氢、</w:t>
            </w:r>
            <w:r>
              <w:rPr>
                <w:rFonts w:hint="eastAsia" w:cs="Times New Roman"/>
                <w:color w:val="000000" w:themeColor="text1"/>
                <w:kern w:val="0"/>
                <w:sz w:val="21"/>
                <w:szCs w:val="21"/>
                <w:highlight w:val="none"/>
                <w:lang w:val="en-US" w:eastAsia="zh-CN" w:bidi="ar-SA"/>
                <w14:textFill>
                  <w14:solidFill>
                    <w14:schemeClr w14:val="tx1"/>
                  </w14:solidFill>
                </w14:textFill>
              </w:rPr>
              <w:t>臭气浓度</w:t>
            </w:r>
          </w:p>
        </w:tc>
        <w:tc>
          <w:tcPr>
            <w:tcW w:w="2799" w:type="dxa"/>
            <w:noWrap w:val="0"/>
            <w:vAlign w:val="center"/>
          </w:tcPr>
          <w:p w14:paraId="578F1BE1">
            <w:pPr>
              <w:keepNext w:val="0"/>
              <w:keepLines w:val="0"/>
              <w:suppressLineNumbers w:val="0"/>
              <w:adjustRightInd w:val="0"/>
              <w:snapToGrid w:val="0"/>
              <w:spacing w:before="0" w:beforeAutospacing="0" w:after="0" w:afterAutospacing="0"/>
              <w:ind w:left="0" w:right="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983" w:type="dxa"/>
            <w:shd w:val="clear" w:color="auto" w:fill="auto"/>
            <w:noWrap w:val="0"/>
            <w:vAlign w:val="center"/>
          </w:tcPr>
          <w:p w14:paraId="15150FCD">
            <w:pPr>
              <w:keepNext w:val="0"/>
              <w:keepLines w:val="0"/>
              <w:suppressLineNumbers w:val="0"/>
              <w:autoSpaceDE/>
              <w:autoSpaceDN/>
              <w:adjustRightInd w:val="0"/>
              <w:snapToGrid w:val="0"/>
              <w:spacing w:before="0" w:beforeAutospacing="0" w:after="0" w:afterAutospacing="0"/>
              <w:ind w:left="0" w:right="0"/>
              <w:jc w:val="center"/>
              <w:rPr>
                <w:rFonts w:hint="default" w:ascii="Times New Roman" w:hAnsi="Times New Roman" w:eastAsia="宋体" w:cs="Times New Roman"/>
                <w:snapToGrid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cs="Times New Roman"/>
                <w:snapToGrid w:val="0"/>
                <w:color w:val="000000" w:themeColor="text1"/>
                <w:sz w:val="21"/>
                <w:szCs w:val="21"/>
                <w:highlight w:val="none"/>
                <w:lang w:val="en-US" w:eastAsia="zh-CN"/>
                <w14:textFill>
                  <w14:solidFill>
                    <w14:schemeClr w14:val="tx1"/>
                  </w14:solidFill>
                </w14:textFill>
              </w:rPr>
              <w:t>《恶臭污染物排放标准》（GB14554-93）</w:t>
            </w:r>
            <w:r>
              <w:rPr>
                <w:rFonts w:hint="eastAsia" w:cs="Times New Roman"/>
                <w:snapToGrid w:val="0"/>
                <w:color w:val="000000" w:themeColor="text1"/>
                <w:sz w:val="21"/>
                <w:szCs w:val="21"/>
                <w:highlight w:val="none"/>
                <w:lang w:val="en-US" w:eastAsia="zh-CN"/>
                <w14:textFill>
                  <w14:solidFill>
                    <w14:schemeClr w14:val="tx1"/>
                  </w14:solidFill>
                </w14:textFill>
              </w:rPr>
              <w:t>表1</w:t>
            </w:r>
          </w:p>
        </w:tc>
      </w:tr>
      <w:tr w14:paraId="4DE80A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153" w:type="dxa"/>
            <w:vMerge w:val="continue"/>
            <w:noWrap w:val="0"/>
            <w:vAlign w:val="center"/>
          </w:tcPr>
          <w:p w14:paraId="632D794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1620" w:type="dxa"/>
            <w:noWrap w:val="0"/>
            <w:vAlign w:val="center"/>
          </w:tcPr>
          <w:p w14:paraId="274AEB1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厂区内无组织</w:t>
            </w:r>
          </w:p>
        </w:tc>
        <w:tc>
          <w:tcPr>
            <w:tcW w:w="1245" w:type="dxa"/>
            <w:noWrap w:val="0"/>
            <w:vAlign w:val="center"/>
          </w:tcPr>
          <w:p w14:paraId="22AFE8AE">
            <w:pPr>
              <w:keepNext w:val="0"/>
              <w:keepLines w:val="0"/>
              <w:suppressLineNumbers w:val="0"/>
              <w:adjustRightInd w:val="0"/>
              <w:snapToGrid w:val="0"/>
              <w:spacing w:before="0" w:beforeAutospacing="0" w:after="0" w:afterAutospacing="0"/>
              <w:ind w:left="0" w:right="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非甲烷总烃</w:t>
            </w:r>
          </w:p>
        </w:tc>
        <w:tc>
          <w:tcPr>
            <w:tcW w:w="2799" w:type="dxa"/>
            <w:noWrap w:val="0"/>
            <w:vAlign w:val="center"/>
          </w:tcPr>
          <w:p w14:paraId="779FFB4A">
            <w:pPr>
              <w:keepNext w:val="0"/>
              <w:keepLines w:val="0"/>
              <w:suppressLineNumbers w:val="0"/>
              <w:adjustRightInd w:val="0"/>
              <w:snapToGrid w:val="0"/>
              <w:spacing w:before="0" w:beforeAutospacing="0" w:after="0" w:afterAutospacing="0"/>
              <w:ind w:left="0" w:right="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983" w:type="dxa"/>
            <w:shd w:val="clear" w:color="auto" w:fill="auto"/>
            <w:noWrap w:val="0"/>
            <w:vAlign w:val="center"/>
          </w:tcPr>
          <w:p w14:paraId="3A0F6E34">
            <w:pPr>
              <w:keepNext w:val="0"/>
              <w:keepLines w:val="0"/>
              <w:suppressLineNumbers w:val="0"/>
              <w:autoSpaceDE/>
              <w:autoSpaceDN/>
              <w:adjustRightInd w:val="0"/>
              <w:snapToGrid w:val="0"/>
              <w:spacing w:before="0" w:beforeAutospacing="0" w:after="0" w:afterAutospacing="0"/>
              <w:ind w:left="0" w:right="0"/>
              <w:jc w:val="center"/>
              <w:rPr>
                <w:rFonts w:hint="eastAsia" w:ascii="Times New Roman" w:hAnsi="Times New Roman" w:cs="Times New Roman"/>
                <w:snapToGrid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snapToGrid w:val="0"/>
                <w:color w:val="000000" w:themeColor="text1"/>
                <w:sz w:val="21"/>
                <w:szCs w:val="21"/>
                <w:highlight w:val="none"/>
                <w:lang w:val="en-US" w:eastAsia="zh-CN"/>
                <w14:textFill>
                  <w14:solidFill>
                    <w14:schemeClr w14:val="tx1"/>
                  </w14:solidFill>
                </w14:textFill>
              </w:rPr>
              <w:t>《制药工业大气污染物排放标准》（GB37823-2019）表C.1</w:t>
            </w:r>
          </w:p>
        </w:tc>
      </w:tr>
      <w:tr w14:paraId="45AE3A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153" w:type="dxa"/>
            <w:noWrap w:val="0"/>
            <w:vAlign w:val="center"/>
          </w:tcPr>
          <w:p w14:paraId="6CF74EA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地表水环境</w:t>
            </w:r>
          </w:p>
        </w:tc>
        <w:tc>
          <w:tcPr>
            <w:tcW w:w="1620" w:type="dxa"/>
            <w:shd w:val="clear" w:color="auto" w:fill="auto"/>
            <w:noWrap w:val="0"/>
            <w:vAlign w:val="center"/>
          </w:tcPr>
          <w:p w14:paraId="1450185F">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生产废水</w:t>
            </w:r>
          </w:p>
        </w:tc>
        <w:tc>
          <w:tcPr>
            <w:tcW w:w="1245" w:type="dxa"/>
            <w:shd w:val="clear" w:color="auto" w:fill="auto"/>
            <w:noWrap w:val="0"/>
            <w:vAlign w:val="center"/>
          </w:tcPr>
          <w:p w14:paraId="256D4307">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pH、色度、悬浮物、五日生化需氧量、化学需氧量、氨氮、总氮、总磷、总氰化物、动植物油、总有机碳</w:t>
            </w:r>
          </w:p>
        </w:tc>
        <w:tc>
          <w:tcPr>
            <w:tcW w:w="2799" w:type="dxa"/>
            <w:shd w:val="clear" w:color="auto" w:fill="auto"/>
            <w:noWrap w:val="0"/>
            <w:vAlign w:val="center"/>
          </w:tcPr>
          <w:p w14:paraId="06AD62C4">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产生的废水</w:t>
            </w:r>
            <w:r>
              <w:rPr>
                <w:rFonts w:hint="eastAsia" w:cs="Times New Roman"/>
                <w:color w:val="000000" w:themeColor="text1"/>
                <w:kern w:val="2"/>
                <w:sz w:val="21"/>
                <w:szCs w:val="21"/>
                <w:highlight w:val="none"/>
                <w:lang w:val="en-US" w:eastAsia="zh-CN" w:bidi="ar-SA"/>
                <w14:textFill>
                  <w14:solidFill>
                    <w14:schemeClr w14:val="tx1"/>
                  </w14:solidFill>
                </w14:textFill>
              </w:rPr>
              <w:t>依托现有</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厂内污水处理站进行处理，处理达标后，排入厂区污水管网后排入高新区市政管网最终排入石桥子污水处理厂。</w:t>
            </w:r>
          </w:p>
        </w:tc>
        <w:tc>
          <w:tcPr>
            <w:tcW w:w="1983" w:type="dxa"/>
            <w:shd w:val="clear" w:color="auto" w:fill="auto"/>
            <w:noWrap w:val="0"/>
            <w:vAlign w:val="center"/>
          </w:tcPr>
          <w:p w14:paraId="6536F2DD">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
                <w14:textFill>
                  <w14:solidFill>
                    <w14:schemeClr w14:val="tx1"/>
                  </w14:solidFill>
                </w14:textFill>
              </w:rPr>
              <w:t>pH值、动植物油、总有机碳执行</w:t>
            </w:r>
            <w:r>
              <w:rPr>
                <w:rFonts w:hint="default" w:ascii="Times New Roman" w:hAnsi="Times New Roman" w:eastAsia="宋体" w:cs="Times New Roman"/>
                <w:color w:val="000000" w:themeColor="text1"/>
                <w:sz w:val="21"/>
                <w:szCs w:val="21"/>
                <w:highlight w:val="none"/>
                <w14:textFill>
                  <w14:solidFill>
                    <w14:schemeClr w14:val="tx1"/>
                  </w14:solidFill>
                </w14:textFill>
              </w:rPr>
              <w:t>《污水综合排放标准》（GB8978-1996）</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表4</w:t>
            </w:r>
            <w:r>
              <w:rPr>
                <w:rFonts w:hint="eastAsia" w:cs="Times New Roman"/>
                <w:color w:val="000000" w:themeColor="text1"/>
                <w:sz w:val="21"/>
                <w:szCs w:val="21"/>
                <w:highlight w:val="none"/>
                <w:lang w:val="en-US" w:eastAsia="zh-CN"/>
                <w14:textFill>
                  <w14:solidFill>
                    <w14:schemeClr w14:val="tx1"/>
                  </w14:solidFill>
                </w14:textFill>
              </w:rPr>
              <w:t>；其他污染物执行《辽宁省污水综合排放标准》（DB21/1627-2008）表2</w:t>
            </w:r>
          </w:p>
        </w:tc>
      </w:tr>
      <w:tr w14:paraId="083FDC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153" w:type="dxa"/>
            <w:noWrap w:val="0"/>
            <w:vAlign w:val="center"/>
          </w:tcPr>
          <w:p w14:paraId="464C7E0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声环境</w:t>
            </w:r>
          </w:p>
        </w:tc>
        <w:tc>
          <w:tcPr>
            <w:tcW w:w="1620" w:type="dxa"/>
            <w:noWrap w:val="0"/>
            <w:vAlign w:val="center"/>
          </w:tcPr>
          <w:p w14:paraId="235B37B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生产设备</w:t>
            </w:r>
          </w:p>
        </w:tc>
        <w:tc>
          <w:tcPr>
            <w:tcW w:w="1245" w:type="dxa"/>
            <w:noWrap w:val="0"/>
            <w:vAlign w:val="center"/>
          </w:tcPr>
          <w:p w14:paraId="23D85BE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噪声</w:t>
            </w:r>
          </w:p>
        </w:tc>
        <w:tc>
          <w:tcPr>
            <w:tcW w:w="2799" w:type="dxa"/>
            <w:noWrap w:val="0"/>
            <w:vAlign w:val="center"/>
          </w:tcPr>
          <w:p w14:paraId="6EC769F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低噪声设备选型、基础减振、建筑隔声</w:t>
            </w:r>
          </w:p>
        </w:tc>
        <w:tc>
          <w:tcPr>
            <w:tcW w:w="1983" w:type="dxa"/>
            <w:noWrap w:val="0"/>
            <w:vAlign w:val="center"/>
          </w:tcPr>
          <w:p w14:paraId="0116D31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《工业企业厂界环境噪声排放标准》（GB12348-2008）中</w:t>
            </w:r>
            <w:r>
              <w:rPr>
                <w:rFonts w:hint="eastAsia" w:cs="Times New Roman"/>
                <w:color w:val="000000" w:themeColor="text1"/>
                <w:kern w:val="0"/>
                <w:sz w:val="21"/>
                <w:szCs w:val="21"/>
                <w:highlight w:val="none"/>
                <w:lang w:val="en-US" w:eastAsia="zh-CN" w:bidi="ar-SA"/>
                <w14:textFill>
                  <w14:solidFill>
                    <w14:schemeClr w14:val="tx1"/>
                  </w14:solidFill>
                </w14:textFill>
              </w:rPr>
              <w:t>2类</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标准</w:t>
            </w:r>
          </w:p>
        </w:tc>
      </w:tr>
      <w:tr w14:paraId="6C3A20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53" w:type="dxa"/>
            <w:noWrap w:val="0"/>
            <w:vAlign w:val="center"/>
          </w:tcPr>
          <w:p w14:paraId="2672BD4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电磁辐射</w:t>
            </w:r>
          </w:p>
        </w:tc>
        <w:tc>
          <w:tcPr>
            <w:tcW w:w="1620" w:type="dxa"/>
            <w:noWrap w:val="0"/>
            <w:vAlign w:val="center"/>
          </w:tcPr>
          <w:p w14:paraId="485353C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p>
        </w:tc>
        <w:tc>
          <w:tcPr>
            <w:tcW w:w="1245" w:type="dxa"/>
            <w:noWrap w:val="0"/>
            <w:vAlign w:val="center"/>
          </w:tcPr>
          <w:p w14:paraId="20369FD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p>
        </w:tc>
        <w:tc>
          <w:tcPr>
            <w:tcW w:w="2799" w:type="dxa"/>
            <w:noWrap w:val="0"/>
            <w:vAlign w:val="center"/>
          </w:tcPr>
          <w:p w14:paraId="4A63F51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p>
        </w:tc>
        <w:tc>
          <w:tcPr>
            <w:tcW w:w="1983" w:type="dxa"/>
            <w:noWrap w:val="0"/>
            <w:vAlign w:val="center"/>
          </w:tcPr>
          <w:p w14:paraId="16A8B63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p>
        </w:tc>
      </w:tr>
      <w:tr w14:paraId="70F241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1153" w:type="dxa"/>
            <w:noWrap w:val="0"/>
            <w:vAlign w:val="center"/>
          </w:tcPr>
          <w:p w14:paraId="23070C8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固体废物</w:t>
            </w:r>
          </w:p>
        </w:tc>
        <w:tc>
          <w:tcPr>
            <w:tcW w:w="7647" w:type="dxa"/>
            <w:gridSpan w:val="4"/>
            <w:noWrap w:val="0"/>
            <w:vAlign w:val="center"/>
          </w:tcPr>
          <w:p w14:paraId="0040697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依托现有</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一般固废暂存</w:t>
            </w: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区</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1座</w:t>
            </w: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10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strike w:val="0"/>
                <w:dstrike w:val="0"/>
                <w:color w:val="000000" w:themeColor="text1"/>
                <w:sz w:val="21"/>
                <w:szCs w:val="21"/>
                <w:highlight w:val="none"/>
                <w:u w:val="none"/>
                <w:shd w:val="clear" w:fill="auto"/>
                <w:vertAlign w:val="superscript"/>
                <w:lang w:val="en-US" w:eastAsia="zh-CN"/>
                <w14:textFill>
                  <w14:solidFill>
                    <w14:schemeClr w14:val="tx1"/>
                  </w14:solidFill>
                </w14:textFill>
              </w:rPr>
              <w:t>²</w:t>
            </w: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w:t>
            </w:r>
            <w:r>
              <w:rPr>
                <w:rFonts w:hint="eastAsia" w:cs="Times New Roman"/>
                <w:color w:val="000000" w:themeColor="text1"/>
                <w:kern w:val="0"/>
                <w:sz w:val="21"/>
                <w:szCs w:val="21"/>
                <w:highlight w:val="none"/>
                <w:lang w:val="en-US" w:eastAsia="zh-CN" w:bidi="ar"/>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依托现有</w:t>
            </w:r>
            <w:r>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t>固废暂存库</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1座</w:t>
            </w: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50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strike w:val="0"/>
                <w:dstrike w:val="0"/>
                <w:color w:val="000000" w:themeColor="text1"/>
                <w:sz w:val="21"/>
                <w:szCs w:val="21"/>
                <w:highlight w:val="none"/>
                <w:u w:val="none"/>
                <w:shd w:val="clear" w:fill="auto"/>
                <w:vertAlign w:val="superscript"/>
                <w:lang w:val="en-US" w:eastAsia="zh-CN"/>
                <w14:textFill>
                  <w14:solidFill>
                    <w14:schemeClr w14:val="tx1"/>
                  </w14:solidFill>
                </w14:textFill>
              </w:rPr>
              <w:t>²</w:t>
            </w: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w:t>
            </w:r>
            <w:r>
              <w:rPr>
                <w:rFonts w:hint="eastAsia" w:cs="Times New Roman"/>
                <w:color w:val="000000" w:themeColor="text1"/>
                <w:kern w:val="0"/>
                <w:sz w:val="21"/>
                <w:szCs w:val="21"/>
                <w:highlight w:val="none"/>
                <w:lang w:val="en-US" w:eastAsia="zh-CN" w:bidi="ar"/>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依托现有</w:t>
            </w:r>
            <w:r>
              <w:rPr>
                <w:rFonts w:hint="eastAsia" w:cs="Times New Roman"/>
                <w:color w:val="000000" w:themeColor="text1"/>
                <w:sz w:val="21"/>
                <w:szCs w:val="21"/>
                <w:highlight w:val="none"/>
                <w:lang w:eastAsia="zh-CN"/>
                <w14:textFill>
                  <w14:solidFill>
                    <w14:schemeClr w14:val="tx1"/>
                  </w14:solidFill>
                </w14:textFill>
              </w:rPr>
              <w:t>危废贮存库</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1座（</w:t>
            </w:r>
            <w:r>
              <w:rPr>
                <w:rFonts w:hint="eastAsia" w:cs="Times New Roman"/>
                <w:color w:val="000000" w:themeColor="text1"/>
                <w:sz w:val="21"/>
                <w:szCs w:val="21"/>
                <w:highlight w:val="none"/>
                <w:lang w:val="en-US" w:eastAsia="zh-CN"/>
                <w14:textFill>
                  <w14:solidFill>
                    <w14:schemeClr w14:val="tx1"/>
                  </w14:solidFill>
                </w14:textFill>
              </w:rPr>
              <w:t>80.29</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w:t>
            </w:r>
            <w:r>
              <w:rPr>
                <w:rFonts w:hint="default" w:ascii="Times New Roman" w:hAnsi="Times New Roman" w:cs="Times New Roman"/>
                <w:strike w:val="0"/>
                <w:dstrike w:val="0"/>
                <w:color w:val="000000" w:themeColor="text1"/>
                <w:sz w:val="21"/>
                <w:szCs w:val="21"/>
                <w:highlight w:val="none"/>
                <w:u w:val="none"/>
                <w:shd w:val="clear" w:fill="auto"/>
                <w:vertAlign w:val="superscript"/>
                <w:lang w:val="en-US" w:eastAsia="zh-CN"/>
                <w14:textFill>
                  <w14:solidFill>
                    <w14:schemeClr w14:val="tx1"/>
                  </w14:solidFill>
                </w14:textFill>
              </w:rPr>
              <w:t>²</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p>
          <w:p w14:paraId="18A61B4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textAlignment w:val="auto"/>
              <w:rPr>
                <w:rFonts w:hint="eastAsia"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分拣废渣、废渣、废包装材料及废胶囊材料、除尘灰</w:t>
            </w: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废布袋</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废离子交换树脂</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、中药渣</w:t>
            </w:r>
            <w:r>
              <w:rPr>
                <w:rFonts w:hint="default" w:ascii="Times New Roman" w:hAnsi="Times New Roman" w:eastAsia="宋体" w:cs="Times New Roman"/>
                <w:color w:val="000000" w:themeColor="text1"/>
                <w:sz w:val="21"/>
                <w:szCs w:val="21"/>
                <w:highlight w:val="none"/>
                <w14:textFill>
                  <w14:solidFill>
                    <w14:schemeClr w14:val="tx1"/>
                  </w14:solidFill>
                </w14:textFill>
              </w:rPr>
              <w:t>集中收集后暂存于一般固废暂存区，</w:t>
            </w:r>
            <w:r>
              <w:rPr>
                <w:rFonts w:hint="eastAsia" w:cs="Times New Roman"/>
                <w:color w:val="000000" w:themeColor="text1"/>
                <w:sz w:val="21"/>
                <w:szCs w:val="21"/>
                <w:highlight w:val="none"/>
                <w:lang w:eastAsia="zh-CN"/>
                <w14:textFill>
                  <w14:solidFill>
                    <w14:schemeClr w14:val="tx1"/>
                  </w14:solidFill>
                </w14:textFill>
              </w:rPr>
              <w:t>交由有利用、处置能力的企业依法依规进行利用处置</w:t>
            </w:r>
            <w:r>
              <w:rPr>
                <w:rFonts w:hint="eastAsia" w:cs="Times New Roman"/>
                <w:color w:val="000000" w:themeColor="text1"/>
                <w:sz w:val="21"/>
                <w:szCs w:val="21"/>
                <w:highlight w:val="none"/>
                <w:lang w:val="en-US" w:eastAsia="zh-CN"/>
                <w14:textFill>
                  <w14:solidFill>
                    <w14:schemeClr w14:val="tx1"/>
                  </w14:solidFill>
                </w14:textFill>
              </w:rPr>
              <w:t>。</w:t>
            </w:r>
          </w:p>
          <w:p w14:paraId="5F7B7B9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化学检验废液</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废化学试剂瓶</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、废弃薄层板、</w:t>
            </w:r>
            <w:r>
              <w:rPr>
                <w:rFonts w:hint="eastAsia" w:cs="Times New Roman"/>
                <w:color w:val="000000" w:themeColor="text1"/>
                <w:sz w:val="21"/>
                <w:szCs w:val="21"/>
                <w:highlight w:val="none"/>
                <w:lang w:val="en-US" w:eastAsia="zh-CN"/>
                <w14:textFill>
                  <w14:solidFill>
                    <w14:schemeClr w14:val="tx1"/>
                  </w14:solidFill>
                </w14:textFill>
              </w:rPr>
              <w:t>废试药、</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废活性炭暂存于</w:t>
            </w:r>
            <w:r>
              <w:rPr>
                <w:rFonts w:hint="eastAsia" w:cs="Times New Roman"/>
                <w:color w:val="000000" w:themeColor="text1"/>
                <w:sz w:val="21"/>
                <w:szCs w:val="21"/>
                <w:highlight w:val="none"/>
                <w:lang w:val="en-US" w:eastAsia="zh-CN"/>
                <w14:textFill>
                  <w14:solidFill>
                    <w14:schemeClr w14:val="tx1"/>
                  </w14:solidFill>
                </w14:textFill>
              </w:rPr>
              <w:t>危废贮存库</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，委托有资质单位处理。</w:t>
            </w:r>
          </w:p>
        </w:tc>
      </w:tr>
      <w:tr w14:paraId="5C741D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53" w:type="dxa"/>
            <w:noWrap w:val="0"/>
            <w:vAlign w:val="center"/>
          </w:tcPr>
          <w:p w14:paraId="08043FD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土壤及地下水</w:t>
            </w:r>
          </w:p>
          <w:p w14:paraId="6E70013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污染防治措施</w:t>
            </w:r>
          </w:p>
        </w:tc>
        <w:tc>
          <w:tcPr>
            <w:tcW w:w="7647" w:type="dxa"/>
            <w:gridSpan w:val="4"/>
            <w:noWrap w:val="0"/>
            <w:vAlign w:val="center"/>
          </w:tcPr>
          <w:p w14:paraId="29D5417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废水处理站、危废贮存库</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为</w:t>
            </w:r>
            <w:r>
              <w:rPr>
                <w:rFonts w:hint="default" w:ascii="Times New Roman" w:hAnsi="Times New Roman" w:eastAsia="宋体" w:cs="Times New Roman"/>
                <w:color w:val="000000" w:themeColor="text1"/>
                <w:sz w:val="21"/>
                <w:szCs w:val="21"/>
                <w:highlight w:val="none"/>
                <w14:textFill>
                  <w14:solidFill>
                    <w14:schemeClr w14:val="tx1"/>
                  </w14:solidFill>
                </w14:textFill>
              </w:rPr>
              <w:t>重点</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防渗区，</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防渗要求</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 xml:space="preserve">等效黏土防渗层 </w:t>
            </w:r>
            <w:r>
              <w:rPr>
                <w:rFonts w:hint="default" w:ascii="Times New Roman" w:hAnsi="Times New Roman" w:eastAsia="宋体" w:cs="Times New Roman"/>
                <w:i/>
                <w:iCs/>
                <w:color w:val="000000" w:themeColor="text1"/>
                <w:kern w:val="0"/>
                <w:sz w:val="21"/>
                <w:szCs w:val="21"/>
                <w:highlight w:val="none"/>
                <w:lang w:val="en-US" w:eastAsia="zh-CN" w:bidi="ar"/>
                <w14:textFill>
                  <w14:solidFill>
                    <w14:schemeClr w14:val="tx1"/>
                  </w14:solidFill>
                </w14:textFill>
              </w:rPr>
              <w:t>Mb</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≥6.0m，</w:t>
            </w:r>
            <w:r>
              <w:rPr>
                <w:rFonts w:hint="default" w:ascii="Times New Roman" w:hAnsi="Times New Roman" w:eastAsia="宋体" w:cs="Times New Roman"/>
                <w:i/>
                <w:iCs/>
                <w:color w:val="000000" w:themeColor="text1"/>
                <w:kern w:val="0"/>
                <w:sz w:val="21"/>
                <w:szCs w:val="21"/>
                <w:highlight w:val="none"/>
                <w:lang w:val="en-US" w:eastAsia="zh-CN" w:bidi="ar"/>
                <w14:textFill>
                  <w14:solidFill>
                    <w14:schemeClr w14:val="tx1"/>
                  </w14:solidFill>
                </w14:textFill>
              </w:rPr>
              <w:t>K</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≤1.0×10</w:t>
            </w:r>
            <w:r>
              <w:rPr>
                <w:rFonts w:hint="default" w:ascii="Times New Roman" w:hAnsi="Times New Roman" w:eastAsia="宋体" w:cs="Times New Roman"/>
                <w:color w:val="000000" w:themeColor="text1"/>
                <w:kern w:val="0"/>
                <w:sz w:val="21"/>
                <w:szCs w:val="21"/>
                <w:highlight w:val="none"/>
                <w:vertAlign w:val="superscript"/>
                <w:lang w:val="en-US" w:eastAsia="zh-CN" w:bidi="ar"/>
                <w14:textFill>
                  <w14:solidFill>
                    <w14:schemeClr w14:val="tx1"/>
                  </w14:solidFill>
                </w14:textFill>
              </w:rPr>
              <w:t>-7</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 xml:space="preserve"> cm/s；</w:t>
            </w:r>
            <w:r>
              <w:rPr>
                <w:rFonts w:hint="eastAsia" w:cs="Times New Roman"/>
                <w:color w:val="000000" w:themeColor="text1"/>
                <w:sz w:val="21"/>
                <w:szCs w:val="21"/>
                <w:highlight w:val="none"/>
                <w:vertAlign w:val="baseline"/>
                <w:lang w:val="en-US" w:eastAsia="zh-CN"/>
                <w14:textFill>
                  <w14:solidFill>
                    <w14:schemeClr w14:val="tx1"/>
                  </w14:solidFill>
                </w14:textFill>
              </w:rPr>
              <w:t>前处理车间</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eastAsia" w:cs="Times New Roman"/>
                <w:color w:val="000000" w:themeColor="text1"/>
                <w:sz w:val="21"/>
                <w:szCs w:val="21"/>
                <w:highlight w:val="none"/>
                <w:vertAlign w:val="baseline"/>
                <w:lang w:val="en-US" w:eastAsia="zh-CN"/>
                <w14:textFill>
                  <w14:solidFill>
                    <w14:schemeClr w14:val="tx1"/>
                  </w14:solidFill>
                </w14:textFill>
              </w:rPr>
              <w:t>综合制剂车间</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r>
              <w:rPr>
                <w:rFonts w:hint="eastAsia" w:cs="Times New Roman"/>
                <w:color w:val="000000" w:themeColor="text1"/>
                <w:sz w:val="21"/>
                <w:szCs w:val="21"/>
                <w:highlight w:val="none"/>
                <w:vertAlign w:val="baseline"/>
                <w:lang w:val="en-US" w:eastAsia="zh-CN"/>
                <w14:textFill>
                  <w14:solidFill>
                    <w14:schemeClr w14:val="tx1"/>
                  </w14:solidFill>
                </w14:textFill>
              </w:rPr>
              <w:t>综合仓库、创新制剂车间</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为</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一般防渗区，</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防渗要求</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 xml:space="preserve">等效黏土防渗层 </w:t>
            </w:r>
            <w:r>
              <w:rPr>
                <w:rFonts w:hint="default" w:ascii="Times New Roman" w:hAnsi="Times New Roman" w:eastAsia="宋体" w:cs="Times New Roman"/>
                <w:i/>
                <w:iCs/>
                <w:color w:val="000000" w:themeColor="text1"/>
                <w:kern w:val="0"/>
                <w:sz w:val="21"/>
                <w:szCs w:val="21"/>
                <w:highlight w:val="none"/>
                <w:lang w:val="en-US" w:eastAsia="zh-CN" w:bidi="ar"/>
                <w14:textFill>
                  <w14:solidFill>
                    <w14:schemeClr w14:val="tx1"/>
                  </w14:solidFill>
                </w14:textFill>
              </w:rPr>
              <w:t>Mb</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r>
              <w:rPr>
                <w:rFonts w:hint="default" w:ascii="Times New Roman" w:hAnsi="Times New Roman" w:eastAsia="宋体" w:cs="Times New Roman"/>
                <w:bCs/>
                <w:color w:val="000000" w:themeColor="text1"/>
                <w:sz w:val="21"/>
                <w:szCs w:val="21"/>
                <w:highlight w:val="none"/>
                <w14:textFill>
                  <w14:solidFill>
                    <w14:schemeClr w14:val="tx1"/>
                  </w14:solidFill>
                </w14:textFill>
              </w:rPr>
              <w:t>1.5m</w:t>
            </w:r>
            <w:r>
              <w:rPr>
                <w:rFonts w:hint="default" w:ascii="Times New Roman" w:hAnsi="Times New Roman" w:eastAsia="宋体" w:cs="Times New Roman"/>
                <w:bCs/>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i/>
                <w:iCs/>
                <w:color w:val="000000" w:themeColor="text1"/>
                <w:kern w:val="0"/>
                <w:sz w:val="21"/>
                <w:szCs w:val="21"/>
                <w:highlight w:val="none"/>
                <w:lang w:val="en-US" w:eastAsia="zh-CN" w:bidi="ar"/>
                <w14:textFill>
                  <w14:solidFill>
                    <w14:schemeClr w14:val="tx1"/>
                  </w14:solidFill>
                </w14:textFill>
              </w:rPr>
              <w:t>K</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r>
              <w:rPr>
                <w:rFonts w:hint="default" w:ascii="Times New Roman" w:hAnsi="Times New Roman" w:eastAsia="宋体" w:cs="Times New Roman"/>
                <w:bCs/>
                <w:color w:val="000000" w:themeColor="text1"/>
                <w:sz w:val="21"/>
                <w:szCs w:val="21"/>
                <w:highlight w:val="none"/>
                <w14:textFill>
                  <w14:solidFill>
                    <w14:schemeClr w14:val="tx1"/>
                  </w14:solidFill>
                </w14:textFill>
              </w:rPr>
              <w:t>1.0×10</w:t>
            </w:r>
            <w:r>
              <w:rPr>
                <w:rFonts w:hint="default" w:ascii="Times New Roman" w:hAnsi="Times New Roman" w:eastAsia="宋体" w:cs="Times New Roman"/>
                <w:bCs/>
                <w:color w:val="000000" w:themeColor="text1"/>
                <w:sz w:val="21"/>
                <w:szCs w:val="21"/>
                <w:highlight w:val="none"/>
                <w:vertAlign w:val="superscript"/>
                <w14:textFill>
                  <w14:solidFill>
                    <w14:schemeClr w14:val="tx1"/>
                  </w14:solidFill>
                </w14:textFill>
              </w:rPr>
              <w:t>-7</w:t>
            </w:r>
            <w:r>
              <w:rPr>
                <w:rFonts w:hint="default" w:ascii="Times New Roman" w:hAnsi="Times New Roman" w:eastAsia="宋体" w:cs="Times New Roman"/>
                <w:bCs/>
                <w:color w:val="000000" w:themeColor="text1"/>
                <w:sz w:val="21"/>
                <w:szCs w:val="21"/>
                <w:highlight w:val="none"/>
                <w14:textFill>
                  <w14:solidFill>
                    <w14:schemeClr w14:val="tx1"/>
                  </w14:solidFill>
                </w14:textFill>
              </w:rPr>
              <w:t>cm/s</w:t>
            </w:r>
            <w:r>
              <w:rPr>
                <w:rFonts w:hint="default" w:ascii="Times New Roman" w:hAnsi="Times New Roman" w:eastAsia="宋体" w:cs="Times New Roman"/>
                <w:bCs/>
                <w:color w:val="000000" w:themeColor="text1"/>
                <w:sz w:val="21"/>
                <w:szCs w:val="21"/>
                <w:highlight w:val="none"/>
                <w:lang w:eastAsia="zh-CN"/>
                <w14:textFill>
                  <w14:solidFill>
                    <w14:schemeClr w14:val="tx1"/>
                  </w14:solidFill>
                </w14:textFill>
              </w:rPr>
              <w:t>；</w:t>
            </w: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成品</w:t>
            </w:r>
            <w:r>
              <w:rPr>
                <w:rFonts w:hint="eastAsia" w:cs="Times New Roman"/>
                <w:color w:val="000000" w:themeColor="text1"/>
                <w:sz w:val="21"/>
                <w:szCs w:val="21"/>
                <w:highlight w:val="none"/>
                <w:vertAlign w:val="baseline"/>
                <w:lang w:val="en-US" w:eastAsia="zh-CN"/>
                <w14:textFill>
                  <w14:solidFill>
                    <w14:schemeClr w14:val="tx1"/>
                  </w14:solidFill>
                </w14:textFill>
              </w:rPr>
              <w:t>库、综合楼</w:t>
            </w: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及厂区运输道路等</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为</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简单防渗区</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一般地面硬化</w:t>
            </w:r>
            <w:r>
              <w:rPr>
                <w:rFonts w:hint="default" w:ascii="Times New Roman" w:hAnsi="Times New Roman" w:cs="Times New Roman"/>
                <w:color w:val="000000" w:themeColor="text1"/>
                <w:kern w:val="0"/>
                <w:sz w:val="21"/>
                <w:szCs w:val="21"/>
                <w:highlight w:val="none"/>
                <w:lang w:val="en-US" w:eastAsia="zh-CN" w:bidi="ar"/>
                <w14:textFill>
                  <w14:solidFill>
                    <w14:schemeClr w14:val="tx1"/>
                  </w14:solidFill>
                </w14:textFill>
              </w:rPr>
              <w:t>。</w:t>
            </w:r>
          </w:p>
        </w:tc>
      </w:tr>
      <w:tr w14:paraId="684AB5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53" w:type="dxa"/>
            <w:noWrap w:val="0"/>
            <w:vAlign w:val="center"/>
          </w:tcPr>
          <w:p w14:paraId="29EA922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生态保护措施</w:t>
            </w:r>
          </w:p>
        </w:tc>
        <w:tc>
          <w:tcPr>
            <w:tcW w:w="7647" w:type="dxa"/>
            <w:gridSpan w:val="4"/>
            <w:noWrap w:val="0"/>
            <w:vAlign w:val="center"/>
          </w:tcPr>
          <w:p w14:paraId="432E99B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无</w:t>
            </w:r>
          </w:p>
        </w:tc>
      </w:tr>
      <w:tr w14:paraId="1AFED3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68" w:hRule="atLeast"/>
          <w:jc w:val="center"/>
        </w:trPr>
        <w:tc>
          <w:tcPr>
            <w:tcW w:w="1153" w:type="dxa"/>
            <w:noWrap w:val="0"/>
            <w:vAlign w:val="center"/>
          </w:tcPr>
          <w:p w14:paraId="34674EC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pacing w:val="-8"/>
                <w:sz w:val="21"/>
                <w:szCs w:val="21"/>
                <w:highlight w:val="none"/>
                <w14:textFill>
                  <w14:solidFill>
                    <w14:schemeClr w14:val="tx1"/>
                  </w14:solidFill>
                </w14:textFill>
              </w:rPr>
            </w:pPr>
            <w:r>
              <w:rPr>
                <w:rFonts w:hint="default" w:ascii="Times New Roman" w:hAnsi="Times New Roman" w:cs="Times New Roman"/>
                <w:color w:val="000000" w:themeColor="text1"/>
                <w:spacing w:val="-8"/>
                <w:sz w:val="21"/>
                <w:szCs w:val="21"/>
                <w:highlight w:val="none"/>
                <w14:textFill>
                  <w14:solidFill>
                    <w14:schemeClr w14:val="tx1"/>
                  </w14:solidFill>
                </w14:textFill>
              </w:rPr>
              <w:t>环境风险</w:t>
            </w:r>
          </w:p>
          <w:p w14:paraId="54982C6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pacing w:val="-8"/>
                <w:sz w:val="21"/>
                <w:szCs w:val="21"/>
                <w:highlight w:val="none"/>
                <w14:textFill>
                  <w14:solidFill>
                    <w14:schemeClr w14:val="tx1"/>
                  </w14:solidFill>
                </w14:textFill>
              </w:rPr>
            </w:pPr>
            <w:r>
              <w:rPr>
                <w:rFonts w:hint="default" w:ascii="Times New Roman" w:hAnsi="Times New Roman" w:cs="Times New Roman"/>
                <w:color w:val="000000" w:themeColor="text1"/>
                <w:spacing w:val="-8"/>
                <w:sz w:val="21"/>
                <w:szCs w:val="21"/>
                <w:highlight w:val="none"/>
                <w14:textFill>
                  <w14:solidFill>
                    <w14:schemeClr w14:val="tx1"/>
                  </w14:solidFill>
                </w14:textFill>
              </w:rPr>
              <w:t>防范措施</w:t>
            </w:r>
          </w:p>
        </w:tc>
        <w:tc>
          <w:tcPr>
            <w:tcW w:w="7647" w:type="dxa"/>
            <w:gridSpan w:val="4"/>
            <w:noWrap w:val="0"/>
            <w:vAlign w:val="center"/>
          </w:tcPr>
          <w:p w14:paraId="5B71D6F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textAlignment w:val="auto"/>
              <w:rPr>
                <w:rFonts w:hint="default" w:ascii="Times New Roman" w:hAnsi="Times New Roman" w:eastAsia="宋体" w:cs="Times New Roman"/>
                <w:b w:val="0"/>
                <w:bCs w:val="0"/>
                <w:snapToGrid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val="0"/>
                <w:color w:val="000000" w:themeColor="text1"/>
                <w:sz w:val="21"/>
                <w:szCs w:val="21"/>
                <w:highlight w:val="none"/>
                <w:lang w:val="en-US" w:eastAsia="zh-CN"/>
                <w14:textFill>
                  <w14:solidFill>
                    <w14:schemeClr w14:val="tx1"/>
                  </w14:solidFill>
                </w14:textFill>
              </w:rPr>
              <w:t>废气处理设施发生故障，应及时停产维修。</w:t>
            </w:r>
          </w:p>
          <w:p w14:paraId="18522FC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textAlignment w:val="auto"/>
              <w:rPr>
                <w:rFonts w:hint="default" w:ascii="Times New Roman" w:hAnsi="Times New Roman" w:eastAsia="宋体" w:cs="Times New Roman"/>
                <w:b w:val="0"/>
                <w:bCs w:val="0"/>
                <w:snapToGrid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snapToGrid w:val="0"/>
                <w:color w:val="000000" w:themeColor="text1"/>
                <w:sz w:val="21"/>
                <w:szCs w:val="21"/>
                <w:highlight w:val="none"/>
                <w:lang w:val="en-US" w:eastAsia="zh-CN"/>
                <w14:textFill>
                  <w14:solidFill>
                    <w14:schemeClr w14:val="tx1"/>
                  </w14:solidFill>
                </w14:textFill>
              </w:rPr>
              <w:t>建设单位设立管理专员维护各项环保措施的运行，特别关注废气处理措施的运行情况，对除尘系统定期检查，及时更换除尘器布袋。</w:t>
            </w:r>
          </w:p>
          <w:p w14:paraId="3779DC6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snapToGrid w:val="0"/>
                <w:color w:val="000000" w:themeColor="text1"/>
                <w:sz w:val="21"/>
                <w:szCs w:val="21"/>
                <w:highlight w:val="none"/>
                <w:lang w:val="en-US" w:eastAsia="zh-CN"/>
                <w14:textFill>
                  <w14:solidFill>
                    <w14:schemeClr w14:val="tx1"/>
                  </w14:solidFill>
                </w14:textFill>
              </w:rPr>
              <w:t>项目</w:t>
            </w:r>
            <w:r>
              <w:rPr>
                <w:rFonts w:hint="eastAsia" w:cs="Times New Roman"/>
                <w:b w:val="0"/>
                <w:bCs w:val="0"/>
                <w:snapToGrid w:val="0"/>
                <w:color w:val="000000" w:themeColor="text1"/>
                <w:sz w:val="21"/>
                <w:szCs w:val="21"/>
                <w:highlight w:val="none"/>
                <w:lang w:val="en-US" w:eastAsia="zh-CN"/>
                <w14:textFill>
                  <w14:solidFill>
                    <w14:schemeClr w14:val="tx1"/>
                  </w14:solidFill>
                </w14:textFill>
              </w:rPr>
              <w:t>危废贮存库</w:t>
            </w:r>
            <w:r>
              <w:rPr>
                <w:rFonts w:hint="default" w:ascii="Times New Roman" w:hAnsi="Times New Roman" w:eastAsia="宋体" w:cs="Times New Roman"/>
                <w:b w:val="0"/>
                <w:bCs w:val="0"/>
                <w:snapToGrid w:val="0"/>
                <w:color w:val="000000" w:themeColor="text1"/>
                <w:sz w:val="21"/>
                <w:szCs w:val="21"/>
                <w:highlight w:val="none"/>
                <w:lang w:val="en-US" w:eastAsia="zh-CN"/>
                <w14:textFill>
                  <w14:solidFill>
                    <w14:schemeClr w14:val="tx1"/>
                  </w14:solidFill>
                </w14:textFill>
              </w:rPr>
              <w:t>必须按《危险废物贮存污染控制标准》（GB18597-2023）进行建设和管理，具备防风、防雨、防晒、防渗漏措施。危险废物用专用容器（专用密封桶或密封袋）收集并置于暂存区内并</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及时外委处置，</w:t>
            </w:r>
            <w:r>
              <w:rPr>
                <w:rFonts w:hint="eastAsia" w:cs="Times New Roman"/>
                <w:color w:val="000000" w:themeColor="text1"/>
                <w:sz w:val="21"/>
                <w:szCs w:val="21"/>
                <w:highlight w:val="none"/>
                <w:lang w:val="en-US" w:eastAsia="zh-CN"/>
                <w14:textFill>
                  <w14:solidFill>
                    <w14:schemeClr w14:val="tx1"/>
                  </w14:solidFill>
                </w14:textFill>
              </w:rPr>
              <w:t>危废贮存库</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应</w:t>
            </w:r>
            <w:r>
              <w:rPr>
                <w:rFonts w:hint="default" w:ascii="Times New Roman" w:hAnsi="Times New Roman" w:eastAsia="宋体" w:cs="Times New Roman"/>
                <w:b w:val="0"/>
                <w:bCs w:val="0"/>
                <w:snapToGrid w:val="0"/>
                <w:color w:val="000000" w:themeColor="text1"/>
                <w:sz w:val="21"/>
                <w:szCs w:val="21"/>
                <w:highlight w:val="none"/>
                <w:lang w:val="en-US" w:eastAsia="zh-CN"/>
                <w14:textFill>
                  <w14:solidFill>
                    <w14:schemeClr w14:val="tx1"/>
                  </w14:solidFill>
                </w14:textFill>
              </w:rPr>
              <w:t>配置一定数量的灭火器</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等风险防范物质</w:t>
            </w:r>
            <w:r>
              <w:rPr>
                <w:rFonts w:hint="default" w:ascii="Times New Roman" w:hAnsi="Times New Roman" w:eastAsia="宋体" w:cs="Times New Roman"/>
                <w:b w:val="0"/>
                <w:bCs w:val="0"/>
                <w:snapToGrid w:val="0"/>
                <w:color w:val="000000" w:themeColor="text1"/>
                <w:sz w:val="21"/>
                <w:szCs w:val="21"/>
                <w:highlight w:val="none"/>
                <w:lang w:val="en-US" w:eastAsia="zh-CN"/>
                <w14:textFill>
                  <w14:solidFill>
                    <w14:schemeClr w14:val="tx1"/>
                  </w14:solidFill>
                </w14:textFill>
              </w:rPr>
              <w:t>。</w:t>
            </w:r>
          </w:p>
        </w:tc>
      </w:tr>
      <w:tr w14:paraId="5143D3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53" w:type="dxa"/>
            <w:noWrap w:val="0"/>
            <w:vAlign w:val="center"/>
          </w:tcPr>
          <w:p w14:paraId="46F58B4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pacing w:val="-8"/>
                <w:sz w:val="21"/>
                <w:szCs w:val="21"/>
                <w:highlight w:val="none"/>
                <w14:textFill>
                  <w14:solidFill>
                    <w14:schemeClr w14:val="tx1"/>
                  </w14:solidFill>
                </w14:textFill>
              </w:rPr>
            </w:pPr>
            <w:r>
              <w:rPr>
                <w:rFonts w:hint="default" w:ascii="Times New Roman" w:hAnsi="Times New Roman" w:cs="Times New Roman"/>
                <w:color w:val="000000" w:themeColor="text1"/>
                <w:spacing w:val="-8"/>
                <w:sz w:val="21"/>
                <w:szCs w:val="21"/>
                <w:highlight w:val="none"/>
                <w14:textFill>
                  <w14:solidFill>
                    <w14:schemeClr w14:val="tx1"/>
                  </w14:solidFill>
                </w14:textFill>
              </w:rPr>
              <w:t>其他环境</w:t>
            </w:r>
          </w:p>
          <w:p w14:paraId="26545A8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000000" w:themeColor="text1"/>
                <w:spacing w:val="-8"/>
                <w:sz w:val="21"/>
                <w:szCs w:val="21"/>
                <w:highlight w:val="none"/>
                <w14:textFill>
                  <w14:solidFill>
                    <w14:schemeClr w14:val="tx1"/>
                  </w14:solidFill>
                </w14:textFill>
              </w:rPr>
            </w:pPr>
            <w:r>
              <w:rPr>
                <w:rFonts w:hint="default" w:ascii="Times New Roman" w:hAnsi="Times New Roman" w:cs="Times New Roman"/>
                <w:color w:val="000000" w:themeColor="text1"/>
                <w:spacing w:val="-8"/>
                <w:sz w:val="21"/>
                <w:szCs w:val="21"/>
                <w:highlight w:val="none"/>
                <w14:textFill>
                  <w14:solidFill>
                    <w14:schemeClr w14:val="tx1"/>
                  </w14:solidFill>
                </w14:textFill>
              </w:rPr>
              <w:t>管理要求</w:t>
            </w:r>
          </w:p>
        </w:tc>
        <w:tc>
          <w:tcPr>
            <w:tcW w:w="7647" w:type="dxa"/>
            <w:gridSpan w:val="4"/>
            <w:noWrap w:val="0"/>
            <w:vAlign w:val="center"/>
          </w:tcPr>
          <w:p w14:paraId="076FFF54">
            <w:pPr>
              <w:pStyle w:val="68"/>
              <w:keepNext w:val="0"/>
              <w:keepLines w:val="0"/>
              <w:pageBreakBefore w:val="0"/>
              <w:suppressLineNumbers w:val="0"/>
              <w:kinsoku/>
              <w:wordWrap/>
              <w:overflowPunct/>
              <w:autoSpaceDE/>
              <w:autoSpaceDN/>
              <w:bidi w:val="0"/>
              <w:adjustRightInd w:val="0"/>
              <w:snapToGrid w:val="0"/>
              <w:spacing w:before="0" w:beforeAutospacing="0" w:after="0" w:afterAutospacing="0" w:line="360" w:lineRule="auto"/>
              <w:ind w:left="0" w:right="0" w:firstLine="0" w:firstLineChars="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pacing w:val="-3"/>
                <w:sz w:val="2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pacing w:val="-3"/>
                <w:sz w:val="21"/>
                <w:szCs w:val="21"/>
                <w:highlight w:val="none"/>
                <w14:textFill>
                  <w14:solidFill>
                    <w14:schemeClr w14:val="tx1"/>
                  </w14:solidFill>
                </w14:textFill>
              </w:rPr>
              <w:t>根据《关于做好环境影响评价制度与排污许可衔接相关工作的通知》（环办环评</w:t>
            </w:r>
            <w:r>
              <w:rPr>
                <w:rFonts w:hint="default" w:ascii="Times New Roman" w:hAnsi="Times New Roman" w:cs="Times New Roman"/>
                <w:color w:val="000000" w:themeColor="text1"/>
                <w:spacing w:val="-3"/>
                <w:sz w:val="21"/>
                <w:szCs w:val="21"/>
                <w:highlight w:val="none"/>
                <w:lang w:eastAsia="zh-CN"/>
                <w14:textFill>
                  <w14:solidFill>
                    <w14:schemeClr w14:val="tx1"/>
                  </w14:solidFill>
                </w14:textFill>
              </w:rPr>
              <w:t>〔2017〕84号</w:t>
            </w:r>
            <w:r>
              <w:rPr>
                <w:rFonts w:hint="default" w:ascii="Times New Roman" w:hAnsi="Times New Roman" w:cs="Times New Roman"/>
                <w:color w:val="000000" w:themeColor="text1"/>
                <w:spacing w:val="-3"/>
                <w:sz w:val="21"/>
                <w:szCs w:val="21"/>
                <w:highlight w:val="none"/>
                <w14:textFill>
                  <w14:solidFill>
                    <w14:schemeClr w14:val="tx1"/>
                  </w14:solidFill>
                </w14:textFill>
              </w:rPr>
              <w:t>），项目应在获得环评审批文件后，按照国家环境保护相关法律法规以及排污许可证申请与核发技术规范要求</w:t>
            </w:r>
            <w:r>
              <w:rPr>
                <w:rFonts w:hint="eastAsia" w:ascii="Times New Roman" w:hAnsi="Times New Roman" w:cs="Times New Roman"/>
                <w:color w:val="000000" w:themeColor="text1"/>
                <w:spacing w:val="-3"/>
                <w:sz w:val="21"/>
                <w:szCs w:val="21"/>
                <w:highlight w:val="none"/>
                <w:lang w:val="en-US" w:eastAsia="zh-CN"/>
                <w14:textFill>
                  <w14:solidFill>
                    <w14:schemeClr w14:val="tx1"/>
                  </w14:solidFill>
                </w14:textFill>
              </w:rPr>
              <w:t>办理</w:t>
            </w:r>
            <w:r>
              <w:rPr>
                <w:rFonts w:hint="default" w:ascii="Times New Roman" w:hAnsi="Times New Roman" w:cs="Times New Roman"/>
                <w:color w:val="000000" w:themeColor="text1"/>
                <w:spacing w:val="-3"/>
                <w:sz w:val="21"/>
                <w:szCs w:val="21"/>
                <w:highlight w:val="none"/>
                <w14:textFill>
                  <w14:solidFill>
                    <w14:schemeClr w14:val="tx1"/>
                  </w14:solidFill>
                </w14:textFill>
              </w:rPr>
              <w:t>排污许可证</w:t>
            </w:r>
            <w:r>
              <w:rPr>
                <w:rFonts w:hint="eastAsia" w:ascii="Times New Roman" w:hAnsi="Times New Roman" w:cs="Times New Roman"/>
                <w:color w:val="000000" w:themeColor="text1"/>
                <w:spacing w:val="-3"/>
                <w:sz w:val="21"/>
                <w:szCs w:val="21"/>
                <w:highlight w:val="none"/>
                <w:lang w:val="en-US" w:eastAsia="zh-CN"/>
                <w14:textFill>
                  <w14:solidFill>
                    <w14:schemeClr w14:val="tx1"/>
                  </w14:solidFill>
                </w14:textFill>
              </w:rPr>
              <w:t>重新申请</w:t>
            </w:r>
            <w:r>
              <w:rPr>
                <w:rFonts w:hint="default" w:ascii="Times New Roman" w:hAnsi="Times New Roman" w:cs="Times New Roman"/>
                <w:color w:val="000000" w:themeColor="text1"/>
                <w:spacing w:val="-9"/>
                <w:sz w:val="21"/>
                <w:szCs w:val="21"/>
                <w:highlight w:val="none"/>
                <w14:textFill>
                  <w14:solidFill>
                    <w14:schemeClr w14:val="tx1"/>
                  </w14:solidFill>
                </w14:textFill>
              </w:rPr>
              <w:t>。.</w:t>
            </w:r>
          </w:p>
          <w:p w14:paraId="417EAC29">
            <w:pPr>
              <w:pStyle w:val="68"/>
              <w:keepNext w:val="0"/>
              <w:keepLines w:val="0"/>
              <w:pageBreakBefore w:val="0"/>
              <w:suppressLineNumbers w:val="0"/>
              <w:kinsoku/>
              <w:wordWrap/>
              <w:overflowPunct/>
              <w:autoSpaceDE/>
              <w:autoSpaceDN/>
              <w:bidi w:val="0"/>
              <w:adjustRightInd w:val="0"/>
              <w:snapToGrid w:val="0"/>
              <w:spacing w:before="0" w:beforeAutospacing="0" w:after="0" w:afterAutospacing="0" w:line="360" w:lineRule="auto"/>
              <w:ind w:left="0" w:right="0" w:firstLine="0" w:firstLineChars="0"/>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cs="Times New Roman"/>
                <w:color w:val="000000" w:themeColor="text1"/>
                <w:sz w:val="21"/>
                <w:szCs w:val="21"/>
                <w:highlight w:val="none"/>
                <w14:textFill>
                  <w14:solidFill>
                    <w14:schemeClr w14:val="tx1"/>
                  </w14:solidFill>
                </w14:textFill>
              </w:rPr>
              <w:t>根据《建设项目竣工环境保护验收暂行办法》的规定，建设项目竣工后，建设单位应当如实查验、监测、记</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录</w:t>
            </w:r>
            <w:r>
              <w:rPr>
                <w:rFonts w:hint="default" w:ascii="Times New Roman" w:hAnsi="Times New Roman" w:cs="Times New Roman"/>
                <w:color w:val="000000" w:themeColor="text1"/>
                <w:sz w:val="21"/>
                <w:szCs w:val="21"/>
                <w:highlight w:val="none"/>
                <w14:textFill>
                  <w14:solidFill>
                    <w14:schemeClr w14:val="tx1"/>
                  </w14:solidFill>
                </w14:textFill>
              </w:rPr>
              <w:t>建设项目环境保护设施的建设和调试情况，编制验收监测报告。</w:t>
            </w:r>
          </w:p>
          <w:p w14:paraId="477E99D5">
            <w:pPr>
              <w:keepNext w:val="0"/>
              <w:keepLines w:val="0"/>
              <w:pageBreakBefore w:val="0"/>
              <w:suppressLineNumbers w:val="0"/>
              <w:kinsoku/>
              <w:wordWrap/>
              <w:overflowPunct/>
              <w:topLinePunct w:val="0"/>
              <w:autoSpaceDE/>
              <w:autoSpaceDN/>
              <w:bidi w:val="0"/>
              <w:adjustRightInd w:val="0"/>
              <w:snapToGrid w:val="0"/>
              <w:spacing w:before="48" w:beforeLines="20" w:beforeAutospacing="0" w:after="0" w:afterAutospacing="0" w:line="360" w:lineRule="auto"/>
              <w:ind w:left="0" w:right="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14:textFill>
                  <w14:solidFill>
                    <w14:schemeClr w14:val="tx1"/>
                  </w14:solidFill>
                </w14:textFill>
              </w:rPr>
              <w:t>运营期环境管理</w:t>
            </w:r>
          </w:p>
          <w:p w14:paraId="437FCC5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营运期环境管理的重点是各项环境保护措施的落实，环保设施运行的管理和维护，日常的监测及污染事故的防范和应急处理。</w:t>
            </w:r>
          </w:p>
          <w:p w14:paraId="1EF79A6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企业应当按照排污许可证和相关管理规定，开展自行监测，如实在全国排污许可证管理信息平台上公开污染物排放信息，提交排污许可证执行报告。</w:t>
            </w:r>
          </w:p>
          <w:p w14:paraId="51A8D41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（2）根据企业的环境保护目标考核计划，结合生产过程各环节的不同环境要求，把资源和能源消耗、资源回收利用、污染物排放量</w:t>
            </w:r>
            <w:r>
              <w:rPr>
                <w:rFonts w:hint="default" w:ascii="Times New Roman" w:hAnsi="Times New Roman" w:cs="Times New Roman"/>
                <w:strike w:val="0"/>
                <w:dstrike w:val="0"/>
                <w:color w:val="000000" w:themeColor="text1"/>
                <w:sz w:val="21"/>
                <w:szCs w:val="21"/>
                <w:highlight w:val="none"/>
                <w:u w:val="none"/>
                <w:shd w:val="clear" w:fill="auto"/>
                <w:lang w:eastAsia="zh-CN"/>
                <w14:textFill>
                  <w14:solidFill>
                    <w14:schemeClr w14:val="tx1"/>
                  </w14:solidFill>
                </w14:textFill>
              </w:rPr>
              <w:t>等</w:t>
            </w:r>
            <w:r>
              <w:rPr>
                <w:rFonts w:hint="default" w:ascii="Times New Roman" w:hAnsi="Times New Roman" w:eastAsia="宋体" w:cs="Times New Roman"/>
                <w:color w:val="000000" w:themeColor="text1"/>
                <w:sz w:val="21"/>
                <w:szCs w:val="21"/>
                <w:highlight w:val="none"/>
                <w14:textFill>
                  <w14:solidFill>
                    <w14:schemeClr w14:val="tx1"/>
                  </w14:solidFill>
                </w14:textFill>
              </w:rPr>
              <w:t>反映环保工作水平的生产环境质量等环保指标，纳入各级生产作业计划，</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同其他</w:t>
            </w:r>
            <w:r>
              <w:rPr>
                <w:rFonts w:hint="default" w:ascii="Times New Roman" w:hAnsi="Times New Roman" w:eastAsia="宋体" w:cs="Times New Roman"/>
                <w:color w:val="000000" w:themeColor="text1"/>
                <w:sz w:val="21"/>
                <w:szCs w:val="21"/>
                <w:highlight w:val="none"/>
                <w14:textFill>
                  <w14:solidFill>
                    <w14:schemeClr w14:val="tx1"/>
                  </w14:solidFill>
                </w14:textFill>
              </w:rPr>
              <w:t>生产指标一同组织实施和考核。</w:t>
            </w:r>
          </w:p>
          <w:p w14:paraId="7036D71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3）按环保设施的操作规程，定期对环保设施进行保养和检修，保证环保设施的正常运行和污染物的达标排放。一旦环保设施出现故障，应立即停产检修，并上报环保法定责任人，严禁环保设施带病运行和事故性排放。建立运行记录并制定考核指标。</w:t>
            </w:r>
          </w:p>
          <w:p w14:paraId="2323102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（4）接受生态环境主管部门的监督检查。主要内容有：污染物排放情况、环保设施运行管理情况、环境监测及污染物监测情况、环境事故的调查和有关记录、污染源建档记录等。</w:t>
            </w:r>
          </w:p>
          <w:p w14:paraId="699FA1C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企业应建立环境管理台账制度，落实环境管理台账记录的责任部门和责任人，明确工作职责，包括台账的记录、整理、维护和管理等，并对台账记录结果的真实性、完整性和规范性负责。</w:t>
            </w:r>
          </w:p>
          <w:p w14:paraId="0B57146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台账应真实记录排污单位污染治理设施运行管理信息、监测记录信息和其他环境管理信息，在满足本标准要求的基础上根据实际情况自行制定记录内容格式。其中记录频次和内容须满足排污许可证环境管理要求。</w:t>
            </w:r>
          </w:p>
          <w:p w14:paraId="08126EC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台账应按电子化存储和纸质存储两种形式同步管理，所有台账记录保存期应不低于5年。</w:t>
            </w:r>
          </w:p>
          <w:p w14:paraId="2500307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p w14:paraId="2F90B1B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p w14:paraId="4110B62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p w14:paraId="48609D0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p w14:paraId="2AF5065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p w14:paraId="0A0C961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p w14:paraId="10F4D62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p w14:paraId="133D94B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p w14:paraId="133E932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bl>
    <w:p w14:paraId="498C5185">
      <w:pPr>
        <w:pStyle w:val="8"/>
        <w:jc w:val="center"/>
        <w:outlineLvl w:val="0"/>
        <w:rPr>
          <w:rFonts w:ascii="黑体" w:hAnsi="黑体" w:eastAsia="黑体"/>
          <w:snapToGrid w:val="0"/>
          <w:color w:val="000000" w:themeColor="text1"/>
          <w:sz w:val="30"/>
          <w:szCs w:val="30"/>
          <w:highlight w:val="none"/>
          <w14:textFill>
            <w14:solidFill>
              <w14:schemeClr w14:val="tx1"/>
            </w14:solidFill>
          </w14:textFill>
        </w:rPr>
      </w:pPr>
      <w:r>
        <w:rPr>
          <w:snapToGrid w:val="0"/>
          <w:color w:val="000000" w:themeColor="text1"/>
          <w:highlight w:val="none"/>
          <w14:textFill>
            <w14:solidFill>
              <w14:schemeClr w14:val="tx1"/>
            </w14:solidFill>
          </w14:textFill>
        </w:rPr>
        <w:br w:type="page"/>
      </w:r>
      <w:r>
        <w:rPr>
          <w:rFonts w:hint="eastAsia" w:ascii="黑体" w:hAnsi="黑体" w:eastAsia="黑体"/>
          <w:snapToGrid w:val="0"/>
          <w:color w:val="000000" w:themeColor="text1"/>
          <w:sz w:val="30"/>
          <w:szCs w:val="30"/>
          <w:highlight w:val="none"/>
          <w14:textFill>
            <w14:solidFill>
              <w14:schemeClr w14:val="tx1"/>
            </w14:solidFill>
          </w14:textFill>
        </w:rPr>
        <w:t>六、结论</w:t>
      </w:r>
    </w:p>
    <w:tbl>
      <w:tblPr>
        <w:tblStyle w:val="3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710D40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vAlign w:val="center"/>
          </w:tcPr>
          <w:p w14:paraId="6CAA1B77">
            <w:pPr>
              <w:keepNext w:val="0"/>
              <w:keepLines w:val="0"/>
              <w:suppressLineNumbers w:val="0"/>
              <w:adjustRightInd w:val="0"/>
              <w:snapToGrid w:val="0"/>
              <w:spacing w:before="0" w:beforeAutospacing="0" w:after="0" w:afterAutospacing="0" w:line="480" w:lineRule="exact"/>
              <w:ind w:left="0" w:right="0" w:firstLine="480" w:firstLineChars="200"/>
              <w:jc w:val="left"/>
              <w:rPr>
                <w:rFonts w:hint="eastAsia"/>
                <w:color w:val="000000" w:themeColor="text1"/>
                <w:sz w:val="24"/>
                <w:highlight w:val="none"/>
                <w14:textFill>
                  <w14:solidFill>
                    <w14:schemeClr w14:val="tx1"/>
                  </w14:solidFill>
                </w14:textFill>
              </w:rPr>
            </w:pPr>
          </w:p>
          <w:p w14:paraId="7EB7F3CB">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符合国家产业政策、环保法律法规及生态环境分区管控要求。建设单位在严格落实本报告表提出的各项污染防治措施、环境管理要求及环境风险防范措施的前提下，项目产生的废气、废水、噪声、固体废物等污染物均可实现达标排放或妥善处置，环境风险可控，对区域环境空气、水环境、声环境及生态环境的影响均在可接受范围内。</w:t>
            </w:r>
          </w:p>
          <w:p w14:paraId="1DBFA484">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综上，从环境保护角度分析，本项目建设可行。</w:t>
            </w:r>
          </w:p>
          <w:p w14:paraId="3D287124">
            <w:pPr>
              <w:keepNext w:val="0"/>
              <w:keepLines w:val="0"/>
              <w:suppressLineNumbers w:val="0"/>
              <w:adjustRightInd w:val="0"/>
              <w:snapToGrid w:val="0"/>
              <w:spacing w:before="0" w:beforeAutospacing="0" w:after="0" w:afterAutospacing="0" w:line="480" w:lineRule="exact"/>
              <w:ind w:left="0" w:right="0" w:firstLine="420" w:firstLineChars="200"/>
              <w:jc w:val="left"/>
              <w:rPr>
                <w:rFonts w:hint="default"/>
                <w:color w:val="000000" w:themeColor="text1"/>
                <w:highlight w:val="none"/>
                <w14:textFill>
                  <w14:solidFill>
                    <w14:schemeClr w14:val="tx1"/>
                  </w14:solidFill>
                </w14:textFill>
              </w:rPr>
            </w:pPr>
          </w:p>
          <w:p w14:paraId="206DCB4D">
            <w:pPr>
              <w:keepNext w:val="0"/>
              <w:keepLines w:val="0"/>
              <w:suppressLineNumbers w:val="0"/>
              <w:adjustRightInd w:val="0"/>
              <w:snapToGrid w:val="0"/>
              <w:spacing w:before="0" w:beforeAutospacing="0" w:after="0" w:afterAutospacing="0" w:line="480" w:lineRule="exact"/>
              <w:ind w:left="0" w:right="0" w:firstLine="420" w:firstLineChars="200"/>
              <w:jc w:val="left"/>
              <w:rPr>
                <w:rFonts w:hint="default"/>
                <w:color w:val="000000" w:themeColor="text1"/>
                <w:highlight w:val="none"/>
                <w14:textFill>
                  <w14:solidFill>
                    <w14:schemeClr w14:val="tx1"/>
                  </w14:solidFill>
                </w14:textFill>
              </w:rPr>
            </w:pPr>
          </w:p>
          <w:p w14:paraId="1AC8AE39">
            <w:pPr>
              <w:keepNext w:val="0"/>
              <w:keepLines w:val="0"/>
              <w:suppressLineNumbers w:val="0"/>
              <w:adjustRightInd w:val="0"/>
              <w:snapToGrid w:val="0"/>
              <w:spacing w:before="0" w:beforeAutospacing="0" w:after="0" w:afterAutospacing="0" w:line="480" w:lineRule="exact"/>
              <w:ind w:left="0" w:right="0" w:firstLine="420" w:firstLineChars="200"/>
              <w:jc w:val="left"/>
              <w:rPr>
                <w:rFonts w:hint="default"/>
                <w:color w:val="000000" w:themeColor="text1"/>
                <w:highlight w:val="none"/>
                <w14:textFill>
                  <w14:solidFill>
                    <w14:schemeClr w14:val="tx1"/>
                  </w14:solidFill>
                </w14:textFill>
              </w:rPr>
            </w:pPr>
          </w:p>
          <w:p w14:paraId="2C108923">
            <w:pPr>
              <w:keepNext w:val="0"/>
              <w:keepLines w:val="0"/>
              <w:suppressLineNumbers w:val="0"/>
              <w:adjustRightInd w:val="0"/>
              <w:snapToGrid w:val="0"/>
              <w:spacing w:before="0" w:beforeAutospacing="0" w:after="0" w:afterAutospacing="0" w:line="480" w:lineRule="exact"/>
              <w:ind w:left="0" w:right="0" w:firstLine="420" w:firstLineChars="200"/>
              <w:jc w:val="left"/>
              <w:rPr>
                <w:rFonts w:hint="default"/>
                <w:color w:val="000000" w:themeColor="text1"/>
                <w:highlight w:val="none"/>
                <w14:textFill>
                  <w14:solidFill>
                    <w14:schemeClr w14:val="tx1"/>
                  </w14:solidFill>
                </w14:textFill>
              </w:rPr>
            </w:pPr>
          </w:p>
          <w:p w14:paraId="3A966C5F">
            <w:pPr>
              <w:keepNext w:val="0"/>
              <w:keepLines w:val="0"/>
              <w:suppressLineNumbers w:val="0"/>
              <w:adjustRightInd w:val="0"/>
              <w:snapToGrid w:val="0"/>
              <w:spacing w:before="0" w:beforeAutospacing="0" w:after="0" w:afterAutospacing="0" w:line="480" w:lineRule="exact"/>
              <w:ind w:left="0" w:right="0" w:firstLine="420" w:firstLineChars="200"/>
              <w:jc w:val="left"/>
              <w:rPr>
                <w:rFonts w:hint="default"/>
                <w:color w:val="000000" w:themeColor="text1"/>
                <w:highlight w:val="none"/>
                <w14:textFill>
                  <w14:solidFill>
                    <w14:schemeClr w14:val="tx1"/>
                  </w14:solidFill>
                </w14:textFill>
              </w:rPr>
            </w:pPr>
          </w:p>
          <w:p w14:paraId="3362E3B1">
            <w:pPr>
              <w:keepNext w:val="0"/>
              <w:keepLines w:val="0"/>
              <w:suppressLineNumbers w:val="0"/>
              <w:adjustRightInd w:val="0"/>
              <w:snapToGrid w:val="0"/>
              <w:spacing w:before="0" w:beforeAutospacing="0" w:after="0" w:afterAutospacing="0" w:line="480" w:lineRule="exact"/>
              <w:ind w:left="0" w:right="0" w:firstLine="420" w:firstLineChars="200"/>
              <w:jc w:val="left"/>
              <w:rPr>
                <w:rFonts w:hint="default"/>
                <w:color w:val="000000" w:themeColor="text1"/>
                <w:highlight w:val="none"/>
                <w14:textFill>
                  <w14:solidFill>
                    <w14:schemeClr w14:val="tx1"/>
                  </w14:solidFill>
                </w14:textFill>
              </w:rPr>
            </w:pPr>
          </w:p>
          <w:p w14:paraId="651AA747">
            <w:pPr>
              <w:keepNext w:val="0"/>
              <w:keepLines w:val="0"/>
              <w:suppressLineNumbers w:val="0"/>
              <w:adjustRightInd w:val="0"/>
              <w:snapToGrid w:val="0"/>
              <w:spacing w:before="0" w:beforeAutospacing="0" w:after="0" w:afterAutospacing="0" w:line="480" w:lineRule="exact"/>
              <w:ind w:left="0" w:right="0" w:firstLine="420" w:firstLineChars="200"/>
              <w:jc w:val="left"/>
              <w:rPr>
                <w:rFonts w:hint="default"/>
                <w:color w:val="000000" w:themeColor="text1"/>
                <w:highlight w:val="none"/>
                <w14:textFill>
                  <w14:solidFill>
                    <w14:schemeClr w14:val="tx1"/>
                  </w14:solidFill>
                </w14:textFill>
              </w:rPr>
            </w:pPr>
          </w:p>
          <w:p w14:paraId="56C05289">
            <w:pPr>
              <w:keepNext w:val="0"/>
              <w:keepLines w:val="0"/>
              <w:suppressLineNumbers w:val="0"/>
              <w:adjustRightInd w:val="0"/>
              <w:snapToGrid w:val="0"/>
              <w:spacing w:before="0" w:beforeAutospacing="0" w:after="0" w:afterAutospacing="0" w:line="480" w:lineRule="exact"/>
              <w:ind w:left="0" w:right="0" w:firstLine="420" w:firstLineChars="200"/>
              <w:jc w:val="left"/>
              <w:rPr>
                <w:rFonts w:hint="default"/>
                <w:color w:val="000000" w:themeColor="text1"/>
                <w:highlight w:val="none"/>
                <w14:textFill>
                  <w14:solidFill>
                    <w14:schemeClr w14:val="tx1"/>
                  </w14:solidFill>
                </w14:textFill>
              </w:rPr>
            </w:pPr>
          </w:p>
          <w:p w14:paraId="31755DA9">
            <w:pPr>
              <w:keepNext w:val="0"/>
              <w:keepLines w:val="0"/>
              <w:suppressLineNumbers w:val="0"/>
              <w:adjustRightInd w:val="0"/>
              <w:snapToGrid w:val="0"/>
              <w:spacing w:before="0" w:beforeAutospacing="0" w:after="0" w:afterAutospacing="0" w:line="480" w:lineRule="exact"/>
              <w:ind w:left="0" w:right="0" w:firstLine="420" w:firstLineChars="200"/>
              <w:jc w:val="left"/>
              <w:rPr>
                <w:rFonts w:hint="default"/>
                <w:color w:val="000000" w:themeColor="text1"/>
                <w:highlight w:val="none"/>
                <w14:textFill>
                  <w14:solidFill>
                    <w14:schemeClr w14:val="tx1"/>
                  </w14:solidFill>
                </w14:textFill>
              </w:rPr>
            </w:pPr>
          </w:p>
          <w:p w14:paraId="5ADE4006">
            <w:pPr>
              <w:keepNext w:val="0"/>
              <w:keepLines w:val="0"/>
              <w:suppressLineNumbers w:val="0"/>
              <w:adjustRightInd w:val="0"/>
              <w:snapToGrid w:val="0"/>
              <w:spacing w:before="0" w:beforeAutospacing="0" w:after="0" w:afterAutospacing="0" w:line="480" w:lineRule="exact"/>
              <w:ind w:left="0" w:right="0" w:firstLine="420" w:firstLineChars="200"/>
              <w:jc w:val="left"/>
              <w:rPr>
                <w:rFonts w:hint="default"/>
                <w:color w:val="000000" w:themeColor="text1"/>
                <w:highlight w:val="none"/>
                <w14:textFill>
                  <w14:solidFill>
                    <w14:schemeClr w14:val="tx1"/>
                  </w14:solidFill>
                </w14:textFill>
              </w:rPr>
            </w:pPr>
          </w:p>
          <w:p w14:paraId="516A02A5">
            <w:pPr>
              <w:keepNext w:val="0"/>
              <w:keepLines w:val="0"/>
              <w:suppressLineNumbers w:val="0"/>
              <w:adjustRightInd w:val="0"/>
              <w:snapToGrid w:val="0"/>
              <w:spacing w:before="0" w:beforeAutospacing="0" w:after="0" w:afterAutospacing="0" w:line="480" w:lineRule="exact"/>
              <w:ind w:left="0" w:right="0" w:firstLine="420" w:firstLineChars="200"/>
              <w:jc w:val="left"/>
              <w:rPr>
                <w:rFonts w:hint="default"/>
                <w:color w:val="000000" w:themeColor="text1"/>
                <w:highlight w:val="none"/>
                <w14:textFill>
                  <w14:solidFill>
                    <w14:schemeClr w14:val="tx1"/>
                  </w14:solidFill>
                </w14:textFill>
              </w:rPr>
            </w:pPr>
          </w:p>
          <w:p w14:paraId="448D6522">
            <w:pPr>
              <w:keepNext w:val="0"/>
              <w:keepLines w:val="0"/>
              <w:suppressLineNumbers w:val="0"/>
              <w:adjustRightInd w:val="0"/>
              <w:snapToGrid w:val="0"/>
              <w:spacing w:before="0" w:beforeAutospacing="0" w:after="0" w:afterAutospacing="0" w:line="480" w:lineRule="exact"/>
              <w:ind w:left="0" w:right="0" w:firstLine="420" w:firstLineChars="200"/>
              <w:jc w:val="left"/>
              <w:rPr>
                <w:rFonts w:hint="default"/>
                <w:color w:val="000000" w:themeColor="text1"/>
                <w:highlight w:val="none"/>
                <w14:textFill>
                  <w14:solidFill>
                    <w14:schemeClr w14:val="tx1"/>
                  </w14:solidFill>
                </w14:textFill>
              </w:rPr>
            </w:pPr>
          </w:p>
          <w:p w14:paraId="3AD4696F">
            <w:pPr>
              <w:keepNext w:val="0"/>
              <w:keepLines w:val="0"/>
              <w:suppressLineNumbers w:val="0"/>
              <w:adjustRightInd w:val="0"/>
              <w:snapToGrid w:val="0"/>
              <w:spacing w:before="0" w:beforeAutospacing="0" w:after="0" w:afterAutospacing="0" w:line="480" w:lineRule="exact"/>
              <w:ind w:left="0" w:right="0" w:firstLine="420" w:firstLineChars="200"/>
              <w:jc w:val="left"/>
              <w:rPr>
                <w:rFonts w:hint="default"/>
                <w:color w:val="000000" w:themeColor="text1"/>
                <w:highlight w:val="none"/>
                <w14:textFill>
                  <w14:solidFill>
                    <w14:schemeClr w14:val="tx1"/>
                  </w14:solidFill>
                </w14:textFill>
              </w:rPr>
            </w:pPr>
          </w:p>
          <w:p w14:paraId="1E6E0AEF">
            <w:pPr>
              <w:keepNext w:val="0"/>
              <w:keepLines w:val="0"/>
              <w:suppressLineNumbers w:val="0"/>
              <w:adjustRightInd w:val="0"/>
              <w:snapToGrid w:val="0"/>
              <w:spacing w:before="0" w:beforeAutospacing="0" w:after="0" w:afterAutospacing="0" w:line="480" w:lineRule="exact"/>
              <w:ind w:left="0" w:right="0" w:firstLine="420" w:firstLineChars="200"/>
              <w:jc w:val="left"/>
              <w:rPr>
                <w:rFonts w:hint="default"/>
                <w:color w:val="000000" w:themeColor="text1"/>
                <w:highlight w:val="none"/>
                <w14:textFill>
                  <w14:solidFill>
                    <w14:schemeClr w14:val="tx1"/>
                  </w14:solidFill>
                </w14:textFill>
              </w:rPr>
            </w:pPr>
          </w:p>
          <w:p w14:paraId="60C4A8C4">
            <w:pPr>
              <w:keepNext w:val="0"/>
              <w:keepLines w:val="0"/>
              <w:suppressLineNumbers w:val="0"/>
              <w:adjustRightInd w:val="0"/>
              <w:snapToGrid w:val="0"/>
              <w:spacing w:before="0" w:beforeAutospacing="0" w:after="0" w:afterAutospacing="0" w:line="480" w:lineRule="exact"/>
              <w:ind w:left="0" w:right="0" w:firstLine="420" w:firstLineChars="200"/>
              <w:jc w:val="left"/>
              <w:rPr>
                <w:rFonts w:hint="default"/>
                <w:color w:val="000000" w:themeColor="text1"/>
                <w:highlight w:val="none"/>
                <w14:textFill>
                  <w14:solidFill>
                    <w14:schemeClr w14:val="tx1"/>
                  </w14:solidFill>
                </w14:textFill>
              </w:rPr>
            </w:pPr>
          </w:p>
          <w:p w14:paraId="1FAC9A41">
            <w:pPr>
              <w:keepNext w:val="0"/>
              <w:keepLines w:val="0"/>
              <w:suppressLineNumbers w:val="0"/>
              <w:adjustRightInd w:val="0"/>
              <w:snapToGrid w:val="0"/>
              <w:spacing w:before="0" w:beforeAutospacing="0" w:after="0" w:afterAutospacing="0" w:line="480" w:lineRule="exact"/>
              <w:ind w:left="0" w:right="0" w:firstLine="420" w:firstLineChars="200"/>
              <w:jc w:val="left"/>
              <w:rPr>
                <w:rFonts w:hint="default"/>
                <w:color w:val="000000" w:themeColor="text1"/>
                <w:highlight w:val="none"/>
                <w14:textFill>
                  <w14:solidFill>
                    <w14:schemeClr w14:val="tx1"/>
                  </w14:solidFill>
                </w14:textFill>
              </w:rPr>
            </w:pPr>
          </w:p>
          <w:p w14:paraId="0165E0D5">
            <w:pPr>
              <w:keepNext w:val="0"/>
              <w:keepLines w:val="0"/>
              <w:suppressLineNumbers w:val="0"/>
              <w:adjustRightInd w:val="0"/>
              <w:snapToGrid w:val="0"/>
              <w:spacing w:before="0" w:beforeAutospacing="0" w:after="0" w:afterAutospacing="0" w:line="480" w:lineRule="exact"/>
              <w:ind w:left="0" w:right="0" w:firstLine="420" w:firstLineChars="200"/>
              <w:jc w:val="left"/>
              <w:rPr>
                <w:rFonts w:hint="default"/>
                <w:color w:val="000000" w:themeColor="text1"/>
                <w:highlight w:val="none"/>
                <w14:textFill>
                  <w14:solidFill>
                    <w14:schemeClr w14:val="tx1"/>
                  </w14:solidFill>
                </w14:textFill>
              </w:rPr>
            </w:pPr>
          </w:p>
          <w:p w14:paraId="0F0131DA">
            <w:pPr>
              <w:keepNext w:val="0"/>
              <w:keepLines w:val="0"/>
              <w:suppressLineNumbers w:val="0"/>
              <w:spacing w:before="0" w:beforeAutospacing="0" w:after="0" w:afterAutospacing="0" w:line="360" w:lineRule="auto"/>
              <w:ind w:left="0" w:right="0"/>
              <w:rPr>
                <w:rFonts w:hint="default" w:ascii="宋体" w:cs="宋体"/>
                <w:color w:val="000000" w:themeColor="text1"/>
                <w:sz w:val="24"/>
                <w:highlight w:val="none"/>
                <w14:textFill>
                  <w14:solidFill>
                    <w14:schemeClr w14:val="tx1"/>
                  </w14:solidFill>
                </w14:textFill>
              </w:rPr>
            </w:pPr>
          </w:p>
        </w:tc>
      </w:tr>
    </w:tbl>
    <w:p w14:paraId="6B6BE323">
      <w:pPr>
        <w:rPr>
          <w:rFonts w:ascii="宋体"/>
          <w:color w:val="000000" w:themeColor="text1"/>
          <w:highlight w:val="none"/>
          <w14:textFill>
            <w14:solidFill>
              <w14:schemeClr w14:val="tx1"/>
            </w14:solidFill>
          </w14:textFill>
        </w:rPr>
        <w:sectPr>
          <w:pgSz w:w="11906" w:h="16838"/>
          <w:pgMar w:top="1701" w:right="1531" w:bottom="1701"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4E7B4256">
      <w:pPr>
        <w:pStyle w:val="8"/>
        <w:adjustRightInd w:val="0"/>
        <w:snapToGrid w:val="0"/>
        <w:spacing w:before="0" w:beforeAutospacing="0" w:after="0" w:afterAutospacing="0" w:line="240" w:lineRule="auto"/>
        <w:outlineLvl w:val="0"/>
        <w:rPr>
          <w:rFonts w:hint="default" w:ascii="Times New Roman" w:hAnsi="Times New Roman" w:eastAsia="宋体" w:cs="Times New Roman"/>
          <w:b/>
          <w:bCs/>
          <w:snapToGrid w:val="0"/>
          <w:color w:val="000000" w:themeColor="text1"/>
          <w:sz w:val="32"/>
          <w:szCs w:val="32"/>
          <w:highlight w:val="none"/>
          <w14:textFill>
            <w14:solidFill>
              <w14:schemeClr w14:val="tx1"/>
            </w14:solidFill>
          </w14:textFill>
        </w:rPr>
      </w:pPr>
      <w:r>
        <w:rPr>
          <w:rFonts w:hint="eastAsia" w:ascii="Times New Roman" w:hAnsi="Times New Roman" w:eastAsia="宋体" w:cs="Times New Roman"/>
          <w:b/>
          <w:bCs/>
          <w:snapToGrid w:val="0"/>
          <w:color w:val="000000" w:themeColor="text1"/>
          <w:sz w:val="32"/>
          <w:szCs w:val="32"/>
          <w:highlight w:val="none"/>
          <w14:textFill>
            <w14:solidFill>
              <w14:schemeClr w14:val="tx1"/>
            </w14:solidFill>
          </w14:textFill>
        </w:rPr>
        <w:t>附表</w:t>
      </w:r>
    </w:p>
    <w:p w14:paraId="28D244BA">
      <w:pPr>
        <w:pStyle w:val="8"/>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jc w:val="center"/>
        <w:textAlignment w:val="auto"/>
        <w:outlineLvl w:val="0"/>
        <w:rPr>
          <w:rFonts w:ascii="方正小标宋_GBK" w:hAnsi="黑体" w:eastAsia="方正小标宋_GBK"/>
          <w:snapToGrid w:val="0"/>
          <w:color w:val="000000" w:themeColor="text1"/>
          <w:sz w:val="36"/>
          <w:szCs w:val="36"/>
          <w:highlight w:val="none"/>
          <w14:textFill>
            <w14:solidFill>
              <w14:schemeClr w14:val="tx1"/>
            </w14:solidFill>
          </w14:textFill>
        </w:rPr>
      </w:pPr>
      <w:r>
        <w:rPr>
          <w:rFonts w:hint="eastAsia" w:ascii="Times New Roman" w:hAnsi="Times New Roman" w:eastAsia="宋体" w:cs="Times New Roman"/>
          <w:b/>
          <w:bCs/>
          <w:snapToGrid w:val="0"/>
          <w:color w:val="000000" w:themeColor="text1"/>
          <w:sz w:val="32"/>
          <w:szCs w:val="32"/>
          <w:highlight w:val="none"/>
          <w14:textFill>
            <w14:solidFill>
              <w14:schemeClr w14:val="tx1"/>
            </w14:solidFill>
          </w14:textFill>
        </w:rPr>
        <w:t>建设项目污染物排放量汇总表</w:t>
      </w:r>
    </w:p>
    <w:tbl>
      <w:tblPr>
        <w:tblStyle w:val="35"/>
        <w:tblW w:w="499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330"/>
        <w:gridCol w:w="1881"/>
        <w:gridCol w:w="1816"/>
        <w:gridCol w:w="1362"/>
        <w:gridCol w:w="1816"/>
        <w:gridCol w:w="1666"/>
        <w:gridCol w:w="1545"/>
        <w:gridCol w:w="1875"/>
        <w:gridCol w:w="1437"/>
      </w:tblGrid>
      <w:tr w14:paraId="130BC7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51" w:type="pct"/>
            <w:tcBorders>
              <w:tl2br w:val="single" w:color="auto" w:sz="4" w:space="0"/>
            </w:tcBorders>
            <w:noWrap w:val="0"/>
            <w:tcMar>
              <w:left w:w="28" w:type="dxa"/>
              <w:right w:w="28" w:type="dxa"/>
            </w:tcMar>
            <w:vAlign w:val="center"/>
          </w:tcPr>
          <w:p w14:paraId="61E3EE8C">
            <w:pPr>
              <w:pStyle w:val="47"/>
              <w:keepNext w:val="0"/>
              <w:keepLines w:val="0"/>
              <w:suppressLineNumbers w:val="0"/>
              <w:spacing w:before="0" w:beforeLines="0" w:beforeAutospacing="0" w:after="0" w:afterLines="0" w:afterAutospacing="0" w:line="240" w:lineRule="auto"/>
              <w:ind w:left="0" w:right="0"/>
              <w:jc w:val="right"/>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t>项目</w:t>
            </w:r>
          </w:p>
          <w:p w14:paraId="2FFB244D">
            <w:pPr>
              <w:pStyle w:val="47"/>
              <w:keepNext w:val="0"/>
              <w:keepLines w:val="0"/>
              <w:suppressLineNumbers w:val="0"/>
              <w:spacing w:before="0" w:beforeLines="0" w:beforeAutospacing="0" w:after="0" w:afterLines="0" w:afterAutospacing="0" w:line="240" w:lineRule="auto"/>
              <w:ind w:left="0" w:right="0"/>
              <w:jc w:val="left"/>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t>分类</w:t>
            </w:r>
          </w:p>
        </w:tc>
        <w:tc>
          <w:tcPr>
            <w:tcW w:w="638" w:type="pct"/>
            <w:noWrap w:val="0"/>
            <w:tcMar>
              <w:left w:w="28" w:type="dxa"/>
              <w:right w:w="28" w:type="dxa"/>
            </w:tcMar>
            <w:vAlign w:val="center"/>
          </w:tcPr>
          <w:p w14:paraId="2104550E">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t>污染物名称</w:t>
            </w:r>
          </w:p>
        </w:tc>
        <w:tc>
          <w:tcPr>
            <w:tcW w:w="616" w:type="pct"/>
            <w:noWrap w:val="0"/>
            <w:tcMar>
              <w:left w:w="28" w:type="dxa"/>
              <w:right w:w="28" w:type="dxa"/>
            </w:tcMar>
            <w:vAlign w:val="center"/>
          </w:tcPr>
          <w:p w14:paraId="4716D634">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t>现有工程</w:t>
            </w:r>
          </w:p>
          <w:p w14:paraId="729EDAE6">
            <w:pPr>
              <w:pStyle w:val="47"/>
              <w:keepNext w:val="0"/>
              <w:keepLines w:val="0"/>
              <w:suppressLineNumbers w:val="0"/>
              <w:spacing w:before="0" w:beforeLines="0" w:beforeAutospacing="0" w:after="0" w:afterLines="0" w:afterAutospacing="0" w:line="240" w:lineRule="auto"/>
              <w:ind w:left="0" w:right="0"/>
              <w:rPr>
                <w:rFonts w:hint="eastAsia" w:ascii="Times New Roman" w:hAnsi="Times New Roman" w:eastAsia="宋体" w:cs="Times New Roman"/>
                <w:snapToGrid w:val="0"/>
                <w:color w:val="000000" w:themeColor="text1"/>
                <w:spacing w:val="-6"/>
                <w:kern w:val="21"/>
                <w:sz w:val="21"/>
                <w:szCs w:val="21"/>
                <w:highlight w:val="none"/>
                <w:lang w:eastAsia="zh-CN"/>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t>排放量（固体废物产生量）</w:t>
            </w: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instrText xml:space="preserve"> = 1 \* GB3 \* MERGEFORMAT </w:instrText>
            </w: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fldChar w:fldCharType="separate"/>
            </w: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t>①</w:t>
            </w: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fldChar w:fldCharType="end"/>
            </w:r>
            <w:r>
              <w:rPr>
                <w:rFonts w:hint="eastAsia" w:ascii="Times New Roman" w:eastAsia="宋体" w:cs="Times New Roman"/>
                <w:snapToGrid w:val="0"/>
                <w:color w:val="000000" w:themeColor="text1"/>
                <w:spacing w:val="-6"/>
                <w:kern w:val="2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t/a</w:t>
            </w:r>
            <w:r>
              <w:rPr>
                <w:rFonts w:hint="eastAsia" w:ascii="Times New Roman" w:eastAsia="宋体" w:cs="Times New Roman"/>
                <w:snapToGrid w:val="0"/>
                <w:color w:val="000000" w:themeColor="text1"/>
                <w:spacing w:val="-6"/>
                <w:kern w:val="21"/>
                <w:sz w:val="21"/>
                <w:szCs w:val="21"/>
                <w:highlight w:val="none"/>
                <w:lang w:eastAsia="zh-CN"/>
                <w14:textFill>
                  <w14:solidFill>
                    <w14:schemeClr w14:val="tx1"/>
                  </w14:solidFill>
                </w14:textFill>
              </w:rPr>
              <w:t>）</w:t>
            </w:r>
          </w:p>
        </w:tc>
        <w:tc>
          <w:tcPr>
            <w:tcW w:w="462" w:type="pct"/>
            <w:noWrap w:val="0"/>
            <w:tcMar>
              <w:left w:w="28" w:type="dxa"/>
              <w:right w:w="28" w:type="dxa"/>
            </w:tcMar>
            <w:vAlign w:val="center"/>
          </w:tcPr>
          <w:p w14:paraId="01E2D355">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t>现有工程</w:t>
            </w:r>
          </w:p>
          <w:p w14:paraId="3FFCCEC6">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t>许可排放量</w:t>
            </w:r>
          </w:p>
          <w:p w14:paraId="34390F7C">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instrText xml:space="preserve"> = 2 \* GB3 \* MERGEFORMAT </w:instrText>
            </w: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fldChar w:fldCharType="separate"/>
            </w: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t>②</w:t>
            </w: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fldChar w:fldCharType="end"/>
            </w:r>
            <w:r>
              <w:rPr>
                <w:rFonts w:hint="eastAsia" w:ascii="Times New Roman" w:eastAsia="宋体" w:cs="Times New Roman"/>
                <w:snapToGrid w:val="0"/>
                <w:color w:val="000000" w:themeColor="text1"/>
                <w:spacing w:val="-6"/>
                <w:kern w:val="2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t/a</w:t>
            </w:r>
            <w:r>
              <w:rPr>
                <w:rFonts w:hint="eastAsia" w:ascii="Times New Roman" w:eastAsia="宋体" w:cs="Times New Roman"/>
                <w:snapToGrid w:val="0"/>
                <w:color w:val="000000" w:themeColor="text1"/>
                <w:spacing w:val="-6"/>
                <w:kern w:val="21"/>
                <w:sz w:val="21"/>
                <w:szCs w:val="21"/>
                <w:highlight w:val="none"/>
                <w:lang w:eastAsia="zh-CN"/>
                <w14:textFill>
                  <w14:solidFill>
                    <w14:schemeClr w14:val="tx1"/>
                  </w14:solidFill>
                </w14:textFill>
              </w:rPr>
              <w:t>）</w:t>
            </w:r>
          </w:p>
        </w:tc>
        <w:tc>
          <w:tcPr>
            <w:tcW w:w="616" w:type="pct"/>
            <w:noWrap w:val="0"/>
            <w:tcMar>
              <w:left w:w="28" w:type="dxa"/>
              <w:right w:w="28" w:type="dxa"/>
            </w:tcMar>
            <w:vAlign w:val="center"/>
          </w:tcPr>
          <w:p w14:paraId="3DD44839">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t>在建工程</w:t>
            </w:r>
          </w:p>
          <w:p w14:paraId="18BF5027">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t>排放量（固体废物产生量）</w:t>
            </w: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instrText xml:space="preserve"> = 3 \* GB3 \* MERGEFORMAT </w:instrText>
            </w: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fldChar w:fldCharType="separate"/>
            </w: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t>③</w:t>
            </w: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fldChar w:fldCharType="end"/>
            </w:r>
            <w:r>
              <w:rPr>
                <w:rFonts w:hint="eastAsia" w:ascii="Times New Roman" w:eastAsia="宋体" w:cs="Times New Roman"/>
                <w:snapToGrid w:val="0"/>
                <w:color w:val="000000" w:themeColor="text1"/>
                <w:spacing w:val="-6"/>
                <w:kern w:val="2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t/a</w:t>
            </w:r>
            <w:r>
              <w:rPr>
                <w:rFonts w:hint="eastAsia" w:ascii="Times New Roman" w:eastAsia="宋体" w:cs="Times New Roman"/>
                <w:snapToGrid w:val="0"/>
                <w:color w:val="000000" w:themeColor="text1"/>
                <w:spacing w:val="-6"/>
                <w:kern w:val="21"/>
                <w:sz w:val="21"/>
                <w:szCs w:val="21"/>
                <w:highlight w:val="none"/>
                <w:lang w:eastAsia="zh-CN"/>
                <w14:textFill>
                  <w14:solidFill>
                    <w14:schemeClr w14:val="tx1"/>
                  </w14:solidFill>
                </w14:textFill>
              </w:rPr>
              <w:t>）</w:t>
            </w:r>
          </w:p>
        </w:tc>
        <w:tc>
          <w:tcPr>
            <w:tcW w:w="565" w:type="pct"/>
            <w:noWrap w:val="0"/>
            <w:tcMar>
              <w:left w:w="28" w:type="dxa"/>
              <w:right w:w="28" w:type="dxa"/>
            </w:tcMar>
            <w:vAlign w:val="center"/>
          </w:tcPr>
          <w:p w14:paraId="29978A24">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t>本项目</w:t>
            </w:r>
          </w:p>
          <w:p w14:paraId="000C4BB3">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t>排放量（固体废物产生量）</w:t>
            </w: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instrText xml:space="preserve"> = 4 \* GB3 \* MERGEFORMAT </w:instrText>
            </w: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fldChar w:fldCharType="separate"/>
            </w: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t>④</w:t>
            </w: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fldChar w:fldCharType="end"/>
            </w:r>
            <w:r>
              <w:rPr>
                <w:rFonts w:hint="eastAsia" w:ascii="Times New Roman" w:eastAsia="宋体" w:cs="Times New Roman"/>
                <w:snapToGrid w:val="0"/>
                <w:color w:val="000000" w:themeColor="text1"/>
                <w:spacing w:val="-6"/>
                <w:kern w:val="2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t/a</w:t>
            </w:r>
            <w:r>
              <w:rPr>
                <w:rFonts w:hint="eastAsia" w:ascii="Times New Roman" w:eastAsia="宋体" w:cs="Times New Roman"/>
                <w:snapToGrid w:val="0"/>
                <w:color w:val="000000" w:themeColor="text1"/>
                <w:spacing w:val="-6"/>
                <w:kern w:val="21"/>
                <w:sz w:val="21"/>
                <w:szCs w:val="21"/>
                <w:highlight w:val="none"/>
                <w:lang w:eastAsia="zh-CN"/>
                <w14:textFill>
                  <w14:solidFill>
                    <w14:schemeClr w14:val="tx1"/>
                  </w14:solidFill>
                </w14:textFill>
              </w:rPr>
              <w:t>）</w:t>
            </w:r>
          </w:p>
        </w:tc>
        <w:tc>
          <w:tcPr>
            <w:tcW w:w="524" w:type="pct"/>
            <w:noWrap w:val="0"/>
            <w:tcMar>
              <w:left w:w="28" w:type="dxa"/>
              <w:right w:w="28" w:type="dxa"/>
            </w:tcMar>
            <w:vAlign w:val="center"/>
          </w:tcPr>
          <w:p w14:paraId="51D415B1">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t>以新带老削减量</w:t>
            </w:r>
          </w:p>
          <w:p w14:paraId="4BCB05CE">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t>（</w:t>
            </w:r>
            <w:r>
              <w:rPr>
                <w:rFonts w:hint="eastAsia" w:ascii="Times New Roman" w:eastAsia="宋体" w:cs="Times New Roman"/>
                <w:snapToGrid w:val="0"/>
                <w:color w:val="000000" w:themeColor="text1"/>
                <w:spacing w:val="-6"/>
                <w:kern w:val="21"/>
                <w:sz w:val="21"/>
                <w:szCs w:val="21"/>
                <w:highlight w:val="none"/>
                <w:lang w:eastAsia="zh-CN"/>
                <w14:textFill>
                  <w14:solidFill>
                    <w14:schemeClr w14:val="tx1"/>
                  </w14:solidFill>
                </w14:textFill>
              </w:rPr>
              <w:t>改扩建项目</w:t>
            </w: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t>不填）</w:t>
            </w: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instrText xml:space="preserve"> = 5 \* GB3 \* MERGEFORMAT </w:instrText>
            </w: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fldChar w:fldCharType="separate"/>
            </w: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t>⑤</w:t>
            </w: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fldChar w:fldCharType="end"/>
            </w:r>
            <w:r>
              <w:rPr>
                <w:rFonts w:hint="eastAsia" w:ascii="Times New Roman" w:eastAsia="宋体" w:cs="Times New Roman"/>
                <w:snapToGrid w:val="0"/>
                <w:color w:val="000000" w:themeColor="text1"/>
                <w:spacing w:val="-6"/>
                <w:kern w:val="2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t/a</w:t>
            </w:r>
            <w:r>
              <w:rPr>
                <w:rFonts w:hint="eastAsia" w:ascii="Times New Roman" w:eastAsia="宋体" w:cs="Times New Roman"/>
                <w:snapToGrid w:val="0"/>
                <w:color w:val="000000" w:themeColor="text1"/>
                <w:spacing w:val="-6"/>
                <w:kern w:val="21"/>
                <w:sz w:val="21"/>
                <w:szCs w:val="21"/>
                <w:highlight w:val="none"/>
                <w:lang w:eastAsia="zh-CN"/>
                <w14:textFill>
                  <w14:solidFill>
                    <w14:schemeClr w14:val="tx1"/>
                  </w14:solidFill>
                </w14:textFill>
              </w:rPr>
              <w:t>）</w:t>
            </w:r>
          </w:p>
        </w:tc>
        <w:tc>
          <w:tcPr>
            <w:tcW w:w="636" w:type="pct"/>
            <w:noWrap w:val="0"/>
            <w:tcMar>
              <w:left w:w="28" w:type="dxa"/>
              <w:right w:w="28" w:type="dxa"/>
            </w:tcMar>
            <w:vAlign w:val="center"/>
          </w:tcPr>
          <w:p w14:paraId="028A55B9">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t>本项目建成后</w:t>
            </w:r>
          </w:p>
          <w:p w14:paraId="2A0CCCCC">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t>全厂排放量（固体废物产生量）</w:t>
            </w: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instrText xml:space="preserve"> = 6 \* GB3 \* MERGEFORMAT </w:instrText>
            </w: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fldChar w:fldCharType="separate"/>
            </w: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t>⑥</w:t>
            </w: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fldChar w:fldCharType="end"/>
            </w:r>
            <w:r>
              <w:rPr>
                <w:rFonts w:hint="eastAsia" w:ascii="Times New Roman" w:eastAsia="宋体" w:cs="Times New Roman"/>
                <w:snapToGrid w:val="0"/>
                <w:color w:val="000000" w:themeColor="text1"/>
                <w:spacing w:val="-6"/>
                <w:kern w:val="2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t/a</w:t>
            </w:r>
            <w:r>
              <w:rPr>
                <w:rFonts w:hint="eastAsia" w:ascii="Times New Roman" w:eastAsia="宋体" w:cs="Times New Roman"/>
                <w:snapToGrid w:val="0"/>
                <w:color w:val="000000" w:themeColor="text1"/>
                <w:spacing w:val="-6"/>
                <w:kern w:val="21"/>
                <w:sz w:val="21"/>
                <w:szCs w:val="21"/>
                <w:highlight w:val="none"/>
                <w:lang w:eastAsia="zh-CN"/>
                <w14:textFill>
                  <w14:solidFill>
                    <w14:schemeClr w14:val="tx1"/>
                  </w14:solidFill>
                </w14:textFill>
              </w:rPr>
              <w:t>）</w:t>
            </w:r>
          </w:p>
        </w:tc>
        <w:tc>
          <w:tcPr>
            <w:tcW w:w="487" w:type="pct"/>
            <w:noWrap w:val="0"/>
            <w:tcMar>
              <w:left w:w="28" w:type="dxa"/>
              <w:right w:w="28" w:type="dxa"/>
            </w:tcMar>
            <w:vAlign w:val="center"/>
          </w:tcPr>
          <w:p w14:paraId="6048FDA2">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t>变化量</w:t>
            </w:r>
          </w:p>
          <w:p w14:paraId="46297F2B">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fldChar w:fldCharType="begin"/>
            </w: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instrText xml:space="preserve"> = 7 \* GB3 \* MERGEFORMAT </w:instrText>
            </w: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fldChar w:fldCharType="separate"/>
            </w: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t>⑦</w:t>
            </w:r>
            <w:r>
              <w:rPr>
                <w:rFonts w:hint="default" w:ascii="Times New Roman" w:hAnsi="Times New Roman" w:eastAsia="宋体" w:cs="Times New Roman"/>
                <w:snapToGrid w:val="0"/>
                <w:color w:val="000000" w:themeColor="text1"/>
                <w:spacing w:val="-6"/>
                <w:kern w:val="21"/>
                <w:sz w:val="21"/>
                <w:szCs w:val="21"/>
                <w:highlight w:val="none"/>
                <w14:textFill>
                  <w14:solidFill>
                    <w14:schemeClr w14:val="tx1"/>
                  </w14:solidFill>
                </w14:textFill>
              </w:rPr>
              <w:fldChar w:fldCharType="end"/>
            </w:r>
            <w:r>
              <w:rPr>
                <w:rFonts w:hint="eastAsia" w:ascii="Times New Roman" w:eastAsia="宋体" w:cs="Times New Roman"/>
                <w:snapToGrid w:val="0"/>
                <w:color w:val="000000" w:themeColor="text1"/>
                <w:spacing w:val="-6"/>
                <w:kern w:val="2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t/a</w:t>
            </w:r>
            <w:r>
              <w:rPr>
                <w:rFonts w:hint="eastAsia" w:ascii="Times New Roman" w:eastAsia="宋体" w:cs="Times New Roman"/>
                <w:snapToGrid w:val="0"/>
                <w:color w:val="000000" w:themeColor="text1"/>
                <w:spacing w:val="-6"/>
                <w:kern w:val="21"/>
                <w:sz w:val="21"/>
                <w:szCs w:val="21"/>
                <w:highlight w:val="none"/>
                <w:lang w:eastAsia="zh-CN"/>
                <w14:textFill>
                  <w14:solidFill>
                    <w14:schemeClr w14:val="tx1"/>
                  </w14:solidFill>
                </w14:textFill>
              </w:rPr>
              <w:t>）</w:t>
            </w:r>
          </w:p>
        </w:tc>
      </w:tr>
      <w:tr w14:paraId="5B63BA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1" w:type="pct"/>
            <w:vMerge w:val="restart"/>
            <w:noWrap w:val="0"/>
            <w:vAlign w:val="center"/>
          </w:tcPr>
          <w:p w14:paraId="684EFB14">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废气</w:t>
            </w:r>
          </w:p>
        </w:tc>
        <w:tc>
          <w:tcPr>
            <w:tcW w:w="638" w:type="pct"/>
            <w:noWrap w:val="0"/>
            <w:vAlign w:val="center"/>
          </w:tcPr>
          <w:p w14:paraId="40000E4F">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颗粒物</w:t>
            </w:r>
          </w:p>
        </w:tc>
        <w:tc>
          <w:tcPr>
            <w:tcW w:w="616" w:type="pct"/>
            <w:noWrap w:val="0"/>
            <w:vAlign w:val="center"/>
          </w:tcPr>
          <w:p w14:paraId="4A4DB6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1.40</w:t>
            </w:r>
          </w:p>
        </w:tc>
        <w:tc>
          <w:tcPr>
            <w:tcW w:w="462" w:type="pct"/>
            <w:noWrap w:val="0"/>
            <w:vAlign w:val="center"/>
          </w:tcPr>
          <w:p w14:paraId="719555F6">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16" w:type="pct"/>
            <w:noWrap w:val="0"/>
            <w:vAlign w:val="center"/>
          </w:tcPr>
          <w:p w14:paraId="112EF75A">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65" w:type="pct"/>
            <w:noWrap w:val="0"/>
            <w:vAlign w:val="center"/>
          </w:tcPr>
          <w:p w14:paraId="58713ECF">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0.2028</w:t>
            </w:r>
          </w:p>
        </w:tc>
        <w:tc>
          <w:tcPr>
            <w:tcW w:w="524" w:type="pct"/>
            <w:noWrap w:val="0"/>
            <w:vAlign w:val="center"/>
          </w:tcPr>
          <w:p w14:paraId="4D2E986C">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36" w:type="pct"/>
            <w:noWrap w:val="0"/>
            <w:vAlign w:val="center"/>
          </w:tcPr>
          <w:p w14:paraId="0A13CDA0">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bidi="ar-SA"/>
                <w14:textFill>
                  <w14:solidFill>
                    <w14:schemeClr w14:val="tx1"/>
                  </w14:solidFill>
                </w14:textFill>
              </w:rPr>
              <w:t>1.6028</w:t>
            </w:r>
          </w:p>
        </w:tc>
        <w:tc>
          <w:tcPr>
            <w:tcW w:w="487" w:type="pct"/>
            <w:noWrap w:val="0"/>
            <w:vAlign w:val="center"/>
          </w:tcPr>
          <w:p w14:paraId="45B8B640">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0.2028</w:t>
            </w:r>
          </w:p>
        </w:tc>
      </w:tr>
      <w:tr w14:paraId="63CEC6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1" w:type="pct"/>
            <w:vMerge w:val="continue"/>
            <w:noWrap w:val="0"/>
            <w:vAlign w:val="center"/>
          </w:tcPr>
          <w:p w14:paraId="1F7EF81E">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p>
        </w:tc>
        <w:tc>
          <w:tcPr>
            <w:tcW w:w="638" w:type="pct"/>
            <w:noWrap w:val="0"/>
            <w:vAlign w:val="center"/>
          </w:tcPr>
          <w:p w14:paraId="6DB60094">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非甲烷总烃</w:t>
            </w:r>
          </w:p>
        </w:tc>
        <w:tc>
          <w:tcPr>
            <w:tcW w:w="616" w:type="pct"/>
            <w:noWrap w:val="0"/>
            <w:vAlign w:val="center"/>
          </w:tcPr>
          <w:p w14:paraId="63E93C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0.2626</w:t>
            </w:r>
          </w:p>
        </w:tc>
        <w:tc>
          <w:tcPr>
            <w:tcW w:w="462" w:type="pct"/>
            <w:noWrap w:val="0"/>
            <w:vAlign w:val="center"/>
          </w:tcPr>
          <w:p w14:paraId="25F3AA14">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16" w:type="pct"/>
            <w:noWrap w:val="0"/>
            <w:vAlign w:val="center"/>
          </w:tcPr>
          <w:p w14:paraId="6FE0D910">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65" w:type="pct"/>
            <w:noWrap w:val="0"/>
            <w:vAlign w:val="center"/>
          </w:tcPr>
          <w:p w14:paraId="448A02E9">
            <w:pPr>
              <w:pStyle w:val="47"/>
              <w:keepNext w:val="0"/>
              <w:keepLines w:val="0"/>
              <w:suppressLineNumbers w:val="0"/>
              <w:spacing w:before="0" w:beforeLines="0" w:beforeAutospacing="0" w:after="0" w:afterLines="0" w:afterAutospacing="0" w:line="240" w:lineRule="auto"/>
              <w:ind w:left="0" w:right="0"/>
              <w:rPr>
                <w:rFonts w:hint="default"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24" w:type="pct"/>
            <w:noWrap w:val="0"/>
            <w:vAlign w:val="center"/>
          </w:tcPr>
          <w:p w14:paraId="4A189E1C">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36" w:type="pct"/>
            <w:shd w:val="clear" w:color="auto" w:fill="auto"/>
            <w:noWrap w:val="0"/>
            <w:vAlign w:val="center"/>
          </w:tcPr>
          <w:p w14:paraId="6DE3B9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0.2626</w:t>
            </w:r>
          </w:p>
        </w:tc>
        <w:tc>
          <w:tcPr>
            <w:tcW w:w="487" w:type="pct"/>
            <w:noWrap w:val="0"/>
            <w:vAlign w:val="center"/>
          </w:tcPr>
          <w:p w14:paraId="3A0E624C">
            <w:pPr>
              <w:pStyle w:val="47"/>
              <w:keepNext w:val="0"/>
              <w:keepLines w:val="0"/>
              <w:suppressLineNumbers w:val="0"/>
              <w:spacing w:before="0" w:beforeLines="0" w:beforeAutospacing="0" w:after="0" w:afterLines="0" w:afterAutospacing="0" w:line="240" w:lineRule="auto"/>
              <w:ind w:left="0" w:leftChars="0" w:right="0" w:rightChars="0"/>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r>
      <w:tr w14:paraId="34EDC7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1" w:type="pct"/>
            <w:vMerge w:val="continue"/>
            <w:noWrap w:val="0"/>
            <w:vAlign w:val="center"/>
          </w:tcPr>
          <w:p w14:paraId="3BDF2EFA">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p>
        </w:tc>
        <w:tc>
          <w:tcPr>
            <w:tcW w:w="638" w:type="pct"/>
            <w:noWrap w:val="0"/>
            <w:vAlign w:val="center"/>
          </w:tcPr>
          <w:p w14:paraId="746B93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二氧化硫</w:t>
            </w:r>
          </w:p>
        </w:tc>
        <w:tc>
          <w:tcPr>
            <w:tcW w:w="616" w:type="pct"/>
            <w:noWrap w:val="0"/>
            <w:vAlign w:val="center"/>
          </w:tcPr>
          <w:p w14:paraId="5865FC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0.069</w:t>
            </w:r>
          </w:p>
        </w:tc>
        <w:tc>
          <w:tcPr>
            <w:tcW w:w="462" w:type="pct"/>
            <w:noWrap w:val="0"/>
            <w:vAlign w:val="center"/>
          </w:tcPr>
          <w:p w14:paraId="13871F5A">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16" w:type="pct"/>
            <w:noWrap w:val="0"/>
            <w:vAlign w:val="center"/>
          </w:tcPr>
          <w:p w14:paraId="177EAA76">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65" w:type="pct"/>
            <w:noWrap w:val="0"/>
            <w:vAlign w:val="center"/>
          </w:tcPr>
          <w:p w14:paraId="50032FCE">
            <w:pPr>
              <w:pStyle w:val="47"/>
              <w:keepNext w:val="0"/>
              <w:keepLines w:val="0"/>
              <w:suppressLineNumbers w:val="0"/>
              <w:spacing w:before="0" w:beforeLines="0" w:beforeAutospacing="0" w:after="0" w:afterLines="0" w:afterAutospacing="0" w:line="240" w:lineRule="auto"/>
              <w:ind w:left="0" w:right="0"/>
              <w:rPr>
                <w:rFonts w:hint="default"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24" w:type="pct"/>
            <w:noWrap w:val="0"/>
            <w:vAlign w:val="center"/>
          </w:tcPr>
          <w:p w14:paraId="0A3391DC">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36" w:type="pct"/>
            <w:shd w:val="clear" w:color="auto" w:fill="auto"/>
            <w:noWrap w:val="0"/>
            <w:vAlign w:val="center"/>
          </w:tcPr>
          <w:p w14:paraId="30D762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0.069</w:t>
            </w:r>
          </w:p>
        </w:tc>
        <w:tc>
          <w:tcPr>
            <w:tcW w:w="487" w:type="pct"/>
            <w:noWrap w:val="0"/>
            <w:vAlign w:val="center"/>
          </w:tcPr>
          <w:p w14:paraId="1078F685">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r>
      <w:tr w14:paraId="1DE295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1" w:type="pct"/>
            <w:vMerge w:val="continue"/>
            <w:noWrap w:val="0"/>
            <w:vAlign w:val="center"/>
          </w:tcPr>
          <w:p w14:paraId="4144688E">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p>
        </w:tc>
        <w:tc>
          <w:tcPr>
            <w:tcW w:w="638" w:type="pct"/>
            <w:noWrap w:val="0"/>
            <w:vAlign w:val="center"/>
          </w:tcPr>
          <w:p w14:paraId="3D0A08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氮氧化物</w:t>
            </w:r>
          </w:p>
        </w:tc>
        <w:tc>
          <w:tcPr>
            <w:tcW w:w="616" w:type="pct"/>
            <w:noWrap w:val="0"/>
            <w:vAlign w:val="center"/>
          </w:tcPr>
          <w:p w14:paraId="6D1100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0.308</w:t>
            </w:r>
          </w:p>
        </w:tc>
        <w:tc>
          <w:tcPr>
            <w:tcW w:w="462" w:type="pct"/>
            <w:noWrap w:val="0"/>
            <w:vAlign w:val="center"/>
          </w:tcPr>
          <w:p w14:paraId="41350A98">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16" w:type="pct"/>
            <w:noWrap w:val="0"/>
            <w:vAlign w:val="center"/>
          </w:tcPr>
          <w:p w14:paraId="7309F033">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65" w:type="pct"/>
            <w:noWrap w:val="0"/>
            <w:vAlign w:val="center"/>
          </w:tcPr>
          <w:p w14:paraId="621663B6">
            <w:pPr>
              <w:pStyle w:val="47"/>
              <w:keepNext w:val="0"/>
              <w:keepLines w:val="0"/>
              <w:suppressLineNumbers w:val="0"/>
              <w:spacing w:before="0" w:beforeLines="0" w:beforeAutospacing="0" w:after="0" w:afterLines="0" w:afterAutospacing="0" w:line="240" w:lineRule="auto"/>
              <w:ind w:left="0" w:right="0"/>
              <w:rPr>
                <w:rFonts w:hint="default"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24" w:type="pct"/>
            <w:noWrap w:val="0"/>
            <w:vAlign w:val="center"/>
          </w:tcPr>
          <w:p w14:paraId="2FFECDA2">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36" w:type="pct"/>
            <w:shd w:val="clear" w:color="auto" w:fill="auto"/>
            <w:noWrap w:val="0"/>
            <w:vAlign w:val="center"/>
          </w:tcPr>
          <w:p w14:paraId="3F1BB9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0.308</w:t>
            </w:r>
          </w:p>
        </w:tc>
        <w:tc>
          <w:tcPr>
            <w:tcW w:w="487" w:type="pct"/>
            <w:noWrap w:val="0"/>
            <w:vAlign w:val="center"/>
          </w:tcPr>
          <w:p w14:paraId="740B4619">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r>
      <w:tr w14:paraId="6BDD2E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1" w:type="pct"/>
            <w:vMerge w:val="restart"/>
            <w:noWrap w:val="0"/>
            <w:vAlign w:val="center"/>
          </w:tcPr>
          <w:p w14:paraId="0A645630">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废水</w:t>
            </w:r>
          </w:p>
        </w:tc>
        <w:tc>
          <w:tcPr>
            <w:tcW w:w="638" w:type="pct"/>
            <w:shd w:val="clear" w:color="auto" w:fill="auto"/>
            <w:noWrap w:val="0"/>
            <w:vAlign w:val="center"/>
          </w:tcPr>
          <w:p w14:paraId="420FDC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悬浮物</w:t>
            </w:r>
          </w:p>
        </w:tc>
        <w:tc>
          <w:tcPr>
            <w:tcW w:w="616" w:type="pct"/>
            <w:shd w:val="clear" w:color="auto" w:fill="auto"/>
            <w:noWrap w:val="0"/>
            <w:vAlign w:val="center"/>
          </w:tcPr>
          <w:p w14:paraId="231F33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8.1703</w:t>
            </w:r>
          </w:p>
        </w:tc>
        <w:tc>
          <w:tcPr>
            <w:tcW w:w="462" w:type="pct"/>
            <w:noWrap w:val="0"/>
            <w:vAlign w:val="center"/>
          </w:tcPr>
          <w:p w14:paraId="29D783E1">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16" w:type="pct"/>
            <w:noWrap w:val="0"/>
            <w:vAlign w:val="center"/>
          </w:tcPr>
          <w:p w14:paraId="1CEC9336">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65" w:type="pct"/>
            <w:noWrap w:val="0"/>
            <w:vAlign w:val="center"/>
          </w:tcPr>
          <w:p w14:paraId="6082A7B7">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b w:val="0"/>
                <w:bCs/>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0.2787</w:t>
            </w:r>
          </w:p>
        </w:tc>
        <w:tc>
          <w:tcPr>
            <w:tcW w:w="524" w:type="pct"/>
            <w:noWrap w:val="0"/>
            <w:vAlign w:val="center"/>
          </w:tcPr>
          <w:p w14:paraId="4C35FE3F">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36" w:type="pct"/>
            <w:noWrap w:val="0"/>
            <w:vAlign w:val="center"/>
          </w:tcPr>
          <w:p w14:paraId="494B9F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8.449</w:t>
            </w:r>
          </w:p>
        </w:tc>
        <w:tc>
          <w:tcPr>
            <w:tcW w:w="487" w:type="pct"/>
            <w:noWrap w:val="0"/>
            <w:vAlign w:val="center"/>
          </w:tcPr>
          <w:p w14:paraId="7D32DAF1">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0.2787</w:t>
            </w:r>
          </w:p>
        </w:tc>
      </w:tr>
      <w:tr w14:paraId="3D19E1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1" w:type="pct"/>
            <w:vMerge w:val="continue"/>
            <w:noWrap w:val="0"/>
            <w:vAlign w:val="center"/>
          </w:tcPr>
          <w:p w14:paraId="62D9774F">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p>
        </w:tc>
        <w:tc>
          <w:tcPr>
            <w:tcW w:w="638" w:type="pct"/>
            <w:shd w:val="clear" w:color="auto" w:fill="auto"/>
            <w:noWrap w:val="0"/>
            <w:vAlign w:val="center"/>
          </w:tcPr>
          <w:p w14:paraId="3C332E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五日生化需氧量</w:t>
            </w:r>
          </w:p>
        </w:tc>
        <w:tc>
          <w:tcPr>
            <w:tcW w:w="616" w:type="pct"/>
            <w:shd w:val="clear" w:color="auto" w:fill="auto"/>
            <w:noWrap w:val="0"/>
            <w:vAlign w:val="center"/>
          </w:tcPr>
          <w:p w14:paraId="5C8CD7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13.9349</w:t>
            </w:r>
          </w:p>
        </w:tc>
        <w:tc>
          <w:tcPr>
            <w:tcW w:w="462" w:type="pct"/>
            <w:noWrap w:val="0"/>
            <w:vAlign w:val="center"/>
          </w:tcPr>
          <w:p w14:paraId="5D23950A">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16" w:type="pct"/>
            <w:noWrap w:val="0"/>
            <w:vAlign w:val="center"/>
          </w:tcPr>
          <w:p w14:paraId="423F2AE2">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65" w:type="pct"/>
            <w:noWrap w:val="0"/>
            <w:vAlign w:val="center"/>
          </w:tcPr>
          <w:p w14:paraId="7D720B08">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0.4754</w:t>
            </w:r>
          </w:p>
        </w:tc>
        <w:tc>
          <w:tcPr>
            <w:tcW w:w="524" w:type="pct"/>
            <w:noWrap w:val="0"/>
            <w:vAlign w:val="center"/>
          </w:tcPr>
          <w:p w14:paraId="7BC85E23">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36" w:type="pct"/>
            <w:noWrap w:val="0"/>
            <w:vAlign w:val="center"/>
          </w:tcPr>
          <w:p w14:paraId="522195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14.4103</w:t>
            </w:r>
          </w:p>
        </w:tc>
        <w:tc>
          <w:tcPr>
            <w:tcW w:w="487" w:type="pct"/>
            <w:noWrap w:val="0"/>
            <w:vAlign w:val="center"/>
          </w:tcPr>
          <w:p w14:paraId="6747BB4E">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0.4754</w:t>
            </w:r>
          </w:p>
        </w:tc>
      </w:tr>
      <w:tr w14:paraId="3B6D38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451" w:type="pct"/>
            <w:vMerge w:val="continue"/>
            <w:noWrap w:val="0"/>
            <w:vAlign w:val="center"/>
          </w:tcPr>
          <w:p w14:paraId="259D898F">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p>
        </w:tc>
        <w:tc>
          <w:tcPr>
            <w:tcW w:w="638" w:type="pct"/>
            <w:shd w:val="clear" w:color="auto" w:fill="auto"/>
            <w:noWrap w:val="0"/>
            <w:vAlign w:val="center"/>
          </w:tcPr>
          <w:p w14:paraId="17470A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化学需氧量</w:t>
            </w:r>
          </w:p>
        </w:tc>
        <w:tc>
          <w:tcPr>
            <w:tcW w:w="616" w:type="pct"/>
            <w:shd w:val="clear" w:color="auto" w:fill="auto"/>
            <w:noWrap w:val="0"/>
            <w:vAlign w:val="center"/>
          </w:tcPr>
          <w:p w14:paraId="5DF6B2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43.5750</w:t>
            </w:r>
          </w:p>
        </w:tc>
        <w:tc>
          <w:tcPr>
            <w:tcW w:w="462" w:type="pct"/>
            <w:noWrap w:val="0"/>
            <w:vAlign w:val="center"/>
          </w:tcPr>
          <w:p w14:paraId="6166FD61">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16" w:type="pct"/>
            <w:noWrap w:val="0"/>
            <w:vAlign w:val="center"/>
          </w:tcPr>
          <w:p w14:paraId="71F56454">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65" w:type="pct"/>
            <w:noWrap w:val="0"/>
            <w:vAlign w:val="center"/>
          </w:tcPr>
          <w:p w14:paraId="4CB463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1.4866</w:t>
            </w:r>
          </w:p>
        </w:tc>
        <w:tc>
          <w:tcPr>
            <w:tcW w:w="524" w:type="pct"/>
            <w:noWrap w:val="0"/>
            <w:vAlign w:val="center"/>
          </w:tcPr>
          <w:p w14:paraId="02EB3E70">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36" w:type="pct"/>
            <w:noWrap w:val="0"/>
            <w:vAlign w:val="center"/>
          </w:tcPr>
          <w:p w14:paraId="35839B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45.0616</w:t>
            </w:r>
          </w:p>
        </w:tc>
        <w:tc>
          <w:tcPr>
            <w:tcW w:w="487" w:type="pct"/>
            <w:noWrap w:val="0"/>
            <w:vAlign w:val="center"/>
          </w:tcPr>
          <w:p w14:paraId="54EF47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1.4866</w:t>
            </w:r>
          </w:p>
        </w:tc>
      </w:tr>
      <w:tr w14:paraId="03DCBF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1" w:type="pct"/>
            <w:vMerge w:val="continue"/>
            <w:noWrap w:val="0"/>
            <w:vAlign w:val="center"/>
          </w:tcPr>
          <w:p w14:paraId="235EA944">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p>
        </w:tc>
        <w:tc>
          <w:tcPr>
            <w:tcW w:w="638" w:type="pct"/>
            <w:shd w:val="clear" w:color="auto" w:fill="auto"/>
            <w:noWrap w:val="0"/>
            <w:vAlign w:val="center"/>
          </w:tcPr>
          <w:p w14:paraId="683E2C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氨氮</w:t>
            </w:r>
          </w:p>
        </w:tc>
        <w:tc>
          <w:tcPr>
            <w:tcW w:w="616" w:type="pct"/>
            <w:shd w:val="clear" w:color="auto" w:fill="auto"/>
            <w:noWrap w:val="0"/>
            <w:vAlign w:val="center"/>
          </w:tcPr>
          <w:p w14:paraId="087C26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1.280</w:t>
            </w:r>
          </w:p>
        </w:tc>
        <w:tc>
          <w:tcPr>
            <w:tcW w:w="462" w:type="pct"/>
            <w:noWrap w:val="0"/>
            <w:vAlign w:val="center"/>
          </w:tcPr>
          <w:p w14:paraId="4F5E7A32">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16" w:type="pct"/>
            <w:noWrap w:val="0"/>
            <w:vAlign w:val="center"/>
          </w:tcPr>
          <w:p w14:paraId="4AA55F83">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65" w:type="pct"/>
            <w:noWrap w:val="0"/>
            <w:vAlign w:val="center"/>
          </w:tcPr>
          <w:p w14:paraId="12568EC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0.0437</w:t>
            </w:r>
          </w:p>
        </w:tc>
        <w:tc>
          <w:tcPr>
            <w:tcW w:w="524" w:type="pct"/>
            <w:noWrap w:val="0"/>
            <w:vAlign w:val="center"/>
          </w:tcPr>
          <w:p w14:paraId="0F240E49">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36" w:type="pct"/>
            <w:noWrap w:val="0"/>
            <w:vAlign w:val="center"/>
          </w:tcPr>
          <w:p w14:paraId="18BB2A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1.3237</w:t>
            </w:r>
          </w:p>
        </w:tc>
        <w:tc>
          <w:tcPr>
            <w:tcW w:w="487" w:type="pct"/>
            <w:noWrap w:val="0"/>
            <w:vAlign w:val="center"/>
          </w:tcPr>
          <w:p w14:paraId="67F518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0.0437</w:t>
            </w:r>
          </w:p>
        </w:tc>
      </w:tr>
      <w:tr w14:paraId="486762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1" w:type="pct"/>
            <w:vMerge w:val="continue"/>
            <w:noWrap w:val="0"/>
            <w:vAlign w:val="center"/>
          </w:tcPr>
          <w:p w14:paraId="5D147E30">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p>
        </w:tc>
        <w:tc>
          <w:tcPr>
            <w:tcW w:w="638" w:type="pct"/>
            <w:shd w:val="clear" w:color="auto" w:fill="auto"/>
            <w:noWrap w:val="0"/>
            <w:vAlign w:val="center"/>
          </w:tcPr>
          <w:p w14:paraId="730198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总氮</w:t>
            </w:r>
          </w:p>
        </w:tc>
        <w:tc>
          <w:tcPr>
            <w:tcW w:w="616" w:type="pct"/>
            <w:shd w:val="clear" w:color="auto" w:fill="auto"/>
            <w:noWrap w:val="0"/>
            <w:vAlign w:val="center"/>
          </w:tcPr>
          <w:p w14:paraId="2CE6F4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3.1002</w:t>
            </w:r>
          </w:p>
        </w:tc>
        <w:tc>
          <w:tcPr>
            <w:tcW w:w="462" w:type="pct"/>
            <w:noWrap w:val="0"/>
            <w:vAlign w:val="center"/>
          </w:tcPr>
          <w:p w14:paraId="269B57E3">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16" w:type="pct"/>
            <w:noWrap w:val="0"/>
            <w:vAlign w:val="center"/>
          </w:tcPr>
          <w:p w14:paraId="771E90A6">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65" w:type="pct"/>
            <w:noWrap w:val="0"/>
            <w:vAlign w:val="center"/>
          </w:tcPr>
          <w:p w14:paraId="4EEBDFD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0.1058</w:t>
            </w:r>
          </w:p>
        </w:tc>
        <w:tc>
          <w:tcPr>
            <w:tcW w:w="524" w:type="pct"/>
            <w:noWrap w:val="0"/>
            <w:vAlign w:val="center"/>
          </w:tcPr>
          <w:p w14:paraId="052E8794">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36" w:type="pct"/>
            <w:noWrap w:val="0"/>
            <w:vAlign w:val="center"/>
          </w:tcPr>
          <w:p w14:paraId="4BEED4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3.206</w:t>
            </w:r>
          </w:p>
        </w:tc>
        <w:tc>
          <w:tcPr>
            <w:tcW w:w="487" w:type="pct"/>
            <w:noWrap w:val="0"/>
            <w:vAlign w:val="center"/>
          </w:tcPr>
          <w:p w14:paraId="7B098B5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0.1058</w:t>
            </w:r>
          </w:p>
        </w:tc>
      </w:tr>
      <w:tr w14:paraId="2D9EEF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1" w:type="pct"/>
            <w:vMerge w:val="continue"/>
            <w:noWrap w:val="0"/>
            <w:vAlign w:val="center"/>
          </w:tcPr>
          <w:p w14:paraId="4EDC4415">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p>
        </w:tc>
        <w:tc>
          <w:tcPr>
            <w:tcW w:w="638" w:type="pct"/>
            <w:shd w:val="clear" w:color="auto" w:fill="auto"/>
            <w:noWrap w:val="0"/>
            <w:vAlign w:val="center"/>
          </w:tcPr>
          <w:p w14:paraId="39D5DD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总磷</w:t>
            </w:r>
          </w:p>
        </w:tc>
        <w:tc>
          <w:tcPr>
            <w:tcW w:w="616" w:type="pct"/>
            <w:shd w:val="clear" w:color="auto" w:fill="auto"/>
            <w:noWrap w:val="0"/>
            <w:vAlign w:val="center"/>
          </w:tcPr>
          <w:p w14:paraId="72555B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0.8715</w:t>
            </w:r>
          </w:p>
        </w:tc>
        <w:tc>
          <w:tcPr>
            <w:tcW w:w="462" w:type="pct"/>
            <w:noWrap w:val="0"/>
            <w:vAlign w:val="center"/>
          </w:tcPr>
          <w:p w14:paraId="4F249323">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16" w:type="pct"/>
            <w:noWrap w:val="0"/>
            <w:vAlign w:val="center"/>
          </w:tcPr>
          <w:p w14:paraId="4D29FF6E">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65" w:type="pct"/>
            <w:noWrap w:val="0"/>
            <w:vAlign w:val="center"/>
          </w:tcPr>
          <w:p w14:paraId="263A186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0.0297</w:t>
            </w:r>
          </w:p>
        </w:tc>
        <w:tc>
          <w:tcPr>
            <w:tcW w:w="524" w:type="pct"/>
            <w:noWrap w:val="0"/>
            <w:vAlign w:val="center"/>
          </w:tcPr>
          <w:p w14:paraId="3AAFEF97">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36" w:type="pct"/>
            <w:noWrap w:val="0"/>
            <w:vAlign w:val="center"/>
          </w:tcPr>
          <w:p w14:paraId="77EA46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0.9012</w:t>
            </w:r>
          </w:p>
        </w:tc>
        <w:tc>
          <w:tcPr>
            <w:tcW w:w="487" w:type="pct"/>
            <w:noWrap w:val="0"/>
            <w:vAlign w:val="center"/>
          </w:tcPr>
          <w:p w14:paraId="09D852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0.0297</w:t>
            </w:r>
          </w:p>
        </w:tc>
      </w:tr>
      <w:tr w14:paraId="2BA7A2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1" w:type="pct"/>
            <w:vMerge w:val="continue"/>
            <w:noWrap w:val="0"/>
            <w:vAlign w:val="center"/>
          </w:tcPr>
          <w:p w14:paraId="1B0A4305">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p>
        </w:tc>
        <w:tc>
          <w:tcPr>
            <w:tcW w:w="638" w:type="pct"/>
            <w:shd w:val="clear" w:color="auto" w:fill="auto"/>
            <w:noWrap w:val="0"/>
            <w:vAlign w:val="center"/>
          </w:tcPr>
          <w:p w14:paraId="7A8C7B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动植物油</w:t>
            </w:r>
          </w:p>
        </w:tc>
        <w:tc>
          <w:tcPr>
            <w:tcW w:w="616" w:type="pct"/>
            <w:shd w:val="clear" w:color="auto" w:fill="auto"/>
            <w:noWrap w:val="0"/>
            <w:vAlign w:val="center"/>
          </w:tcPr>
          <w:p w14:paraId="027203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0.0272</w:t>
            </w:r>
          </w:p>
        </w:tc>
        <w:tc>
          <w:tcPr>
            <w:tcW w:w="462" w:type="pct"/>
            <w:noWrap w:val="0"/>
            <w:vAlign w:val="center"/>
          </w:tcPr>
          <w:p w14:paraId="61DE1B04">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16" w:type="pct"/>
            <w:noWrap w:val="0"/>
            <w:vAlign w:val="center"/>
          </w:tcPr>
          <w:p w14:paraId="2491809C">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65" w:type="pct"/>
            <w:noWrap w:val="0"/>
            <w:vAlign w:val="center"/>
          </w:tcPr>
          <w:p w14:paraId="50D7FA60">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0.000</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9</w:t>
            </w:r>
          </w:p>
        </w:tc>
        <w:tc>
          <w:tcPr>
            <w:tcW w:w="524" w:type="pct"/>
            <w:noWrap w:val="0"/>
            <w:vAlign w:val="center"/>
          </w:tcPr>
          <w:p w14:paraId="040DF954">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36" w:type="pct"/>
            <w:noWrap w:val="0"/>
            <w:vAlign w:val="center"/>
          </w:tcPr>
          <w:p w14:paraId="3891EB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0.0281</w:t>
            </w:r>
          </w:p>
        </w:tc>
        <w:tc>
          <w:tcPr>
            <w:tcW w:w="487" w:type="pct"/>
            <w:noWrap w:val="0"/>
            <w:vAlign w:val="center"/>
          </w:tcPr>
          <w:p w14:paraId="6C7173A3">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0.000</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9</w:t>
            </w:r>
          </w:p>
        </w:tc>
      </w:tr>
      <w:tr w14:paraId="6E9BD2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1" w:type="pct"/>
            <w:vMerge w:val="continue"/>
            <w:noWrap w:val="0"/>
            <w:vAlign w:val="center"/>
          </w:tcPr>
          <w:p w14:paraId="53FD55E7">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p>
        </w:tc>
        <w:tc>
          <w:tcPr>
            <w:tcW w:w="638" w:type="pct"/>
            <w:shd w:val="clear" w:color="auto" w:fill="auto"/>
            <w:noWrap w:val="0"/>
            <w:vAlign w:val="center"/>
          </w:tcPr>
          <w:p w14:paraId="509622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总氰化物</w:t>
            </w:r>
          </w:p>
        </w:tc>
        <w:tc>
          <w:tcPr>
            <w:tcW w:w="616" w:type="pct"/>
            <w:shd w:val="clear" w:color="auto" w:fill="auto"/>
            <w:noWrap w:val="0"/>
            <w:vAlign w:val="center"/>
          </w:tcPr>
          <w:p w14:paraId="657363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0.0018</w:t>
            </w:r>
          </w:p>
        </w:tc>
        <w:tc>
          <w:tcPr>
            <w:tcW w:w="462" w:type="pct"/>
            <w:noWrap w:val="0"/>
            <w:vAlign w:val="center"/>
          </w:tcPr>
          <w:p w14:paraId="1FF9D93C">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16" w:type="pct"/>
            <w:noWrap w:val="0"/>
            <w:vAlign w:val="center"/>
          </w:tcPr>
          <w:p w14:paraId="66BDA698">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65" w:type="pct"/>
            <w:noWrap w:val="0"/>
            <w:vAlign w:val="center"/>
          </w:tcPr>
          <w:p w14:paraId="0332D799">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0.0000</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6</w:t>
            </w:r>
          </w:p>
        </w:tc>
        <w:tc>
          <w:tcPr>
            <w:tcW w:w="524" w:type="pct"/>
            <w:noWrap w:val="0"/>
            <w:vAlign w:val="center"/>
          </w:tcPr>
          <w:p w14:paraId="29BFE488">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36" w:type="pct"/>
            <w:noWrap w:val="0"/>
            <w:vAlign w:val="center"/>
          </w:tcPr>
          <w:p w14:paraId="65AEC9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0.00186</w:t>
            </w:r>
          </w:p>
        </w:tc>
        <w:tc>
          <w:tcPr>
            <w:tcW w:w="487" w:type="pct"/>
            <w:noWrap w:val="0"/>
            <w:vAlign w:val="center"/>
          </w:tcPr>
          <w:p w14:paraId="4A2A28E2">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0.0000</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6</w:t>
            </w:r>
          </w:p>
        </w:tc>
      </w:tr>
      <w:tr w14:paraId="4976AD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1" w:type="pct"/>
            <w:vMerge w:val="continue"/>
            <w:noWrap w:val="0"/>
            <w:vAlign w:val="center"/>
          </w:tcPr>
          <w:p w14:paraId="5F663A4C">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p>
        </w:tc>
        <w:tc>
          <w:tcPr>
            <w:tcW w:w="638" w:type="pct"/>
            <w:shd w:val="clear" w:color="auto" w:fill="auto"/>
            <w:noWrap w:val="0"/>
            <w:vAlign w:val="center"/>
          </w:tcPr>
          <w:p w14:paraId="40D7D4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总有机碳</w:t>
            </w:r>
          </w:p>
        </w:tc>
        <w:tc>
          <w:tcPr>
            <w:tcW w:w="616" w:type="pct"/>
            <w:shd w:val="clear" w:color="auto" w:fill="auto"/>
            <w:noWrap w:val="0"/>
            <w:vAlign w:val="center"/>
          </w:tcPr>
          <w:p w14:paraId="596C6D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2.1334</w:t>
            </w:r>
          </w:p>
        </w:tc>
        <w:tc>
          <w:tcPr>
            <w:tcW w:w="462" w:type="pct"/>
            <w:noWrap w:val="0"/>
            <w:vAlign w:val="center"/>
          </w:tcPr>
          <w:p w14:paraId="1ECB7EF0">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16" w:type="pct"/>
            <w:noWrap w:val="0"/>
            <w:vAlign w:val="center"/>
          </w:tcPr>
          <w:p w14:paraId="1B09DFE0">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65" w:type="pct"/>
            <w:noWrap w:val="0"/>
            <w:vAlign w:val="center"/>
          </w:tcPr>
          <w:p w14:paraId="27C3CF72">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0.0728</w:t>
            </w:r>
          </w:p>
        </w:tc>
        <w:tc>
          <w:tcPr>
            <w:tcW w:w="524" w:type="pct"/>
            <w:noWrap w:val="0"/>
            <w:vAlign w:val="center"/>
          </w:tcPr>
          <w:p w14:paraId="74F3CBB0">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36" w:type="pct"/>
            <w:noWrap w:val="0"/>
            <w:vAlign w:val="center"/>
          </w:tcPr>
          <w:p w14:paraId="03B3A5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2.2062</w:t>
            </w:r>
          </w:p>
        </w:tc>
        <w:tc>
          <w:tcPr>
            <w:tcW w:w="487" w:type="pct"/>
            <w:noWrap w:val="0"/>
            <w:vAlign w:val="center"/>
          </w:tcPr>
          <w:p w14:paraId="6D7A2234">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cs="Times New Roman"/>
                <w:b w:val="0"/>
                <w:color w:val="000000" w:themeColor="text1"/>
                <w:kern w:val="2"/>
                <w:sz w:val="21"/>
                <w:szCs w:val="21"/>
                <w:highlight w:val="none"/>
                <w:lang w:val="en-US" w:eastAsia="zh-CN" w:bidi="ar-SA"/>
                <w14:textFill>
                  <w14:solidFill>
                    <w14:schemeClr w14:val="tx1"/>
                  </w14:solidFill>
                </w14:textFill>
              </w:rPr>
              <w:t>+0.0728</w:t>
            </w:r>
          </w:p>
        </w:tc>
      </w:tr>
      <w:tr w14:paraId="018104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1" w:type="pct"/>
            <w:vMerge w:val="restart"/>
            <w:noWrap w:val="0"/>
            <w:vAlign w:val="center"/>
          </w:tcPr>
          <w:p w14:paraId="6A62CD23">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一般工业</w:t>
            </w:r>
          </w:p>
          <w:p w14:paraId="2D203C90">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固体废物</w:t>
            </w:r>
          </w:p>
        </w:tc>
        <w:tc>
          <w:tcPr>
            <w:tcW w:w="638" w:type="pct"/>
            <w:noWrap w:val="0"/>
            <w:vAlign w:val="center"/>
          </w:tcPr>
          <w:p w14:paraId="7610E8E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kern w:val="0"/>
                <w:sz w:val="21"/>
                <w:szCs w:val="21"/>
                <w:highlight w:val="none"/>
                <w:lang w:val="en-US" w:eastAsia="zh-CN" w:bidi="ar-SA"/>
                <w14:textFill>
                  <w14:solidFill>
                    <w14:schemeClr w14:val="tx1"/>
                  </w14:solidFill>
                </w14:textFill>
              </w:rPr>
              <w:t>分拣废渣</w:t>
            </w:r>
          </w:p>
        </w:tc>
        <w:tc>
          <w:tcPr>
            <w:tcW w:w="616" w:type="pct"/>
            <w:noWrap w:val="0"/>
            <w:vAlign w:val="center"/>
          </w:tcPr>
          <w:p w14:paraId="19E51586">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462" w:type="pct"/>
            <w:noWrap w:val="0"/>
            <w:vAlign w:val="center"/>
          </w:tcPr>
          <w:p w14:paraId="7457AE5D">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16" w:type="pct"/>
            <w:noWrap w:val="0"/>
            <w:vAlign w:val="center"/>
          </w:tcPr>
          <w:p w14:paraId="566A90D4">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65" w:type="pct"/>
            <w:noWrap w:val="0"/>
            <w:vAlign w:val="center"/>
          </w:tcPr>
          <w:p w14:paraId="6CF7221B">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8.5821</w:t>
            </w:r>
          </w:p>
        </w:tc>
        <w:tc>
          <w:tcPr>
            <w:tcW w:w="524" w:type="pct"/>
            <w:noWrap w:val="0"/>
            <w:vAlign w:val="center"/>
          </w:tcPr>
          <w:p w14:paraId="65E4A2C9">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36" w:type="pct"/>
            <w:shd w:val="clear" w:color="auto" w:fill="auto"/>
            <w:noWrap w:val="0"/>
            <w:vAlign w:val="center"/>
          </w:tcPr>
          <w:p w14:paraId="51EAE701">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8.5821</w:t>
            </w:r>
          </w:p>
        </w:tc>
        <w:tc>
          <w:tcPr>
            <w:tcW w:w="487" w:type="pct"/>
            <w:noWrap w:val="0"/>
            <w:vAlign w:val="center"/>
          </w:tcPr>
          <w:p w14:paraId="42C386DE">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+8.5821</w:t>
            </w:r>
          </w:p>
        </w:tc>
      </w:tr>
      <w:tr w14:paraId="24D0AC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1" w:type="pct"/>
            <w:vMerge w:val="continue"/>
            <w:noWrap w:val="0"/>
            <w:vAlign w:val="center"/>
          </w:tcPr>
          <w:p w14:paraId="59A118F3">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p>
        </w:tc>
        <w:tc>
          <w:tcPr>
            <w:tcW w:w="638" w:type="pct"/>
            <w:noWrap w:val="0"/>
            <w:vAlign w:val="center"/>
          </w:tcPr>
          <w:p w14:paraId="4BA12D0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废渣</w:t>
            </w:r>
          </w:p>
        </w:tc>
        <w:tc>
          <w:tcPr>
            <w:tcW w:w="616" w:type="pct"/>
            <w:noWrap w:val="0"/>
            <w:vAlign w:val="center"/>
          </w:tcPr>
          <w:p w14:paraId="435F3574">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462" w:type="pct"/>
            <w:noWrap w:val="0"/>
            <w:vAlign w:val="center"/>
          </w:tcPr>
          <w:p w14:paraId="76CFF574">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16" w:type="pct"/>
            <w:noWrap w:val="0"/>
            <w:vAlign w:val="center"/>
          </w:tcPr>
          <w:p w14:paraId="2BC4F9CE">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65" w:type="pct"/>
            <w:noWrap w:val="0"/>
            <w:vAlign w:val="center"/>
          </w:tcPr>
          <w:p w14:paraId="046A2C2C">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0.30</w:t>
            </w:r>
          </w:p>
        </w:tc>
        <w:tc>
          <w:tcPr>
            <w:tcW w:w="524" w:type="pct"/>
            <w:noWrap w:val="0"/>
            <w:vAlign w:val="center"/>
          </w:tcPr>
          <w:p w14:paraId="0A770374">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36" w:type="pct"/>
            <w:shd w:val="clear" w:color="auto" w:fill="auto"/>
            <w:noWrap w:val="0"/>
            <w:vAlign w:val="center"/>
          </w:tcPr>
          <w:p w14:paraId="62FB3869">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0.30</w:t>
            </w:r>
          </w:p>
        </w:tc>
        <w:tc>
          <w:tcPr>
            <w:tcW w:w="487" w:type="pct"/>
            <w:noWrap w:val="0"/>
            <w:vAlign w:val="center"/>
          </w:tcPr>
          <w:p w14:paraId="5959D4EE">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0.30</w:t>
            </w:r>
          </w:p>
        </w:tc>
      </w:tr>
      <w:tr w14:paraId="717B7A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1" w:type="pct"/>
            <w:vMerge w:val="continue"/>
            <w:noWrap w:val="0"/>
            <w:vAlign w:val="center"/>
          </w:tcPr>
          <w:p w14:paraId="5DC65B55">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p>
        </w:tc>
        <w:tc>
          <w:tcPr>
            <w:tcW w:w="638" w:type="pct"/>
            <w:noWrap w:val="0"/>
            <w:vAlign w:val="center"/>
          </w:tcPr>
          <w:p w14:paraId="0527A7E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废捕集袋</w:t>
            </w:r>
          </w:p>
        </w:tc>
        <w:tc>
          <w:tcPr>
            <w:tcW w:w="616" w:type="pct"/>
            <w:noWrap w:val="0"/>
            <w:vAlign w:val="center"/>
          </w:tcPr>
          <w:p w14:paraId="1C0276A1">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462" w:type="pct"/>
            <w:noWrap w:val="0"/>
            <w:vAlign w:val="center"/>
          </w:tcPr>
          <w:p w14:paraId="03D72533">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16" w:type="pct"/>
            <w:noWrap w:val="0"/>
            <w:vAlign w:val="center"/>
          </w:tcPr>
          <w:p w14:paraId="3BC7649C">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65" w:type="pct"/>
            <w:noWrap w:val="0"/>
            <w:vAlign w:val="center"/>
          </w:tcPr>
          <w:p w14:paraId="64EE5E0F">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0.05</w:t>
            </w:r>
          </w:p>
        </w:tc>
        <w:tc>
          <w:tcPr>
            <w:tcW w:w="524" w:type="pct"/>
            <w:noWrap w:val="0"/>
            <w:vAlign w:val="center"/>
          </w:tcPr>
          <w:p w14:paraId="2BAF7CCA">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36" w:type="pct"/>
            <w:shd w:val="clear" w:color="auto" w:fill="auto"/>
            <w:noWrap w:val="0"/>
            <w:vAlign w:val="center"/>
          </w:tcPr>
          <w:p w14:paraId="419AF110">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0.05</w:t>
            </w:r>
          </w:p>
        </w:tc>
        <w:tc>
          <w:tcPr>
            <w:tcW w:w="487" w:type="pct"/>
            <w:noWrap w:val="0"/>
            <w:vAlign w:val="center"/>
          </w:tcPr>
          <w:p w14:paraId="44482933">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+0.05</w:t>
            </w:r>
          </w:p>
        </w:tc>
      </w:tr>
      <w:tr w14:paraId="25F6DD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1" w:type="pct"/>
            <w:vMerge w:val="continue"/>
            <w:noWrap w:val="0"/>
            <w:vAlign w:val="center"/>
          </w:tcPr>
          <w:p w14:paraId="0040A08E">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p>
        </w:tc>
        <w:tc>
          <w:tcPr>
            <w:tcW w:w="638" w:type="pct"/>
            <w:noWrap w:val="0"/>
            <w:vAlign w:val="center"/>
          </w:tcPr>
          <w:p w14:paraId="571C86A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废包装材料及</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废胶囊材料</w:t>
            </w:r>
          </w:p>
        </w:tc>
        <w:tc>
          <w:tcPr>
            <w:tcW w:w="616" w:type="pct"/>
            <w:noWrap w:val="0"/>
            <w:vAlign w:val="center"/>
          </w:tcPr>
          <w:p w14:paraId="66F47389">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2.3</w:t>
            </w:r>
          </w:p>
        </w:tc>
        <w:tc>
          <w:tcPr>
            <w:tcW w:w="462" w:type="pct"/>
            <w:noWrap w:val="0"/>
            <w:vAlign w:val="center"/>
          </w:tcPr>
          <w:p w14:paraId="11B28666">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16" w:type="pct"/>
            <w:noWrap w:val="0"/>
            <w:vAlign w:val="center"/>
          </w:tcPr>
          <w:p w14:paraId="2D81690C">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65" w:type="pct"/>
            <w:noWrap w:val="0"/>
            <w:vAlign w:val="center"/>
          </w:tcPr>
          <w:p w14:paraId="268497CD">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0.315</w:t>
            </w:r>
          </w:p>
        </w:tc>
        <w:tc>
          <w:tcPr>
            <w:tcW w:w="524" w:type="pct"/>
            <w:noWrap w:val="0"/>
            <w:vAlign w:val="center"/>
          </w:tcPr>
          <w:p w14:paraId="248B1DFE">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36" w:type="pct"/>
            <w:noWrap w:val="0"/>
            <w:vAlign w:val="center"/>
          </w:tcPr>
          <w:p w14:paraId="41CEA452">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2.615</w:t>
            </w:r>
          </w:p>
        </w:tc>
        <w:tc>
          <w:tcPr>
            <w:tcW w:w="487" w:type="pct"/>
            <w:noWrap w:val="0"/>
            <w:vAlign w:val="center"/>
          </w:tcPr>
          <w:p w14:paraId="5F80090F">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0.315</w:t>
            </w:r>
          </w:p>
        </w:tc>
      </w:tr>
      <w:tr w14:paraId="3CDDB1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1" w:type="pct"/>
            <w:vMerge w:val="continue"/>
            <w:noWrap w:val="0"/>
            <w:vAlign w:val="center"/>
          </w:tcPr>
          <w:p w14:paraId="53481C91">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p>
        </w:tc>
        <w:tc>
          <w:tcPr>
            <w:tcW w:w="638" w:type="pct"/>
            <w:noWrap w:val="0"/>
            <w:vAlign w:val="center"/>
          </w:tcPr>
          <w:p w14:paraId="6441FDA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除尘灰</w:t>
            </w:r>
          </w:p>
        </w:tc>
        <w:tc>
          <w:tcPr>
            <w:tcW w:w="616" w:type="pct"/>
            <w:noWrap w:val="0"/>
            <w:vAlign w:val="center"/>
          </w:tcPr>
          <w:p w14:paraId="22ED2DF3">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3.4</w:t>
            </w:r>
          </w:p>
        </w:tc>
        <w:tc>
          <w:tcPr>
            <w:tcW w:w="462" w:type="pct"/>
            <w:noWrap w:val="0"/>
            <w:vAlign w:val="center"/>
          </w:tcPr>
          <w:p w14:paraId="4ACEC6F6">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16" w:type="pct"/>
            <w:noWrap w:val="0"/>
            <w:vAlign w:val="center"/>
          </w:tcPr>
          <w:p w14:paraId="73EBBBBC">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65" w:type="pct"/>
            <w:noWrap w:val="0"/>
            <w:vAlign w:val="center"/>
          </w:tcPr>
          <w:p w14:paraId="1299F1F9">
            <w:pPr>
              <w:pStyle w:val="47"/>
              <w:keepNext w:val="0"/>
              <w:keepLines w:val="0"/>
              <w:suppressLineNumbers w:val="0"/>
              <w:spacing w:before="0" w:beforeLines="0" w:beforeAutospacing="0" w:after="0" w:afterLines="0" w:afterAutospacing="0" w:line="240" w:lineRule="auto"/>
              <w:ind w:left="0" w:right="0"/>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1.2771</w:t>
            </w:r>
          </w:p>
        </w:tc>
        <w:tc>
          <w:tcPr>
            <w:tcW w:w="524" w:type="pct"/>
            <w:noWrap w:val="0"/>
            <w:vAlign w:val="center"/>
          </w:tcPr>
          <w:p w14:paraId="2CB2C32C">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36" w:type="pct"/>
            <w:noWrap w:val="0"/>
            <w:vAlign w:val="center"/>
          </w:tcPr>
          <w:p w14:paraId="164465F8">
            <w:pPr>
              <w:pStyle w:val="47"/>
              <w:keepNext w:val="0"/>
              <w:keepLines w:val="0"/>
              <w:suppressLineNumbers w:val="0"/>
              <w:spacing w:before="0" w:beforeLines="0" w:beforeAutospacing="0" w:after="0" w:afterLines="0" w:afterAutospacing="0" w:line="240" w:lineRule="auto"/>
              <w:ind w:left="0" w:leftChars="0" w:right="0" w:rightChars="0"/>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4.6771</w:t>
            </w:r>
          </w:p>
        </w:tc>
        <w:tc>
          <w:tcPr>
            <w:tcW w:w="487" w:type="pct"/>
            <w:noWrap w:val="0"/>
            <w:vAlign w:val="center"/>
          </w:tcPr>
          <w:p w14:paraId="0FF3766E">
            <w:pPr>
              <w:pStyle w:val="47"/>
              <w:keepNext w:val="0"/>
              <w:keepLines w:val="0"/>
              <w:suppressLineNumbers w:val="0"/>
              <w:spacing w:before="0" w:beforeLines="0" w:beforeAutospacing="0" w:after="0" w:afterLines="0" w:afterAutospacing="0" w:line="240" w:lineRule="auto"/>
              <w:ind w:left="0" w:leftChars="0" w:right="0" w:rightChars="0"/>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+1.2771</w:t>
            </w:r>
          </w:p>
        </w:tc>
      </w:tr>
      <w:tr w14:paraId="44C47B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1" w:type="pct"/>
            <w:vMerge w:val="continue"/>
            <w:noWrap w:val="0"/>
            <w:vAlign w:val="center"/>
          </w:tcPr>
          <w:p w14:paraId="05C2EFA4">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p>
        </w:tc>
        <w:tc>
          <w:tcPr>
            <w:tcW w:w="638" w:type="pct"/>
            <w:noWrap w:val="0"/>
            <w:vAlign w:val="center"/>
          </w:tcPr>
          <w:p w14:paraId="0D84A76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废布袋</w:t>
            </w:r>
          </w:p>
        </w:tc>
        <w:tc>
          <w:tcPr>
            <w:tcW w:w="616" w:type="pct"/>
            <w:noWrap w:val="0"/>
            <w:vAlign w:val="center"/>
          </w:tcPr>
          <w:p w14:paraId="172EE2BF">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0.05</w:t>
            </w:r>
          </w:p>
        </w:tc>
        <w:tc>
          <w:tcPr>
            <w:tcW w:w="462" w:type="pct"/>
            <w:noWrap w:val="0"/>
            <w:vAlign w:val="center"/>
          </w:tcPr>
          <w:p w14:paraId="4505F774">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16" w:type="pct"/>
            <w:noWrap w:val="0"/>
            <w:vAlign w:val="center"/>
          </w:tcPr>
          <w:p w14:paraId="7B72077A">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65" w:type="pct"/>
            <w:noWrap w:val="0"/>
            <w:vAlign w:val="center"/>
          </w:tcPr>
          <w:p w14:paraId="317F3826">
            <w:pPr>
              <w:pStyle w:val="47"/>
              <w:keepNext w:val="0"/>
              <w:keepLines w:val="0"/>
              <w:suppressLineNumbers w:val="0"/>
              <w:spacing w:before="0" w:beforeLines="0" w:beforeAutospacing="0" w:after="0" w:afterLines="0" w:afterAutospacing="0" w:line="240" w:lineRule="auto"/>
              <w:ind w:left="0" w:right="0"/>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0.05</w:t>
            </w:r>
          </w:p>
        </w:tc>
        <w:tc>
          <w:tcPr>
            <w:tcW w:w="524" w:type="pct"/>
            <w:noWrap w:val="0"/>
            <w:vAlign w:val="center"/>
          </w:tcPr>
          <w:p w14:paraId="2656B407">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36" w:type="pct"/>
            <w:noWrap w:val="0"/>
            <w:vAlign w:val="center"/>
          </w:tcPr>
          <w:p w14:paraId="0729E0A8">
            <w:pPr>
              <w:pStyle w:val="47"/>
              <w:keepNext w:val="0"/>
              <w:keepLines w:val="0"/>
              <w:suppressLineNumbers w:val="0"/>
              <w:spacing w:before="0" w:beforeLines="0" w:beforeAutospacing="0" w:after="0" w:afterLines="0" w:afterAutospacing="0" w:line="240" w:lineRule="auto"/>
              <w:ind w:left="0" w:leftChars="0" w:right="0" w:rightChars="0"/>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0.1</w:t>
            </w:r>
          </w:p>
        </w:tc>
        <w:tc>
          <w:tcPr>
            <w:tcW w:w="487" w:type="pct"/>
            <w:noWrap w:val="0"/>
            <w:vAlign w:val="center"/>
          </w:tcPr>
          <w:p w14:paraId="78CAA3A8">
            <w:pPr>
              <w:pStyle w:val="47"/>
              <w:keepNext w:val="0"/>
              <w:keepLines w:val="0"/>
              <w:suppressLineNumbers w:val="0"/>
              <w:spacing w:before="0" w:beforeLines="0" w:beforeAutospacing="0" w:after="0" w:afterLines="0" w:afterAutospacing="0" w:line="240" w:lineRule="auto"/>
              <w:ind w:left="0" w:leftChars="0" w:right="0" w:rightChars="0"/>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+0.05</w:t>
            </w:r>
          </w:p>
        </w:tc>
      </w:tr>
      <w:tr w14:paraId="257B29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1" w:type="pct"/>
            <w:vMerge w:val="continue"/>
            <w:noWrap w:val="0"/>
            <w:vAlign w:val="center"/>
          </w:tcPr>
          <w:p w14:paraId="5F2C1B9C">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p>
        </w:tc>
        <w:tc>
          <w:tcPr>
            <w:tcW w:w="638" w:type="pct"/>
            <w:noWrap w:val="0"/>
            <w:vAlign w:val="center"/>
          </w:tcPr>
          <w:p w14:paraId="7490FEA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kern w:val="0"/>
                <w:sz w:val="21"/>
                <w:szCs w:val="21"/>
                <w:highlight w:val="none"/>
                <w:lang w:val="en-US" w:eastAsia="zh-CN" w:bidi="ar"/>
                <w14:textFill>
                  <w14:solidFill>
                    <w14:schemeClr w14:val="tx1"/>
                  </w14:solidFill>
                </w14:textFill>
              </w:rPr>
              <w:t>废离子交换树脂</w:t>
            </w:r>
          </w:p>
        </w:tc>
        <w:tc>
          <w:tcPr>
            <w:tcW w:w="616" w:type="pct"/>
            <w:noWrap w:val="0"/>
            <w:vAlign w:val="center"/>
          </w:tcPr>
          <w:p w14:paraId="248E657D">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0.8</w:t>
            </w:r>
          </w:p>
        </w:tc>
        <w:tc>
          <w:tcPr>
            <w:tcW w:w="462" w:type="pct"/>
            <w:noWrap w:val="0"/>
            <w:vAlign w:val="center"/>
          </w:tcPr>
          <w:p w14:paraId="65CA9561">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16" w:type="pct"/>
            <w:noWrap w:val="0"/>
            <w:vAlign w:val="center"/>
          </w:tcPr>
          <w:p w14:paraId="1AE0479F">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65" w:type="pct"/>
            <w:noWrap w:val="0"/>
            <w:vAlign w:val="center"/>
          </w:tcPr>
          <w:p w14:paraId="22D73096">
            <w:pPr>
              <w:pStyle w:val="47"/>
              <w:keepNext w:val="0"/>
              <w:keepLines w:val="0"/>
              <w:suppressLineNumbers w:val="0"/>
              <w:spacing w:before="0" w:beforeLines="0" w:beforeAutospacing="0" w:after="0" w:afterLines="0" w:afterAutospacing="0" w:line="240" w:lineRule="auto"/>
              <w:ind w:left="0" w:right="0"/>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0.05</w:t>
            </w:r>
          </w:p>
        </w:tc>
        <w:tc>
          <w:tcPr>
            <w:tcW w:w="524" w:type="pct"/>
            <w:noWrap w:val="0"/>
            <w:vAlign w:val="center"/>
          </w:tcPr>
          <w:p w14:paraId="1742A27E">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36" w:type="pct"/>
            <w:noWrap w:val="0"/>
            <w:vAlign w:val="center"/>
          </w:tcPr>
          <w:p w14:paraId="2C609C6A">
            <w:pPr>
              <w:pStyle w:val="47"/>
              <w:keepNext w:val="0"/>
              <w:keepLines w:val="0"/>
              <w:suppressLineNumbers w:val="0"/>
              <w:spacing w:before="0" w:beforeLines="0" w:beforeAutospacing="0" w:after="0" w:afterLines="0" w:afterAutospacing="0" w:line="240" w:lineRule="auto"/>
              <w:ind w:left="0" w:leftChars="0" w:right="0" w:rightChars="0"/>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0.85</w:t>
            </w:r>
          </w:p>
        </w:tc>
        <w:tc>
          <w:tcPr>
            <w:tcW w:w="487" w:type="pct"/>
            <w:noWrap w:val="0"/>
            <w:vAlign w:val="center"/>
          </w:tcPr>
          <w:p w14:paraId="3FCC20D8">
            <w:pPr>
              <w:pStyle w:val="47"/>
              <w:keepNext w:val="0"/>
              <w:keepLines w:val="0"/>
              <w:suppressLineNumbers w:val="0"/>
              <w:spacing w:before="0" w:beforeLines="0" w:beforeAutospacing="0" w:after="0" w:afterLines="0" w:afterAutospacing="0" w:line="240" w:lineRule="auto"/>
              <w:ind w:left="0" w:leftChars="0" w:right="0" w:rightChars="0"/>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+0.05</w:t>
            </w:r>
          </w:p>
        </w:tc>
      </w:tr>
      <w:tr w14:paraId="3A86E0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1" w:type="pct"/>
            <w:vMerge w:val="continue"/>
            <w:noWrap w:val="0"/>
            <w:vAlign w:val="center"/>
          </w:tcPr>
          <w:p w14:paraId="6C75A3B5">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p>
        </w:tc>
        <w:tc>
          <w:tcPr>
            <w:tcW w:w="638" w:type="pct"/>
            <w:noWrap w:val="0"/>
            <w:vAlign w:val="center"/>
          </w:tcPr>
          <w:p w14:paraId="268133E5">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 w:val="0"/>
                <w:bCs w:val="0"/>
                <w:color w:val="000000" w:themeColor="text1"/>
                <w:kern w:val="0"/>
                <w:sz w:val="21"/>
                <w:szCs w:val="21"/>
                <w:highlight w:val="none"/>
                <w:lang w:val="en-US" w:eastAsia="zh-CN" w:bidi="ar"/>
                <w14:textFill>
                  <w14:solidFill>
                    <w14:schemeClr w14:val="tx1"/>
                  </w14:solidFill>
                </w14:textFill>
              </w:rPr>
            </w:pPr>
            <w:r>
              <w:rPr>
                <w:rFonts w:hint="eastAsia" w:cs="Times New Roman"/>
                <w:b w:val="0"/>
                <w:bCs w:val="0"/>
                <w:color w:val="000000" w:themeColor="text1"/>
                <w:kern w:val="0"/>
                <w:sz w:val="21"/>
                <w:szCs w:val="21"/>
                <w:highlight w:val="none"/>
                <w:lang w:val="en-US" w:eastAsia="zh-CN" w:bidi="ar"/>
                <w14:textFill>
                  <w14:solidFill>
                    <w14:schemeClr w14:val="tx1"/>
                  </w14:solidFill>
                </w14:textFill>
              </w:rPr>
              <w:t>中药渣</w:t>
            </w:r>
          </w:p>
        </w:tc>
        <w:tc>
          <w:tcPr>
            <w:tcW w:w="616" w:type="pct"/>
            <w:noWrap w:val="0"/>
            <w:vAlign w:val="center"/>
          </w:tcPr>
          <w:p w14:paraId="3981932E">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6596</w:t>
            </w:r>
          </w:p>
        </w:tc>
        <w:tc>
          <w:tcPr>
            <w:tcW w:w="462" w:type="pct"/>
            <w:noWrap w:val="0"/>
            <w:vAlign w:val="center"/>
          </w:tcPr>
          <w:p w14:paraId="0F9A8CCE">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16" w:type="pct"/>
            <w:noWrap w:val="0"/>
            <w:vAlign w:val="center"/>
          </w:tcPr>
          <w:p w14:paraId="6779FA73">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65" w:type="pct"/>
            <w:noWrap w:val="0"/>
            <w:vAlign w:val="center"/>
          </w:tcPr>
          <w:p w14:paraId="466047D7">
            <w:pPr>
              <w:pStyle w:val="47"/>
              <w:keepNext w:val="0"/>
              <w:keepLines w:val="0"/>
              <w:suppressLineNumbers w:val="0"/>
              <w:spacing w:before="0" w:beforeLines="0" w:beforeAutospacing="0" w:after="0" w:afterLines="0" w:afterAutospacing="0" w:line="240" w:lineRule="auto"/>
              <w:ind w:left="0" w:right="0"/>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1881.07</w:t>
            </w:r>
          </w:p>
        </w:tc>
        <w:tc>
          <w:tcPr>
            <w:tcW w:w="524" w:type="pct"/>
            <w:noWrap w:val="0"/>
            <w:vAlign w:val="center"/>
          </w:tcPr>
          <w:p w14:paraId="4731DE22">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36" w:type="pct"/>
            <w:noWrap w:val="0"/>
            <w:vAlign w:val="center"/>
          </w:tcPr>
          <w:p w14:paraId="7041EE7A">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8477.07</w:t>
            </w:r>
          </w:p>
        </w:tc>
        <w:tc>
          <w:tcPr>
            <w:tcW w:w="487" w:type="pct"/>
            <w:noWrap w:val="0"/>
            <w:vAlign w:val="center"/>
          </w:tcPr>
          <w:p w14:paraId="50D643E6">
            <w:pPr>
              <w:pStyle w:val="47"/>
              <w:keepNext w:val="0"/>
              <w:keepLines w:val="0"/>
              <w:suppressLineNumbers w:val="0"/>
              <w:spacing w:before="0" w:beforeLines="0" w:beforeAutospacing="0" w:after="0" w:afterLines="0" w:afterAutospacing="0" w:line="240" w:lineRule="auto"/>
              <w:ind w:left="0" w:leftChars="0" w:right="0" w:rightChars="0"/>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+1881.07</w:t>
            </w:r>
          </w:p>
        </w:tc>
      </w:tr>
      <w:tr w14:paraId="251358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1" w:type="pct"/>
            <w:vMerge w:val="continue"/>
            <w:noWrap w:val="0"/>
            <w:vAlign w:val="center"/>
          </w:tcPr>
          <w:p w14:paraId="40369B10">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p>
        </w:tc>
        <w:tc>
          <w:tcPr>
            <w:tcW w:w="638" w:type="pct"/>
            <w:noWrap w:val="0"/>
            <w:vAlign w:val="center"/>
          </w:tcPr>
          <w:p w14:paraId="3829A0EA">
            <w:pPr>
              <w:keepNext w:val="0"/>
              <w:keepLines w:val="0"/>
              <w:suppressLineNumbers w:val="0"/>
              <w:spacing w:before="0" w:beforeAutospacing="0" w:after="0" w:afterAutospacing="0"/>
              <w:ind w:left="0" w:leftChars="0" w:right="0" w:rightChars="0"/>
              <w:jc w:val="center"/>
              <w:rPr>
                <w:rFonts w:hint="eastAsia" w:cs="Times New Roman"/>
                <w:b w:val="0"/>
                <w:bCs w:val="0"/>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污水处理站污泥</w:t>
            </w:r>
          </w:p>
        </w:tc>
        <w:tc>
          <w:tcPr>
            <w:tcW w:w="616" w:type="pct"/>
            <w:noWrap w:val="0"/>
            <w:vAlign w:val="center"/>
          </w:tcPr>
          <w:p w14:paraId="1B90DDBD">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12.3</w:t>
            </w:r>
          </w:p>
        </w:tc>
        <w:tc>
          <w:tcPr>
            <w:tcW w:w="462" w:type="pct"/>
            <w:noWrap w:val="0"/>
            <w:vAlign w:val="center"/>
          </w:tcPr>
          <w:p w14:paraId="20E60F9C">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16" w:type="pct"/>
            <w:noWrap w:val="0"/>
            <w:vAlign w:val="center"/>
          </w:tcPr>
          <w:p w14:paraId="6057AA3B">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65" w:type="pct"/>
            <w:noWrap w:val="0"/>
            <w:vAlign w:val="center"/>
          </w:tcPr>
          <w:p w14:paraId="229FC9EC">
            <w:pPr>
              <w:pStyle w:val="47"/>
              <w:keepNext w:val="0"/>
              <w:keepLines w:val="0"/>
              <w:suppressLineNumbers w:val="0"/>
              <w:spacing w:before="0" w:beforeLines="0" w:beforeAutospacing="0" w:after="0" w:afterLines="0" w:afterAutospacing="0" w:line="240" w:lineRule="auto"/>
              <w:ind w:left="0" w:right="0"/>
              <w:rPr>
                <w:rFonts w:hint="default"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1.55</w:t>
            </w:r>
          </w:p>
        </w:tc>
        <w:tc>
          <w:tcPr>
            <w:tcW w:w="524" w:type="pct"/>
            <w:noWrap w:val="0"/>
            <w:vAlign w:val="center"/>
          </w:tcPr>
          <w:p w14:paraId="4F89EE72">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36" w:type="pct"/>
            <w:noWrap w:val="0"/>
            <w:vAlign w:val="center"/>
          </w:tcPr>
          <w:p w14:paraId="1017CFEE">
            <w:pPr>
              <w:pStyle w:val="47"/>
              <w:keepNext w:val="0"/>
              <w:keepLines w:val="0"/>
              <w:suppressLineNumbers w:val="0"/>
              <w:spacing w:before="0" w:beforeLines="0" w:beforeAutospacing="0" w:after="0" w:afterLines="0" w:afterAutospacing="0" w:line="240" w:lineRule="auto"/>
              <w:ind w:left="0" w:leftChars="0" w:right="0" w:rightChars="0"/>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13.85</w:t>
            </w:r>
          </w:p>
        </w:tc>
        <w:tc>
          <w:tcPr>
            <w:tcW w:w="487" w:type="pct"/>
            <w:noWrap w:val="0"/>
            <w:vAlign w:val="center"/>
          </w:tcPr>
          <w:p w14:paraId="78DC22CA">
            <w:pPr>
              <w:pStyle w:val="47"/>
              <w:keepNext w:val="0"/>
              <w:keepLines w:val="0"/>
              <w:suppressLineNumbers w:val="0"/>
              <w:spacing w:before="0" w:beforeLines="0" w:beforeAutospacing="0" w:after="0" w:afterLines="0" w:afterAutospacing="0" w:line="240" w:lineRule="auto"/>
              <w:ind w:left="0" w:leftChars="0" w:right="0" w:rightChars="0"/>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+1.55</w:t>
            </w:r>
          </w:p>
        </w:tc>
      </w:tr>
      <w:tr w14:paraId="7B81EB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1" w:type="pct"/>
            <w:vMerge w:val="restart"/>
            <w:noWrap w:val="0"/>
            <w:vAlign w:val="center"/>
          </w:tcPr>
          <w:p w14:paraId="2F93A423">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危险废物</w:t>
            </w:r>
          </w:p>
        </w:tc>
        <w:tc>
          <w:tcPr>
            <w:tcW w:w="638" w:type="pct"/>
            <w:noWrap w:val="0"/>
            <w:vAlign w:val="center"/>
          </w:tcPr>
          <w:p w14:paraId="4E616D1B">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eastAsia="zh-CN"/>
                <w14:textFill>
                  <w14:solidFill>
                    <w14:schemeClr w14:val="tx1"/>
                  </w14:solidFill>
                </w14:textFill>
              </w:rPr>
              <w:t>化学检验废液</w:t>
            </w:r>
          </w:p>
        </w:tc>
        <w:tc>
          <w:tcPr>
            <w:tcW w:w="616" w:type="pct"/>
            <w:noWrap w:val="0"/>
            <w:vAlign w:val="center"/>
          </w:tcPr>
          <w:p w14:paraId="4B7C5388">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2</w:t>
            </w:r>
          </w:p>
        </w:tc>
        <w:tc>
          <w:tcPr>
            <w:tcW w:w="462" w:type="pct"/>
            <w:noWrap w:val="0"/>
            <w:vAlign w:val="center"/>
          </w:tcPr>
          <w:p w14:paraId="75A5EBCA">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16" w:type="pct"/>
            <w:noWrap w:val="0"/>
            <w:vAlign w:val="center"/>
          </w:tcPr>
          <w:p w14:paraId="56817DA1">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65" w:type="pct"/>
            <w:noWrap w:val="0"/>
            <w:vAlign w:val="center"/>
          </w:tcPr>
          <w:p w14:paraId="7BCD54E2">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0.40</w:t>
            </w:r>
          </w:p>
        </w:tc>
        <w:tc>
          <w:tcPr>
            <w:tcW w:w="524" w:type="pct"/>
            <w:noWrap w:val="0"/>
            <w:vAlign w:val="center"/>
          </w:tcPr>
          <w:p w14:paraId="3303FF09">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36" w:type="pct"/>
            <w:noWrap w:val="0"/>
            <w:vAlign w:val="center"/>
          </w:tcPr>
          <w:p w14:paraId="5782C471">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2.4</w:t>
            </w:r>
          </w:p>
        </w:tc>
        <w:tc>
          <w:tcPr>
            <w:tcW w:w="487" w:type="pct"/>
            <w:noWrap w:val="0"/>
            <w:vAlign w:val="center"/>
          </w:tcPr>
          <w:p w14:paraId="25941D95">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+0.40</w:t>
            </w:r>
          </w:p>
        </w:tc>
      </w:tr>
      <w:tr w14:paraId="4A302F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1" w:type="pct"/>
            <w:vMerge w:val="continue"/>
            <w:noWrap w:val="0"/>
            <w:vAlign w:val="center"/>
          </w:tcPr>
          <w:p w14:paraId="0212DFCC">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p>
        </w:tc>
        <w:tc>
          <w:tcPr>
            <w:tcW w:w="638" w:type="pct"/>
            <w:noWrap w:val="0"/>
            <w:vAlign w:val="center"/>
          </w:tcPr>
          <w:p w14:paraId="7F4C686D">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eastAsia="zh-CN"/>
                <w14:textFill>
                  <w14:solidFill>
                    <w14:schemeClr w14:val="tx1"/>
                  </w14:solidFill>
                </w14:textFill>
              </w:rPr>
              <w:t>废化学试剂瓶</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 xml:space="preserve"> </w:t>
            </w:r>
          </w:p>
        </w:tc>
        <w:tc>
          <w:tcPr>
            <w:tcW w:w="616" w:type="pct"/>
            <w:noWrap w:val="0"/>
            <w:vAlign w:val="center"/>
          </w:tcPr>
          <w:p w14:paraId="6881A762">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2</w:t>
            </w:r>
          </w:p>
        </w:tc>
        <w:tc>
          <w:tcPr>
            <w:tcW w:w="462" w:type="pct"/>
            <w:noWrap w:val="0"/>
            <w:vAlign w:val="center"/>
          </w:tcPr>
          <w:p w14:paraId="27C56786">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16" w:type="pct"/>
            <w:noWrap w:val="0"/>
            <w:vAlign w:val="center"/>
          </w:tcPr>
          <w:p w14:paraId="00E12355">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65" w:type="pct"/>
            <w:noWrap w:val="0"/>
            <w:vAlign w:val="center"/>
          </w:tcPr>
          <w:p w14:paraId="12434D89">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0.1</w:t>
            </w:r>
          </w:p>
        </w:tc>
        <w:tc>
          <w:tcPr>
            <w:tcW w:w="524" w:type="pct"/>
            <w:noWrap w:val="0"/>
            <w:vAlign w:val="center"/>
          </w:tcPr>
          <w:p w14:paraId="795433EE">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36" w:type="pct"/>
            <w:noWrap w:val="0"/>
            <w:vAlign w:val="center"/>
          </w:tcPr>
          <w:p w14:paraId="24B4D519">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2.1</w:t>
            </w:r>
          </w:p>
        </w:tc>
        <w:tc>
          <w:tcPr>
            <w:tcW w:w="487" w:type="pct"/>
            <w:noWrap w:val="0"/>
            <w:vAlign w:val="center"/>
          </w:tcPr>
          <w:p w14:paraId="74CCBB24">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+0.1</w:t>
            </w:r>
          </w:p>
        </w:tc>
      </w:tr>
      <w:tr w14:paraId="671B41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1" w:type="pct"/>
            <w:vMerge w:val="continue"/>
            <w:noWrap w:val="0"/>
            <w:vAlign w:val="center"/>
          </w:tcPr>
          <w:p w14:paraId="5870B832">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p>
        </w:tc>
        <w:tc>
          <w:tcPr>
            <w:tcW w:w="638" w:type="pct"/>
            <w:noWrap w:val="0"/>
            <w:vAlign w:val="center"/>
          </w:tcPr>
          <w:p w14:paraId="2DA28C34">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rPr>
                <w:rFonts w:hint="eastAsia"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废弃薄层板</w:t>
            </w:r>
          </w:p>
        </w:tc>
        <w:tc>
          <w:tcPr>
            <w:tcW w:w="616" w:type="pct"/>
            <w:noWrap w:val="0"/>
            <w:vAlign w:val="center"/>
          </w:tcPr>
          <w:p w14:paraId="59F06CC8">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0.255</w:t>
            </w:r>
          </w:p>
        </w:tc>
        <w:tc>
          <w:tcPr>
            <w:tcW w:w="462" w:type="pct"/>
            <w:noWrap w:val="0"/>
            <w:vAlign w:val="center"/>
          </w:tcPr>
          <w:p w14:paraId="5B19A9F7">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16" w:type="pct"/>
            <w:noWrap w:val="0"/>
            <w:vAlign w:val="center"/>
          </w:tcPr>
          <w:p w14:paraId="3C73B6A4">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65" w:type="pct"/>
            <w:noWrap w:val="0"/>
            <w:vAlign w:val="center"/>
          </w:tcPr>
          <w:p w14:paraId="53773212">
            <w:pPr>
              <w:pStyle w:val="47"/>
              <w:keepNext w:val="0"/>
              <w:keepLines w:val="0"/>
              <w:suppressLineNumbers w:val="0"/>
              <w:spacing w:before="0" w:beforeLines="0" w:beforeAutospacing="0" w:after="0" w:afterLines="0" w:afterAutospacing="0" w:line="240" w:lineRule="auto"/>
              <w:ind w:left="0" w:right="0"/>
              <w:rPr>
                <w:rFonts w:hint="default"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0.145</w:t>
            </w:r>
          </w:p>
        </w:tc>
        <w:tc>
          <w:tcPr>
            <w:tcW w:w="524" w:type="pct"/>
            <w:noWrap w:val="0"/>
            <w:vAlign w:val="center"/>
          </w:tcPr>
          <w:p w14:paraId="0472EC33">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36" w:type="pct"/>
            <w:noWrap w:val="0"/>
            <w:vAlign w:val="center"/>
          </w:tcPr>
          <w:p w14:paraId="7DA99EE5">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0.40</w:t>
            </w:r>
          </w:p>
        </w:tc>
        <w:tc>
          <w:tcPr>
            <w:tcW w:w="487" w:type="pct"/>
            <w:noWrap w:val="0"/>
            <w:vAlign w:val="center"/>
          </w:tcPr>
          <w:p w14:paraId="4D0F2B7E">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+0.145</w:t>
            </w:r>
          </w:p>
        </w:tc>
      </w:tr>
      <w:tr w14:paraId="676A1B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1" w:type="pct"/>
            <w:vMerge w:val="continue"/>
            <w:noWrap w:val="0"/>
            <w:vAlign w:val="center"/>
          </w:tcPr>
          <w:p w14:paraId="0B13AD46">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p>
        </w:tc>
        <w:tc>
          <w:tcPr>
            <w:tcW w:w="638" w:type="pct"/>
            <w:noWrap w:val="0"/>
            <w:vAlign w:val="center"/>
          </w:tcPr>
          <w:p w14:paraId="29B8BE26">
            <w:pPr>
              <w:keepNext w:val="0"/>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废试药</w:t>
            </w:r>
          </w:p>
        </w:tc>
        <w:tc>
          <w:tcPr>
            <w:tcW w:w="616" w:type="pct"/>
            <w:noWrap w:val="0"/>
            <w:vAlign w:val="center"/>
          </w:tcPr>
          <w:p w14:paraId="50B3DCFD">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0.02</w:t>
            </w:r>
          </w:p>
        </w:tc>
        <w:tc>
          <w:tcPr>
            <w:tcW w:w="462" w:type="pct"/>
            <w:noWrap w:val="0"/>
            <w:vAlign w:val="center"/>
          </w:tcPr>
          <w:p w14:paraId="34FC6DBF">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16" w:type="pct"/>
            <w:noWrap w:val="0"/>
            <w:vAlign w:val="center"/>
          </w:tcPr>
          <w:p w14:paraId="567AD9C3">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65" w:type="pct"/>
            <w:noWrap w:val="0"/>
            <w:vAlign w:val="center"/>
          </w:tcPr>
          <w:p w14:paraId="30D53265">
            <w:pPr>
              <w:pStyle w:val="47"/>
              <w:keepNext w:val="0"/>
              <w:keepLines w:val="0"/>
              <w:suppressLineNumbers w:val="0"/>
              <w:spacing w:before="0" w:beforeLines="0" w:beforeAutospacing="0" w:after="0" w:afterLines="0" w:afterAutospacing="0" w:line="240" w:lineRule="auto"/>
              <w:ind w:left="0" w:right="0"/>
              <w:rPr>
                <w:rFonts w:hint="default"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0.01</w:t>
            </w:r>
          </w:p>
        </w:tc>
        <w:tc>
          <w:tcPr>
            <w:tcW w:w="524" w:type="pct"/>
            <w:noWrap w:val="0"/>
            <w:vAlign w:val="center"/>
          </w:tcPr>
          <w:p w14:paraId="17E1C9E7">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36" w:type="pct"/>
            <w:noWrap w:val="0"/>
            <w:vAlign w:val="center"/>
          </w:tcPr>
          <w:p w14:paraId="34C01824">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0.03</w:t>
            </w:r>
          </w:p>
        </w:tc>
        <w:tc>
          <w:tcPr>
            <w:tcW w:w="487" w:type="pct"/>
            <w:noWrap w:val="0"/>
            <w:vAlign w:val="center"/>
          </w:tcPr>
          <w:p w14:paraId="0C2C4675">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+0.01</w:t>
            </w:r>
          </w:p>
        </w:tc>
      </w:tr>
      <w:tr w14:paraId="1063C7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1" w:type="pct"/>
            <w:vMerge w:val="continue"/>
            <w:noWrap w:val="0"/>
            <w:vAlign w:val="center"/>
          </w:tcPr>
          <w:p w14:paraId="236116BD">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p>
        </w:tc>
        <w:tc>
          <w:tcPr>
            <w:tcW w:w="638" w:type="pct"/>
            <w:noWrap w:val="0"/>
            <w:vAlign w:val="center"/>
          </w:tcPr>
          <w:p w14:paraId="69CF932F">
            <w:pPr>
              <w:keepNext w:val="0"/>
              <w:keepLines w:val="0"/>
              <w:suppressLineNumbers w:val="0"/>
              <w:tabs>
                <w:tab w:val="left" w:pos="6090"/>
              </w:tabs>
              <w:adjustRightInd w:val="0"/>
              <w:snapToGrid w:val="0"/>
              <w:spacing w:before="0" w:beforeAutospacing="0" w:after="0" w:afterAutospacing="0"/>
              <w:ind w:left="0" w:leftChars="0" w:right="0" w:rightChars="0"/>
              <w:jc w:val="center"/>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废活性炭</w:t>
            </w:r>
          </w:p>
        </w:tc>
        <w:tc>
          <w:tcPr>
            <w:tcW w:w="616" w:type="pct"/>
            <w:noWrap w:val="0"/>
            <w:vAlign w:val="center"/>
          </w:tcPr>
          <w:p w14:paraId="1ABB4D93">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1.5485</w:t>
            </w:r>
          </w:p>
        </w:tc>
        <w:tc>
          <w:tcPr>
            <w:tcW w:w="462" w:type="pct"/>
            <w:noWrap w:val="0"/>
            <w:vAlign w:val="center"/>
          </w:tcPr>
          <w:p w14:paraId="6DEE88E0">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16" w:type="pct"/>
            <w:noWrap w:val="0"/>
            <w:vAlign w:val="center"/>
          </w:tcPr>
          <w:p w14:paraId="2A68B0FE">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65" w:type="pct"/>
            <w:noWrap w:val="0"/>
            <w:vAlign w:val="center"/>
          </w:tcPr>
          <w:p w14:paraId="683D17FA">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1.66</w:t>
            </w:r>
          </w:p>
        </w:tc>
        <w:tc>
          <w:tcPr>
            <w:tcW w:w="524" w:type="pct"/>
            <w:noWrap w:val="0"/>
            <w:vAlign w:val="center"/>
          </w:tcPr>
          <w:p w14:paraId="4723B185">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36" w:type="pct"/>
            <w:noWrap w:val="0"/>
            <w:vAlign w:val="center"/>
          </w:tcPr>
          <w:p w14:paraId="24B0A22B">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3.2085</w:t>
            </w:r>
          </w:p>
        </w:tc>
        <w:tc>
          <w:tcPr>
            <w:tcW w:w="487" w:type="pct"/>
            <w:noWrap w:val="0"/>
            <w:vAlign w:val="center"/>
          </w:tcPr>
          <w:p w14:paraId="087700BD">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+1.66</w:t>
            </w:r>
          </w:p>
        </w:tc>
      </w:tr>
      <w:tr w14:paraId="186EAB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1" w:type="pct"/>
            <w:vMerge w:val="continue"/>
            <w:noWrap w:val="0"/>
            <w:vAlign w:val="center"/>
          </w:tcPr>
          <w:p w14:paraId="62D9D4C9">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p>
        </w:tc>
        <w:tc>
          <w:tcPr>
            <w:tcW w:w="638" w:type="pct"/>
            <w:noWrap w:val="0"/>
            <w:vAlign w:val="center"/>
          </w:tcPr>
          <w:p w14:paraId="24482A4A">
            <w:pPr>
              <w:keepNext w:val="0"/>
              <w:keepLines w:val="0"/>
              <w:suppressLineNumbers w:val="0"/>
              <w:tabs>
                <w:tab w:val="left" w:pos="6090"/>
              </w:tabs>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在线废液</w:t>
            </w:r>
          </w:p>
        </w:tc>
        <w:tc>
          <w:tcPr>
            <w:tcW w:w="616" w:type="pct"/>
            <w:noWrap w:val="0"/>
            <w:vAlign w:val="center"/>
          </w:tcPr>
          <w:p w14:paraId="0BACDD52">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0.65</w:t>
            </w:r>
          </w:p>
        </w:tc>
        <w:tc>
          <w:tcPr>
            <w:tcW w:w="462" w:type="pct"/>
            <w:noWrap w:val="0"/>
            <w:vAlign w:val="center"/>
          </w:tcPr>
          <w:p w14:paraId="2BF79950">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16" w:type="pct"/>
            <w:noWrap w:val="0"/>
            <w:vAlign w:val="center"/>
          </w:tcPr>
          <w:p w14:paraId="03D5C72D">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65" w:type="pct"/>
            <w:noWrap w:val="0"/>
            <w:vAlign w:val="center"/>
          </w:tcPr>
          <w:p w14:paraId="5695447D">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24" w:type="pct"/>
            <w:noWrap w:val="0"/>
            <w:vAlign w:val="center"/>
          </w:tcPr>
          <w:p w14:paraId="045289C3">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36" w:type="pct"/>
            <w:shd w:val="clear" w:color="auto" w:fill="auto"/>
            <w:noWrap w:val="0"/>
            <w:vAlign w:val="center"/>
          </w:tcPr>
          <w:p w14:paraId="4F50A2BB">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0.65</w:t>
            </w:r>
          </w:p>
        </w:tc>
        <w:tc>
          <w:tcPr>
            <w:tcW w:w="487" w:type="pct"/>
            <w:noWrap w:val="0"/>
            <w:vAlign w:val="center"/>
          </w:tcPr>
          <w:p w14:paraId="45C26186">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r>
      <w:tr w14:paraId="00CEA3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1" w:type="pct"/>
            <w:vMerge w:val="continue"/>
            <w:noWrap w:val="0"/>
            <w:vAlign w:val="center"/>
          </w:tcPr>
          <w:p w14:paraId="4A921181">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p>
        </w:tc>
        <w:tc>
          <w:tcPr>
            <w:tcW w:w="638" w:type="pct"/>
            <w:noWrap w:val="0"/>
            <w:vAlign w:val="center"/>
          </w:tcPr>
          <w:p w14:paraId="5FEA961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废机油</w:t>
            </w:r>
          </w:p>
        </w:tc>
        <w:tc>
          <w:tcPr>
            <w:tcW w:w="616" w:type="pct"/>
            <w:noWrap w:val="0"/>
            <w:vAlign w:val="center"/>
          </w:tcPr>
          <w:p w14:paraId="2631D43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0.25</w:t>
            </w:r>
          </w:p>
        </w:tc>
        <w:tc>
          <w:tcPr>
            <w:tcW w:w="462" w:type="pct"/>
            <w:noWrap w:val="0"/>
            <w:vAlign w:val="center"/>
          </w:tcPr>
          <w:p w14:paraId="7211AD5B">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16" w:type="pct"/>
            <w:noWrap w:val="0"/>
            <w:vAlign w:val="center"/>
          </w:tcPr>
          <w:p w14:paraId="179808B4">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65" w:type="pct"/>
            <w:noWrap w:val="0"/>
            <w:vAlign w:val="center"/>
          </w:tcPr>
          <w:p w14:paraId="66BEA02D">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24" w:type="pct"/>
            <w:noWrap w:val="0"/>
            <w:vAlign w:val="center"/>
          </w:tcPr>
          <w:p w14:paraId="1EDBC289">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36" w:type="pct"/>
            <w:shd w:val="clear" w:color="auto" w:fill="auto"/>
            <w:noWrap w:val="0"/>
            <w:vAlign w:val="center"/>
          </w:tcPr>
          <w:p w14:paraId="357C33B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leftChars="0" w:right="0" w:rightChars="0"/>
              <w:jc w:val="center"/>
              <w:textAlignment w:val="baseline"/>
              <w:rPr>
                <w:rFonts w:hint="default" w:ascii="Times New Roman" w:hAnsi="Times New Roman" w:eastAsia="宋体" w:cs="Times New Roman"/>
                <w:b w:val="0"/>
                <w:bCs/>
                <w:snapToGrid w:val="0"/>
                <w:color w:val="000000" w:themeColor="text1"/>
                <w:kern w:val="21"/>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0.25</w:t>
            </w:r>
          </w:p>
        </w:tc>
        <w:tc>
          <w:tcPr>
            <w:tcW w:w="487" w:type="pct"/>
            <w:noWrap w:val="0"/>
            <w:vAlign w:val="center"/>
          </w:tcPr>
          <w:p w14:paraId="1F46A188">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r>
      <w:tr w14:paraId="30E4A8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1" w:type="pct"/>
            <w:vMerge w:val="continue"/>
            <w:noWrap w:val="0"/>
            <w:vAlign w:val="center"/>
          </w:tcPr>
          <w:p w14:paraId="11866CBF">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p>
        </w:tc>
        <w:tc>
          <w:tcPr>
            <w:tcW w:w="638" w:type="pct"/>
            <w:noWrap w:val="0"/>
            <w:vAlign w:val="center"/>
          </w:tcPr>
          <w:p w14:paraId="14DA0F9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废机油桶</w:t>
            </w:r>
          </w:p>
        </w:tc>
        <w:tc>
          <w:tcPr>
            <w:tcW w:w="616" w:type="pct"/>
            <w:noWrap w:val="0"/>
            <w:vAlign w:val="center"/>
          </w:tcPr>
          <w:p w14:paraId="1F85908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0.2</w:t>
            </w:r>
          </w:p>
        </w:tc>
        <w:tc>
          <w:tcPr>
            <w:tcW w:w="462" w:type="pct"/>
            <w:noWrap w:val="0"/>
            <w:vAlign w:val="center"/>
          </w:tcPr>
          <w:p w14:paraId="6DA854B4">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16" w:type="pct"/>
            <w:noWrap w:val="0"/>
            <w:vAlign w:val="center"/>
          </w:tcPr>
          <w:p w14:paraId="4C7470C1">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65" w:type="pct"/>
            <w:noWrap w:val="0"/>
            <w:vAlign w:val="center"/>
          </w:tcPr>
          <w:p w14:paraId="00B49447">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24" w:type="pct"/>
            <w:noWrap w:val="0"/>
            <w:vAlign w:val="center"/>
          </w:tcPr>
          <w:p w14:paraId="2A8C6296">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36" w:type="pct"/>
            <w:shd w:val="clear" w:color="auto" w:fill="auto"/>
            <w:noWrap w:val="0"/>
            <w:vAlign w:val="center"/>
          </w:tcPr>
          <w:p w14:paraId="444D0DB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leftChars="0" w:right="0" w:rightChars="0"/>
              <w:jc w:val="center"/>
              <w:textAlignment w:val="baseline"/>
              <w:rPr>
                <w:rFonts w:hint="default" w:ascii="Times New Roman" w:hAnsi="Times New Roman" w:eastAsia="宋体" w:cs="Times New Roman"/>
                <w:b w:val="0"/>
                <w:bCs/>
                <w:snapToGrid w:val="0"/>
                <w:color w:val="000000" w:themeColor="text1"/>
                <w:kern w:val="21"/>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0.2</w:t>
            </w:r>
          </w:p>
        </w:tc>
        <w:tc>
          <w:tcPr>
            <w:tcW w:w="487" w:type="pct"/>
            <w:noWrap w:val="0"/>
            <w:vAlign w:val="center"/>
          </w:tcPr>
          <w:p w14:paraId="164E313A">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r>
      <w:tr w14:paraId="0D807C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1" w:type="pct"/>
            <w:vMerge w:val="continue"/>
            <w:noWrap w:val="0"/>
            <w:vAlign w:val="center"/>
          </w:tcPr>
          <w:p w14:paraId="1B1E9F30">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p>
        </w:tc>
        <w:tc>
          <w:tcPr>
            <w:tcW w:w="638" w:type="pct"/>
            <w:shd w:val="clear" w:color="auto" w:fill="auto"/>
            <w:noWrap w:val="0"/>
            <w:vAlign w:val="center"/>
          </w:tcPr>
          <w:p w14:paraId="1430867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废硒鼓墨盒</w:t>
            </w:r>
          </w:p>
        </w:tc>
        <w:tc>
          <w:tcPr>
            <w:tcW w:w="616" w:type="pct"/>
            <w:shd w:val="clear" w:color="auto" w:fill="auto"/>
            <w:noWrap w:val="0"/>
            <w:vAlign w:val="center"/>
          </w:tcPr>
          <w:p w14:paraId="2AC62E9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right="0"/>
              <w:jc w:val="center"/>
              <w:textAlignment w:val="baseline"/>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0.5</w:t>
            </w:r>
          </w:p>
        </w:tc>
        <w:tc>
          <w:tcPr>
            <w:tcW w:w="462" w:type="pct"/>
            <w:noWrap w:val="0"/>
            <w:vAlign w:val="center"/>
          </w:tcPr>
          <w:p w14:paraId="61C3EC0D">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16" w:type="pct"/>
            <w:noWrap w:val="0"/>
            <w:vAlign w:val="center"/>
          </w:tcPr>
          <w:p w14:paraId="5D6DBF42">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65" w:type="pct"/>
            <w:noWrap w:val="0"/>
            <w:vAlign w:val="center"/>
          </w:tcPr>
          <w:p w14:paraId="2AC48B4D">
            <w:pPr>
              <w:pStyle w:val="47"/>
              <w:keepNext w:val="0"/>
              <w:keepLines w:val="0"/>
              <w:suppressLineNumbers w:val="0"/>
              <w:spacing w:before="0" w:beforeLines="0" w:beforeAutospacing="0" w:after="0" w:afterLines="0" w:afterAutospacing="0" w:line="240" w:lineRule="auto"/>
              <w:ind w:left="0" w:right="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24" w:type="pct"/>
            <w:noWrap w:val="0"/>
            <w:vAlign w:val="center"/>
          </w:tcPr>
          <w:p w14:paraId="0C772040">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36" w:type="pct"/>
            <w:shd w:val="clear" w:color="auto" w:fill="auto"/>
            <w:noWrap w:val="0"/>
            <w:vAlign w:val="center"/>
          </w:tcPr>
          <w:p w14:paraId="5C241DB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00" w:lineRule="exact"/>
              <w:ind w:left="0" w:leftChars="0" w:right="0" w:rightChars="0"/>
              <w:jc w:val="center"/>
              <w:textAlignment w:val="baseline"/>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0.5</w:t>
            </w:r>
          </w:p>
        </w:tc>
        <w:tc>
          <w:tcPr>
            <w:tcW w:w="487" w:type="pct"/>
            <w:noWrap w:val="0"/>
            <w:vAlign w:val="center"/>
          </w:tcPr>
          <w:p w14:paraId="01EE01F7">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r>
      <w:tr w14:paraId="5BB78A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089" w:type="pct"/>
            <w:gridSpan w:val="2"/>
            <w:noWrap w:val="0"/>
            <w:vAlign w:val="center"/>
          </w:tcPr>
          <w:p w14:paraId="79C748B2">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生活垃圾</w:t>
            </w:r>
          </w:p>
        </w:tc>
        <w:tc>
          <w:tcPr>
            <w:tcW w:w="616" w:type="pct"/>
            <w:shd w:val="clear" w:color="auto" w:fill="auto"/>
            <w:noWrap w:val="0"/>
            <w:vAlign w:val="center"/>
          </w:tcPr>
          <w:p w14:paraId="4860E3B1">
            <w:pPr>
              <w:pStyle w:val="47"/>
              <w:keepNext w:val="0"/>
              <w:keepLines w:val="0"/>
              <w:suppressLineNumbers w:val="0"/>
              <w:spacing w:before="0" w:beforeLines="0" w:beforeAutospacing="0" w:after="0" w:afterLines="0" w:afterAutospacing="0" w:line="240" w:lineRule="auto"/>
              <w:ind w:left="0" w:leftChars="0" w:right="0" w:rightChars="0"/>
              <w:rPr>
                <w:rFonts w:hint="eastAsia" w:ascii="Times New Roman" w:hAnsi="Times New Roman" w:eastAsia="宋体" w:cs="Times New Roman"/>
                <w:b w:val="0"/>
                <w:bCs/>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53.5</w:t>
            </w:r>
          </w:p>
        </w:tc>
        <w:tc>
          <w:tcPr>
            <w:tcW w:w="462" w:type="pct"/>
            <w:shd w:val="clear" w:color="auto" w:fill="auto"/>
            <w:noWrap w:val="0"/>
            <w:vAlign w:val="center"/>
          </w:tcPr>
          <w:p w14:paraId="4678D6A7">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16" w:type="pct"/>
            <w:shd w:val="clear" w:color="auto" w:fill="auto"/>
            <w:noWrap w:val="0"/>
            <w:vAlign w:val="center"/>
          </w:tcPr>
          <w:p w14:paraId="29907108">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565" w:type="pct"/>
            <w:shd w:val="clear" w:color="auto" w:fill="auto"/>
            <w:noWrap w:val="0"/>
            <w:vAlign w:val="center"/>
          </w:tcPr>
          <w:p w14:paraId="61894577">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bidi="ar-SA"/>
                <w14:textFill>
                  <w14:solidFill>
                    <w14:schemeClr w14:val="tx1"/>
                  </w14:solidFill>
                </w14:textFill>
              </w:rPr>
              <w:t>0</w:t>
            </w:r>
          </w:p>
        </w:tc>
        <w:tc>
          <w:tcPr>
            <w:tcW w:w="524" w:type="pct"/>
            <w:shd w:val="clear" w:color="auto" w:fill="auto"/>
            <w:noWrap w:val="0"/>
            <w:vAlign w:val="center"/>
          </w:tcPr>
          <w:p w14:paraId="4580C00B">
            <w:pPr>
              <w:pStyle w:val="47"/>
              <w:keepNext w:val="0"/>
              <w:keepLines w:val="0"/>
              <w:suppressLineNumbers w:val="0"/>
              <w:spacing w:before="0" w:beforeLines="0" w:beforeAutospacing="0" w:after="0" w:afterLines="0" w:afterAutospacing="0" w:line="240" w:lineRule="auto"/>
              <w:ind w:left="0" w:leftChars="0" w:right="0" w:rightChars="0"/>
              <w:rPr>
                <w:rFonts w:hint="eastAsia" w:ascii="Times New Roman" w:hAnsi="Times New Roman" w:eastAsia="宋体" w:cs="Times New Roman"/>
                <w:b w:val="0"/>
                <w:bCs/>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14:textFill>
                  <w14:solidFill>
                    <w14:schemeClr w14:val="tx1"/>
                  </w14:solidFill>
                </w14:textFill>
              </w:rPr>
              <w:t>0</w:t>
            </w:r>
          </w:p>
        </w:tc>
        <w:tc>
          <w:tcPr>
            <w:tcW w:w="636" w:type="pct"/>
            <w:shd w:val="clear" w:color="auto" w:fill="auto"/>
            <w:noWrap w:val="0"/>
            <w:vAlign w:val="center"/>
          </w:tcPr>
          <w:p w14:paraId="05330519">
            <w:pPr>
              <w:pStyle w:val="47"/>
              <w:keepNext w:val="0"/>
              <w:keepLines w:val="0"/>
              <w:suppressLineNumbers w:val="0"/>
              <w:spacing w:before="0" w:beforeLines="0" w:beforeAutospacing="0" w:after="0" w:afterLines="0" w:afterAutospacing="0" w:line="240" w:lineRule="auto"/>
              <w:ind w:left="0" w:leftChars="0" w:right="0" w:rightChars="0"/>
              <w:rPr>
                <w:rFonts w:hint="default" w:ascii="Times New Roman" w:hAnsi="Times New Roman" w:eastAsia="宋体" w:cs="Times New Roman"/>
                <w:b w:val="0"/>
                <w:bCs/>
                <w:snapToGrid w:val="0"/>
                <w:color w:val="000000" w:themeColor="text1"/>
                <w:kern w:val="21"/>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53.5</w:t>
            </w:r>
          </w:p>
        </w:tc>
        <w:tc>
          <w:tcPr>
            <w:tcW w:w="487" w:type="pct"/>
            <w:shd w:val="clear" w:color="auto" w:fill="auto"/>
            <w:noWrap w:val="0"/>
            <w:vAlign w:val="center"/>
          </w:tcPr>
          <w:p w14:paraId="59689038">
            <w:pPr>
              <w:pStyle w:val="47"/>
              <w:keepNext w:val="0"/>
              <w:keepLines w:val="0"/>
              <w:suppressLineNumbers w:val="0"/>
              <w:spacing w:before="0" w:beforeLines="0" w:beforeAutospacing="0" w:after="0" w:afterLines="0" w:afterAutospacing="0" w:line="240" w:lineRule="auto"/>
              <w:ind w:left="0" w:leftChars="0" w:right="0" w:rightChars="0"/>
              <w:rPr>
                <w:rFonts w:hint="eastAsia" w:ascii="Times New Roman" w:hAnsi="Times New Roman" w:eastAsia="宋体" w:cs="Times New Roman"/>
                <w:b w:val="0"/>
                <w:bCs/>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eastAsia="宋体" w:cs="Times New Roman"/>
                <w:b w:val="0"/>
                <w:bCs/>
                <w:snapToGrid w:val="0"/>
                <w:color w:val="000000" w:themeColor="text1"/>
                <w:kern w:val="21"/>
                <w:sz w:val="21"/>
                <w:szCs w:val="21"/>
                <w:highlight w:val="none"/>
                <w:lang w:val="en-US" w:eastAsia="zh-CN" w:bidi="ar-SA"/>
                <w14:textFill>
                  <w14:solidFill>
                    <w14:schemeClr w14:val="tx1"/>
                  </w14:solidFill>
                </w14:textFill>
              </w:rPr>
              <w:t>0</w:t>
            </w:r>
          </w:p>
        </w:tc>
      </w:tr>
    </w:tbl>
    <w:p w14:paraId="6E6EFC20">
      <w:pPr>
        <w:pStyle w:val="47"/>
        <w:spacing w:before="192" w:beforeLines="80" w:after="24"/>
        <w:jc w:val="left"/>
        <w:rPr>
          <w:color w:val="000000" w:themeColor="text1"/>
          <w:sz w:val="21"/>
          <w:szCs w:val="21"/>
          <w:highlight w:val="none"/>
          <w14:textFill>
            <w14:solidFill>
              <w14:schemeClr w14:val="tx1"/>
            </w14:solidFill>
          </w14:textFill>
        </w:rPr>
      </w:pPr>
      <w:r>
        <w:rPr>
          <w:rFonts w:hAnsi="宋体"/>
          <w:snapToGrid w:val="0"/>
          <w:color w:val="000000" w:themeColor="text1"/>
          <w:kern w:val="21"/>
          <w:sz w:val="21"/>
          <w:szCs w:val="21"/>
          <w:highlight w:val="none"/>
          <w14:textFill>
            <w14:solidFill>
              <w14:schemeClr w14:val="tx1"/>
            </w14:solidFill>
          </w14:textFill>
        </w:rPr>
        <w:t>注：</w:t>
      </w:r>
      <w:r>
        <w:rPr>
          <w:rFonts w:hAnsi="宋体"/>
          <w:snapToGrid w:val="0"/>
          <w:color w:val="000000" w:themeColor="text1"/>
          <w:spacing w:val="-16"/>
          <w:kern w:val="21"/>
          <w:sz w:val="21"/>
          <w:szCs w:val="21"/>
          <w:highlight w:val="none"/>
          <w14:textFill>
            <w14:solidFill>
              <w14:schemeClr w14:val="tx1"/>
            </w14:solidFill>
          </w14:textFill>
        </w:rPr>
        <w:fldChar w:fldCharType="begin"/>
      </w:r>
      <w:r>
        <w:rPr>
          <w:rFonts w:hAnsi="宋体"/>
          <w:snapToGrid w:val="0"/>
          <w:color w:val="000000" w:themeColor="text1"/>
          <w:spacing w:val="-16"/>
          <w:kern w:val="21"/>
          <w:sz w:val="21"/>
          <w:szCs w:val="21"/>
          <w:highlight w:val="none"/>
          <w14:textFill>
            <w14:solidFill>
              <w14:schemeClr w14:val="tx1"/>
            </w14:solidFill>
          </w14:textFill>
        </w:rPr>
        <w:instrText xml:space="preserve"> = 6 \* GB3 \* MERGEFORMAT </w:instrText>
      </w:r>
      <w:r>
        <w:rPr>
          <w:rFonts w:hAnsi="宋体"/>
          <w:snapToGrid w:val="0"/>
          <w:color w:val="000000" w:themeColor="text1"/>
          <w:spacing w:val="-16"/>
          <w:kern w:val="21"/>
          <w:sz w:val="21"/>
          <w:szCs w:val="21"/>
          <w:highlight w:val="none"/>
          <w14:textFill>
            <w14:solidFill>
              <w14:schemeClr w14:val="tx1"/>
            </w14:solidFill>
          </w14:textFill>
        </w:rPr>
        <w:fldChar w:fldCharType="separate"/>
      </w:r>
      <w:r>
        <w:rPr>
          <w:rFonts w:hint="eastAsia" w:hAnsi="宋体"/>
          <w:color w:val="000000" w:themeColor="text1"/>
          <w:sz w:val="21"/>
          <w:szCs w:val="21"/>
          <w:highlight w:val="none"/>
          <w14:textFill>
            <w14:solidFill>
              <w14:schemeClr w14:val="tx1"/>
            </w14:solidFill>
          </w14:textFill>
        </w:rPr>
        <w:t>⑥</w:t>
      </w:r>
      <w:r>
        <w:rPr>
          <w:rFonts w:hAnsi="宋体"/>
          <w:snapToGrid w:val="0"/>
          <w:color w:val="000000" w:themeColor="text1"/>
          <w:spacing w:val="-16"/>
          <w:kern w:val="21"/>
          <w:sz w:val="21"/>
          <w:szCs w:val="21"/>
          <w:highlight w:val="none"/>
          <w14:textFill>
            <w14:solidFill>
              <w14:schemeClr w14:val="tx1"/>
            </w14:solidFill>
          </w14:textFill>
        </w:rPr>
        <w:fldChar w:fldCharType="end"/>
      </w:r>
      <w:r>
        <w:rPr>
          <w:rFonts w:hAnsi="宋体"/>
          <w:snapToGrid w:val="0"/>
          <w:color w:val="000000" w:themeColor="text1"/>
          <w:spacing w:val="-16"/>
          <w:kern w:val="21"/>
          <w:sz w:val="21"/>
          <w:szCs w:val="21"/>
          <w:highlight w:val="none"/>
          <w14:textFill>
            <w14:solidFill>
              <w14:schemeClr w14:val="tx1"/>
            </w14:solidFill>
          </w14:textFill>
        </w:rPr>
        <w:t>=</w:t>
      </w:r>
      <w:r>
        <w:rPr>
          <w:rFonts w:hAnsi="宋体"/>
          <w:snapToGrid w:val="0"/>
          <w:color w:val="000000" w:themeColor="text1"/>
          <w:spacing w:val="-6"/>
          <w:kern w:val="21"/>
          <w:sz w:val="21"/>
          <w:szCs w:val="21"/>
          <w:highlight w:val="none"/>
          <w14:textFill>
            <w14:solidFill>
              <w14:schemeClr w14:val="tx1"/>
            </w14:solidFill>
          </w14:textFill>
        </w:rPr>
        <w:fldChar w:fldCharType="begin"/>
      </w:r>
      <w:r>
        <w:rPr>
          <w:rFonts w:hAnsi="宋体"/>
          <w:snapToGrid w:val="0"/>
          <w:color w:val="000000" w:themeColor="text1"/>
          <w:spacing w:val="-6"/>
          <w:kern w:val="21"/>
          <w:sz w:val="21"/>
          <w:szCs w:val="21"/>
          <w:highlight w:val="none"/>
          <w14:textFill>
            <w14:solidFill>
              <w14:schemeClr w14:val="tx1"/>
            </w14:solidFill>
          </w14:textFill>
        </w:rPr>
        <w:instrText xml:space="preserve"> = 1 \* GB3 \* MERGEFORMAT </w:instrText>
      </w:r>
      <w:r>
        <w:rPr>
          <w:rFonts w:hAnsi="宋体"/>
          <w:snapToGrid w:val="0"/>
          <w:color w:val="000000" w:themeColor="text1"/>
          <w:spacing w:val="-6"/>
          <w:kern w:val="21"/>
          <w:sz w:val="21"/>
          <w:szCs w:val="21"/>
          <w:highlight w:val="none"/>
          <w14:textFill>
            <w14:solidFill>
              <w14:schemeClr w14:val="tx1"/>
            </w14:solidFill>
          </w14:textFill>
        </w:rPr>
        <w:fldChar w:fldCharType="separate"/>
      </w:r>
      <w:r>
        <w:rPr>
          <w:rFonts w:hint="eastAsia" w:hAnsi="宋体"/>
          <w:color w:val="000000" w:themeColor="text1"/>
          <w:sz w:val="21"/>
          <w:szCs w:val="21"/>
          <w:highlight w:val="none"/>
          <w14:textFill>
            <w14:solidFill>
              <w14:schemeClr w14:val="tx1"/>
            </w14:solidFill>
          </w14:textFill>
        </w:rPr>
        <w:t>①</w:t>
      </w:r>
      <w:r>
        <w:rPr>
          <w:rFonts w:hAnsi="宋体"/>
          <w:snapToGrid w:val="0"/>
          <w:color w:val="000000" w:themeColor="text1"/>
          <w:spacing w:val="-6"/>
          <w:kern w:val="21"/>
          <w:sz w:val="21"/>
          <w:szCs w:val="21"/>
          <w:highlight w:val="none"/>
          <w14:textFill>
            <w14:solidFill>
              <w14:schemeClr w14:val="tx1"/>
            </w14:solidFill>
          </w14:textFill>
        </w:rPr>
        <w:fldChar w:fldCharType="end"/>
      </w:r>
      <w:r>
        <w:rPr>
          <w:rFonts w:hAnsi="宋体"/>
          <w:snapToGrid w:val="0"/>
          <w:color w:val="000000" w:themeColor="text1"/>
          <w:spacing w:val="-6"/>
          <w:kern w:val="21"/>
          <w:sz w:val="21"/>
          <w:szCs w:val="21"/>
          <w:highlight w:val="none"/>
          <w14:textFill>
            <w14:solidFill>
              <w14:schemeClr w14:val="tx1"/>
            </w14:solidFill>
          </w14:textFill>
        </w:rPr>
        <w:t>+</w:t>
      </w:r>
      <w:r>
        <w:rPr>
          <w:rFonts w:hAnsi="宋体"/>
          <w:snapToGrid w:val="0"/>
          <w:color w:val="000000" w:themeColor="text1"/>
          <w:spacing w:val="-6"/>
          <w:kern w:val="21"/>
          <w:sz w:val="21"/>
          <w:szCs w:val="21"/>
          <w:highlight w:val="none"/>
          <w14:textFill>
            <w14:solidFill>
              <w14:schemeClr w14:val="tx1"/>
            </w14:solidFill>
          </w14:textFill>
        </w:rPr>
        <w:fldChar w:fldCharType="begin"/>
      </w:r>
      <w:r>
        <w:rPr>
          <w:rFonts w:hAnsi="宋体"/>
          <w:snapToGrid w:val="0"/>
          <w:color w:val="000000" w:themeColor="text1"/>
          <w:spacing w:val="-6"/>
          <w:kern w:val="21"/>
          <w:sz w:val="21"/>
          <w:szCs w:val="21"/>
          <w:highlight w:val="none"/>
          <w14:textFill>
            <w14:solidFill>
              <w14:schemeClr w14:val="tx1"/>
            </w14:solidFill>
          </w14:textFill>
        </w:rPr>
        <w:instrText xml:space="preserve"> = 3 \* GB3 \* MERGEFORMAT </w:instrText>
      </w:r>
      <w:r>
        <w:rPr>
          <w:rFonts w:hAnsi="宋体"/>
          <w:snapToGrid w:val="0"/>
          <w:color w:val="000000" w:themeColor="text1"/>
          <w:spacing w:val="-6"/>
          <w:kern w:val="21"/>
          <w:sz w:val="21"/>
          <w:szCs w:val="21"/>
          <w:highlight w:val="none"/>
          <w14:textFill>
            <w14:solidFill>
              <w14:schemeClr w14:val="tx1"/>
            </w14:solidFill>
          </w14:textFill>
        </w:rPr>
        <w:fldChar w:fldCharType="separate"/>
      </w:r>
      <w:r>
        <w:rPr>
          <w:rFonts w:hint="eastAsia" w:hAnsi="宋体"/>
          <w:color w:val="000000" w:themeColor="text1"/>
          <w:sz w:val="21"/>
          <w:szCs w:val="21"/>
          <w:highlight w:val="none"/>
          <w14:textFill>
            <w14:solidFill>
              <w14:schemeClr w14:val="tx1"/>
            </w14:solidFill>
          </w14:textFill>
        </w:rPr>
        <w:t>③</w:t>
      </w:r>
      <w:r>
        <w:rPr>
          <w:rFonts w:hAnsi="宋体"/>
          <w:snapToGrid w:val="0"/>
          <w:color w:val="000000" w:themeColor="text1"/>
          <w:spacing w:val="-6"/>
          <w:kern w:val="21"/>
          <w:sz w:val="21"/>
          <w:szCs w:val="21"/>
          <w:highlight w:val="none"/>
          <w14:textFill>
            <w14:solidFill>
              <w14:schemeClr w14:val="tx1"/>
            </w14:solidFill>
          </w14:textFill>
        </w:rPr>
        <w:fldChar w:fldCharType="end"/>
      </w:r>
      <w:r>
        <w:rPr>
          <w:rFonts w:hAnsi="宋体"/>
          <w:snapToGrid w:val="0"/>
          <w:color w:val="000000" w:themeColor="text1"/>
          <w:spacing w:val="-6"/>
          <w:kern w:val="21"/>
          <w:sz w:val="21"/>
          <w:szCs w:val="21"/>
          <w:highlight w:val="none"/>
          <w14:textFill>
            <w14:solidFill>
              <w14:schemeClr w14:val="tx1"/>
            </w14:solidFill>
          </w14:textFill>
        </w:rPr>
        <w:t>+</w:t>
      </w:r>
      <w:r>
        <w:rPr>
          <w:rFonts w:hAnsi="宋体"/>
          <w:snapToGrid w:val="0"/>
          <w:color w:val="000000" w:themeColor="text1"/>
          <w:spacing w:val="-6"/>
          <w:kern w:val="21"/>
          <w:sz w:val="21"/>
          <w:szCs w:val="21"/>
          <w:highlight w:val="none"/>
          <w14:textFill>
            <w14:solidFill>
              <w14:schemeClr w14:val="tx1"/>
            </w14:solidFill>
          </w14:textFill>
        </w:rPr>
        <w:fldChar w:fldCharType="begin"/>
      </w:r>
      <w:r>
        <w:rPr>
          <w:rFonts w:hAnsi="宋体"/>
          <w:snapToGrid w:val="0"/>
          <w:color w:val="000000" w:themeColor="text1"/>
          <w:spacing w:val="-6"/>
          <w:kern w:val="21"/>
          <w:sz w:val="21"/>
          <w:szCs w:val="21"/>
          <w:highlight w:val="none"/>
          <w14:textFill>
            <w14:solidFill>
              <w14:schemeClr w14:val="tx1"/>
            </w14:solidFill>
          </w14:textFill>
        </w:rPr>
        <w:instrText xml:space="preserve"> = 4 \* GB3 \* MERGEFORMAT </w:instrText>
      </w:r>
      <w:r>
        <w:rPr>
          <w:rFonts w:hAnsi="宋体"/>
          <w:snapToGrid w:val="0"/>
          <w:color w:val="000000" w:themeColor="text1"/>
          <w:spacing w:val="-6"/>
          <w:kern w:val="21"/>
          <w:sz w:val="21"/>
          <w:szCs w:val="21"/>
          <w:highlight w:val="none"/>
          <w14:textFill>
            <w14:solidFill>
              <w14:schemeClr w14:val="tx1"/>
            </w14:solidFill>
          </w14:textFill>
        </w:rPr>
        <w:fldChar w:fldCharType="separate"/>
      </w:r>
      <w:r>
        <w:rPr>
          <w:rFonts w:hint="eastAsia" w:hAnsi="宋体"/>
          <w:color w:val="000000" w:themeColor="text1"/>
          <w:sz w:val="21"/>
          <w:szCs w:val="21"/>
          <w:highlight w:val="none"/>
          <w14:textFill>
            <w14:solidFill>
              <w14:schemeClr w14:val="tx1"/>
            </w14:solidFill>
          </w14:textFill>
        </w:rPr>
        <w:t>④</w:t>
      </w:r>
      <w:r>
        <w:rPr>
          <w:rFonts w:hAnsi="宋体"/>
          <w:snapToGrid w:val="0"/>
          <w:color w:val="000000" w:themeColor="text1"/>
          <w:spacing w:val="-6"/>
          <w:kern w:val="21"/>
          <w:sz w:val="21"/>
          <w:szCs w:val="21"/>
          <w:highlight w:val="none"/>
          <w14:textFill>
            <w14:solidFill>
              <w14:schemeClr w14:val="tx1"/>
            </w14:solidFill>
          </w14:textFill>
        </w:rPr>
        <w:fldChar w:fldCharType="end"/>
      </w:r>
      <w:r>
        <w:rPr>
          <w:rFonts w:hAnsi="宋体"/>
          <w:snapToGrid w:val="0"/>
          <w:color w:val="000000" w:themeColor="text1"/>
          <w:spacing w:val="-6"/>
          <w:kern w:val="21"/>
          <w:sz w:val="21"/>
          <w:szCs w:val="21"/>
          <w:highlight w:val="none"/>
          <w14:textFill>
            <w14:solidFill>
              <w14:schemeClr w14:val="tx1"/>
            </w14:solidFill>
          </w14:textFill>
        </w:rPr>
        <w:t>-</w:t>
      </w:r>
      <w:r>
        <w:rPr>
          <w:rFonts w:hAnsi="宋体"/>
          <w:snapToGrid w:val="0"/>
          <w:color w:val="000000" w:themeColor="text1"/>
          <w:spacing w:val="-16"/>
          <w:kern w:val="21"/>
          <w:sz w:val="21"/>
          <w:szCs w:val="21"/>
          <w:highlight w:val="none"/>
          <w14:textFill>
            <w14:solidFill>
              <w14:schemeClr w14:val="tx1"/>
            </w14:solidFill>
          </w14:textFill>
        </w:rPr>
        <w:fldChar w:fldCharType="begin"/>
      </w:r>
      <w:r>
        <w:rPr>
          <w:rFonts w:hAnsi="宋体"/>
          <w:snapToGrid w:val="0"/>
          <w:color w:val="000000" w:themeColor="text1"/>
          <w:spacing w:val="-16"/>
          <w:kern w:val="21"/>
          <w:sz w:val="21"/>
          <w:szCs w:val="21"/>
          <w:highlight w:val="none"/>
          <w14:textFill>
            <w14:solidFill>
              <w14:schemeClr w14:val="tx1"/>
            </w14:solidFill>
          </w14:textFill>
        </w:rPr>
        <w:instrText xml:space="preserve"> = 5 \* GB3 \* MERGEFORMAT </w:instrText>
      </w:r>
      <w:r>
        <w:rPr>
          <w:rFonts w:hAnsi="宋体"/>
          <w:snapToGrid w:val="0"/>
          <w:color w:val="000000" w:themeColor="text1"/>
          <w:spacing w:val="-16"/>
          <w:kern w:val="21"/>
          <w:sz w:val="21"/>
          <w:szCs w:val="21"/>
          <w:highlight w:val="none"/>
          <w14:textFill>
            <w14:solidFill>
              <w14:schemeClr w14:val="tx1"/>
            </w14:solidFill>
          </w14:textFill>
        </w:rPr>
        <w:fldChar w:fldCharType="separate"/>
      </w:r>
      <w:r>
        <w:rPr>
          <w:rFonts w:hint="eastAsia" w:hAnsi="宋体"/>
          <w:color w:val="000000" w:themeColor="text1"/>
          <w:sz w:val="21"/>
          <w:szCs w:val="21"/>
          <w:highlight w:val="none"/>
          <w14:textFill>
            <w14:solidFill>
              <w14:schemeClr w14:val="tx1"/>
            </w14:solidFill>
          </w14:textFill>
        </w:rPr>
        <w:t>⑤</w:t>
      </w:r>
      <w:r>
        <w:rPr>
          <w:rFonts w:hAnsi="宋体"/>
          <w:snapToGrid w:val="0"/>
          <w:color w:val="000000" w:themeColor="text1"/>
          <w:spacing w:val="-16"/>
          <w:kern w:val="21"/>
          <w:sz w:val="21"/>
          <w:szCs w:val="21"/>
          <w:highlight w:val="none"/>
          <w14:textFill>
            <w14:solidFill>
              <w14:schemeClr w14:val="tx1"/>
            </w14:solidFill>
          </w14:textFill>
        </w:rPr>
        <w:fldChar w:fldCharType="end"/>
      </w:r>
      <w:r>
        <w:rPr>
          <w:rFonts w:hAnsi="宋体"/>
          <w:snapToGrid w:val="0"/>
          <w:color w:val="000000" w:themeColor="text1"/>
          <w:spacing w:val="-16"/>
          <w:kern w:val="21"/>
          <w:sz w:val="21"/>
          <w:szCs w:val="21"/>
          <w:highlight w:val="none"/>
          <w14:textFill>
            <w14:solidFill>
              <w14:schemeClr w14:val="tx1"/>
            </w14:solidFill>
          </w14:textFill>
        </w:rPr>
        <w:t>；</w:t>
      </w:r>
      <w:r>
        <w:rPr>
          <w:rFonts w:hAnsi="宋体"/>
          <w:snapToGrid w:val="0"/>
          <w:color w:val="000000" w:themeColor="text1"/>
          <w:spacing w:val="-6"/>
          <w:kern w:val="21"/>
          <w:sz w:val="21"/>
          <w:szCs w:val="21"/>
          <w:highlight w:val="none"/>
          <w14:textFill>
            <w14:solidFill>
              <w14:schemeClr w14:val="tx1"/>
            </w14:solidFill>
          </w14:textFill>
        </w:rPr>
        <w:fldChar w:fldCharType="begin"/>
      </w:r>
      <w:r>
        <w:rPr>
          <w:rFonts w:hAnsi="宋体"/>
          <w:snapToGrid w:val="0"/>
          <w:color w:val="000000" w:themeColor="text1"/>
          <w:spacing w:val="-6"/>
          <w:kern w:val="21"/>
          <w:sz w:val="21"/>
          <w:szCs w:val="21"/>
          <w:highlight w:val="none"/>
          <w14:textFill>
            <w14:solidFill>
              <w14:schemeClr w14:val="tx1"/>
            </w14:solidFill>
          </w14:textFill>
        </w:rPr>
        <w:instrText xml:space="preserve"> = 7 \* GB3 \* MERGEFORMAT </w:instrText>
      </w:r>
      <w:r>
        <w:rPr>
          <w:rFonts w:hAnsi="宋体"/>
          <w:snapToGrid w:val="0"/>
          <w:color w:val="000000" w:themeColor="text1"/>
          <w:spacing w:val="-6"/>
          <w:kern w:val="21"/>
          <w:sz w:val="21"/>
          <w:szCs w:val="21"/>
          <w:highlight w:val="none"/>
          <w14:textFill>
            <w14:solidFill>
              <w14:schemeClr w14:val="tx1"/>
            </w14:solidFill>
          </w14:textFill>
        </w:rPr>
        <w:fldChar w:fldCharType="separate"/>
      </w:r>
      <w:r>
        <w:rPr>
          <w:rFonts w:hint="eastAsia" w:hAnsi="宋体"/>
          <w:color w:val="000000" w:themeColor="text1"/>
          <w:sz w:val="21"/>
          <w:szCs w:val="21"/>
          <w:highlight w:val="none"/>
          <w14:textFill>
            <w14:solidFill>
              <w14:schemeClr w14:val="tx1"/>
            </w14:solidFill>
          </w14:textFill>
        </w:rPr>
        <w:t>⑦</w:t>
      </w:r>
      <w:r>
        <w:rPr>
          <w:rFonts w:hAnsi="宋体"/>
          <w:snapToGrid w:val="0"/>
          <w:color w:val="000000" w:themeColor="text1"/>
          <w:spacing w:val="-6"/>
          <w:kern w:val="21"/>
          <w:sz w:val="21"/>
          <w:szCs w:val="21"/>
          <w:highlight w:val="none"/>
          <w14:textFill>
            <w14:solidFill>
              <w14:schemeClr w14:val="tx1"/>
            </w14:solidFill>
          </w14:textFill>
        </w:rPr>
        <w:fldChar w:fldCharType="end"/>
      </w:r>
      <w:r>
        <w:rPr>
          <w:rFonts w:hAnsi="宋体"/>
          <w:snapToGrid w:val="0"/>
          <w:color w:val="000000" w:themeColor="text1"/>
          <w:spacing w:val="-6"/>
          <w:kern w:val="21"/>
          <w:sz w:val="21"/>
          <w:szCs w:val="21"/>
          <w:highlight w:val="none"/>
          <w14:textFill>
            <w14:solidFill>
              <w14:schemeClr w14:val="tx1"/>
            </w14:solidFill>
          </w14:textFill>
        </w:rPr>
        <w:t>=</w:t>
      </w:r>
      <w:r>
        <w:rPr>
          <w:rFonts w:hAnsi="宋体"/>
          <w:snapToGrid w:val="0"/>
          <w:color w:val="000000" w:themeColor="text1"/>
          <w:spacing w:val="-16"/>
          <w:kern w:val="21"/>
          <w:sz w:val="21"/>
          <w:szCs w:val="21"/>
          <w:highlight w:val="none"/>
          <w14:textFill>
            <w14:solidFill>
              <w14:schemeClr w14:val="tx1"/>
            </w14:solidFill>
          </w14:textFill>
        </w:rPr>
        <w:fldChar w:fldCharType="begin"/>
      </w:r>
      <w:r>
        <w:rPr>
          <w:rFonts w:hAnsi="宋体"/>
          <w:snapToGrid w:val="0"/>
          <w:color w:val="000000" w:themeColor="text1"/>
          <w:spacing w:val="-16"/>
          <w:kern w:val="21"/>
          <w:sz w:val="21"/>
          <w:szCs w:val="21"/>
          <w:highlight w:val="none"/>
          <w14:textFill>
            <w14:solidFill>
              <w14:schemeClr w14:val="tx1"/>
            </w14:solidFill>
          </w14:textFill>
        </w:rPr>
        <w:instrText xml:space="preserve"> = 6 \* GB3 \* MERGEFORMAT </w:instrText>
      </w:r>
      <w:r>
        <w:rPr>
          <w:rFonts w:hAnsi="宋体"/>
          <w:snapToGrid w:val="0"/>
          <w:color w:val="000000" w:themeColor="text1"/>
          <w:spacing w:val="-16"/>
          <w:kern w:val="21"/>
          <w:sz w:val="21"/>
          <w:szCs w:val="21"/>
          <w:highlight w:val="none"/>
          <w14:textFill>
            <w14:solidFill>
              <w14:schemeClr w14:val="tx1"/>
            </w14:solidFill>
          </w14:textFill>
        </w:rPr>
        <w:fldChar w:fldCharType="separate"/>
      </w:r>
      <w:r>
        <w:rPr>
          <w:rFonts w:hint="eastAsia" w:hAnsi="宋体"/>
          <w:color w:val="000000" w:themeColor="text1"/>
          <w:sz w:val="21"/>
          <w:szCs w:val="21"/>
          <w:highlight w:val="none"/>
          <w14:textFill>
            <w14:solidFill>
              <w14:schemeClr w14:val="tx1"/>
            </w14:solidFill>
          </w14:textFill>
        </w:rPr>
        <w:t>⑥</w:t>
      </w:r>
      <w:r>
        <w:rPr>
          <w:rFonts w:hAnsi="宋体"/>
          <w:snapToGrid w:val="0"/>
          <w:color w:val="000000" w:themeColor="text1"/>
          <w:spacing w:val="-16"/>
          <w:kern w:val="21"/>
          <w:sz w:val="21"/>
          <w:szCs w:val="21"/>
          <w:highlight w:val="none"/>
          <w14:textFill>
            <w14:solidFill>
              <w14:schemeClr w14:val="tx1"/>
            </w14:solidFill>
          </w14:textFill>
        </w:rPr>
        <w:fldChar w:fldCharType="end"/>
      </w:r>
      <w:r>
        <w:rPr>
          <w:rFonts w:hAnsi="宋体"/>
          <w:snapToGrid w:val="0"/>
          <w:color w:val="000000" w:themeColor="text1"/>
          <w:spacing w:val="-16"/>
          <w:kern w:val="21"/>
          <w:sz w:val="21"/>
          <w:szCs w:val="21"/>
          <w:highlight w:val="none"/>
          <w14:textFill>
            <w14:solidFill>
              <w14:schemeClr w14:val="tx1"/>
            </w14:solidFill>
          </w14:textFill>
        </w:rPr>
        <w:t>-</w:t>
      </w:r>
      <w:r>
        <w:rPr>
          <w:rFonts w:hAnsi="宋体"/>
          <w:snapToGrid w:val="0"/>
          <w:color w:val="000000" w:themeColor="text1"/>
          <w:spacing w:val="-6"/>
          <w:kern w:val="21"/>
          <w:sz w:val="21"/>
          <w:szCs w:val="21"/>
          <w:highlight w:val="none"/>
          <w14:textFill>
            <w14:solidFill>
              <w14:schemeClr w14:val="tx1"/>
            </w14:solidFill>
          </w14:textFill>
        </w:rPr>
        <w:fldChar w:fldCharType="begin"/>
      </w:r>
      <w:r>
        <w:rPr>
          <w:rFonts w:hAnsi="宋体"/>
          <w:snapToGrid w:val="0"/>
          <w:color w:val="000000" w:themeColor="text1"/>
          <w:spacing w:val="-6"/>
          <w:kern w:val="21"/>
          <w:sz w:val="21"/>
          <w:szCs w:val="21"/>
          <w:highlight w:val="none"/>
          <w14:textFill>
            <w14:solidFill>
              <w14:schemeClr w14:val="tx1"/>
            </w14:solidFill>
          </w14:textFill>
        </w:rPr>
        <w:instrText xml:space="preserve"> = 1 \* GB3 \* MERGEFORMAT </w:instrText>
      </w:r>
      <w:r>
        <w:rPr>
          <w:rFonts w:hAnsi="宋体"/>
          <w:snapToGrid w:val="0"/>
          <w:color w:val="000000" w:themeColor="text1"/>
          <w:spacing w:val="-6"/>
          <w:kern w:val="21"/>
          <w:sz w:val="21"/>
          <w:szCs w:val="21"/>
          <w:highlight w:val="none"/>
          <w14:textFill>
            <w14:solidFill>
              <w14:schemeClr w14:val="tx1"/>
            </w14:solidFill>
          </w14:textFill>
        </w:rPr>
        <w:fldChar w:fldCharType="separate"/>
      </w:r>
      <w:r>
        <w:rPr>
          <w:rFonts w:hint="eastAsia" w:hAnsi="宋体"/>
          <w:color w:val="000000" w:themeColor="text1"/>
          <w:sz w:val="21"/>
          <w:szCs w:val="21"/>
          <w:highlight w:val="none"/>
          <w14:textFill>
            <w14:solidFill>
              <w14:schemeClr w14:val="tx1"/>
            </w14:solidFill>
          </w14:textFill>
        </w:rPr>
        <w:t>①</w:t>
      </w:r>
      <w:r>
        <w:rPr>
          <w:rFonts w:hAnsi="宋体"/>
          <w:snapToGrid w:val="0"/>
          <w:color w:val="000000" w:themeColor="text1"/>
          <w:spacing w:val="-6"/>
          <w:kern w:val="21"/>
          <w:sz w:val="21"/>
          <w:szCs w:val="21"/>
          <w:highlight w:val="none"/>
          <w14:textFill>
            <w14:solidFill>
              <w14:schemeClr w14:val="tx1"/>
            </w14:solidFill>
          </w14:textFill>
        </w:rPr>
        <w:fldChar w:fldCharType="end"/>
      </w:r>
    </w:p>
    <w:p w14:paraId="7E5D70EC">
      <w:pPr>
        <w:rPr>
          <w:color w:val="000000" w:themeColor="text1"/>
          <w:sz w:val="21"/>
          <w:szCs w:val="21"/>
          <w:highlight w:val="none"/>
          <w14:textFill>
            <w14:solidFill>
              <w14:schemeClr w14:val="tx1"/>
            </w14:solidFill>
          </w14:textFill>
        </w:rPr>
        <w:sectPr>
          <w:footerReference r:id="rId11" w:type="default"/>
          <w:pgSz w:w="16838" w:h="11906" w:orient="landscape"/>
          <w:pgMar w:top="1247" w:right="1080" w:bottom="1247" w:left="1080"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6E67F264">
      <w:pPr>
        <w:pStyle w:val="2"/>
        <w:keepNext w:val="0"/>
        <w:keepLines w:val="0"/>
        <w:pageBreakBefore w:val="0"/>
        <w:widowControl w:val="0"/>
        <w:kinsoku/>
        <w:wordWrap/>
        <w:overflowPunct/>
        <w:topLinePunct w:val="0"/>
        <w:autoSpaceDE/>
        <w:autoSpaceDN/>
        <w:bidi w:val="0"/>
        <w:adjustRightInd/>
        <w:snapToGrid w:val="0"/>
        <w:spacing w:before="0" w:after="0" w:line="240" w:lineRule="auto"/>
        <w:ind w:left="0" w:firstLine="0"/>
        <w:jc w:val="both"/>
        <w:textAlignment w:val="auto"/>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附图1：地理位置图</w:t>
      </w:r>
    </w:p>
    <w:p w14:paraId="053B8B0B">
      <w:pPr>
        <w:jc w:val="center"/>
        <w:rPr>
          <w:rFonts w:hint="eastAsia" w:eastAsia="宋体"/>
          <w:b/>
          <w:bCs/>
          <w:color w:val="000000" w:themeColor="text1"/>
          <w:sz w:val="24"/>
          <w:highlight w:val="none"/>
          <w:lang w:eastAsia="zh-CN"/>
          <w14:textFill>
            <w14:solidFill>
              <w14:schemeClr w14:val="tx1"/>
            </w14:solidFill>
          </w14:textFill>
        </w:rPr>
      </w:pPr>
      <w:r>
        <w:rPr>
          <w:rFonts w:hint="eastAsia" w:eastAsia="宋体"/>
          <w:b/>
          <w:bCs/>
          <w:color w:val="000000" w:themeColor="text1"/>
          <w:sz w:val="24"/>
          <w:highlight w:val="none"/>
          <w:lang w:eastAsia="zh-CN"/>
          <w14:textFill>
            <w14:solidFill>
              <w14:schemeClr w14:val="tx1"/>
            </w14:solidFill>
          </w14:textFill>
        </w:rPr>
        <w:drawing>
          <wp:inline distT="0" distB="0" distL="114300" distR="114300">
            <wp:extent cx="8531225" cy="5281295"/>
            <wp:effectExtent l="0" t="0" r="3175" b="14605"/>
            <wp:docPr id="157" name="图片 157" descr="地理位置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157" descr="地理位置图"/>
                    <pic:cNvPicPr>
                      <a:picLocks noChangeAspect="1"/>
                    </pic:cNvPicPr>
                  </pic:nvPicPr>
                  <pic:blipFill>
                    <a:blip r:embed="rId37"/>
                    <a:stretch>
                      <a:fillRect/>
                    </a:stretch>
                  </pic:blipFill>
                  <pic:spPr>
                    <a:xfrm>
                      <a:off x="0" y="0"/>
                      <a:ext cx="8531225" cy="5281295"/>
                    </a:xfrm>
                    <a:prstGeom prst="rect">
                      <a:avLst/>
                    </a:prstGeom>
                  </pic:spPr>
                </pic:pic>
              </a:graphicData>
            </a:graphic>
          </wp:inline>
        </w:drawing>
      </w:r>
    </w:p>
    <w:p w14:paraId="4EB2173E">
      <w:pPr>
        <w:pStyle w:val="48"/>
        <w:ind w:left="0" w:leftChars="0" w:firstLine="0" w:firstLineChars="0"/>
        <w:jc w:val="left"/>
        <w:rPr>
          <w:color w:val="000000" w:themeColor="text1"/>
          <w:highlight w:val="none"/>
          <w14:textFill>
            <w14:solidFill>
              <w14:schemeClr w14:val="tx1"/>
            </w14:solidFill>
          </w14:textFill>
        </w:rPr>
        <w:sectPr>
          <w:pgSz w:w="16838" w:h="11906" w:orient="landscape"/>
          <w:pgMar w:top="1134" w:right="1701" w:bottom="1134" w:left="1701"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5D24F291">
      <w:pPr>
        <w:pStyle w:val="2"/>
        <w:keepNext w:val="0"/>
        <w:keepLines w:val="0"/>
        <w:pageBreakBefore w:val="0"/>
        <w:widowControl w:val="0"/>
        <w:kinsoku/>
        <w:wordWrap/>
        <w:overflowPunct/>
        <w:topLinePunct w:val="0"/>
        <w:autoSpaceDE/>
        <w:autoSpaceDN/>
        <w:bidi w:val="0"/>
        <w:adjustRightInd/>
        <w:snapToGrid w:val="0"/>
        <w:spacing w:before="0" w:after="0" w:line="240" w:lineRule="auto"/>
        <w:ind w:left="0" w:firstLine="0"/>
        <w:jc w:val="both"/>
        <w:textAlignment w:val="auto"/>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附图</w:t>
      </w:r>
      <w:r>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2：</w:t>
      </w:r>
      <w:r>
        <w:rPr>
          <w:rFonts w:hint="default" w:ascii="Times New Roman" w:hAnsi="Times New Roman" w:eastAsia="宋体" w:cs="Times New Roman"/>
          <w:color w:val="000000"/>
          <w:kern w:val="2"/>
          <w:sz w:val="28"/>
          <w:szCs w:val="28"/>
          <w:highlight w:val="none"/>
          <w:lang w:val="en-US" w:eastAsia="zh-CN"/>
        </w:rPr>
        <w:t>生态环境管控单元图</w:t>
      </w:r>
      <w:r>
        <w:rPr>
          <w:rFonts w:hint="eastAsia" w:eastAsia="宋体" w:cs="Times New Roman"/>
          <w:color w:val="000000" w:themeColor="text1"/>
          <w:kern w:val="2"/>
          <w:sz w:val="28"/>
          <w:szCs w:val="28"/>
          <w:highlight w:val="none"/>
          <w:lang w:val="en-US" w:eastAsia="zh-CN"/>
          <w14:textFill>
            <w14:solidFill>
              <w14:schemeClr w14:val="tx1"/>
            </w14:solidFill>
          </w14:textFill>
        </w:rPr>
        <w:t>及</w:t>
      </w:r>
      <w:r>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查询结果</w:t>
      </w:r>
    </w:p>
    <w:p w14:paraId="2262FDA4">
      <w:pPr>
        <w:jc w:val="center"/>
        <w:rPr>
          <w:rFonts w:hint="default"/>
          <w:color w:val="000000" w:themeColor="text1"/>
          <w:sz w:val="24"/>
          <w:szCs w:val="24"/>
          <w:highlight w:val="none"/>
          <w:lang w:val="en-US" w:eastAsia="zh-CN"/>
          <w14:textFill>
            <w14:solidFill>
              <w14:schemeClr w14:val="tx1"/>
            </w14:solidFill>
          </w14:textFill>
        </w:rPr>
      </w:pPr>
      <w:r>
        <w:rPr>
          <w:rFonts w:hint="default"/>
          <w:color w:val="000000" w:themeColor="text1"/>
          <w:sz w:val="24"/>
          <w:szCs w:val="24"/>
          <w:highlight w:val="none"/>
          <w:lang w:val="en-US" w:eastAsia="zh-CN"/>
          <w14:textFill>
            <w14:solidFill>
              <w14:schemeClr w14:val="tx1"/>
            </w14:solidFill>
          </w14:textFill>
        </w:rPr>
        <w:drawing>
          <wp:inline distT="0" distB="0" distL="114300" distR="114300">
            <wp:extent cx="8530590" cy="3601085"/>
            <wp:effectExtent l="0" t="0" r="3810" b="18415"/>
            <wp:docPr id="40" name="图片 40" descr="终版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终版1"/>
                    <pic:cNvPicPr>
                      <a:picLocks noChangeAspect="1"/>
                    </pic:cNvPicPr>
                  </pic:nvPicPr>
                  <pic:blipFill>
                    <a:blip r:embed="rId38"/>
                    <a:stretch>
                      <a:fillRect/>
                    </a:stretch>
                  </pic:blipFill>
                  <pic:spPr>
                    <a:xfrm>
                      <a:off x="0" y="0"/>
                      <a:ext cx="8530590" cy="3601085"/>
                    </a:xfrm>
                    <a:prstGeom prst="rect">
                      <a:avLst/>
                    </a:prstGeom>
                  </pic:spPr>
                </pic:pic>
              </a:graphicData>
            </a:graphic>
          </wp:inline>
        </w:drawing>
      </w:r>
    </w:p>
    <w:p w14:paraId="10B913F7">
      <w:pPr>
        <w:jc w:val="center"/>
        <w:rPr>
          <w:rFonts w:hint="default"/>
          <w:color w:val="000000" w:themeColor="text1"/>
          <w:sz w:val="24"/>
          <w:szCs w:val="24"/>
          <w:highlight w:val="none"/>
          <w:lang w:val="en-US" w:eastAsia="zh-CN"/>
          <w14:textFill>
            <w14:solidFill>
              <w14:schemeClr w14:val="tx1"/>
            </w14:solidFill>
          </w14:textFill>
        </w:rPr>
        <w:sectPr>
          <w:footerReference r:id="rId12" w:type="default"/>
          <w:pgSz w:w="16838" w:h="11906" w:orient="landscape"/>
          <w:pgMar w:top="1134" w:right="1701" w:bottom="1134" w:left="1701" w:header="851" w:footer="992" w:gutter="0"/>
          <w:pgBorders>
            <w:top w:val="none" w:sz="0" w:space="0"/>
            <w:left w:val="none" w:sz="0" w:space="0"/>
            <w:bottom w:val="none" w:sz="0" w:space="0"/>
            <w:right w:val="none" w:sz="0" w:space="0"/>
          </w:pgBorders>
          <w:pgNumType w:fmt="numberInDash"/>
          <w:cols w:space="425" w:num="1"/>
          <w:docGrid w:type="lines" w:linePitch="312" w:charSpace="0"/>
        </w:sectPr>
      </w:pPr>
      <w:r>
        <w:rPr>
          <w:rFonts w:hint="default"/>
          <w:color w:val="000000" w:themeColor="text1"/>
          <w:sz w:val="24"/>
          <w:szCs w:val="24"/>
          <w:highlight w:val="none"/>
          <w:lang w:val="en-US" w:eastAsia="zh-CN"/>
          <w14:textFill>
            <w14:solidFill>
              <w14:schemeClr w14:val="tx1"/>
            </w14:solidFill>
          </w14:textFill>
        </w:rPr>
        <w:drawing>
          <wp:inline distT="0" distB="0" distL="114300" distR="114300">
            <wp:extent cx="8529320" cy="661670"/>
            <wp:effectExtent l="0" t="0" r="5080" b="5080"/>
            <wp:docPr id="49" name="图片 49" descr="终版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终版2"/>
                    <pic:cNvPicPr>
                      <a:picLocks noChangeAspect="1"/>
                    </pic:cNvPicPr>
                  </pic:nvPicPr>
                  <pic:blipFill>
                    <a:blip r:embed="rId39"/>
                    <a:stretch>
                      <a:fillRect/>
                    </a:stretch>
                  </pic:blipFill>
                  <pic:spPr>
                    <a:xfrm>
                      <a:off x="0" y="0"/>
                      <a:ext cx="8529320" cy="661670"/>
                    </a:xfrm>
                    <a:prstGeom prst="rect">
                      <a:avLst/>
                    </a:prstGeom>
                  </pic:spPr>
                </pic:pic>
              </a:graphicData>
            </a:graphic>
          </wp:inline>
        </w:drawing>
      </w:r>
    </w:p>
    <w:p w14:paraId="282C6592">
      <w:pPr>
        <w:pStyle w:val="2"/>
        <w:keepNext w:val="0"/>
        <w:keepLines w:val="0"/>
        <w:pageBreakBefore w:val="0"/>
        <w:widowControl w:val="0"/>
        <w:kinsoku/>
        <w:wordWrap/>
        <w:overflowPunct/>
        <w:topLinePunct w:val="0"/>
        <w:autoSpaceDE/>
        <w:autoSpaceDN/>
        <w:bidi w:val="0"/>
        <w:adjustRightInd/>
        <w:snapToGrid w:val="0"/>
        <w:spacing w:before="0" w:after="0" w:line="240" w:lineRule="auto"/>
        <w:ind w:left="0" w:firstLine="0"/>
        <w:jc w:val="both"/>
        <w:textAlignment w:val="auto"/>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附图</w:t>
      </w:r>
      <w:r>
        <w:rPr>
          <w:rFonts w:hint="eastAsia" w:eastAsia="宋体" w:cs="Times New Roman"/>
          <w:color w:val="000000" w:themeColor="text1"/>
          <w:kern w:val="2"/>
          <w:sz w:val="28"/>
          <w:szCs w:val="28"/>
          <w:highlight w:val="none"/>
          <w:lang w:val="en-US" w:eastAsia="zh-CN"/>
          <w14:textFill>
            <w14:solidFill>
              <w14:schemeClr w14:val="tx1"/>
            </w14:solidFill>
          </w14:textFill>
        </w:rPr>
        <w:t>3</w:t>
      </w:r>
      <w:r>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w:t>
      </w:r>
      <w:r>
        <w:rPr>
          <w:rFonts w:hint="default" w:ascii="Times New Roman" w:hAnsi="Times New Roman" w:eastAsia="宋体" w:cs="Times New Roman"/>
          <w:color w:val="000000"/>
          <w:kern w:val="2"/>
          <w:sz w:val="28"/>
          <w:szCs w:val="28"/>
          <w:highlight w:val="none"/>
          <w:lang w:val="en-US" w:eastAsia="zh-CN"/>
        </w:rPr>
        <w:t>沈本新城总体规划调整建议图</w:t>
      </w:r>
    </w:p>
    <w:p w14:paraId="7411B418">
      <w:pPr>
        <w:jc w:val="center"/>
        <w:rPr>
          <w:rFonts w:hint="default"/>
          <w:color w:val="000000" w:themeColor="text1"/>
          <w:sz w:val="24"/>
          <w:szCs w:val="24"/>
          <w:highlight w:val="none"/>
          <w:lang w:val="en-US" w:eastAsia="zh-CN"/>
          <w14:textFill>
            <w14:solidFill>
              <w14:schemeClr w14:val="tx1"/>
            </w14:solidFill>
          </w14:textFill>
        </w:rPr>
        <w:sectPr>
          <w:pgSz w:w="16838" w:h="11906" w:orient="landscape"/>
          <w:pgMar w:top="1134" w:right="1701" w:bottom="1134" w:left="1701" w:header="851" w:footer="992" w:gutter="0"/>
          <w:pgBorders>
            <w:top w:val="none" w:sz="0" w:space="0"/>
            <w:left w:val="none" w:sz="0" w:space="0"/>
            <w:bottom w:val="none" w:sz="0" w:space="0"/>
            <w:right w:val="none" w:sz="0" w:space="0"/>
          </w:pgBorders>
          <w:pgNumType w:fmt="numberInDash"/>
          <w:cols w:space="425" w:num="1"/>
          <w:docGrid w:type="lines" w:linePitch="312" w:charSpace="0"/>
        </w:sectPr>
      </w:pPr>
      <w:r>
        <w:rPr>
          <w:rFonts w:hint="default"/>
          <w:color w:val="000000" w:themeColor="text1"/>
          <w:sz w:val="24"/>
          <w:szCs w:val="24"/>
          <w:highlight w:val="none"/>
          <w:lang w:val="en-US" w:eastAsia="zh-CN"/>
          <w14:textFill>
            <w14:solidFill>
              <w14:schemeClr w14:val="tx1"/>
            </w14:solidFill>
          </w14:textFill>
        </w:rPr>
        <w:drawing>
          <wp:inline distT="0" distB="0" distL="114300" distR="114300">
            <wp:extent cx="8677275" cy="5663565"/>
            <wp:effectExtent l="0" t="0" r="9525" b="13335"/>
            <wp:docPr id="161" name="图片 161" descr="土地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61" descr="土地规划图"/>
                    <pic:cNvPicPr>
                      <a:picLocks noChangeAspect="1"/>
                    </pic:cNvPicPr>
                  </pic:nvPicPr>
                  <pic:blipFill>
                    <a:blip r:embed="rId40"/>
                    <a:stretch>
                      <a:fillRect/>
                    </a:stretch>
                  </pic:blipFill>
                  <pic:spPr>
                    <a:xfrm>
                      <a:off x="0" y="0"/>
                      <a:ext cx="8677275" cy="5663565"/>
                    </a:xfrm>
                    <a:prstGeom prst="rect">
                      <a:avLst/>
                    </a:prstGeom>
                  </pic:spPr>
                </pic:pic>
              </a:graphicData>
            </a:graphic>
          </wp:inline>
        </w:drawing>
      </w:r>
    </w:p>
    <w:p w14:paraId="424F71CD">
      <w:pPr>
        <w:pStyle w:val="2"/>
        <w:keepNext w:val="0"/>
        <w:keepLines w:val="0"/>
        <w:pageBreakBefore w:val="0"/>
        <w:widowControl w:val="0"/>
        <w:kinsoku/>
        <w:wordWrap/>
        <w:overflowPunct/>
        <w:topLinePunct w:val="0"/>
        <w:autoSpaceDE/>
        <w:autoSpaceDN/>
        <w:bidi w:val="0"/>
        <w:adjustRightInd/>
        <w:snapToGrid w:val="0"/>
        <w:spacing w:before="0" w:after="0" w:line="240" w:lineRule="auto"/>
        <w:ind w:left="0" w:firstLine="0"/>
        <w:jc w:val="both"/>
        <w:textAlignment w:val="auto"/>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附图</w:t>
      </w:r>
      <w:r>
        <w:rPr>
          <w:rFonts w:hint="eastAsia" w:eastAsia="宋体" w:cs="Times New Roman"/>
          <w:color w:val="000000" w:themeColor="text1"/>
          <w:kern w:val="2"/>
          <w:sz w:val="28"/>
          <w:szCs w:val="28"/>
          <w:highlight w:val="none"/>
          <w:lang w:val="en-US" w:eastAsia="zh-CN"/>
          <w14:textFill>
            <w14:solidFill>
              <w14:schemeClr w14:val="tx1"/>
            </w14:solidFill>
          </w14:textFill>
        </w:rPr>
        <w:t>4</w:t>
      </w:r>
      <w:r>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w:t>
      </w:r>
      <w:r>
        <w:rPr>
          <w:rFonts w:hint="eastAsia" w:eastAsia="宋体" w:cs="Times New Roman"/>
          <w:color w:val="000000"/>
          <w:kern w:val="2"/>
          <w:sz w:val="28"/>
          <w:szCs w:val="28"/>
          <w:highlight w:val="none"/>
          <w:lang w:val="en-US" w:eastAsia="zh-CN"/>
        </w:rPr>
        <w:t>生态红线</w:t>
      </w:r>
      <w:r>
        <w:rPr>
          <w:rFonts w:hint="default" w:ascii="Times New Roman" w:hAnsi="Times New Roman" w:eastAsia="宋体" w:cs="Times New Roman"/>
          <w:color w:val="000000"/>
          <w:kern w:val="2"/>
          <w:sz w:val="28"/>
          <w:szCs w:val="28"/>
          <w:highlight w:val="none"/>
          <w:lang w:val="en-US" w:eastAsia="zh-CN"/>
        </w:rPr>
        <w:t>图</w:t>
      </w:r>
    </w:p>
    <w:p w14:paraId="56FF8BAF">
      <w:pPr>
        <w:jc w:val="center"/>
        <w:rPr>
          <w:rFonts w:hint="default"/>
          <w:color w:val="000000" w:themeColor="text1"/>
          <w:sz w:val="24"/>
          <w:szCs w:val="24"/>
          <w:highlight w:val="none"/>
          <w:lang w:val="en-US" w:eastAsia="zh-CN"/>
          <w14:textFill>
            <w14:solidFill>
              <w14:schemeClr w14:val="tx1"/>
            </w14:solidFill>
          </w14:textFill>
        </w:rPr>
      </w:pPr>
      <w:r>
        <w:rPr>
          <w:rFonts w:hint="default"/>
          <w:color w:val="000000" w:themeColor="text1"/>
          <w:sz w:val="24"/>
          <w:szCs w:val="24"/>
          <w:highlight w:val="none"/>
          <w:lang w:val="en-US" w:eastAsia="zh-CN"/>
          <w14:textFill>
            <w14:solidFill>
              <w14:schemeClr w14:val="tx1"/>
            </w14:solidFill>
          </w14:textFill>
        </w:rPr>
        <w:drawing>
          <wp:inline distT="0" distB="0" distL="114300" distR="114300">
            <wp:extent cx="8530590" cy="5247640"/>
            <wp:effectExtent l="0" t="0" r="3810" b="10160"/>
            <wp:docPr id="162" name="图片 162" descr="生态红线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62" descr="生态红线图"/>
                    <pic:cNvPicPr>
                      <a:picLocks noChangeAspect="1"/>
                    </pic:cNvPicPr>
                  </pic:nvPicPr>
                  <pic:blipFill>
                    <a:blip r:embed="rId41"/>
                    <a:stretch>
                      <a:fillRect/>
                    </a:stretch>
                  </pic:blipFill>
                  <pic:spPr>
                    <a:xfrm>
                      <a:off x="0" y="0"/>
                      <a:ext cx="8530590" cy="5247640"/>
                    </a:xfrm>
                    <a:prstGeom prst="rect">
                      <a:avLst/>
                    </a:prstGeom>
                  </pic:spPr>
                </pic:pic>
              </a:graphicData>
            </a:graphic>
          </wp:inline>
        </w:drawing>
      </w:r>
    </w:p>
    <w:p w14:paraId="5B2649F3">
      <w:pPr>
        <w:jc w:val="center"/>
        <w:rPr>
          <w:rFonts w:hint="default"/>
          <w:color w:val="000000" w:themeColor="text1"/>
          <w:sz w:val="24"/>
          <w:szCs w:val="24"/>
          <w:highlight w:val="none"/>
          <w:lang w:val="en-US" w:eastAsia="zh-CN"/>
          <w14:textFill>
            <w14:solidFill>
              <w14:schemeClr w14:val="tx1"/>
            </w14:solidFill>
          </w14:textFill>
        </w:rPr>
      </w:pPr>
    </w:p>
    <w:p w14:paraId="75A1D091">
      <w:pPr>
        <w:jc w:val="center"/>
        <w:rPr>
          <w:rFonts w:hint="default"/>
          <w:color w:val="000000" w:themeColor="text1"/>
          <w:sz w:val="24"/>
          <w:szCs w:val="24"/>
          <w:highlight w:val="none"/>
          <w:lang w:val="en-US" w:eastAsia="zh-CN"/>
          <w14:textFill>
            <w14:solidFill>
              <w14:schemeClr w14:val="tx1"/>
            </w14:solidFill>
          </w14:textFill>
        </w:rPr>
        <w:sectPr>
          <w:pgSz w:w="16838" w:h="11906" w:orient="landscape"/>
          <w:pgMar w:top="1134" w:right="1701" w:bottom="1134" w:left="1701"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3BB26136">
      <w:pPr>
        <w:pStyle w:val="2"/>
        <w:keepNext w:val="0"/>
        <w:keepLines w:val="0"/>
        <w:pageBreakBefore w:val="0"/>
        <w:widowControl w:val="0"/>
        <w:kinsoku/>
        <w:wordWrap/>
        <w:overflowPunct/>
        <w:topLinePunct w:val="0"/>
        <w:autoSpaceDE/>
        <w:autoSpaceDN/>
        <w:bidi w:val="0"/>
        <w:adjustRightInd/>
        <w:snapToGrid w:val="0"/>
        <w:spacing w:before="0" w:after="0" w:line="240" w:lineRule="auto"/>
        <w:ind w:left="0" w:firstLine="0"/>
        <w:jc w:val="both"/>
        <w:textAlignment w:val="auto"/>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附图</w:t>
      </w:r>
      <w:r>
        <w:rPr>
          <w:rFonts w:hint="eastAsia" w:eastAsia="宋体" w:cs="Times New Roman"/>
          <w:color w:val="000000" w:themeColor="text1"/>
          <w:kern w:val="2"/>
          <w:sz w:val="28"/>
          <w:szCs w:val="28"/>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w:t>
      </w:r>
      <w:r>
        <w:rPr>
          <w:rFonts w:hint="eastAsia" w:eastAsia="宋体" w:cs="Times New Roman"/>
          <w:color w:val="000000" w:themeColor="text1"/>
          <w:kern w:val="2"/>
          <w:sz w:val="28"/>
          <w:szCs w:val="28"/>
          <w:highlight w:val="none"/>
          <w:lang w:val="en-US" w:eastAsia="zh-CN"/>
          <w14:textFill>
            <w14:solidFill>
              <w14:schemeClr w14:val="tx1"/>
            </w14:solidFill>
          </w14:textFill>
        </w:rPr>
        <w:t>厂区平面布局图</w:t>
      </w:r>
    </w:p>
    <w:p w14:paraId="0D9B9D14">
      <w:pPr>
        <w:jc w:val="cente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drawing>
          <wp:inline distT="0" distB="0" distL="114300" distR="114300">
            <wp:extent cx="5798820" cy="8069580"/>
            <wp:effectExtent l="0" t="0" r="11430" b="7620"/>
            <wp:docPr id="51" name="图片 51" descr="终版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终版1"/>
                    <pic:cNvPicPr>
                      <a:picLocks noChangeAspect="1"/>
                    </pic:cNvPicPr>
                  </pic:nvPicPr>
                  <pic:blipFill>
                    <a:blip r:embed="rId42"/>
                    <a:stretch>
                      <a:fillRect/>
                    </a:stretch>
                  </pic:blipFill>
                  <pic:spPr>
                    <a:xfrm>
                      <a:off x="0" y="0"/>
                      <a:ext cx="5798820" cy="8069580"/>
                    </a:xfrm>
                    <a:prstGeom prst="rect">
                      <a:avLst/>
                    </a:prstGeom>
                  </pic:spPr>
                </pic:pic>
              </a:graphicData>
            </a:graphic>
          </wp:inline>
        </w:drawing>
      </w:r>
    </w:p>
    <w:p w14:paraId="47B7511A">
      <w:pPr>
        <w:jc w:val="cente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sectPr>
          <w:pgSz w:w="11906" w:h="16838"/>
          <w:pgMar w:top="1701" w:right="1134" w:bottom="1701" w:left="1134"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46A0AC18">
      <w:pPr>
        <w:pStyle w:val="2"/>
        <w:keepNext w:val="0"/>
        <w:keepLines w:val="0"/>
        <w:pageBreakBefore w:val="0"/>
        <w:widowControl w:val="0"/>
        <w:kinsoku/>
        <w:wordWrap/>
        <w:overflowPunct/>
        <w:topLinePunct w:val="0"/>
        <w:autoSpaceDE/>
        <w:autoSpaceDN/>
        <w:bidi w:val="0"/>
        <w:adjustRightInd/>
        <w:snapToGrid w:val="0"/>
        <w:spacing w:before="0" w:after="0" w:line="240" w:lineRule="auto"/>
        <w:ind w:left="0" w:firstLine="0"/>
        <w:jc w:val="both"/>
        <w:textAlignment w:val="auto"/>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附图</w:t>
      </w:r>
      <w:r>
        <w:rPr>
          <w:rFonts w:hint="eastAsia" w:eastAsia="宋体" w:cs="Times New Roman"/>
          <w:color w:val="000000" w:themeColor="text1"/>
          <w:kern w:val="2"/>
          <w:sz w:val="28"/>
          <w:szCs w:val="28"/>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w:t>
      </w:r>
      <w:r>
        <w:rPr>
          <w:rFonts w:hint="eastAsia" w:eastAsia="宋体" w:cs="Times New Roman"/>
          <w:color w:val="000000" w:themeColor="text1"/>
          <w:kern w:val="2"/>
          <w:sz w:val="28"/>
          <w:szCs w:val="28"/>
          <w:highlight w:val="none"/>
          <w:lang w:val="en-US" w:eastAsia="zh-CN"/>
          <w14:textFill>
            <w14:solidFill>
              <w14:schemeClr w14:val="tx1"/>
            </w14:solidFill>
          </w14:textFill>
        </w:rPr>
        <w:t>厂区防渗图</w:t>
      </w:r>
    </w:p>
    <w:p w14:paraId="585159A8">
      <w:pPr>
        <w:jc w:val="center"/>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sectPr>
          <w:pgSz w:w="11906" w:h="16838"/>
          <w:pgMar w:top="1701" w:right="1134" w:bottom="1701" w:left="1134" w:header="851" w:footer="992" w:gutter="0"/>
          <w:pgBorders>
            <w:top w:val="none" w:sz="0" w:space="0"/>
            <w:left w:val="none" w:sz="0" w:space="0"/>
            <w:bottom w:val="none" w:sz="0" w:space="0"/>
            <w:right w:val="none" w:sz="0" w:space="0"/>
          </w:pgBorders>
          <w:pgNumType w:fmt="numberInDash"/>
          <w:cols w:space="425" w:num="1"/>
          <w:docGrid w:type="lines" w:linePitch="312" w:charSpace="0"/>
        </w:sectPr>
      </w:pPr>
      <w:r>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drawing>
          <wp:inline distT="0" distB="0" distL="114300" distR="114300">
            <wp:extent cx="5829300" cy="8058150"/>
            <wp:effectExtent l="0" t="0" r="0" b="0"/>
            <wp:docPr id="14" name="图片 14" descr="终版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终版1"/>
                    <pic:cNvPicPr>
                      <a:picLocks noChangeAspect="1"/>
                    </pic:cNvPicPr>
                  </pic:nvPicPr>
                  <pic:blipFill>
                    <a:blip r:embed="rId43"/>
                    <a:stretch>
                      <a:fillRect/>
                    </a:stretch>
                  </pic:blipFill>
                  <pic:spPr>
                    <a:xfrm>
                      <a:off x="0" y="0"/>
                      <a:ext cx="5829300" cy="8058150"/>
                    </a:xfrm>
                    <a:prstGeom prst="rect">
                      <a:avLst/>
                    </a:prstGeom>
                  </pic:spPr>
                </pic:pic>
              </a:graphicData>
            </a:graphic>
          </wp:inline>
        </w:drawing>
      </w:r>
    </w:p>
    <w:p w14:paraId="24EE5C0B">
      <w:pPr>
        <w:pStyle w:val="2"/>
        <w:keepNext w:val="0"/>
        <w:keepLines w:val="0"/>
        <w:pageBreakBefore w:val="0"/>
        <w:widowControl w:val="0"/>
        <w:kinsoku/>
        <w:wordWrap/>
        <w:overflowPunct/>
        <w:topLinePunct w:val="0"/>
        <w:autoSpaceDE/>
        <w:autoSpaceDN/>
        <w:bidi w:val="0"/>
        <w:adjustRightInd/>
        <w:snapToGrid w:val="0"/>
        <w:spacing w:before="0" w:after="0" w:line="240" w:lineRule="auto"/>
        <w:ind w:left="0" w:firstLine="0"/>
        <w:jc w:val="both"/>
        <w:textAlignment w:val="auto"/>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附图</w:t>
      </w:r>
      <w:r>
        <w:rPr>
          <w:rFonts w:hint="eastAsia" w:eastAsia="宋体" w:cs="Times New Roman"/>
          <w:color w:val="000000" w:themeColor="text1"/>
          <w:kern w:val="2"/>
          <w:sz w:val="28"/>
          <w:szCs w:val="28"/>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保护目标图</w:t>
      </w:r>
    </w:p>
    <w:p w14:paraId="3DC18490">
      <w:pPr>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drawing>
          <wp:inline distT="0" distB="0" distL="114300" distR="114300">
            <wp:extent cx="8525510" cy="3957955"/>
            <wp:effectExtent l="0" t="0" r="8890" b="4445"/>
            <wp:docPr id="1" name="图片 1" descr="终版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终版2"/>
                    <pic:cNvPicPr>
                      <a:picLocks noChangeAspect="1"/>
                    </pic:cNvPicPr>
                  </pic:nvPicPr>
                  <pic:blipFill>
                    <a:blip r:embed="rId44"/>
                    <a:stretch>
                      <a:fillRect/>
                    </a:stretch>
                  </pic:blipFill>
                  <pic:spPr>
                    <a:xfrm>
                      <a:off x="0" y="0"/>
                      <a:ext cx="8525510" cy="3957955"/>
                    </a:xfrm>
                    <a:prstGeom prst="rect">
                      <a:avLst/>
                    </a:prstGeom>
                  </pic:spPr>
                </pic:pic>
              </a:graphicData>
            </a:graphic>
          </wp:inline>
        </w:drawing>
      </w:r>
    </w:p>
    <w:p w14:paraId="260C9711">
      <w:pPr>
        <w:jc w:val="center"/>
        <w:rPr>
          <w:rFonts w:hint="eastAsia"/>
          <w:color w:val="000000" w:themeColor="text1"/>
          <w:highlight w:val="none"/>
          <w:lang w:val="en-US" w:eastAsia="zh-CN"/>
          <w14:textFill>
            <w14:solidFill>
              <w14:schemeClr w14:val="tx1"/>
            </w14:solidFill>
          </w14:textFill>
        </w:rPr>
        <w:sectPr>
          <w:pgSz w:w="16838" w:h="11906" w:orient="landscape"/>
          <w:pgMar w:top="1134" w:right="1701" w:bottom="1134" w:left="1701"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29E0517F">
      <w:pPr>
        <w:pStyle w:val="2"/>
        <w:keepNext w:val="0"/>
        <w:keepLines w:val="0"/>
        <w:pageBreakBefore w:val="0"/>
        <w:widowControl w:val="0"/>
        <w:kinsoku/>
        <w:wordWrap/>
        <w:overflowPunct/>
        <w:topLinePunct w:val="0"/>
        <w:autoSpaceDE/>
        <w:autoSpaceDN/>
        <w:bidi w:val="0"/>
        <w:adjustRightInd/>
        <w:snapToGrid w:val="0"/>
        <w:spacing w:before="0" w:after="0" w:line="240" w:lineRule="auto"/>
        <w:ind w:left="0" w:firstLine="0"/>
        <w:jc w:val="both"/>
        <w:textAlignment w:val="auto"/>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附图</w:t>
      </w:r>
      <w:r>
        <w:rPr>
          <w:rFonts w:hint="eastAsia" w:eastAsia="宋体" w:cs="Times New Roman"/>
          <w:color w:val="000000" w:themeColor="text1"/>
          <w:kern w:val="2"/>
          <w:sz w:val="28"/>
          <w:szCs w:val="28"/>
          <w:highlight w:val="none"/>
          <w:lang w:val="en-US" w:eastAsia="zh-CN"/>
          <w14:textFill>
            <w14:solidFill>
              <w14:schemeClr w14:val="tx1"/>
            </w14:solidFill>
          </w14:textFill>
        </w:rPr>
        <w:t>8</w:t>
      </w: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监测点位图</w:t>
      </w:r>
    </w:p>
    <w:p w14:paraId="79534A30">
      <w:pPr>
        <w:rPr>
          <w:rFonts w:hint="default"/>
          <w:lang w:val="en-US" w:eastAsia="zh-CN"/>
        </w:rPr>
      </w:pPr>
    </w:p>
    <w:p w14:paraId="2AF5B845">
      <w:pPr>
        <w:jc w:val="left"/>
        <w:rPr>
          <w:rFonts w:hint="eastAsia" w:ascii="Times New Roman" w:hAnsi="Times New Roman" w:eastAsia="宋体" w:cs="Times New Roman"/>
          <w:b/>
          <w:bCs/>
          <w:color w:val="000000" w:themeColor="text1"/>
          <w:kern w:val="2"/>
          <w:sz w:val="28"/>
          <w:szCs w:val="28"/>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8"/>
          <w:szCs w:val="28"/>
          <w:highlight w:val="none"/>
          <w:lang w:val="en-US" w:eastAsia="zh-CN" w:bidi="ar-SA"/>
          <w14:textFill>
            <w14:solidFill>
              <w14:schemeClr w14:val="tx1"/>
            </w14:solidFill>
          </w14:textFill>
        </w:rPr>
        <w:drawing>
          <wp:inline distT="0" distB="0" distL="114300" distR="114300">
            <wp:extent cx="8519795" cy="3933825"/>
            <wp:effectExtent l="0" t="0" r="14605" b="9525"/>
            <wp:docPr id="39" name="图片 39" descr="终版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终版2"/>
                    <pic:cNvPicPr>
                      <a:picLocks noChangeAspect="1"/>
                    </pic:cNvPicPr>
                  </pic:nvPicPr>
                  <pic:blipFill>
                    <a:blip r:embed="rId45"/>
                    <a:stretch>
                      <a:fillRect/>
                    </a:stretch>
                  </pic:blipFill>
                  <pic:spPr>
                    <a:xfrm>
                      <a:off x="0" y="0"/>
                      <a:ext cx="8519795" cy="3933825"/>
                    </a:xfrm>
                    <a:prstGeom prst="rect">
                      <a:avLst/>
                    </a:prstGeom>
                  </pic:spPr>
                </pic:pic>
              </a:graphicData>
            </a:graphic>
          </wp:inline>
        </w:drawing>
      </w:r>
    </w:p>
    <w:p w14:paraId="62859CF7">
      <w:pPr>
        <w:jc w:val="center"/>
        <w:rPr>
          <w:rFonts w:hint="eastAsia"/>
          <w:b/>
          <w:color w:val="000000" w:themeColor="text1"/>
          <w:sz w:val="24"/>
          <w:highlight w:val="none"/>
          <w:lang w:val="en-US" w:eastAsia="zh-CN"/>
          <w14:textFill>
            <w14:solidFill>
              <w14:schemeClr w14:val="tx1"/>
            </w14:solidFill>
          </w14:textFill>
        </w:rPr>
        <w:sectPr>
          <w:pgSz w:w="16838" w:h="11906" w:orient="landscape"/>
          <w:pgMar w:top="1134" w:right="1701" w:bottom="1134" w:left="1701"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2AA81468">
      <w:pPr>
        <w:pStyle w:val="2"/>
        <w:keepNext w:val="0"/>
        <w:keepLines w:val="0"/>
        <w:pageBreakBefore w:val="0"/>
        <w:widowControl w:val="0"/>
        <w:kinsoku/>
        <w:wordWrap/>
        <w:overflowPunct/>
        <w:topLinePunct w:val="0"/>
        <w:autoSpaceDE/>
        <w:autoSpaceDN/>
        <w:bidi w:val="0"/>
        <w:adjustRightInd/>
        <w:snapToGrid w:val="0"/>
        <w:spacing w:before="0" w:after="0" w:line="360" w:lineRule="auto"/>
        <w:ind w:left="0" w:firstLine="0"/>
        <w:jc w:val="both"/>
        <w:textAlignment w:val="auto"/>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附图</w:t>
      </w:r>
      <w:r>
        <w:rPr>
          <w:rFonts w:hint="eastAsia" w:eastAsia="宋体" w:cs="Times New Roman"/>
          <w:color w:val="000000" w:themeColor="text1"/>
          <w:kern w:val="2"/>
          <w:sz w:val="28"/>
          <w:szCs w:val="28"/>
          <w:highlight w:val="none"/>
          <w:lang w:val="en-US" w:eastAsia="zh-CN"/>
          <w14:textFill>
            <w14:solidFill>
              <w14:schemeClr w14:val="tx1"/>
            </w14:solidFill>
          </w14:textFill>
        </w:rPr>
        <w:t>9</w:t>
      </w: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w:t>
      </w:r>
      <w:r>
        <w:rPr>
          <w:rFonts w:hint="default" w:ascii="Times New Roman" w:hAnsi="Times New Roman" w:eastAsia="宋体" w:cs="Times New Roman"/>
          <w:color w:val="000000"/>
          <w:kern w:val="2"/>
          <w:sz w:val="28"/>
          <w:szCs w:val="28"/>
          <w:highlight w:val="none"/>
          <w:lang w:val="en-US" w:eastAsia="zh-CN"/>
        </w:rPr>
        <w:t>本项目与沈本新城噪声环境功能区划图</w:t>
      </w:r>
    </w:p>
    <w:p w14:paraId="47D8FC33">
      <w:pPr>
        <w:jc w:val="center"/>
        <w:rPr>
          <w:rFonts w:hint="default"/>
          <w:lang w:val="en-US" w:eastAsia="zh-CN"/>
        </w:rPr>
      </w:pPr>
      <w:r>
        <w:rPr>
          <w:rFonts w:hint="default"/>
          <w:lang w:val="en-US" w:eastAsia="zh-CN"/>
        </w:rPr>
        <w:drawing>
          <wp:inline distT="0" distB="0" distL="114300" distR="114300">
            <wp:extent cx="8051165" cy="5637530"/>
            <wp:effectExtent l="0" t="0" r="6985" b="1270"/>
            <wp:docPr id="163" name="图片 163" descr="终版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163" descr="终版1"/>
                    <pic:cNvPicPr>
                      <a:picLocks noChangeAspect="1"/>
                    </pic:cNvPicPr>
                  </pic:nvPicPr>
                  <pic:blipFill>
                    <a:blip r:embed="rId46"/>
                    <a:stretch>
                      <a:fillRect/>
                    </a:stretch>
                  </pic:blipFill>
                  <pic:spPr>
                    <a:xfrm>
                      <a:off x="0" y="0"/>
                      <a:ext cx="8051165" cy="5637530"/>
                    </a:xfrm>
                    <a:prstGeom prst="rect">
                      <a:avLst/>
                    </a:prstGeom>
                  </pic:spPr>
                </pic:pic>
              </a:graphicData>
            </a:graphic>
          </wp:inline>
        </w:drawing>
      </w:r>
    </w:p>
    <w:p w14:paraId="5B5196C8">
      <w:pPr>
        <w:spacing w:line="360" w:lineRule="auto"/>
        <w:jc w:val="center"/>
        <w:rPr>
          <w:rFonts w:hint="eastAsia"/>
          <w:b/>
          <w:color w:val="000000" w:themeColor="text1"/>
          <w:sz w:val="24"/>
          <w:highlight w:val="none"/>
          <w:lang w:val="en-US" w:eastAsia="zh-CN"/>
          <w14:textFill>
            <w14:solidFill>
              <w14:schemeClr w14:val="tx1"/>
            </w14:solidFill>
          </w14:textFill>
        </w:rPr>
        <w:sectPr>
          <w:pgSz w:w="16838" w:h="11906" w:orient="landscape"/>
          <w:pgMar w:top="1134" w:right="1701" w:bottom="1134" w:left="1701"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76C7263F">
      <w:pPr>
        <w:pStyle w:val="2"/>
        <w:keepNext w:val="0"/>
        <w:keepLines w:val="0"/>
        <w:pageBreakBefore w:val="0"/>
        <w:widowControl w:val="0"/>
        <w:kinsoku/>
        <w:wordWrap/>
        <w:overflowPunct/>
        <w:topLinePunct w:val="0"/>
        <w:autoSpaceDE/>
        <w:autoSpaceDN/>
        <w:bidi w:val="0"/>
        <w:adjustRightInd/>
        <w:snapToGrid w:val="0"/>
        <w:spacing w:before="0" w:after="0" w:line="360" w:lineRule="auto"/>
        <w:ind w:left="0" w:firstLine="0"/>
        <w:jc w:val="both"/>
        <w:textAlignment w:val="auto"/>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附件1：建设项目环境影响评价委托书</w:t>
      </w: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drawing>
          <wp:inline distT="0" distB="0" distL="114300" distR="114300">
            <wp:extent cx="635" cy="0"/>
            <wp:effectExtent l="0" t="0" r="0" b="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47"/>
                    <a:stretch>
                      <a:fillRect/>
                    </a:stretch>
                  </pic:blipFill>
                  <pic:spPr>
                    <a:xfrm>
                      <a:off x="0" y="0"/>
                      <a:ext cx="635" cy="0"/>
                    </a:xfrm>
                    <a:prstGeom prst="rect">
                      <a:avLst/>
                    </a:prstGeom>
                    <a:noFill/>
                    <a:ln>
                      <a:noFill/>
                    </a:ln>
                  </pic:spPr>
                </pic:pic>
              </a:graphicData>
            </a:graphic>
          </wp:inline>
        </w:drawing>
      </w: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drawing>
          <wp:inline distT="0" distB="0" distL="114300" distR="114300">
            <wp:extent cx="635" cy="0"/>
            <wp:effectExtent l="0" t="0" r="0" b="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47"/>
                    <a:stretch>
                      <a:fillRect/>
                    </a:stretch>
                  </pic:blipFill>
                  <pic:spPr>
                    <a:xfrm>
                      <a:off x="0" y="0"/>
                      <a:ext cx="635" cy="0"/>
                    </a:xfrm>
                    <a:prstGeom prst="rect">
                      <a:avLst/>
                    </a:prstGeom>
                    <a:noFill/>
                    <a:ln>
                      <a:noFill/>
                    </a:ln>
                  </pic:spPr>
                </pic:pic>
              </a:graphicData>
            </a:graphic>
          </wp:inline>
        </w:drawing>
      </w:r>
    </w:p>
    <w:p w14:paraId="5FB2F187">
      <w:pPr>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drawing>
          <wp:inline distT="0" distB="0" distL="114300" distR="114300">
            <wp:extent cx="5723255" cy="8092440"/>
            <wp:effectExtent l="0" t="0" r="10795" b="3810"/>
            <wp:docPr id="52" name="图片 52" descr="委托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委托书"/>
                    <pic:cNvPicPr>
                      <a:picLocks noChangeAspect="1"/>
                    </pic:cNvPicPr>
                  </pic:nvPicPr>
                  <pic:blipFill>
                    <a:blip r:embed="rId48"/>
                    <a:stretch>
                      <a:fillRect/>
                    </a:stretch>
                  </pic:blipFill>
                  <pic:spPr>
                    <a:xfrm>
                      <a:off x="0" y="0"/>
                      <a:ext cx="5723255" cy="8092440"/>
                    </a:xfrm>
                    <a:prstGeom prst="rect">
                      <a:avLst/>
                    </a:prstGeom>
                  </pic:spPr>
                </pic:pic>
              </a:graphicData>
            </a:graphic>
          </wp:inline>
        </w:drawing>
      </w:r>
    </w:p>
    <w:p w14:paraId="7EFC1708">
      <w:pPr>
        <w:pStyle w:val="27"/>
        <w:spacing w:line="240" w:lineRule="auto"/>
        <w:ind w:firstLine="0" w:firstLineChars="0"/>
        <w:jc w:val="center"/>
        <w:rPr>
          <w:rFonts w:hint="eastAsia" w:eastAsia="华文行楷"/>
          <w:color w:val="000000" w:themeColor="text1"/>
          <w:highlight w:val="none"/>
          <w:lang w:eastAsia="zh-CN"/>
          <w14:textFill>
            <w14:solidFill>
              <w14:schemeClr w14:val="tx1"/>
            </w14:solidFill>
          </w14:textFill>
        </w:rPr>
        <w:sectPr>
          <w:pgSz w:w="11906" w:h="16838"/>
          <w:pgMar w:top="1701" w:right="1134" w:bottom="1701" w:left="1134"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067362A3">
      <w:pPr>
        <w:pStyle w:val="2"/>
        <w:keepNext w:val="0"/>
        <w:keepLines w:val="0"/>
        <w:pageBreakBefore w:val="0"/>
        <w:widowControl w:val="0"/>
        <w:kinsoku/>
        <w:wordWrap/>
        <w:overflowPunct/>
        <w:topLinePunct w:val="0"/>
        <w:autoSpaceDE/>
        <w:autoSpaceDN/>
        <w:bidi w:val="0"/>
        <w:adjustRightInd/>
        <w:snapToGrid w:val="0"/>
        <w:spacing w:before="0" w:after="0" w:line="360" w:lineRule="auto"/>
        <w:ind w:left="0" w:firstLine="0"/>
        <w:jc w:val="both"/>
        <w:textAlignment w:val="auto"/>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附件2：营业执照</w:t>
      </w:r>
      <w:r>
        <w:rPr>
          <w:rFonts w:hint="eastAsia" w:eastAsia="宋体" w:cs="Times New Roman"/>
          <w:color w:val="000000" w:themeColor="text1"/>
          <w:kern w:val="2"/>
          <w:sz w:val="28"/>
          <w:szCs w:val="28"/>
          <w:highlight w:val="none"/>
          <w:lang w:val="en-US" w:eastAsia="zh-CN"/>
          <w14:textFill>
            <w14:solidFill>
              <w14:schemeClr w14:val="tx1"/>
            </w14:solidFill>
          </w14:textFill>
        </w:rPr>
        <w:t>及企业名称变更登记通知书</w:t>
      </w:r>
    </w:p>
    <w:p w14:paraId="5E9A5E90">
      <w:pPr>
        <w:pStyle w:val="34"/>
        <w:ind w:left="0" w:leftChars="0" w:firstLine="0" w:firstLineChars="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drawing>
          <wp:inline distT="0" distB="0" distL="114300" distR="114300">
            <wp:extent cx="8026400" cy="5595620"/>
            <wp:effectExtent l="0" t="0" r="12700" b="5080"/>
            <wp:docPr id="6" name="图片 6" descr="营业执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营业执照"/>
                    <pic:cNvPicPr>
                      <a:picLocks noChangeAspect="1"/>
                    </pic:cNvPicPr>
                  </pic:nvPicPr>
                  <pic:blipFill>
                    <a:blip r:embed="rId49"/>
                    <a:stretch>
                      <a:fillRect/>
                    </a:stretch>
                  </pic:blipFill>
                  <pic:spPr>
                    <a:xfrm>
                      <a:off x="0" y="0"/>
                      <a:ext cx="8026400" cy="5595620"/>
                    </a:xfrm>
                    <a:prstGeom prst="rect">
                      <a:avLst/>
                    </a:prstGeom>
                  </pic:spPr>
                </pic:pic>
              </a:graphicData>
            </a:graphic>
          </wp:inline>
        </w:drawing>
      </w:r>
    </w:p>
    <w:p w14:paraId="25045404">
      <w:pPr>
        <w:pStyle w:val="27"/>
        <w:spacing w:line="240" w:lineRule="auto"/>
        <w:ind w:firstLine="0" w:firstLineChars="0"/>
        <w:jc w:val="center"/>
        <w:rPr>
          <w:rFonts w:hint="eastAsia" w:eastAsia="华文行楷"/>
          <w:color w:val="000000" w:themeColor="text1"/>
          <w:highlight w:val="none"/>
          <w:lang w:eastAsia="zh-CN"/>
          <w14:textFill>
            <w14:solidFill>
              <w14:schemeClr w14:val="tx1"/>
            </w14:solidFill>
          </w14:textFill>
        </w:rPr>
        <w:sectPr>
          <w:pgSz w:w="16838" w:h="11906" w:orient="landscape"/>
          <w:pgMar w:top="1134" w:right="1701" w:bottom="1134" w:left="1701"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26C301A2">
      <w:pPr>
        <w:pStyle w:val="27"/>
        <w:spacing w:line="240" w:lineRule="auto"/>
        <w:ind w:firstLine="0" w:firstLineChars="0"/>
        <w:jc w:val="center"/>
        <w:rPr>
          <w:rFonts w:hint="eastAsia" w:eastAsia="华文行楷"/>
          <w:color w:val="000000" w:themeColor="text1"/>
          <w:highlight w:val="none"/>
          <w:lang w:eastAsia="zh-CN"/>
          <w14:textFill>
            <w14:solidFill>
              <w14:schemeClr w14:val="tx1"/>
            </w14:solidFill>
          </w14:textFill>
        </w:rPr>
        <w:sectPr>
          <w:pgSz w:w="11906" w:h="16838"/>
          <w:pgMar w:top="1701" w:right="1134" w:bottom="1701" w:left="1134" w:header="851" w:footer="992" w:gutter="0"/>
          <w:pgBorders>
            <w:top w:val="none" w:sz="0" w:space="0"/>
            <w:left w:val="none" w:sz="0" w:space="0"/>
            <w:bottom w:val="none" w:sz="0" w:space="0"/>
            <w:right w:val="none" w:sz="0" w:space="0"/>
          </w:pgBorders>
          <w:pgNumType w:fmt="numberInDash"/>
          <w:cols w:space="425" w:num="1"/>
          <w:docGrid w:type="lines" w:linePitch="312" w:charSpace="0"/>
        </w:sectPr>
      </w:pPr>
      <w:r>
        <w:rPr>
          <w:rFonts w:hint="eastAsia" w:eastAsia="华文行楷"/>
          <w:color w:val="000000" w:themeColor="text1"/>
          <w:highlight w:val="none"/>
          <w:lang w:eastAsia="zh-CN"/>
          <w14:textFill>
            <w14:solidFill>
              <w14:schemeClr w14:val="tx1"/>
            </w14:solidFill>
          </w14:textFill>
        </w:rPr>
        <w:drawing>
          <wp:inline distT="0" distB="0" distL="114300" distR="114300">
            <wp:extent cx="5920740" cy="8348980"/>
            <wp:effectExtent l="0" t="0" r="3810" b="13970"/>
            <wp:docPr id="164" name="图片 164" descr="核准变更登记通知书-华源-本溪三药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64" descr="核准变更登记通知书-华源-本溪三药_页面_1"/>
                    <pic:cNvPicPr>
                      <a:picLocks noChangeAspect="1"/>
                    </pic:cNvPicPr>
                  </pic:nvPicPr>
                  <pic:blipFill>
                    <a:blip r:embed="rId50"/>
                    <a:stretch>
                      <a:fillRect/>
                    </a:stretch>
                  </pic:blipFill>
                  <pic:spPr>
                    <a:xfrm>
                      <a:off x="0" y="0"/>
                      <a:ext cx="5920740" cy="8348980"/>
                    </a:xfrm>
                    <a:prstGeom prst="rect">
                      <a:avLst/>
                    </a:prstGeom>
                  </pic:spPr>
                </pic:pic>
              </a:graphicData>
            </a:graphic>
          </wp:inline>
        </w:drawing>
      </w:r>
      <w:r>
        <w:rPr>
          <w:rFonts w:hint="eastAsia" w:eastAsia="华文行楷"/>
          <w:color w:val="000000" w:themeColor="text1"/>
          <w:highlight w:val="none"/>
          <w:lang w:eastAsia="zh-CN"/>
          <w14:textFill>
            <w14:solidFill>
              <w14:schemeClr w14:val="tx1"/>
            </w14:solidFill>
          </w14:textFill>
        </w:rPr>
        <w:drawing>
          <wp:inline distT="0" distB="0" distL="114300" distR="114300">
            <wp:extent cx="5955030" cy="8428355"/>
            <wp:effectExtent l="0" t="0" r="7620" b="10795"/>
            <wp:docPr id="139" name="图片 139" descr="核准变更登记通知书-华源-本溪三药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39" descr="核准变更登记通知书-华源-本溪三药_页面_2"/>
                    <pic:cNvPicPr>
                      <a:picLocks noChangeAspect="1"/>
                    </pic:cNvPicPr>
                  </pic:nvPicPr>
                  <pic:blipFill>
                    <a:blip r:embed="rId51"/>
                    <a:stretch>
                      <a:fillRect/>
                    </a:stretch>
                  </pic:blipFill>
                  <pic:spPr>
                    <a:xfrm>
                      <a:off x="0" y="0"/>
                      <a:ext cx="5955030" cy="8428355"/>
                    </a:xfrm>
                    <a:prstGeom prst="rect">
                      <a:avLst/>
                    </a:prstGeom>
                  </pic:spPr>
                </pic:pic>
              </a:graphicData>
            </a:graphic>
          </wp:inline>
        </w:drawing>
      </w:r>
    </w:p>
    <w:p w14:paraId="3B41E035">
      <w:pPr>
        <w:pStyle w:val="2"/>
        <w:keepNext w:val="0"/>
        <w:keepLines w:val="0"/>
        <w:pageBreakBefore w:val="0"/>
        <w:widowControl w:val="0"/>
        <w:kinsoku/>
        <w:wordWrap/>
        <w:overflowPunct/>
        <w:topLinePunct w:val="0"/>
        <w:autoSpaceDE/>
        <w:autoSpaceDN/>
        <w:bidi w:val="0"/>
        <w:adjustRightInd/>
        <w:snapToGrid w:val="0"/>
        <w:spacing w:before="0" w:after="0" w:line="360" w:lineRule="auto"/>
        <w:ind w:left="0" w:firstLine="0"/>
        <w:jc w:val="both"/>
        <w:textAlignment w:val="auto"/>
        <w:rPr>
          <w:rFonts w:hint="default" w:eastAsia="宋体" w:cs="Times New Roman"/>
          <w:color w:val="FF0000"/>
          <w:kern w:val="2"/>
          <w:sz w:val="28"/>
          <w:szCs w:val="28"/>
          <w:highlight w:val="none"/>
          <w:lang w:val="en-US" w:eastAsia="zh-CN"/>
        </w:rPr>
      </w:pPr>
      <w:r>
        <w:rPr>
          <w:rFonts w:hint="eastAsia" w:ascii="Times New Roman" w:hAnsi="Times New Roman" w:eastAsia="宋体" w:cs="Times New Roman"/>
          <w:color w:val="FF0000"/>
          <w:kern w:val="2"/>
          <w:sz w:val="28"/>
          <w:szCs w:val="28"/>
          <w:highlight w:val="none"/>
          <w:lang w:val="en-US" w:eastAsia="zh-CN"/>
        </w:rPr>
        <w:t>附件</w:t>
      </w:r>
      <w:r>
        <w:rPr>
          <w:rFonts w:hint="eastAsia" w:eastAsia="宋体" w:cs="Times New Roman"/>
          <w:color w:val="FF0000"/>
          <w:kern w:val="2"/>
          <w:sz w:val="28"/>
          <w:szCs w:val="28"/>
          <w:highlight w:val="none"/>
          <w:lang w:val="en-US" w:eastAsia="zh-CN"/>
        </w:rPr>
        <w:t>3</w:t>
      </w:r>
      <w:r>
        <w:rPr>
          <w:rFonts w:hint="eastAsia" w:ascii="Times New Roman" w:hAnsi="Times New Roman" w:eastAsia="宋体" w:cs="Times New Roman"/>
          <w:color w:val="FF0000"/>
          <w:kern w:val="2"/>
          <w:sz w:val="28"/>
          <w:szCs w:val="28"/>
          <w:highlight w:val="none"/>
          <w:lang w:val="en-US" w:eastAsia="zh-CN"/>
        </w:rPr>
        <w:t>：</w:t>
      </w:r>
      <w:r>
        <w:rPr>
          <w:rFonts w:hint="eastAsia" w:eastAsia="宋体" w:cs="Times New Roman"/>
          <w:color w:val="FF0000"/>
          <w:kern w:val="2"/>
          <w:sz w:val="28"/>
          <w:szCs w:val="28"/>
          <w:highlight w:val="none"/>
          <w:lang w:val="en-US" w:eastAsia="zh-CN"/>
        </w:rPr>
        <w:t>国有建设用地使用权出让合同（与项目相关部分）</w:t>
      </w:r>
    </w:p>
    <w:p w14:paraId="3C8DAE46">
      <w:pPr>
        <w:pStyle w:val="27"/>
        <w:spacing w:line="240" w:lineRule="auto"/>
        <w:ind w:firstLine="0" w:firstLineChars="0"/>
        <w:jc w:val="center"/>
        <w:rPr>
          <w:rFonts w:hint="default" w:eastAsia="宋体" w:cs="Times New Roman"/>
          <w:b/>
          <w:bCs/>
          <w:color w:val="000000" w:themeColor="text1"/>
          <w:kern w:val="2"/>
          <w:sz w:val="24"/>
          <w:szCs w:val="24"/>
          <w:highlight w:val="none"/>
          <w:lang w:val="en-US" w:eastAsia="zh-CN" w:bidi="ar-SA"/>
          <w14:textFill>
            <w14:solidFill>
              <w14:schemeClr w14:val="tx1"/>
            </w14:solidFill>
          </w14:textFill>
        </w:rPr>
        <w:sectPr>
          <w:pgSz w:w="11906" w:h="16838"/>
          <w:pgMar w:top="1701" w:right="1134" w:bottom="1701" w:left="1134" w:header="851" w:footer="992" w:gutter="0"/>
          <w:pgBorders>
            <w:top w:val="none" w:sz="0" w:space="0"/>
            <w:left w:val="none" w:sz="0" w:space="0"/>
            <w:bottom w:val="none" w:sz="0" w:space="0"/>
            <w:right w:val="none" w:sz="0" w:space="0"/>
          </w:pgBorders>
          <w:pgNumType w:fmt="numberInDash"/>
          <w:cols w:space="425" w:num="1"/>
          <w:docGrid w:type="lines" w:linePitch="312" w:charSpace="0"/>
        </w:sectPr>
      </w:pPr>
      <w:r>
        <w:rPr>
          <w:rFonts w:hint="default" w:eastAsia="宋体" w:cs="Times New Roman"/>
          <w:b/>
          <w:bCs/>
          <w:color w:val="000000" w:themeColor="text1"/>
          <w:kern w:val="2"/>
          <w:sz w:val="24"/>
          <w:szCs w:val="24"/>
          <w:highlight w:val="none"/>
          <w:lang w:val="en-US" w:eastAsia="zh-CN" w:bidi="ar-SA"/>
          <w14:textFill>
            <w14:solidFill>
              <w14:schemeClr w14:val="tx1"/>
            </w14:solidFill>
          </w14:textFill>
        </w:rPr>
        <w:drawing>
          <wp:inline distT="0" distB="0" distL="114300" distR="114300">
            <wp:extent cx="5578475" cy="8016875"/>
            <wp:effectExtent l="0" t="0" r="3175" b="3175"/>
            <wp:docPr id="273" name="图片 273" descr="本溪三药—国有建设用地使用权出让合同_页面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273" descr="本溪三药—国有建设用地使用权出让合同_页面_01"/>
                    <pic:cNvPicPr>
                      <a:picLocks noChangeAspect="1"/>
                    </pic:cNvPicPr>
                  </pic:nvPicPr>
                  <pic:blipFill>
                    <a:blip r:embed="rId52"/>
                    <a:stretch>
                      <a:fillRect/>
                    </a:stretch>
                  </pic:blipFill>
                  <pic:spPr>
                    <a:xfrm>
                      <a:off x="0" y="0"/>
                      <a:ext cx="5578475" cy="8016875"/>
                    </a:xfrm>
                    <a:prstGeom prst="rect">
                      <a:avLst/>
                    </a:prstGeom>
                  </pic:spPr>
                </pic:pic>
              </a:graphicData>
            </a:graphic>
          </wp:inline>
        </w:drawing>
      </w:r>
      <w:r>
        <w:rPr>
          <w:rFonts w:hint="default" w:eastAsia="宋体" w:cs="Times New Roman"/>
          <w:b/>
          <w:bCs/>
          <w:color w:val="000000" w:themeColor="text1"/>
          <w:kern w:val="2"/>
          <w:sz w:val="24"/>
          <w:szCs w:val="24"/>
          <w:highlight w:val="none"/>
          <w:lang w:val="en-US" w:eastAsia="zh-CN" w:bidi="ar-SA"/>
          <w14:textFill>
            <w14:solidFill>
              <w14:schemeClr w14:val="tx1"/>
            </w14:solidFill>
          </w14:textFill>
        </w:rPr>
        <w:drawing>
          <wp:inline distT="0" distB="0" distL="114300" distR="114300">
            <wp:extent cx="5899150" cy="8523605"/>
            <wp:effectExtent l="0" t="0" r="6350" b="10795"/>
            <wp:docPr id="272" name="图片 272" descr="本溪三药—国有建设用地使用权出让合同_页面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图片 272" descr="本溪三药—国有建设用地使用权出让合同_页面_02"/>
                    <pic:cNvPicPr>
                      <a:picLocks noChangeAspect="1"/>
                    </pic:cNvPicPr>
                  </pic:nvPicPr>
                  <pic:blipFill>
                    <a:blip r:embed="rId53"/>
                    <a:stretch>
                      <a:fillRect/>
                    </a:stretch>
                  </pic:blipFill>
                  <pic:spPr>
                    <a:xfrm>
                      <a:off x="0" y="0"/>
                      <a:ext cx="5899150" cy="8523605"/>
                    </a:xfrm>
                    <a:prstGeom prst="rect">
                      <a:avLst/>
                    </a:prstGeom>
                  </pic:spPr>
                </pic:pic>
              </a:graphicData>
            </a:graphic>
          </wp:inline>
        </w:drawing>
      </w:r>
      <w:r>
        <w:rPr>
          <w:rFonts w:hint="default" w:eastAsia="宋体" w:cs="Times New Roman"/>
          <w:b/>
          <w:bCs/>
          <w:color w:val="000000" w:themeColor="text1"/>
          <w:kern w:val="2"/>
          <w:sz w:val="24"/>
          <w:szCs w:val="24"/>
          <w:highlight w:val="none"/>
          <w:lang w:val="en-US" w:eastAsia="zh-CN" w:bidi="ar-SA"/>
          <w14:textFill>
            <w14:solidFill>
              <w14:schemeClr w14:val="tx1"/>
            </w14:solidFill>
          </w14:textFill>
        </w:rPr>
        <w:drawing>
          <wp:inline distT="0" distB="0" distL="114300" distR="114300">
            <wp:extent cx="5909945" cy="8523605"/>
            <wp:effectExtent l="0" t="0" r="14605" b="10795"/>
            <wp:docPr id="263" name="图片 263" descr="本溪三药—国有建设用地使用权出让合同_页面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图片 263" descr="本溪三药—国有建设用地使用权出让合同_页面_03"/>
                    <pic:cNvPicPr>
                      <a:picLocks noChangeAspect="1"/>
                    </pic:cNvPicPr>
                  </pic:nvPicPr>
                  <pic:blipFill>
                    <a:blip r:embed="rId54"/>
                    <a:stretch>
                      <a:fillRect/>
                    </a:stretch>
                  </pic:blipFill>
                  <pic:spPr>
                    <a:xfrm>
                      <a:off x="0" y="0"/>
                      <a:ext cx="5909945" cy="8523605"/>
                    </a:xfrm>
                    <a:prstGeom prst="rect">
                      <a:avLst/>
                    </a:prstGeom>
                  </pic:spPr>
                </pic:pic>
              </a:graphicData>
            </a:graphic>
          </wp:inline>
        </w:drawing>
      </w:r>
      <w:r>
        <w:rPr>
          <w:rFonts w:hint="default" w:eastAsia="宋体" w:cs="Times New Roman"/>
          <w:b/>
          <w:bCs/>
          <w:color w:val="000000" w:themeColor="text1"/>
          <w:kern w:val="2"/>
          <w:sz w:val="24"/>
          <w:szCs w:val="24"/>
          <w:highlight w:val="none"/>
          <w:lang w:val="en-US" w:eastAsia="zh-CN" w:bidi="ar-SA"/>
          <w14:textFill>
            <w14:solidFill>
              <w14:schemeClr w14:val="tx1"/>
            </w14:solidFill>
          </w14:textFill>
        </w:rPr>
        <w:drawing>
          <wp:inline distT="0" distB="0" distL="114300" distR="114300">
            <wp:extent cx="5917565" cy="8523605"/>
            <wp:effectExtent l="0" t="0" r="6985" b="10795"/>
            <wp:docPr id="260" name="图片 260" descr="本溪三药—国有建设用地使用权出让合同_页面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260" descr="本溪三药—国有建设用地使用权出让合同_页面_04"/>
                    <pic:cNvPicPr>
                      <a:picLocks noChangeAspect="1"/>
                    </pic:cNvPicPr>
                  </pic:nvPicPr>
                  <pic:blipFill>
                    <a:blip r:embed="rId55"/>
                    <a:stretch>
                      <a:fillRect/>
                    </a:stretch>
                  </pic:blipFill>
                  <pic:spPr>
                    <a:xfrm>
                      <a:off x="0" y="0"/>
                      <a:ext cx="5917565" cy="8523605"/>
                    </a:xfrm>
                    <a:prstGeom prst="rect">
                      <a:avLst/>
                    </a:prstGeom>
                  </pic:spPr>
                </pic:pic>
              </a:graphicData>
            </a:graphic>
          </wp:inline>
        </w:drawing>
      </w:r>
      <w:r>
        <w:rPr>
          <w:rFonts w:hint="default" w:eastAsia="宋体" w:cs="Times New Roman"/>
          <w:b/>
          <w:bCs/>
          <w:color w:val="000000" w:themeColor="text1"/>
          <w:kern w:val="2"/>
          <w:sz w:val="24"/>
          <w:szCs w:val="24"/>
          <w:highlight w:val="none"/>
          <w:lang w:val="en-US" w:eastAsia="zh-CN" w:bidi="ar-SA"/>
          <w14:textFill>
            <w14:solidFill>
              <w14:schemeClr w14:val="tx1"/>
            </w14:solidFill>
          </w14:textFill>
        </w:rPr>
        <w:drawing>
          <wp:inline distT="0" distB="0" distL="114300" distR="114300">
            <wp:extent cx="5844540" cy="8531225"/>
            <wp:effectExtent l="0" t="0" r="3810" b="3175"/>
            <wp:docPr id="156" name="图片 156" descr="本溪三药—国有建设用地使用权出让合同_页面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56" descr="本溪三药—国有建设用地使用权出让合同_页面_17"/>
                    <pic:cNvPicPr>
                      <a:picLocks noChangeAspect="1"/>
                    </pic:cNvPicPr>
                  </pic:nvPicPr>
                  <pic:blipFill>
                    <a:blip r:embed="rId56"/>
                    <a:stretch>
                      <a:fillRect/>
                    </a:stretch>
                  </pic:blipFill>
                  <pic:spPr>
                    <a:xfrm>
                      <a:off x="0" y="0"/>
                      <a:ext cx="5844540" cy="8531225"/>
                    </a:xfrm>
                    <a:prstGeom prst="rect">
                      <a:avLst/>
                    </a:prstGeom>
                  </pic:spPr>
                </pic:pic>
              </a:graphicData>
            </a:graphic>
          </wp:inline>
        </w:drawing>
      </w:r>
      <w:r>
        <w:rPr>
          <w:rFonts w:hint="default" w:eastAsia="宋体" w:cs="Times New Roman"/>
          <w:b/>
          <w:bCs/>
          <w:color w:val="000000" w:themeColor="text1"/>
          <w:kern w:val="2"/>
          <w:sz w:val="24"/>
          <w:szCs w:val="24"/>
          <w:highlight w:val="none"/>
          <w:lang w:val="en-US" w:eastAsia="zh-CN" w:bidi="ar-SA"/>
          <w14:textFill>
            <w14:solidFill>
              <w14:schemeClr w14:val="tx1"/>
            </w14:solidFill>
          </w14:textFill>
        </w:rPr>
        <w:drawing>
          <wp:inline distT="0" distB="0" distL="114300" distR="114300">
            <wp:extent cx="5844540" cy="8531225"/>
            <wp:effectExtent l="0" t="0" r="3810" b="3175"/>
            <wp:docPr id="16" name="图片 16" descr="本溪三药—国有建设用地使用权出让合同_页面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本溪三药—国有建设用地使用权出让合同_页面_18"/>
                    <pic:cNvPicPr>
                      <a:picLocks noChangeAspect="1"/>
                    </pic:cNvPicPr>
                  </pic:nvPicPr>
                  <pic:blipFill>
                    <a:blip r:embed="rId57"/>
                    <a:stretch>
                      <a:fillRect/>
                    </a:stretch>
                  </pic:blipFill>
                  <pic:spPr>
                    <a:xfrm>
                      <a:off x="0" y="0"/>
                      <a:ext cx="5844540" cy="8531225"/>
                    </a:xfrm>
                    <a:prstGeom prst="rect">
                      <a:avLst/>
                    </a:prstGeom>
                  </pic:spPr>
                </pic:pic>
              </a:graphicData>
            </a:graphic>
          </wp:inline>
        </w:drawing>
      </w:r>
    </w:p>
    <w:p w14:paraId="48B3437B">
      <w:pPr>
        <w:pStyle w:val="2"/>
        <w:keepNext w:val="0"/>
        <w:keepLines w:val="0"/>
        <w:pageBreakBefore w:val="0"/>
        <w:widowControl w:val="0"/>
        <w:kinsoku/>
        <w:wordWrap/>
        <w:overflowPunct/>
        <w:topLinePunct w:val="0"/>
        <w:autoSpaceDE/>
        <w:autoSpaceDN/>
        <w:bidi w:val="0"/>
        <w:adjustRightInd/>
        <w:snapToGrid w:val="0"/>
        <w:spacing w:before="0" w:after="0" w:line="360" w:lineRule="auto"/>
        <w:ind w:left="0" w:firstLine="0"/>
        <w:jc w:val="both"/>
        <w:textAlignment w:val="auto"/>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附件</w:t>
      </w:r>
      <w:r>
        <w:rPr>
          <w:rFonts w:hint="eastAsia" w:eastAsia="宋体" w:cs="Times New Roman"/>
          <w:color w:val="000000" w:themeColor="text1"/>
          <w:kern w:val="2"/>
          <w:sz w:val="28"/>
          <w:szCs w:val="28"/>
          <w:highlight w:val="none"/>
          <w:lang w:val="en-US" w:eastAsia="zh-CN"/>
          <w14:textFill>
            <w14:solidFill>
              <w14:schemeClr w14:val="tx1"/>
            </w14:solidFill>
          </w14:textFill>
        </w:rPr>
        <w:t>4</w:t>
      </w:r>
      <w:r>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w:t>
      </w:r>
      <w:r>
        <w:rPr>
          <w:rFonts w:hint="eastAsia" w:eastAsia="宋体" w:cs="Times New Roman"/>
          <w:color w:val="000000" w:themeColor="text1"/>
          <w:kern w:val="2"/>
          <w:sz w:val="28"/>
          <w:szCs w:val="28"/>
          <w:highlight w:val="none"/>
          <w:lang w:val="en-US" w:eastAsia="zh-CN"/>
          <w14:textFill>
            <w14:solidFill>
              <w14:schemeClr w14:val="tx1"/>
            </w14:solidFill>
          </w14:textFill>
        </w:rPr>
        <w:t>排污许可证</w:t>
      </w:r>
    </w:p>
    <w:p w14:paraId="65D73DFB">
      <w:pPr>
        <w:bidi w:val="0"/>
        <w:jc w:val="cente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drawing>
          <wp:inline distT="0" distB="0" distL="114300" distR="114300">
            <wp:extent cx="7861935" cy="5563870"/>
            <wp:effectExtent l="0" t="0" r="5715" b="17780"/>
            <wp:docPr id="3" name="图片 3" descr="排污许可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排污许可证"/>
                    <pic:cNvPicPr>
                      <a:picLocks noChangeAspect="1"/>
                    </pic:cNvPicPr>
                  </pic:nvPicPr>
                  <pic:blipFill>
                    <a:blip r:embed="rId58"/>
                    <a:stretch>
                      <a:fillRect/>
                    </a:stretch>
                  </pic:blipFill>
                  <pic:spPr>
                    <a:xfrm>
                      <a:off x="0" y="0"/>
                      <a:ext cx="7861935" cy="5563870"/>
                    </a:xfrm>
                    <a:prstGeom prst="rect">
                      <a:avLst/>
                    </a:prstGeom>
                  </pic:spPr>
                </pic:pic>
              </a:graphicData>
            </a:graphic>
          </wp:inline>
        </w:drawing>
      </w:r>
    </w:p>
    <w:p w14:paraId="59AA854A">
      <w:pPr>
        <w:pStyle w:val="27"/>
        <w:spacing w:line="240" w:lineRule="auto"/>
        <w:ind w:firstLine="0" w:firstLineChars="0"/>
        <w:jc w:val="cente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sectPr>
          <w:pgSz w:w="16838" w:h="11906" w:orient="landscape"/>
          <w:pgMar w:top="1134" w:right="1701" w:bottom="1134" w:left="1701"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7CB123BD">
      <w:pPr>
        <w:pStyle w:val="2"/>
        <w:keepNext w:val="0"/>
        <w:keepLines w:val="0"/>
        <w:pageBreakBefore w:val="0"/>
        <w:widowControl w:val="0"/>
        <w:kinsoku/>
        <w:wordWrap/>
        <w:overflowPunct/>
        <w:topLinePunct w:val="0"/>
        <w:autoSpaceDE/>
        <w:autoSpaceDN/>
        <w:bidi w:val="0"/>
        <w:adjustRightInd/>
        <w:snapToGrid w:val="0"/>
        <w:spacing w:before="0" w:after="0" w:line="360" w:lineRule="auto"/>
        <w:ind w:left="0" w:firstLine="0"/>
        <w:jc w:val="both"/>
        <w:textAlignment w:val="auto"/>
        <w:rPr>
          <w:rFonts w:hint="default" w:eastAsia="宋体" w:cs="Times New Roman"/>
          <w:color w:val="000000" w:themeColor="text1"/>
          <w:kern w:val="2"/>
          <w:sz w:val="28"/>
          <w:szCs w:val="28"/>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附件</w:t>
      </w:r>
      <w:r>
        <w:rPr>
          <w:rFonts w:hint="eastAsia" w:eastAsia="宋体" w:cs="Times New Roman"/>
          <w:color w:val="000000" w:themeColor="text1"/>
          <w:kern w:val="2"/>
          <w:sz w:val="28"/>
          <w:szCs w:val="28"/>
          <w:highlight w:val="none"/>
          <w:lang w:val="en-US" w:eastAsia="zh-CN"/>
          <w14:textFill>
            <w14:solidFill>
              <w14:schemeClr w14:val="tx1"/>
            </w14:solidFill>
          </w14:textFill>
        </w:rPr>
        <w:t>5</w:t>
      </w:r>
      <w:r>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w:t>
      </w:r>
      <w:r>
        <w:rPr>
          <w:rFonts w:hint="eastAsia" w:eastAsia="宋体" w:cs="Times New Roman"/>
          <w:color w:val="000000" w:themeColor="text1"/>
          <w:kern w:val="2"/>
          <w:sz w:val="28"/>
          <w:szCs w:val="28"/>
          <w:highlight w:val="none"/>
          <w:lang w:val="en-US" w:eastAsia="zh-CN"/>
          <w14:textFill>
            <w14:solidFill>
              <w14:schemeClr w14:val="tx1"/>
            </w14:solidFill>
          </w14:textFill>
        </w:rPr>
        <w:t>现有环评批复及验收意见</w:t>
      </w:r>
    </w:p>
    <w:p w14:paraId="3B2D6782">
      <w:pPr>
        <w:numPr>
          <w:ilvl w:val="0"/>
          <w:numId w:val="38"/>
        </w:numPr>
        <w:spacing w:line="360" w:lineRule="auto"/>
        <w:jc w:val="both"/>
        <w:rPr>
          <w:rFonts w:hint="eastAsia"/>
          <w:sz w:val="24"/>
          <w:szCs w:val="24"/>
          <w:lang w:val="en-US" w:eastAsia="zh-CN"/>
        </w:rPr>
      </w:pPr>
      <w:r>
        <w:rPr>
          <w:rFonts w:hint="eastAsia"/>
          <w:sz w:val="24"/>
          <w:szCs w:val="24"/>
          <w:lang w:val="en-US" w:eastAsia="zh-CN"/>
        </w:rPr>
        <w:t>关于辽宁华源本溪三药有限公司GMP整体改造工程环境影响报告书的批复</w:t>
      </w:r>
    </w:p>
    <w:p w14:paraId="693E8735">
      <w:pPr>
        <w:pStyle w:val="27"/>
        <w:spacing w:line="240" w:lineRule="auto"/>
        <w:ind w:firstLine="0" w:firstLineChars="0"/>
        <w:jc w:val="cente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drawing>
          <wp:inline distT="0" distB="0" distL="114300" distR="114300">
            <wp:extent cx="5581650" cy="7726680"/>
            <wp:effectExtent l="0" t="0" r="0" b="7620"/>
            <wp:docPr id="23" name="图片 23" descr="GMP整体改造工程环境影响报告书批复2002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GMP整体改造工程环境影响报告书批复2002_页面_1"/>
                    <pic:cNvPicPr>
                      <a:picLocks noChangeAspect="1"/>
                    </pic:cNvPicPr>
                  </pic:nvPicPr>
                  <pic:blipFill>
                    <a:blip r:embed="rId59"/>
                    <a:stretch>
                      <a:fillRect/>
                    </a:stretch>
                  </pic:blipFill>
                  <pic:spPr>
                    <a:xfrm>
                      <a:off x="0" y="0"/>
                      <a:ext cx="5581650" cy="7726680"/>
                    </a:xfrm>
                    <a:prstGeom prst="rect">
                      <a:avLst/>
                    </a:prstGeom>
                  </pic:spPr>
                </pic:pic>
              </a:graphicData>
            </a:graphic>
          </wp:inline>
        </w:drawing>
      </w: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drawing>
          <wp:inline distT="0" distB="0" distL="114300" distR="114300">
            <wp:extent cx="5753100" cy="8514715"/>
            <wp:effectExtent l="0" t="0" r="0" b="635"/>
            <wp:docPr id="20" name="图片 20" descr="GMP整体改造工程环境影响报告书批复2002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GMP整体改造工程环境影响报告书批复2002_页面_2"/>
                    <pic:cNvPicPr>
                      <a:picLocks noChangeAspect="1"/>
                    </pic:cNvPicPr>
                  </pic:nvPicPr>
                  <pic:blipFill>
                    <a:blip r:embed="rId60"/>
                    <a:stretch>
                      <a:fillRect/>
                    </a:stretch>
                  </pic:blipFill>
                  <pic:spPr>
                    <a:xfrm>
                      <a:off x="0" y="0"/>
                      <a:ext cx="5753100" cy="8514715"/>
                    </a:xfrm>
                    <a:prstGeom prst="rect">
                      <a:avLst/>
                    </a:prstGeom>
                  </pic:spPr>
                </pic:pic>
              </a:graphicData>
            </a:graphic>
          </wp:inline>
        </w:drawing>
      </w:r>
    </w:p>
    <w:p w14:paraId="43E09E3B">
      <w:pPr>
        <w:pStyle w:val="27"/>
        <w:spacing w:line="240" w:lineRule="auto"/>
        <w:ind w:firstLine="0" w:firstLineChars="0"/>
        <w:jc w:val="both"/>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sectPr>
          <w:pgSz w:w="11906" w:h="16838"/>
          <w:pgMar w:top="1701" w:right="1134" w:bottom="1701" w:left="1134"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2B5FF40B">
      <w:pPr>
        <w:numPr>
          <w:ilvl w:val="0"/>
          <w:numId w:val="38"/>
        </w:numPr>
        <w:spacing w:line="360" w:lineRule="auto"/>
        <w:jc w:val="both"/>
        <w:rPr>
          <w:rFonts w:hint="eastAsia"/>
          <w:sz w:val="24"/>
          <w:szCs w:val="24"/>
          <w:lang w:val="en-US" w:eastAsia="zh-CN"/>
        </w:rPr>
      </w:pPr>
      <w:r>
        <w:rPr>
          <w:rFonts w:hint="eastAsia"/>
          <w:sz w:val="24"/>
          <w:szCs w:val="24"/>
          <w:lang w:val="en-US" w:eastAsia="zh-CN"/>
        </w:rPr>
        <w:t>关于辽宁华源本溪三药有限公司GMP整体改造工程竣工环境保护验收意见</w:t>
      </w:r>
    </w:p>
    <w:p w14:paraId="0A9288E5">
      <w:pPr>
        <w:pStyle w:val="27"/>
        <w:spacing w:line="240" w:lineRule="auto"/>
        <w:ind w:firstLine="0" w:firstLineChars="0"/>
        <w:jc w:val="cente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sectPr>
          <w:pgSz w:w="11906" w:h="16838"/>
          <w:pgMar w:top="1701" w:right="1134" w:bottom="1701" w:left="1134" w:header="851" w:footer="992" w:gutter="0"/>
          <w:pgBorders>
            <w:top w:val="none" w:sz="0" w:space="0"/>
            <w:left w:val="none" w:sz="0" w:space="0"/>
            <w:bottom w:val="none" w:sz="0" w:space="0"/>
            <w:right w:val="none" w:sz="0" w:space="0"/>
          </w:pgBorders>
          <w:pgNumType w:fmt="numberInDash"/>
          <w:cols w:space="425" w:num="1"/>
          <w:docGrid w:type="lines" w:linePitch="312" w:charSpace="0"/>
        </w:sectPr>
      </w:pP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drawing>
          <wp:inline distT="0" distB="0" distL="114300" distR="114300">
            <wp:extent cx="5724525" cy="8121650"/>
            <wp:effectExtent l="0" t="0" r="9525" b="12700"/>
            <wp:docPr id="24" name="图片 24" descr="GMP整体改造工程竣工环保验收申请报告及验收意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GMP整体改造工程竣工环保验收申请报告及验收意见"/>
                    <pic:cNvPicPr>
                      <a:picLocks noChangeAspect="1"/>
                    </pic:cNvPicPr>
                  </pic:nvPicPr>
                  <pic:blipFill>
                    <a:blip r:embed="rId61"/>
                    <a:stretch>
                      <a:fillRect/>
                    </a:stretch>
                  </pic:blipFill>
                  <pic:spPr>
                    <a:xfrm>
                      <a:off x="0" y="0"/>
                      <a:ext cx="5724525" cy="8121650"/>
                    </a:xfrm>
                    <a:prstGeom prst="rect">
                      <a:avLst/>
                    </a:prstGeom>
                  </pic:spPr>
                </pic:pic>
              </a:graphicData>
            </a:graphic>
          </wp:inline>
        </w:drawing>
      </w:r>
    </w:p>
    <w:p w14:paraId="4D88A8BB">
      <w:pPr>
        <w:numPr>
          <w:ilvl w:val="0"/>
          <w:numId w:val="38"/>
        </w:numPr>
        <w:spacing w:line="360" w:lineRule="auto"/>
        <w:jc w:val="both"/>
        <w:rPr>
          <w:rFonts w:hint="eastAsia"/>
          <w:sz w:val="24"/>
          <w:szCs w:val="24"/>
          <w:lang w:val="en-US" w:eastAsia="zh-CN"/>
        </w:rPr>
      </w:pPr>
      <w:r>
        <w:rPr>
          <w:rFonts w:hint="eastAsia"/>
          <w:sz w:val="24"/>
          <w:szCs w:val="24"/>
          <w:lang w:val="en-US" w:eastAsia="zh-CN"/>
        </w:rPr>
        <w:t>关于辽宁华润本溪三药有限公司气滞胃痛颗粒新版GMP标准及产能提升扩建项目环境影响报告书的批复</w:t>
      </w:r>
    </w:p>
    <w:p w14:paraId="2FD2DFC9">
      <w:pPr>
        <w:pStyle w:val="27"/>
        <w:spacing w:line="240" w:lineRule="auto"/>
        <w:ind w:firstLine="0" w:firstLineChars="0"/>
        <w:jc w:val="cente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drawing>
          <wp:inline distT="0" distB="0" distL="114300" distR="114300">
            <wp:extent cx="5506085" cy="7812405"/>
            <wp:effectExtent l="0" t="0" r="18415" b="17145"/>
            <wp:docPr id="29" name="图片 29" descr="环评报告批复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环评报告批复_页面_1"/>
                    <pic:cNvPicPr>
                      <a:picLocks noChangeAspect="1"/>
                    </pic:cNvPicPr>
                  </pic:nvPicPr>
                  <pic:blipFill>
                    <a:blip r:embed="rId62"/>
                    <a:stretch>
                      <a:fillRect/>
                    </a:stretch>
                  </pic:blipFill>
                  <pic:spPr>
                    <a:xfrm>
                      <a:off x="0" y="0"/>
                      <a:ext cx="5506085" cy="7812405"/>
                    </a:xfrm>
                    <a:prstGeom prst="rect">
                      <a:avLst/>
                    </a:prstGeom>
                  </pic:spPr>
                </pic:pic>
              </a:graphicData>
            </a:graphic>
          </wp:inline>
        </w:drawing>
      </w: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drawing>
          <wp:inline distT="0" distB="0" distL="114300" distR="114300">
            <wp:extent cx="5900420" cy="8348980"/>
            <wp:effectExtent l="0" t="0" r="5080" b="13970"/>
            <wp:docPr id="28" name="图片 28" descr="环评报告批复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环评报告批复_页面_2"/>
                    <pic:cNvPicPr>
                      <a:picLocks noChangeAspect="1"/>
                    </pic:cNvPicPr>
                  </pic:nvPicPr>
                  <pic:blipFill>
                    <a:blip r:embed="rId63"/>
                    <a:stretch>
                      <a:fillRect/>
                    </a:stretch>
                  </pic:blipFill>
                  <pic:spPr>
                    <a:xfrm>
                      <a:off x="0" y="0"/>
                      <a:ext cx="5900420" cy="8348980"/>
                    </a:xfrm>
                    <a:prstGeom prst="rect">
                      <a:avLst/>
                    </a:prstGeom>
                  </pic:spPr>
                </pic:pic>
              </a:graphicData>
            </a:graphic>
          </wp:inline>
        </w:drawing>
      </w: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drawing>
          <wp:inline distT="0" distB="0" distL="114300" distR="114300">
            <wp:extent cx="5902960" cy="8375650"/>
            <wp:effectExtent l="0" t="0" r="2540" b="6350"/>
            <wp:docPr id="25" name="图片 25" descr="环评报告批复_页面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环评报告批复_页面_3"/>
                    <pic:cNvPicPr>
                      <a:picLocks noChangeAspect="1"/>
                    </pic:cNvPicPr>
                  </pic:nvPicPr>
                  <pic:blipFill>
                    <a:blip r:embed="rId64"/>
                    <a:stretch>
                      <a:fillRect/>
                    </a:stretch>
                  </pic:blipFill>
                  <pic:spPr>
                    <a:xfrm>
                      <a:off x="0" y="0"/>
                      <a:ext cx="5902960" cy="8375650"/>
                    </a:xfrm>
                    <a:prstGeom prst="rect">
                      <a:avLst/>
                    </a:prstGeom>
                  </pic:spPr>
                </pic:pic>
              </a:graphicData>
            </a:graphic>
          </wp:inline>
        </w:drawing>
      </w:r>
    </w:p>
    <w:p w14:paraId="3CB1A4A5">
      <w:pPr>
        <w:pStyle w:val="27"/>
        <w:spacing w:line="240" w:lineRule="auto"/>
        <w:ind w:firstLine="0" w:firstLineChars="0"/>
        <w:jc w:val="cente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sectPr>
          <w:pgSz w:w="11906" w:h="16838"/>
          <w:pgMar w:top="1701" w:right="1134" w:bottom="1701" w:left="1134"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082E9E76">
      <w:pPr>
        <w:numPr>
          <w:ilvl w:val="0"/>
          <w:numId w:val="38"/>
        </w:numPr>
        <w:spacing w:line="360" w:lineRule="auto"/>
        <w:jc w:val="both"/>
        <w:rPr>
          <w:rFonts w:hint="eastAsia"/>
          <w:sz w:val="24"/>
          <w:szCs w:val="24"/>
          <w:lang w:val="en-US" w:eastAsia="zh-CN"/>
        </w:rPr>
      </w:pPr>
      <w:r>
        <w:rPr>
          <w:rFonts w:hint="eastAsia"/>
          <w:sz w:val="24"/>
          <w:szCs w:val="24"/>
          <w:lang w:val="en-US" w:eastAsia="zh-CN"/>
        </w:rPr>
        <w:t>关于辽宁华润本溪三药有限公司气滞胃痛颗粒新版GMP标准及产能提升扩建项目竣工环保验收的意见</w:t>
      </w:r>
    </w:p>
    <w:p w14:paraId="0609D29F">
      <w:pPr>
        <w:pStyle w:val="27"/>
        <w:spacing w:line="240" w:lineRule="auto"/>
        <w:ind w:firstLine="0" w:firstLineChars="0"/>
        <w:jc w:val="cente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sectPr>
          <w:pgSz w:w="11906" w:h="16838"/>
          <w:pgMar w:top="1701" w:right="1134" w:bottom="1701" w:left="1134" w:header="851" w:footer="992" w:gutter="0"/>
          <w:pgBorders>
            <w:top w:val="none" w:sz="0" w:space="0"/>
            <w:left w:val="none" w:sz="0" w:space="0"/>
            <w:bottom w:val="none" w:sz="0" w:space="0"/>
            <w:right w:val="none" w:sz="0" w:space="0"/>
          </w:pgBorders>
          <w:pgNumType w:fmt="numberInDash"/>
          <w:cols w:space="425" w:num="1"/>
          <w:docGrid w:type="lines" w:linePitch="312" w:charSpace="0"/>
        </w:sectPr>
      </w:pP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drawing>
          <wp:inline distT="0" distB="0" distL="114300" distR="114300">
            <wp:extent cx="5496560" cy="7799070"/>
            <wp:effectExtent l="0" t="0" r="8890" b="11430"/>
            <wp:docPr id="32" name="图片 32" descr="竣工环保验收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竣工环保验收_页面_1"/>
                    <pic:cNvPicPr>
                      <a:picLocks noChangeAspect="1"/>
                    </pic:cNvPicPr>
                  </pic:nvPicPr>
                  <pic:blipFill>
                    <a:blip r:embed="rId65"/>
                    <a:stretch>
                      <a:fillRect/>
                    </a:stretch>
                  </pic:blipFill>
                  <pic:spPr>
                    <a:xfrm>
                      <a:off x="0" y="0"/>
                      <a:ext cx="5496560" cy="7799070"/>
                    </a:xfrm>
                    <a:prstGeom prst="rect">
                      <a:avLst/>
                    </a:prstGeom>
                  </pic:spPr>
                </pic:pic>
              </a:graphicData>
            </a:graphic>
          </wp:inline>
        </w:drawing>
      </w: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drawing>
          <wp:inline distT="0" distB="0" distL="114300" distR="114300">
            <wp:extent cx="5929630" cy="8390255"/>
            <wp:effectExtent l="0" t="0" r="13970" b="10795"/>
            <wp:docPr id="31" name="图片 31" descr="竣工环保验收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竣工环保验收_页面_2"/>
                    <pic:cNvPicPr>
                      <a:picLocks noChangeAspect="1"/>
                    </pic:cNvPicPr>
                  </pic:nvPicPr>
                  <pic:blipFill>
                    <a:blip r:embed="rId66"/>
                    <a:stretch>
                      <a:fillRect/>
                    </a:stretch>
                  </pic:blipFill>
                  <pic:spPr>
                    <a:xfrm>
                      <a:off x="0" y="0"/>
                      <a:ext cx="5929630" cy="8390255"/>
                    </a:xfrm>
                    <a:prstGeom prst="rect">
                      <a:avLst/>
                    </a:prstGeom>
                  </pic:spPr>
                </pic:pic>
              </a:graphicData>
            </a:graphic>
          </wp:inline>
        </w:drawing>
      </w: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drawing>
          <wp:inline distT="0" distB="0" distL="114300" distR="114300">
            <wp:extent cx="5958205" cy="8430895"/>
            <wp:effectExtent l="0" t="0" r="4445" b="8255"/>
            <wp:docPr id="30" name="图片 30" descr="竣工环保验收_页面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竣工环保验收_页面_3"/>
                    <pic:cNvPicPr>
                      <a:picLocks noChangeAspect="1"/>
                    </pic:cNvPicPr>
                  </pic:nvPicPr>
                  <pic:blipFill>
                    <a:blip r:embed="rId67"/>
                    <a:stretch>
                      <a:fillRect/>
                    </a:stretch>
                  </pic:blipFill>
                  <pic:spPr>
                    <a:xfrm>
                      <a:off x="0" y="0"/>
                      <a:ext cx="5958205" cy="8430895"/>
                    </a:xfrm>
                    <a:prstGeom prst="rect">
                      <a:avLst/>
                    </a:prstGeom>
                  </pic:spPr>
                </pic:pic>
              </a:graphicData>
            </a:graphic>
          </wp:inline>
        </w:drawing>
      </w:r>
    </w:p>
    <w:p w14:paraId="0E5FE4CA">
      <w:pPr>
        <w:numPr>
          <w:ilvl w:val="0"/>
          <w:numId w:val="38"/>
        </w:numPr>
        <w:spacing w:line="360" w:lineRule="auto"/>
        <w:jc w:val="both"/>
        <w:rPr>
          <w:rFonts w:hint="eastAsia"/>
          <w:sz w:val="24"/>
          <w:szCs w:val="24"/>
          <w:lang w:val="en-US" w:eastAsia="zh-CN"/>
        </w:rPr>
      </w:pPr>
      <w:r>
        <w:rPr>
          <w:rFonts w:hint="eastAsia"/>
          <w:sz w:val="24"/>
          <w:szCs w:val="24"/>
          <w:lang w:val="en-US" w:eastAsia="zh-CN"/>
        </w:rPr>
        <w:t>提取车间和制剂车间GMP改造项目环境影响报告表的批复</w:t>
      </w:r>
    </w:p>
    <w:p w14:paraId="69589B66">
      <w:pPr>
        <w:numPr>
          <w:ilvl w:val="0"/>
          <w:numId w:val="0"/>
        </w:numPr>
        <w:spacing w:line="360" w:lineRule="auto"/>
        <w:jc w:val="center"/>
        <w:rPr>
          <w:rFonts w:hint="eastAsia"/>
          <w:sz w:val="24"/>
          <w:szCs w:val="24"/>
          <w:lang w:val="en-US" w:eastAsia="zh-CN"/>
        </w:rPr>
      </w:pPr>
      <w:r>
        <w:rPr>
          <w:rFonts w:hint="eastAsia"/>
          <w:sz w:val="24"/>
          <w:szCs w:val="24"/>
          <w:lang w:val="en-US" w:eastAsia="zh-CN"/>
        </w:rPr>
        <w:drawing>
          <wp:inline distT="0" distB="0" distL="114300" distR="114300">
            <wp:extent cx="5726430" cy="8124825"/>
            <wp:effectExtent l="0" t="0" r="7620" b="9525"/>
            <wp:docPr id="34" name="图片 34" descr="车间改造项目环评批复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车间改造项目环评批复_页面_1"/>
                    <pic:cNvPicPr>
                      <a:picLocks noChangeAspect="1"/>
                    </pic:cNvPicPr>
                  </pic:nvPicPr>
                  <pic:blipFill>
                    <a:blip r:embed="rId68"/>
                    <a:stretch>
                      <a:fillRect/>
                    </a:stretch>
                  </pic:blipFill>
                  <pic:spPr>
                    <a:xfrm>
                      <a:off x="0" y="0"/>
                      <a:ext cx="5726430" cy="8124825"/>
                    </a:xfrm>
                    <a:prstGeom prst="rect">
                      <a:avLst/>
                    </a:prstGeom>
                  </pic:spPr>
                </pic:pic>
              </a:graphicData>
            </a:graphic>
          </wp:inline>
        </w:drawing>
      </w:r>
      <w:r>
        <w:rPr>
          <w:rFonts w:hint="eastAsia"/>
          <w:sz w:val="24"/>
          <w:szCs w:val="24"/>
          <w:lang w:val="en-US" w:eastAsia="zh-CN"/>
        </w:rPr>
        <w:drawing>
          <wp:inline distT="0" distB="0" distL="114300" distR="114300">
            <wp:extent cx="5905500" cy="8378825"/>
            <wp:effectExtent l="0" t="0" r="0" b="3175"/>
            <wp:docPr id="33" name="图片 33" descr="车间改造项目环评批复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车间改造项目环评批复_页面_2"/>
                    <pic:cNvPicPr>
                      <a:picLocks noChangeAspect="1"/>
                    </pic:cNvPicPr>
                  </pic:nvPicPr>
                  <pic:blipFill>
                    <a:blip r:embed="rId69"/>
                    <a:stretch>
                      <a:fillRect/>
                    </a:stretch>
                  </pic:blipFill>
                  <pic:spPr>
                    <a:xfrm>
                      <a:off x="0" y="0"/>
                      <a:ext cx="5905500" cy="8378825"/>
                    </a:xfrm>
                    <a:prstGeom prst="rect">
                      <a:avLst/>
                    </a:prstGeom>
                  </pic:spPr>
                </pic:pic>
              </a:graphicData>
            </a:graphic>
          </wp:inline>
        </w:drawing>
      </w:r>
    </w:p>
    <w:p w14:paraId="06067948">
      <w:pPr>
        <w:pStyle w:val="27"/>
        <w:spacing w:line="240" w:lineRule="auto"/>
        <w:ind w:firstLine="0" w:firstLineChars="0"/>
        <w:jc w:val="cente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sectPr>
          <w:pgSz w:w="11906" w:h="16838"/>
          <w:pgMar w:top="1701" w:right="1134" w:bottom="1701" w:left="1134"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586E7445">
      <w:pPr>
        <w:numPr>
          <w:ilvl w:val="0"/>
          <w:numId w:val="38"/>
        </w:numPr>
        <w:spacing w:line="360" w:lineRule="auto"/>
        <w:jc w:val="both"/>
        <w:rPr>
          <w:rFonts w:hint="eastAsia"/>
          <w:sz w:val="24"/>
          <w:szCs w:val="24"/>
          <w:lang w:val="en-US" w:eastAsia="zh-CN"/>
        </w:rPr>
      </w:pPr>
      <w:r>
        <w:rPr>
          <w:rFonts w:hint="eastAsia"/>
          <w:sz w:val="24"/>
          <w:szCs w:val="24"/>
          <w:lang w:val="en-US" w:eastAsia="zh-CN"/>
        </w:rPr>
        <w:t>提取车间和制剂车间GMP改造项目竣工环境保护验收意见</w:t>
      </w:r>
    </w:p>
    <w:p w14:paraId="5DBB30D4">
      <w:pPr>
        <w:pStyle w:val="27"/>
        <w:spacing w:line="240" w:lineRule="auto"/>
        <w:ind w:firstLine="0" w:firstLineChars="0"/>
        <w:jc w:val="cente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sectPr>
          <w:pgSz w:w="11906" w:h="16838"/>
          <w:pgMar w:top="1701" w:right="1134" w:bottom="1701" w:left="1134" w:header="851" w:footer="992" w:gutter="0"/>
          <w:pgBorders>
            <w:top w:val="none" w:sz="0" w:space="0"/>
            <w:left w:val="none" w:sz="0" w:space="0"/>
            <w:bottom w:val="none" w:sz="0" w:space="0"/>
            <w:right w:val="none" w:sz="0" w:space="0"/>
          </w:pgBorders>
          <w:pgNumType w:fmt="numberInDash"/>
          <w:cols w:space="425" w:num="1"/>
          <w:docGrid w:type="lines" w:linePitch="312" w:charSpace="0"/>
        </w:sectPr>
      </w:pP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drawing>
          <wp:inline distT="0" distB="0" distL="114300" distR="114300">
            <wp:extent cx="5713095" cy="8081010"/>
            <wp:effectExtent l="0" t="0" r="1905" b="15240"/>
            <wp:docPr id="46" name="图片 46" descr="验收意见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验收意见_页面_1"/>
                    <pic:cNvPicPr>
                      <a:picLocks noChangeAspect="1"/>
                    </pic:cNvPicPr>
                  </pic:nvPicPr>
                  <pic:blipFill>
                    <a:blip r:embed="rId70"/>
                    <a:stretch>
                      <a:fillRect/>
                    </a:stretch>
                  </pic:blipFill>
                  <pic:spPr>
                    <a:xfrm>
                      <a:off x="0" y="0"/>
                      <a:ext cx="5713095" cy="8081010"/>
                    </a:xfrm>
                    <a:prstGeom prst="rect">
                      <a:avLst/>
                    </a:prstGeom>
                  </pic:spPr>
                </pic:pic>
              </a:graphicData>
            </a:graphic>
          </wp:inline>
        </w:drawing>
      </w: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drawing>
          <wp:inline distT="0" distB="0" distL="114300" distR="114300">
            <wp:extent cx="5946140" cy="8409305"/>
            <wp:effectExtent l="0" t="0" r="16510" b="10795"/>
            <wp:docPr id="45" name="图片 45" descr="验收意见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验收意见_页面_2"/>
                    <pic:cNvPicPr>
                      <a:picLocks noChangeAspect="1"/>
                    </pic:cNvPicPr>
                  </pic:nvPicPr>
                  <pic:blipFill>
                    <a:blip r:embed="rId71"/>
                    <a:stretch>
                      <a:fillRect/>
                    </a:stretch>
                  </pic:blipFill>
                  <pic:spPr>
                    <a:xfrm>
                      <a:off x="0" y="0"/>
                      <a:ext cx="5946140" cy="8409305"/>
                    </a:xfrm>
                    <a:prstGeom prst="rect">
                      <a:avLst/>
                    </a:prstGeom>
                  </pic:spPr>
                </pic:pic>
              </a:graphicData>
            </a:graphic>
          </wp:inline>
        </w:drawing>
      </w: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drawing>
          <wp:inline distT="0" distB="0" distL="114300" distR="114300">
            <wp:extent cx="5970270" cy="8442960"/>
            <wp:effectExtent l="0" t="0" r="11430" b="15240"/>
            <wp:docPr id="43" name="图片 43" descr="验收意见_页面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验收意见_页面_3"/>
                    <pic:cNvPicPr>
                      <a:picLocks noChangeAspect="1"/>
                    </pic:cNvPicPr>
                  </pic:nvPicPr>
                  <pic:blipFill>
                    <a:blip r:embed="rId72"/>
                    <a:stretch>
                      <a:fillRect/>
                    </a:stretch>
                  </pic:blipFill>
                  <pic:spPr>
                    <a:xfrm>
                      <a:off x="0" y="0"/>
                      <a:ext cx="5970270" cy="8442960"/>
                    </a:xfrm>
                    <a:prstGeom prst="rect">
                      <a:avLst/>
                    </a:prstGeom>
                  </pic:spPr>
                </pic:pic>
              </a:graphicData>
            </a:graphic>
          </wp:inline>
        </w:drawing>
      </w: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drawing>
          <wp:inline distT="0" distB="0" distL="114300" distR="114300">
            <wp:extent cx="5951220" cy="8416290"/>
            <wp:effectExtent l="0" t="0" r="11430" b="3810"/>
            <wp:docPr id="42" name="图片 42" descr="验收意见_页面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验收意见_页面_4"/>
                    <pic:cNvPicPr>
                      <a:picLocks noChangeAspect="1"/>
                    </pic:cNvPicPr>
                  </pic:nvPicPr>
                  <pic:blipFill>
                    <a:blip r:embed="rId73"/>
                    <a:stretch>
                      <a:fillRect/>
                    </a:stretch>
                  </pic:blipFill>
                  <pic:spPr>
                    <a:xfrm>
                      <a:off x="0" y="0"/>
                      <a:ext cx="5951220" cy="8416290"/>
                    </a:xfrm>
                    <a:prstGeom prst="rect">
                      <a:avLst/>
                    </a:prstGeom>
                  </pic:spPr>
                </pic:pic>
              </a:graphicData>
            </a:graphic>
          </wp:inline>
        </w:drawing>
      </w: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drawing>
          <wp:inline distT="0" distB="0" distL="114300" distR="114300">
            <wp:extent cx="5972810" cy="8447405"/>
            <wp:effectExtent l="0" t="0" r="8890" b="10795"/>
            <wp:docPr id="41" name="图片 41" descr="验收意见_页面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验收意见_页面_5"/>
                    <pic:cNvPicPr>
                      <a:picLocks noChangeAspect="1"/>
                    </pic:cNvPicPr>
                  </pic:nvPicPr>
                  <pic:blipFill>
                    <a:blip r:embed="rId74"/>
                    <a:stretch>
                      <a:fillRect/>
                    </a:stretch>
                  </pic:blipFill>
                  <pic:spPr>
                    <a:xfrm>
                      <a:off x="0" y="0"/>
                      <a:ext cx="5972810" cy="8447405"/>
                    </a:xfrm>
                    <a:prstGeom prst="rect">
                      <a:avLst/>
                    </a:prstGeom>
                  </pic:spPr>
                </pic:pic>
              </a:graphicData>
            </a:graphic>
          </wp:inline>
        </w:drawing>
      </w: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drawing>
          <wp:inline distT="0" distB="0" distL="114300" distR="114300">
            <wp:extent cx="5952490" cy="8418195"/>
            <wp:effectExtent l="0" t="0" r="10160" b="1905"/>
            <wp:docPr id="38" name="图片 38" descr="验收意见_页面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验收意见_页面_6"/>
                    <pic:cNvPicPr>
                      <a:picLocks noChangeAspect="1"/>
                    </pic:cNvPicPr>
                  </pic:nvPicPr>
                  <pic:blipFill>
                    <a:blip r:embed="rId75"/>
                    <a:stretch>
                      <a:fillRect/>
                    </a:stretch>
                  </pic:blipFill>
                  <pic:spPr>
                    <a:xfrm>
                      <a:off x="0" y="0"/>
                      <a:ext cx="5952490" cy="8418195"/>
                    </a:xfrm>
                    <a:prstGeom prst="rect">
                      <a:avLst/>
                    </a:prstGeom>
                  </pic:spPr>
                </pic:pic>
              </a:graphicData>
            </a:graphic>
          </wp:inline>
        </w:drawing>
      </w: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drawing>
          <wp:inline distT="0" distB="0" distL="114300" distR="114300">
            <wp:extent cx="5915660" cy="8413750"/>
            <wp:effectExtent l="0" t="0" r="8890" b="6350"/>
            <wp:docPr id="35" name="图片 35" descr="验收意见_页面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验收意见_页面_7"/>
                    <pic:cNvPicPr>
                      <a:picLocks noChangeAspect="1"/>
                    </pic:cNvPicPr>
                  </pic:nvPicPr>
                  <pic:blipFill>
                    <a:blip r:embed="rId76"/>
                    <a:stretch>
                      <a:fillRect/>
                    </a:stretch>
                  </pic:blipFill>
                  <pic:spPr>
                    <a:xfrm>
                      <a:off x="0" y="0"/>
                      <a:ext cx="5915660" cy="8413750"/>
                    </a:xfrm>
                    <a:prstGeom prst="rect">
                      <a:avLst/>
                    </a:prstGeom>
                  </pic:spPr>
                </pic:pic>
              </a:graphicData>
            </a:graphic>
          </wp:inline>
        </w:drawing>
      </w:r>
    </w:p>
    <w:p w14:paraId="77CC0509">
      <w:pPr>
        <w:numPr>
          <w:ilvl w:val="0"/>
          <w:numId w:val="38"/>
        </w:numPr>
        <w:spacing w:line="360" w:lineRule="auto"/>
        <w:jc w:val="both"/>
        <w:rPr>
          <w:rFonts w:hint="eastAsia"/>
          <w:sz w:val="24"/>
          <w:szCs w:val="24"/>
          <w:lang w:val="en-US" w:eastAsia="zh-CN"/>
        </w:rPr>
      </w:pPr>
      <w:r>
        <w:rPr>
          <w:rFonts w:hint="eastAsia"/>
          <w:sz w:val="24"/>
          <w:szCs w:val="24"/>
          <w:lang w:val="en-US" w:eastAsia="zh-CN"/>
        </w:rPr>
        <w:t>关于危废暂存库和锅炉改造项目环境影响报告表的批复</w:t>
      </w:r>
    </w:p>
    <w:p w14:paraId="21415447">
      <w:pPr>
        <w:pStyle w:val="27"/>
        <w:spacing w:line="240" w:lineRule="auto"/>
        <w:ind w:firstLine="0" w:firstLineChars="0"/>
        <w:jc w:val="cente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sectPr>
          <w:pgSz w:w="11906" w:h="16838"/>
          <w:pgMar w:top="1701" w:right="1134" w:bottom="1701" w:left="1134" w:header="851" w:footer="992" w:gutter="0"/>
          <w:pgBorders>
            <w:top w:val="none" w:sz="0" w:space="0"/>
            <w:left w:val="none" w:sz="0" w:space="0"/>
            <w:bottom w:val="none" w:sz="0" w:space="0"/>
            <w:right w:val="none" w:sz="0" w:space="0"/>
          </w:pgBorders>
          <w:pgNumType w:fmt="numberInDash"/>
          <w:cols w:space="425" w:num="1"/>
          <w:docGrid w:type="lines" w:linePitch="312" w:charSpace="0"/>
        </w:sectPr>
      </w:pP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drawing>
          <wp:inline distT="0" distB="0" distL="114300" distR="114300">
            <wp:extent cx="5707380" cy="8066405"/>
            <wp:effectExtent l="0" t="0" r="7620" b="10795"/>
            <wp:docPr id="54" name="图片 54" descr="《危废暂存库和锅炉改造项目环境影响报告表》的批复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危废暂存库和锅炉改造项目环境影响报告表》的批复_页面_1"/>
                    <pic:cNvPicPr>
                      <a:picLocks noChangeAspect="1"/>
                    </pic:cNvPicPr>
                  </pic:nvPicPr>
                  <pic:blipFill>
                    <a:blip r:embed="rId77"/>
                    <a:stretch>
                      <a:fillRect/>
                    </a:stretch>
                  </pic:blipFill>
                  <pic:spPr>
                    <a:xfrm>
                      <a:off x="0" y="0"/>
                      <a:ext cx="5707380" cy="8066405"/>
                    </a:xfrm>
                    <a:prstGeom prst="rect">
                      <a:avLst/>
                    </a:prstGeom>
                  </pic:spPr>
                </pic:pic>
              </a:graphicData>
            </a:graphic>
          </wp:inline>
        </w:drawing>
      </w: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drawing>
          <wp:inline distT="0" distB="0" distL="114300" distR="114300">
            <wp:extent cx="5917565" cy="8361680"/>
            <wp:effectExtent l="0" t="0" r="6985" b="1270"/>
            <wp:docPr id="53" name="图片 53" descr="《危废暂存库和锅炉改造项目环境影响报告表》的批复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危废暂存库和锅炉改造项目环境影响报告表》的批复_页面_2"/>
                    <pic:cNvPicPr>
                      <a:picLocks noChangeAspect="1"/>
                    </pic:cNvPicPr>
                  </pic:nvPicPr>
                  <pic:blipFill>
                    <a:blip r:embed="rId78"/>
                    <a:stretch>
                      <a:fillRect/>
                    </a:stretch>
                  </pic:blipFill>
                  <pic:spPr>
                    <a:xfrm>
                      <a:off x="0" y="0"/>
                      <a:ext cx="5917565" cy="8361680"/>
                    </a:xfrm>
                    <a:prstGeom prst="rect">
                      <a:avLst/>
                    </a:prstGeom>
                  </pic:spPr>
                </pic:pic>
              </a:graphicData>
            </a:graphic>
          </wp:inline>
        </w:drawing>
      </w: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drawing>
          <wp:inline distT="0" distB="0" distL="114300" distR="114300">
            <wp:extent cx="5930265" cy="8380095"/>
            <wp:effectExtent l="0" t="0" r="13335" b="1905"/>
            <wp:docPr id="50" name="图片 50" descr="《危废暂存库和锅炉改造项目环境影响报告表》的批复_页面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危废暂存库和锅炉改造项目环境影响报告表》的批复_页面_3"/>
                    <pic:cNvPicPr>
                      <a:picLocks noChangeAspect="1"/>
                    </pic:cNvPicPr>
                  </pic:nvPicPr>
                  <pic:blipFill>
                    <a:blip r:embed="rId79"/>
                    <a:stretch>
                      <a:fillRect/>
                    </a:stretch>
                  </pic:blipFill>
                  <pic:spPr>
                    <a:xfrm>
                      <a:off x="0" y="0"/>
                      <a:ext cx="5930265" cy="8380095"/>
                    </a:xfrm>
                    <a:prstGeom prst="rect">
                      <a:avLst/>
                    </a:prstGeom>
                  </pic:spPr>
                </pic:pic>
              </a:graphicData>
            </a:graphic>
          </wp:inline>
        </w:drawing>
      </w: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drawing>
          <wp:inline distT="0" distB="0" distL="114300" distR="114300">
            <wp:extent cx="5917565" cy="8361680"/>
            <wp:effectExtent l="0" t="0" r="6985" b="1270"/>
            <wp:docPr id="48" name="图片 48" descr="《危废暂存库和锅炉改造项目环境影响报告表》的批复_页面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危废暂存库和锅炉改造项目环境影响报告表》的批复_页面_4"/>
                    <pic:cNvPicPr>
                      <a:picLocks noChangeAspect="1"/>
                    </pic:cNvPicPr>
                  </pic:nvPicPr>
                  <pic:blipFill>
                    <a:blip r:embed="rId80"/>
                    <a:stretch>
                      <a:fillRect/>
                    </a:stretch>
                  </pic:blipFill>
                  <pic:spPr>
                    <a:xfrm>
                      <a:off x="0" y="0"/>
                      <a:ext cx="5917565" cy="8361680"/>
                    </a:xfrm>
                    <a:prstGeom prst="rect">
                      <a:avLst/>
                    </a:prstGeom>
                  </pic:spPr>
                </pic:pic>
              </a:graphicData>
            </a:graphic>
          </wp:inline>
        </w:drawing>
      </w: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drawing>
          <wp:inline distT="0" distB="0" distL="114300" distR="114300">
            <wp:extent cx="5951220" cy="8409305"/>
            <wp:effectExtent l="0" t="0" r="11430" b="10795"/>
            <wp:docPr id="47" name="图片 47" descr="《危废暂存库和锅炉改造项目环境影响报告表》的批复_页面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危废暂存库和锅炉改造项目环境影响报告表》的批复_页面_5"/>
                    <pic:cNvPicPr>
                      <a:picLocks noChangeAspect="1"/>
                    </pic:cNvPicPr>
                  </pic:nvPicPr>
                  <pic:blipFill>
                    <a:blip r:embed="rId81"/>
                    <a:stretch>
                      <a:fillRect/>
                    </a:stretch>
                  </pic:blipFill>
                  <pic:spPr>
                    <a:xfrm>
                      <a:off x="0" y="0"/>
                      <a:ext cx="5951220" cy="8409305"/>
                    </a:xfrm>
                    <a:prstGeom prst="rect">
                      <a:avLst/>
                    </a:prstGeom>
                  </pic:spPr>
                </pic:pic>
              </a:graphicData>
            </a:graphic>
          </wp:inline>
        </w:drawing>
      </w:r>
    </w:p>
    <w:p w14:paraId="6D17323B">
      <w:pPr>
        <w:numPr>
          <w:ilvl w:val="0"/>
          <w:numId w:val="38"/>
        </w:numPr>
        <w:spacing w:line="360" w:lineRule="auto"/>
        <w:jc w:val="both"/>
        <w:rPr>
          <w:rFonts w:hint="eastAsia"/>
          <w:sz w:val="24"/>
          <w:szCs w:val="24"/>
          <w:lang w:val="en-US" w:eastAsia="zh-CN"/>
        </w:rPr>
      </w:pPr>
      <w:r>
        <w:rPr>
          <w:rFonts w:hint="eastAsia"/>
          <w:sz w:val="24"/>
          <w:szCs w:val="24"/>
          <w:lang w:val="en-US" w:eastAsia="zh-CN"/>
        </w:rPr>
        <w:t>辽宁华润本溪三药有限公司危废暂存库和锅炉改造项目竣工环境保护验收意见</w:t>
      </w:r>
    </w:p>
    <w:p w14:paraId="25F4F963">
      <w:pPr>
        <w:pStyle w:val="27"/>
        <w:spacing w:line="240" w:lineRule="auto"/>
        <w:ind w:firstLine="0" w:firstLineChars="0"/>
        <w:jc w:val="cente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sectPr>
          <w:pgSz w:w="11906" w:h="16838"/>
          <w:pgMar w:top="1701" w:right="1134" w:bottom="1701" w:left="1134" w:header="851" w:footer="992" w:gutter="0"/>
          <w:pgBorders>
            <w:top w:val="none" w:sz="0" w:space="0"/>
            <w:left w:val="none" w:sz="0" w:space="0"/>
            <w:bottom w:val="none" w:sz="0" w:space="0"/>
            <w:right w:val="none" w:sz="0" w:space="0"/>
          </w:pgBorders>
          <w:pgNumType w:fmt="numberInDash"/>
          <w:cols w:space="425" w:num="1"/>
          <w:docGrid w:type="lines" w:linePitch="312" w:charSpace="0"/>
        </w:sectPr>
      </w:pP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drawing>
          <wp:inline distT="0" distB="0" distL="114300" distR="114300">
            <wp:extent cx="5706745" cy="8063865"/>
            <wp:effectExtent l="0" t="0" r="8255" b="13335"/>
            <wp:docPr id="62" name="图片 62" descr="验收意见_页面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验收意见_页面_01"/>
                    <pic:cNvPicPr>
                      <a:picLocks noChangeAspect="1"/>
                    </pic:cNvPicPr>
                  </pic:nvPicPr>
                  <pic:blipFill>
                    <a:blip r:embed="rId82"/>
                    <a:stretch>
                      <a:fillRect/>
                    </a:stretch>
                  </pic:blipFill>
                  <pic:spPr>
                    <a:xfrm>
                      <a:off x="0" y="0"/>
                      <a:ext cx="5706745" cy="8063865"/>
                    </a:xfrm>
                    <a:prstGeom prst="rect">
                      <a:avLst/>
                    </a:prstGeom>
                  </pic:spPr>
                </pic:pic>
              </a:graphicData>
            </a:graphic>
          </wp:inline>
        </w:drawing>
      </w: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drawing>
          <wp:inline distT="0" distB="0" distL="114300" distR="114300">
            <wp:extent cx="5930265" cy="8380095"/>
            <wp:effectExtent l="0" t="0" r="13335" b="1905"/>
            <wp:docPr id="61" name="图片 61" descr="验收意见_页面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验收意见_页面_02"/>
                    <pic:cNvPicPr>
                      <a:picLocks noChangeAspect="1"/>
                    </pic:cNvPicPr>
                  </pic:nvPicPr>
                  <pic:blipFill>
                    <a:blip r:embed="rId83"/>
                    <a:stretch>
                      <a:fillRect/>
                    </a:stretch>
                  </pic:blipFill>
                  <pic:spPr>
                    <a:xfrm>
                      <a:off x="0" y="0"/>
                      <a:ext cx="5930265" cy="8380095"/>
                    </a:xfrm>
                    <a:prstGeom prst="rect">
                      <a:avLst/>
                    </a:prstGeom>
                  </pic:spPr>
                </pic:pic>
              </a:graphicData>
            </a:graphic>
          </wp:inline>
        </w:drawing>
      </w: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drawing>
          <wp:inline distT="0" distB="0" distL="114300" distR="114300">
            <wp:extent cx="5917565" cy="8361680"/>
            <wp:effectExtent l="0" t="0" r="6985" b="1270"/>
            <wp:docPr id="60" name="图片 60" descr="验收意见_页面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验收意见_页面_03"/>
                    <pic:cNvPicPr>
                      <a:picLocks noChangeAspect="1"/>
                    </pic:cNvPicPr>
                  </pic:nvPicPr>
                  <pic:blipFill>
                    <a:blip r:embed="rId84"/>
                    <a:stretch>
                      <a:fillRect/>
                    </a:stretch>
                  </pic:blipFill>
                  <pic:spPr>
                    <a:xfrm>
                      <a:off x="0" y="0"/>
                      <a:ext cx="5917565" cy="8361680"/>
                    </a:xfrm>
                    <a:prstGeom prst="rect">
                      <a:avLst/>
                    </a:prstGeom>
                  </pic:spPr>
                </pic:pic>
              </a:graphicData>
            </a:graphic>
          </wp:inline>
        </w:drawing>
      </w: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drawing>
          <wp:inline distT="0" distB="0" distL="114300" distR="114300">
            <wp:extent cx="5965825" cy="8429625"/>
            <wp:effectExtent l="0" t="0" r="15875" b="9525"/>
            <wp:docPr id="59" name="图片 59" descr="验收意见_页面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验收意见_页面_04"/>
                    <pic:cNvPicPr>
                      <a:picLocks noChangeAspect="1"/>
                    </pic:cNvPicPr>
                  </pic:nvPicPr>
                  <pic:blipFill>
                    <a:blip r:embed="rId85"/>
                    <a:stretch>
                      <a:fillRect/>
                    </a:stretch>
                  </pic:blipFill>
                  <pic:spPr>
                    <a:xfrm>
                      <a:off x="0" y="0"/>
                      <a:ext cx="5965825" cy="8429625"/>
                    </a:xfrm>
                    <a:prstGeom prst="rect">
                      <a:avLst/>
                    </a:prstGeom>
                  </pic:spPr>
                </pic:pic>
              </a:graphicData>
            </a:graphic>
          </wp:inline>
        </w:drawing>
      </w: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drawing>
          <wp:inline distT="0" distB="0" distL="114300" distR="114300">
            <wp:extent cx="5963920" cy="8427720"/>
            <wp:effectExtent l="0" t="0" r="17780" b="11430"/>
            <wp:docPr id="58" name="图片 58" descr="验收意见_页面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验收意见_页面_05"/>
                    <pic:cNvPicPr>
                      <a:picLocks noChangeAspect="1"/>
                    </pic:cNvPicPr>
                  </pic:nvPicPr>
                  <pic:blipFill>
                    <a:blip r:embed="rId86"/>
                    <a:stretch>
                      <a:fillRect/>
                    </a:stretch>
                  </pic:blipFill>
                  <pic:spPr>
                    <a:xfrm>
                      <a:off x="0" y="0"/>
                      <a:ext cx="5963920" cy="8427720"/>
                    </a:xfrm>
                    <a:prstGeom prst="rect">
                      <a:avLst/>
                    </a:prstGeom>
                  </pic:spPr>
                </pic:pic>
              </a:graphicData>
            </a:graphic>
          </wp:inline>
        </w:drawing>
      </w: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drawing>
          <wp:inline distT="0" distB="0" distL="114300" distR="114300">
            <wp:extent cx="5930265" cy="8380095"/>
            <wp:effectExtent l="0" t="0" r="13335" b="1905"/>
            <wp:docPr id="57" name="图片 57" descr="验收意见_页面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验收意见_页面_06"/>
                    <pic:cNvPicPr>
                      <a:picLocks noChangeAspect="1"/>
                    </pic:cNvPicPr>
                  </pic:nvPicPr>
                  <pic:blipFill>
                    <a:blip r:embed="rId87"/>
                    <a:stretch>
                      <a:fillRect/>
                    </a:stretch>
                  </pic:blipFill>
                  <pic:spPr>
                    <a:xfrm>
                      <a:off x="0" y="0"/>
                      <a:ext cx="5930265" cy="8380095"/>
                    </a:xfrm>
                    <a:prstGeom prst="rect">
                      <a:avLst/>
                    </a:prstGeom>
                  </pic:spPr>
                </pic:pic>
              </a:graphicData>
            </a:graphic>
          </wp:inline>
        </w:drawing>
      </w: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drawing>
          <wp:inline distT="0" distB="0" distL="114300" distR="114300">
            <wp:extent cx="5946140" cy="8401685"/>
            <wp:effectExtent l="0" t="0" r="16510" b="18415"/>
            <wp:docPr id="56" name="图片 56" descr="验收意见_页面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验收意见_页面_07"/>
                    <pic:cNvPicPr>
                      <a:picLocks noChangeAspect="1"/>
                    </pic:cNvPicPr>
                  </pic:nvPicPr>
                  <pic:blipFill>
                    <a:blip r:embed="rId88"/>
                    <a:stretch>
                      <a:fillRect/>
                    </a:stretch>
                  </pic:blipFill>
                  <pic:spPr>
                    <a:xfrm>
                      <a:off x="0" y="0"/>
                      <a:ext cx="5946140" cy="8401685"/>
                    </a:xfrm>
                    <a:prstGeom prst="rect">
                      <a:avLst/>
                    </a:prstGeom>
                  </pic:spPr>
                </pic:pic>
              </a:graphicData>
            </a:graphic>
          </wp:inline>
        </w:drawing>
      </w:r>
    </w:p>
    <w:p w14:paraId="0745F35A">
      <w:pPr>
        <w:pStyle w:val="27"/>
        <w:spacing w:line="240" w:lineRule="auto"/>
        <w:ind w:firstLine="0" w:firstLineChars="0"/>
        <w:jc w:val="cente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drawing>
          <wp:inline distT="0" distB="0" distL="114300" distR="114300">
            <wp:extent cx="8475345" cy="5997575"/>
            <wp:effectExtent l="0" t="0" r="1905" b="3175"/>
            <wp:docPr id="55" name="图片 55" descr="验收意见_页面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验收意见_页面_08"/>
                    <pic:cNvPicPr>
                      <a:picLocks noChangeAspect="1"/>
                    </pic:cNvPicPr>
                  </pic:nvPicPr>
                  <pic:blipFill>
                    <a:blip r:embed="rId89"/>
                    <a:stretch>
                      <a:fillRect/>
                    </a:stretch>
                  </pic:blipFill>
                  <pic:spPr>
                    <a:xfrm>
                      <a:off x="0" y="0"/>
                      <a:ext cx="8475345" cy="5997575"/>
                    </a:xfrm>
                    <a:prstGeom prst="rect">
                      <a:avLst/>
                    </a:prstGeom>
                  </pic:spPr>
                </pic:pic>
              </a:graphicData>
            </a:graphic>
          </wp:inline>
        </w:drawing>
      </w:r>
    </w:p>
    <w:p w14:paraId="12168F93">
      <w:pPr>
        <w:pStyle w:val="27"/>
        <w:spacing w:line="240" w:lineRule="auto"/>
        <w:ind w:firstLine="0" w:firstLineChars="0"/>
        <w:jc w:val="cente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sectPr>
          <w:pgSz w:w="16838" w:h="11906" w:orient="landscape"/>
          <w:pgMar w:top="1134" w:right="1701" w:bottom="1134" w:left="1701"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076EC5F3">
      <w:pPr>
        <w:numPr>
          <w:ilvl w:val="0"/>
          <w:numId w:val="38"/>
        </w:numPr>
        <w:spacing w:line="360" w:lineRule="auto"/>
        <w:jc w:val="both"/>
        <w:rPr>
          <w:rFonts w:hint="eastAsia"/>
          <w:sz w:val="24"/>
          <w:szCs w:val="24"/>
          <w:lang w:val="en-US" w:eastAsia="zh-CN"/>
        </w:rPr>
      </w:pPr>
      <w:r>
        <w:rPr>
          <w:rFonts w:hint="eastAsia"/>
          <w:sz w:val="24"/>
          <w:szCs w:val="24"/>
          <w:lang w:val="en-US" w:eastAsia="zh-CN"/>
        </w:rPr>
        <w:t>关于综合制剂车间改造项目环境影响报告表的批复</w:t>
      </w:r>
    </w:p>
    <w:p w14:paraId="699C8E9E">
      <w:pPr>
        <w:pStyle w:val="27"/>
        <w:spacing w:line="240" w:lineRule="auto"/>
        <w:ind w:firstLine="0" w:firstLineChars="0"/>
        <w:jc w:val="cente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drawing>
          <wp:inline distT="0" distB="0" distL="114300" distR="114300">
            <wp:extent cx="5683885" cy="8032115"/>
            <wp:effectExtent l="0" t="0" r="12065" b="6985"/>
            <wp:docPr id="66" name="图片 66" descr="《综合制剂车间改造项目环境影响报告表》的批复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综合制剂车间改造项目环境影响报告表》的批复_页面_1"/>
                    <pic:cNvPicPr>
                      <a:picLocks noChangeAspect="1"/>
                    </pic:cNvPicPr>
                  </pic:nvPicPr>
                  <pic:blipFill>
                    <a:blip r:embed="rId90"/>
                    <a:stretch>
                      <a:fillRect/>
                    </a:stretch>
                  </pic:blipFill>
                  <pic:spPr>
                    <a:xfrm>
                      <a:off x="0" y="0"/>
                      <a:ext cx="5683885" cy="8032115"/>
                    </a:xfrm>
                    <a:prstGeom prst="rect">
                      <a:avLst/>
                    </a:prstGeom>
                  </pic:spPr>
                </pic:pic>
              </a:graphicData>
            </a:graphic>
          </wp:inline>
        </w:drawing>
      </w: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drawing>
          <wp:inline distT="0" distB="0" distL="114300" distR="114300">
            <wp:extent cx="6013450" cy="8496935"/>
            <wp:effectExtent l="0" t="0" r="6350" b="18415"/>
            <wp:docPr id="65" name="图片 65" descr="《综合制剂车间改造项目环境影响报告表》的批复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综合制剂车间改造项目环境影响报告表》的批复_页面_2"/>
                    <pic:cNvPicPr>
                      <a:picLocks noChangeAspect="1"/>
                    </pic:cNvPicPr>
                  </pic:nvPicPr>
                  <pic:blipFill>
                    <a:blip r:embed="rId91"/>
                    <a:stretch>
                      <a:fillRect/>
                    </a:stretch>
                  </pic:blipFill>
                  <pic:spPr>
                    <a:xfrm>
                      <a:off x="0" y="0"/>
                      <a:ext cx="6013450" cy="8496935"/>
                    </a:xfrm>
                    <a:prstGeom prst="rect">
                      <a:avLst/>
                    </a:prstGeom>
                  </pic:spPr>
                </pic:pic>
              </a:graphicData>
            </a:graphic>
          </wp:inline>
        </w:drawing>
      </w: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drawing>
          <wp:inline distT="0" distB="0" distL="114300" distR="114300">
            <wp:extent cx="5984240" cy="8455660"/>
            <wp:effectExtent l="0" t="0" r="16510" b="2540"/>
            <wp:docPr id="64" name="图片 64" descr="《综合制剂车间改造项目环境影响报告表》的批复_页面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综合制剂车间改造项目环境影响报告表》的批复_页面_3"/>
                    <pic:cNvPicPr>
                      <a:picLocks noChangeAspect="1"/>
                    </pic:cNvPicPr>
                  </pic:nvPicPr>
                  <pic:blipFill>
                    <a:blip r:embed="rId92"/>
                    <a:stretch>
                      <a:fillRect/>
                    </a:stretch>
                  </pic:blipFill>
                  <pic:spPr>
                    <a:xfrm>
                      <a:off x="0" y="0"/>
                      <a:ext cx="5984240" cy="8455660"/>
                    </a:xfrm>
                    <a:prstGeom prst="rect">
                      <a:avLst/>
                    </a:prstGeom>
                  </pic:spPr>
                </pic:pic>
              </a:graphicData>
            </a:graphic>
          </wp:inline>
        </w:drawing>
      </w: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drawing>
          <wp:inline distT="0" distB="0" distL="114300" distR="114300">
            <wp:extent cx="5984240" cy="8455660"/>
            <wp:effectExtent l="0" t="0" r="16510" b="2540"/>
            <wp:docPr id="63" name="图片 63" descr="《综合制剂车间改造项目环境影响报告表》的批复_页面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综合制剂车间改造项目环境影响报告表》的批复_页面_4"/>
                    <pic:cNvPicPr>
                      <a:picLocks noChangeAspect="1"/>
                    </pic:cNvPicPr>
                  </pic:nvPicPr>
                  <pic:blipFill>
                    <a:blip r:embed="rId93"/>
                    <a:stretch>
                      <a:fillRect/>
                    </a:stretch>
                  </pic:blipFill>
                  <pic:spPr>
                    <a:xfrm>
                      <a:off x="0" y="0"/>
                      <a:ext cx="5984240" cy="8455660"/>
                    </a:xfrm>
                    <a:prstGeom prst="rect">
                      <a:avLst/>
                    </a:prstGeom>
                  </pic:spPr>
                </pic:pic>
              </a:graphicData>
            </a:graphic>
          </wp:inline>
        </w:drawing>
      </w:r>
    </w:p>
    <w:p w14:paraId="055B8AD5">
      <w:pPr>
        <w:pStyle w:val="27"/>
        <w:spacing w:line="240" w:lineRule="auto"/>
        <w:ind w:firstLine="0" w:firstLineChars="0"/>
        <w:jc w:val="cente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sectPr>
          <w:pgSz w:w="11906" w:h="16838"/>
          <w:pgMar w:top="1701" w:right="1134" w:bottom="1701" w:left="1134"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3349FF0C">
      <w:pPr>
        <w:numPr>
          <w:ilvl w:val="0"/>
          <w:numId w:val="38"/>
        </w:numPr>
        <w:spacing w:line="360" w:lineRule="auto"/>
        <w:jc w:val="both"/>
        <w:rPr>
          <w:rFonts w:hint="eastAsia"/>
          <w:sz w:val="24"/>
          <w:szCs w:val="24"/>
          <w:lang w:val="en-US" w:eastAsia="zh-CN"/>
        </w:rPr>
      </w:pPr>
      <w:r>
        <w:rPr>
          <w:rFonts w:hint="eastAsia"/>
          <w:sz w:val="24"/>
          <w:szCs w:val="24"/>
          <w:lang w:val="en-US" w:eastAsia="zh-CN"/>
        </w:rPr>
        <w:t>辽宁华润本溪三药有限公司综合制剂车间改造项目竣工环境保护验收意见</w:t>
      </w:r>
    </w:p>
    <w:p w14:paraId="432F51ED">
      <w:pPr>
        <w:numPr>
          <w:ilvl w:val="0"/>
          <w:numId w:val="0"/>
        </w:numPr>
        <w:spacing w:line="360" w:lineRule="auto"/>
        <w:jc w:val="center"/>
        <w:rPr>
          <w:rFonts w:hint="eastAsia"/>
          <w:sz w:val="24"/>
          <w:szCs w:val="24"/>
          <w:lang w:val="en-US" w:eastAsia="zh-CN"/>
        </w:rPr>
        <w:sectPr>
          <w:pgSz w:w="11906" w:h="16838"/>
          <w:pgMar w:top="1701" w:right="1134" w:bottom="1701" w:left="1134" w:header="851" w:footer="992" w:gutter="0"/>
          <w:pgBorders>
            <w:top w:val="none" w:sz="0" w:space="0"/>
            <w:left w:val="none" w:sz="0" w:space="0"/>
            <w:bottom w:val="none" w:sz="0" w:space="0"/>
            <w:right w:val="none" w:sz="0" w:space="0"/>
          </w:pgBorders>
          <w:pgNumType w:fmt="numberInDash"/>
          <w:cols w:space="425" w:num="1"/>
          <w:docGrid w:type="lines" w:linePitch="312" w:charSpace="0"/>
        </w:sectPr>
      </w:pPr>
      <w:r>
        <w:rPr>
          <w:rFonts w:hint="eastAsia"/>
          <w:sz w:val="24"/>
          <w:szCs w:val="24"/>
          <w:lang w:val="en-US" w:eastAsia="zh-CN"/>
        </w:rPr>
        <w:drawing>
          <wp:inline distT="0" distB="0" distL="114300" distR="114300">
            <wp:extent cx="5721985" cy="8085455"/>
            <wp:effectExtent l="0" t="0" r="12065" b="10795"/>
            <wp:docPr id="75" name="图片 75" descr="验收意见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验收意见_页面_1"/>
                    <pic:cNvPicPr>
                      <a:picLocks noChangeAspect="1"/>
                    </pic:cNvPicPr>
                  </pic:nvPicPr>
                  <pic:blipFill>
                    <a:blip r:embed="rId94"/>
                    <a:stretch>
                      <a:fillRect/>
                    </a:stretch>
                  </pic:blipFill>
                  <pic:spPr>
                    <a:xfrm>
                      <a:off x="0" y="0"/>
                      <a:ext cx="5721985" cy="8085455"/>
                    </a:xfrm>
                    <a:prstGeom prst="rect">
                      <a:avLst/>
                    </a:prstGeom>
                  </pic:spPr>
                </pic:pic>
              </a:graphicData>
            </a:graphic>
          </wp:inline>
        </w:drawing>
      </w:r>
      <w:r>
        <w:rPr>
          <w:rFonts w:hint="eastAsia"/>
          <w:sz w:val="24"/>
          <w:szCs w:val="24"/>
          <w:lang w:val="en-US" w:eastAsia="zh-CN"/>
        </w:rPr>
        <w:drawing>
          <wp:inline distT="0" distB="0" distL="114300" distR="114300">
            <wp:extent cx="5950585" cy="8408035"/>
            <wp:effectExtent l="0" t="0" r="12065" b="12065"/>
            <wp:docPr id="74" name="图片 74" descr="验收意见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验收意见_页面_2"/>
                    <pic:cNvPicPr>
                      <a:picLocks noChangeAspect="1"/>
                    </pic:cNvPicPr>
                  </pic:nvPicPr>
                  <pic:blipFill>
                    <a:blip r:embed="rId95"/>
                    <a:stretch>
                      <a:fillRect/>
                    </a:stretch>
                  </pic:blipFill>
                  <pic:spPr>
                    <a:xfrm>
                      <a:off x="0" y="0"/>
                      <a:ext cx="5950585" cy="8408035"/>
                    </a:xfrm>
                    <a:prstGeom prst="rect">
                      <a:avLst/>
                    </a:prstGeom>
                  </pic:spPr>
                </pic:pic>
              </a:graphicData>
            </a:graphic>
          </wp:inline>
        </w:drawing>
      </w:r>
      <w:r>
        <w:rPr>
          <w:rFonts w:hint="eastAsia"/>
          <w:sz w:val="24"/>
          <w:szCs w:val="24"/>
          <w:lang w:val="en-US" w:eastAsia="zh-CN"/>
        </w:rPr>
        <w:drawing>
          <wp:inline distT="0" distB="0" distL="114300" distR="114300">
            <wp:extent cx="5970270" cy="8435975"/>
            <wp:effectExtent l="0" t="0" r="11430" b="3175"/>
            <wp:docPr id="73" name="图片 73" descr="验收意见_页面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验收意见_页面_3"/>
                    <pic:cNvPicPr>
                      <a:picLocks noChangeAspect="1"/>
                    </pic:cNvPicPr>
                  </pic:nvPicPr>
                  <pic:blipFill>
                    <a:blip r:embed="rId96"/>
                    <a:stretch>
                      <a:fillRect/>
                    </a:stretch>
                  </pic:blipFill>
                  <pic:spPr>
                    <a:xfrm>
                      <a:off x="0" y="0"/>
                      <a:ext cx="5970270" cy="8435975"/>
                    </a:xfrm>
                    <a:prstGeom prst="rect">
                      <a:avLst/>
                    </a:prstGeom>
                  </pic:spPr>
                </pic:pic>
              </a:graphicData>
            </a:graphic>
          </wp:inline>
        </w:drawing>
      </w:r>
      <w:r>
        <w:rPr>
          <w:rFonts w:hint="eastAsia"/>
          <w:sz w:val="24"/>
          <w:szCs w:val="24"/>
          <w:lang w:val="en-US" w:eastAsia="zh-CN"/>
        </w:rPr>
        <w:drawing>
          <wp:inline distT="0" distB="0" distL="114300" distR="114300">
            <wp:extent cx="5960110" cy="8421370"/>
            <wp:effectExtent l="0" t="0" r="2540" b="17780"/>
            <wp:docPr id="72" name="图片 72" descr="验收意见_页面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验收意见_页面_4"/>
                    <pic:cNvPicPr>
                      <a:picLocks noChangeAspect="1"/>
                    </pic:cNvPicPr>
                  </pic:nvPicPr>
                  <pic:blipFill>
                    <a:blip r:embed="rId97"/>
                    <a:stretch>
                      <a:fillRect/>
                    </a:stretch>
                  </pic:blipFill>
                  <pic:spPr>
                    <a:xfrm>
                      <a:off x="0" y="0"/>
                      <a:ext cx="5960110" cy="8421370"/>
                    </a:xfrm>
                    <a:prstGeom prst="rect">
                      <a:avLst/>
                    </a:prstGeom>
                  </pic:spPr>
                </pic:pic>
              </a:graphicData>
            </a:graphic>
          </wp:inline>
        </w:drawing>
      </w:r>
      <w:r>
        <w:rPr>
          <w:rFonts w:hint="eastAsia"/>
          <w:sz w:val="24"/>
          <w:szCs w:val="24"/>
          <w:lang w:val="en-US" w:eastAsia="zh-CN"/>
        </w:rPr>
        <w:drawing>
          <wp:inline distT="0" distB="0" distL="114300" distR="114300">
            <wp:extent cx="5979795" cy="8449310"/>
            <wp:effectExtent l="0" t="0" r="1905" b="8890"/>
            <wp:docPr id="69" name="图片 69" descr="验收意见_页面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验收意见_页面_5"/>
                    <pic:cNvPicPr>
                      <a:picLocks noChangeAspect="1"/>
                    </pic:cNvPicPr>
                  </pic:nvPicPr>
                  <pic:blipFill>
                    <a:blip r:embed="rId98"/>
                    <a:stretch>
                      <a:fillRect/>
                    </a:stretch>
                  </pic:blipFill>
                  <pic:spPr>
                    <a:xfrm>
                      <a:off x="0" y="0"/>
                      <a:ext cx="5979795" cy="8449310"/>
                    </a:xfrm>
                    <a:prstGeom prst="rect">
                      <a:avLst/>
                    </a:prstGeom>
                  </pic:spPr>
                </pic:pic>
              </a:graphicData>
            </a:graphic>
          </wp:inline>
        </w:drawing>
      </w:r>
      <w:r>
        <w:rPr>
          <w:rFonts w:hint="eastAsia"/>
          <w:sz w:val="24"/>
          <w:szCs w:val="24"/>
          <w:lang w:val="en-US" w:eastAsia="zh-CN"/>
        </w:rPr>
        <w:drawing>
          <wp:inline distT="0" distB="0" distL="114300" distR="114300">
            <wp:extent cx="5942330" cy="8396605"/>
            <wp:effectExtent l="0" t="0" r="1270" b="4445"/>
            <wp:docPr id="68" name="图片 68" descr="验收意见_页面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验收意见_页面_6"/>
                    <pic:cNvPicPr>
                      <a:picLocks noChangeAspect="1"/>
                    </pic:cNvPicPr>
                  </pic:nvPicPr>
                  <pic:blipFill>
                    <a:blip r:embed="rId99"/>
                    <a:stretch>
                      <a:fillRect/>
                    </a:stretch>
                  </pic:blipFill>
                  <pic:spPr>
                    <a:xfrm>
                      <a:off x="0" y="0"/>
                      <a:ext cx="5942330" cy="8396605"/>
                    </a:xfrm>
                    <a:prstGeom prst="rect">
                      <a:avLst/>
                    </a:prstGeom>
                  </pic:spPr>
                </pic:pic>
              </a:graphicData>
            </a:graphic>
          </wp:inline>
        </w:drawing>
      </w:r>
      <w:r>
        <w:rPr>
          <w:rFonts w:hint="eastAsia"/>
          <w:sz w:val="24"/>
          <w:szCs w:val="24"/>
          <w:lang w:val="en-US" w:eastAsia="zh-CN"/>
        </w:rPr>
        <w:drawing>
          <wp:inline distT="0" distB="0" distL="114300" distR="114300">
            <wp:extent cx="5960110" cy="8421370"/>
            <wp:effectExtent l="0" t="0" r="2540" b="17780"/>
            <wp:docPr id="67" name="图片 67" descr="验收意见_页面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验收意见_页面_7"/>
                    <pic:cNvPicPr>
                      <a:picLocks noChangeAspect="1"/>
                    </pic:cNvPicPr>
                  </pic:nvPicPr>
                  <pic:blipFill>
                    <a:blip r:embed="rId100"/>
                    <a:stretch>
                      <a:fillRect/>
                    </a:stretch>
                  </pic:blipFill>
                  <pic:spPr>
                    <a:xfrm>
                      <a:off x="0" y="0"/>
                      <a:ext cx="5960110" cy="8421370"/>
                    </a:xfrm>
                    <a:prstGeom prst="rect">
                      <a:avLst/>
                    </a:prstGeom>
                  </pic:spPr>
                </pic:pic>
              </a:graphicData>
            </a:graphic>
          </wp:inline>
        </w:drawing>
      </w:r>
    </w:p>
    <w:p w14:paraId="0D9188D1">
      <w:pPr>
        <w:numPr>
          <w:ilvl w:val="0"/>
          <w:numId w:val="38"/>
        </w:numPr>
        <w:spacing w:line="360" w:lineRule="auto"/>
        <w:jc w:val="both"/>
        <w:rPr>
          <w:rFonts w:hint="eastAsia"/>
          <w:sz w:val="24"/>
          <w:szCs w:val="24"/>
          <w:lang w:val="en-US" w:eastAsia="zh-CN"/>
        </w:rPr>
      </w:pPr>
      <w:r>
        <w:rPr>
          <w:rFonts w:hint="eastAsia"/>
          <w:sz w:val="24"/>
          <w:szCs w:val="24"/>
          <w:lang w:val="en-US" w:eastAsia="zh-CN"/>
        </w:rPr>
        <w:t>关于华润本溪三药危废暂存库和化学品库建设工程环境影响报告表的批复</w:t>
      </w:r>
    </w:p>
    <w:p w14:paraId="120B0768">
      <w:pPr>
        <w:numPr>
          <w:ilvl w:val="0"/>
          <w:numId w:val="0"/>
        </w:numPr>
        <w:spacing w:line="360" w:lineRule="auto"/>
        <w:jc w:val="center"/>
        <w:rPr>
          <w:rFonts w:hint="eastAsia"/>
          <w:sz w:val="24"/>
          <w:szCs w:val="24"/>
          <w:lang w:val="en-US" w:eastAsia="zh-CN"/>
        </w:rPr>
        <w:sectPr>
          <w:pgSz w:w="11906" w:h="16838"/>
          <w:pgMar w:top="1701" w:right="1134" w:bottom="1701" w:left="1134" w:header="851" w:footer="992" w:gutter="0"/>
          <w:pgBorders>
            <w:top w:val="none" w:sz="0" w:space="0"/>
            <w:left w:val="none" w:sz="0" w:space="0"/>
            <w:bottom w:val="none" w:sz="0" w:space="0"/>
            <w:right w:val="none" w:sz="0" w:space="0"/>
          </w:pgBorders>
          <w:pgNumType w:fmt="numberInDash"/>
          <w:cols w:space="425" w:num="1"/>
          <w:docGrid w:type="lines" w:linePitch="312" w:charSpace="0"/>
        </w:sectPr>
      </w:pPr>
      <w:r>
        <w:rPr>
          <w:rFonts w:hint="eastAsia"/>
          <w:sz w:val="24"/>
          <w:szCs w:val="24"/>
          <w:lang w:val="en-US" w:eastAsia="zh-CN"/>
        </w:rPr>
        <w:drawing>
          <wp:inline distT="0" distB="0" distL="114300" distR="114300">
            <wp:extent cx="5753100" cy="8100695"/>
            <wp:effectExtent l="0" t="0" r="0" b="14605"/>
            <wp:docPr id="80" name="图片 80" descr="《华润本溪三药危废暂存库和化学品库建设工程环境影响报告表的批复》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华润本溪三药危废暂存库和化学品库建设工程环境影响报告表的批复》_页面_1"/>
                    <pic:cNvPicPr>
                      <a:picLocks noChangeAspect="1"/>
                    </pic:cNvPicPr>
                  </pic:nvPicPr>
                  <pic:blipFill>
                    <a:blip r:embed="rId101"/>
                    <a:stretch>
                      <a:fillRect/>
                    </a:stretch>
                  </pic:blipFill>
                  <pic:spPr>
                    <a:xfrm>
                      <a:off x="0" y="0"/>
                      <a:ext cx="5753100" cy="8100695"/>
                    </a:xfrm>
                    <a:prstGeom prst="rect">
                      <a:avLst/>
                    </a:prstGeom>
                  </pic:spPr>
                </pic:pic>
              </a:graphicData>
            </a:graphic>
          </wp:inline>
        </w:drawing>
      </w:r>
      <w:r>
        <w:rPr>
          <w:rFonts w:hint="eastAsia"/>
          <w:sz w:val="24"/>
          <w:szCs w:val="24"/>
          <w:lang w:val="en-US" w:eastAsia="zh-CN"/>
        </w:rPr>
        <w:drawing>
          <wp:inline distT="0" distB="0" distL="114300" distR="114300">
            <wp:extent cx="5933440" cy="8354060"/>
            <wp:effectExtent l="0" t="0" r="10160" b="8890"/>
            <wp:docPr id="79" name="图片 79" descr="《华润本溪三药危废暂存库和化学品库建设工程环境影响报告表的批复》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华润本溪三药危废暂存库和化学品库建设工程环境影响报告表的批复》_页面_2"/>
                    <pic:cNvPicPr>
                      <a:picLocks noChangeAspect="1"/>
                    </pic:cNvPicPr>
                  </pic:nvPicPr>
                  <pic:blipFill>
                    <a:blip r:embed="rId102"/>
                    <a:stretch>
                      <a:fillRect/>
                    </a:stretch>
                  </pic:blipFill>
                  <pic:spPr>
                    <a:xfrm>
                      <a:off x="0" y="0"/>
                      <a:ext cx="5933440" cy="8354060"/>
                    </a:xfrm>
                    <a:prstGeom prst="rect">
                      <a:avLst/>
                    </a:prstGeom>
                  </pic:spPr>
                </pic:pic>
              </a:graphicData>
            </a:graphic>
          </wp:inline>
        </w:drawing>
      </w:r>
      <w:r>
        <w:rPr>
          <w:rFonts w:hint="eastAsia"/>
          <w:sz w:val="24"/>
          <w:szCs w:val="24"/>
          <w:lang w:val="en-US" w:eastAsia="zh-CN"/>
        </w:rPr>
        <w:drawing>
          <wp:inline distT="0" distB="0" distL="114300" distR="114300">
            <wp:extent cx="5974080" cy="8420735"/>
            <wp:effectExtent l="0" t="0" r="7620" b="18415"/>
            <wp:docPr id="78" name="图片 78" descr="《华润本溪三药危废暂存库和化学品库建设工程环境影响报告表的批复》_页面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华润本溪三药危废暂存库和化学品库建设工程环境影响报告表的批复》_页面_3"/>
                    <pic:cNvPicPr>
                      <a:picLocks noChangeAspect="1"/>
                    </pic:cNvPicPr>
                  </pic:nvPicPr>
                  <pic:blipFill>
                    <a:blip r:embed="rId103"/>
                    <a:stretch>
                      <a:fillRect/>
                    </a:stretch>
                  </pic:blipFill>
                  <pic:spPr>
                    <a:xfrm>
                      <a:off x="0" y="0"/>
                      <a:ext cx="5974080" cy="8420735"/>
                    </a:xfrm>
                    <a:prstGeom prst="rect">
                      <a:avLst/>
                    </a:prstGeom>
                  </pic:spPr>
                </pic:pic>
              </a:graphicData>
            </a:graphic>
          </wp:inline>
        </w:drawing>
      </w:r>
      <w:r>
        <w:rPr>
          <w:rFonts w:hint="eastAsia"/>
          <w:sz w:val="24"/>
          <w:szCs w:val="24"/>
          <w:lang w:val="en-US" w:eastAsia="zh-CN"/>
        </w:rPr>
        <w:drawing>
          <wp:inline distT="0" distB="0" distL="114300" distR="114300">
            <wp:extent cx="5940425" cy="8396605"/>
            <wp:effectExtent l="0" t="0" r="3175" b="4445"/>
            <wp:docPr id="77" name="图片 77" descr="《华润本溪三药危废暂存库和化学品库建设工程环境影响报告表的批复》_页面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华润本溪三药危废暂存库和化学品库建设工程环境影响报告表的批复》_页面_4"/>
                    <pic:cNvPicPr>
                      <a:picLocks noChangeAspect="1"/>
                    </pic:cNvPicPr>
                  </pic:nvPicPr>
                  <pic:blipFill>
                    <a:blip r:embed="rId104"/>
                    <a:stretch>
                      <a:fillRect/>
                    </a:stretch>
                  </pic:blipFill>
                  <pic:spPr>
                    <a:xfrm>
                      <a:off x="0" y="0"/>
                      <a:ext cx="5940425" cy="8396605"/>
                    </a:xfrm>
                    <a:prstGeom prst="rect">
                      <a:avLst/>
                    </a:prstGeom>
                  </pic:spPr>
                </pic:pic>
              </a:graphicData>
            </a:graphic>
          </wp:inline>
        </w:drawing>
      </w:r>
      <w:r>
        <w:rPr>
          <w:rFonts w:hint="eastAsia"/>
          <w:sz w:val="24"/>
          <w:szCs w:val="24"/>
          <w:lang w:val="en-US" w:eastAsia="zh-CN"/>
        </w:rPr>
        <w:drawing>
          <wp:inline distT="0" distB="0" distL="114300" distR="114300">
            <wp:extent cx="5986780" cy="8408670"/>
            <wp:effectExtent l="0" t="0" r="13970" b="11430"/>
            <wp:docPr id="76" name="图片 76" descr="《华润本溪三药危废暂存库和化学品库建设工程环境影响报告表的批复》_页面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华润本溪三药危废暂存库和化学品库建设工程环境影响报告表的批复》_页面_5"/>
                    <pic:cNvPicPr>
                      <a:picLocks noChangeAspect="1"/>
                    </pic:cNvPicPr>
                  </pic:nvPicPr>
                  <pic:blipFill>
                    <a:blip r:embed="rId105"/>
                    <a:stretch>
                      <a:fillRect/>
                    </a:stretch>
                  </pic:blipFill>
                  <pic:spPr>
                    <a:xfrm>
                      <a:off x="0" y="0"/>
                      <a:ext cx="5986780" cy="8408670"/>
                    </a:xfrm>
                    <a:prstGeom prst="rect">
                      <a:avLst/>
                    </a:prstGeom>
                  </pic:spPr>
                </pic:pic>
              </a:graphicData>
            </a:graphic>
          </wp:inline>
        </w:drawing>
      </w:r>
    </w:p>
    <w:p w14:paraId="2C49EAE6">
      <w:pPr>
        <w:numPr>
          <w:ilvl w:val="0"/>
          <w:numId w:val="38"/>
        </w:numPr>
        <w:spacing w:line="360" w:lineRule="auto"/>
        <w:jc w:val="both"/>
        <w:rPr>
          <w:rFonts w:hint="eastAsia"/>
          <w:sz w:val="24"/>
          <w:szCs w:val="24"/>
          <w:lang w:val="en-US" w:eastAsia="zh-CN"/>
        </w:rPr>
      </w:pPr>
      <w:r>
        <w:rPr>
          <w:rFonts w:hint="eastAsia"/>
          <w:sz w:val="24"/>
          <w:szCs w:val="24"/>
          <w:lang w:val="en-US" w:eastAsia="zh-CN"/>
        </w:rPr>
        <w:t>华润本溪三药危废暂存库和化学品库建设工程竣工环境保护验收意见</w:t>
      </w:r>
    </w:p>
    <w:p w14:paraId="01872AB3">
      <w:pPr>
        <w:numPr>
          <w:ilvl w:val="0"/>
          <w:numId w:val="0"/>
        </w:numPr>
        <w:spacing w:line="360" w:lineRule="auto"/>
        <w:jc w:val="center"/>
        <w:rPr>
          <w:rFonts w:hint="eastAsia"/>
          <w:sz w:val="24"/>
          <w:szCs w:val="24"/>
          <w:lang w:val="en-US" w:eastAsia="zh-CN"/>
        </w:rPr>
        <w:sectPr>
          <w:pgSz w:w="11906" w:h="16838"/>
          <w:pgMar w:top="1701" w:right="1134" w:bottom="1701" w:left="1134" w:header="851" w:footer="992" w:gutter="0"/>
          <w:pgBorders>
            <w:top w:val="none" w:sz="0" w:space="0"/>
            <w:left w:val="none" w:sz="0" w:space="0"/>
            <w:bottom w:val="none" w:sz="0" w:space="0"/>
            <w:right w:val="none" w:sz="0" w:space="0"/>
          </w:pgBorders>
          <w:pgNumType w:fmt="numberInDash"/>
          <w:cols w:space="425" w:num="1"/>
          <w:docGrid w:type="lines" w:linePitch="312" w:charSpace="0"/>
        </w:sectPr>
      </w:pPr>
      <w:r>
        <w:rPr>
          <w:rFonts w:hint="eastAsia"/>
          <w:sz w:val="24"/>
          <w:szCs w:val="24"/>
          <w:lang w:val="en-US" w:eastAsia="zh-CN"/>
        </w:rPr>
        <w:drawing>
          <wp:inline distT="0" distB="0" distL="114300" distR="114300">
            <wp:extent cx="5667375" cy="8063230"/>
            <wp:effectExtent l="0" t="0" r="9525" b="13970"/>
            <wp:docPr id="87" name="图片 87" descr="验收意见签字版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验收意见签字版_页面_1"/>
                    <pic:cNvPicPr>
                      <a:picLocks noChangeAspect="1"/>
                    </pic:cNvPicPr>
                  </pic:nvPicPr>
                  <pic:blipFill>
                    <a:blip r:embed="rId106"/>
                    <a:stretch>
                      <a:fillRect/>
                    </a:stretch>
                  </pic:blipFill>
                  <pic:spPr>
                    <a:xfrm>
                      <a:off x="0" y="0"/>
                      <a:ext cx="5667375" cy="8063230"/>
                    </a:xfrm>
                    <a:prstGeom prst="rect">
                      <a:avLst/>
                    </a:prstGeom>
                  </pic:spPr>
                </pic:pic>
              </a:graphicData>
            </a:graphic>
          </wp:inline>
        </w:drawing>
      </w:r>
      <w:r>
        <w:rPr>
          <w:rFonts w:hint="eastAsia"/>
          <w:sz w:val="24"/>
          <w:szCs w:val="24"/>
          <w:lang w:val="en-US" w:eastAsia="zh-CN"/>
        </w:rPr>
        <w:drawing>
          <wp:inline distT="0" distB="0" distL="114300" distR="114300">
            <wp:extent cx="5923280" cy="8427085"/>
            <wp:effectExtent l="0" t="0" r="1270" b="12065"/>
            <wp:docPr id="86" name="图片 86" descr="验收意见签字版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验收意见签字版_页面_2"/>
                    <pic:cNvPicPr>
                      <a:picLocks noChangeAspect="1"/>
                    </pic:cNvPicPr>
                  </pic:nvPicPr>
                  <pic:blipFill>
                    <a:blip r:embed="rId107"/>
                    <a:stretch>
                      <a:fillRect/>
                    </a:stretch>
                  </pic:blipFill>
                  <pic:spPr>
                    <a:xfrm>
                      <a:off x="0" y="0"/>
                      <a:ext cx="5923280" cy="8427085"/>
                    </a:xfrm>
                    <a:prstGeom prst="rect">
                      <a:avLst/>
                    </a:prstGeom>
                  </pic:spPr>
                </pic:pic>
              </a:graphicData>
            </a:graphic>
          </wp:inline>
        </w:drawing>
      </w:r>
      <w:r>
        <w:rPr>
          <w:rFonts w:hint="eastAsia"/>
          <w:sz w:val="24"/>
          <w:szCs w:val="24"/>
          <w:lang w:val="en-US" w:eastAsia="zh-CN"/>
        </w:rPr>
        <w:drawing>
          <wp:inline distT="0" distB="0" distL="114300" distR="114300">
            <wp:extent cx="5932805" cy="8440420"/>
            <wp:effectExtent l="0" t="0" r="10795" b="17780"/>
            <wp:docPr id="85" name="图片 85" descr="验收意见签字版_页面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验收意见签字版_页面_3"/>
                    <pic:cNvPicPr>
                      <a:picLocks noChangeAspect="1"/>
                    </pic:cNvPicPr>
                  </pic:nvPicPr>
                  <pic:blipFill>
                    <a:blip r:embed="rId108"/>
                    <a:stretch>
                      <a:fillRect/>
                    </a:stretch>
                  </pic:blipFill>
                  <pic:spPr>
                    <a:xfrm>
                      <a:off x="0" y="0"/>
                      <a:ext cx="5932805" cy="8440420"/>
                    </a:xfrm>
                    <a:prstGeom prst="rect">
                      <a:avLst/>
                    </a:prstGeom>
                  </pic:spPr>
                </pic:pic>
              </a:graphicData>
            </a:graphic>
          </wp:inline>
        </w:drawing>
      </w:r>
      <w:r>
        <w:rPr>
          <w:rFonts w:hint="eastAsia"/>
          <w:sz w:val="24"/>
          <w:szCs w:val="24"/>
          <w:lang w:val="en-US" w:eastAsia="zh-CN"/>
        </w:rPr>
        <w:drawing>
          <wp:inline distT="0" distB="0" distL="114300" distR="114300">
            <wp:extent cx="5895340" cy="8387080"/>
            <wp:effectExtent l="0" t="0" r="10160" b="13970"/>
            <wp:docPr id="84" name="图片 84" descr="验收意见签字版_页面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验收意见签字版_页面_4"/>
                    <pic:cNvPicPr>
                      <a:picLocks noChangeAspect="1"/>
                    </pic:cNvPicPr>
                  </pic:nvPicPr>
                  <pic:blipFill>
                    <a:blip r:embed="rId109"/>
                    <a:stretch>
                      <a:fillRect/>
                    </a:stretch>
                  </pic:blipFill>
                  <pic:spPr>
                    <a:xfrm>
                      <a:off x="0" y="0"/>
                      <a:ext cx="5895340" cy="8387080"/>
                    </a:xfrm>
                    <a:prstGeom prst="rect">
                      <a:avLst/>
                    </a:prstGeom>
                  </pic:spPr>
                </pic:pic>
              </a:graphicData>
            </a:graphic>
          </wp:inline>
        </w:drawing>
      </w:r>
      <w:r>
        <w:rPr>
          <w:rFonts w:hint="eastAsia"/>
          <w:sz w:val="24"/>
          <w:szCs w:val="24"/>
          <w:lang w:val="en-US" w:eastAsia="zh-CN"/>
        </w:rPr>
        <w:drawing>
          <wp:inline distT="0" distB="0" distL="114300" distR="114300">
            <wp:extent cx="5875655" cy="8359140"/>
            <wp:effectExtent l="0" t="0" r="10795" b="3810"/>
            <wp:docPr id="83" name="图片 83" descr="验收意见签字版_页面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验收意见签字版_页面_5"/>
                    <pic:cNvPicPr>
                      <a:picLocks noChangeAspect="1"/>
                    </pic:cNvPicPr>
                  </pic:nvPicPr>
                  <pic:blipFill>
                    <a:blip r:embed="rId110"/>
                    <a:stretch>
                      <a:fillRect/>
                    </a:stretch>
                  </pic:blipFill>
                  <pic:spPr>
                    <a:xfrm>
                      <a:off x="0" y="0"/>
                      <a:ext cx="5875655" cy="8359140"/>
                    </a:xfrm>
                    <a:prstGeom prst="rect">
                      <a:avLst/>
                    </a:prstGeom>
                  </pic:spPr>
                </pic:pic>
              </a:graphicData>
            </a:graphic>
          </wp:inline>
        </w:drawing>
      </w:r>
      <w:r>
        <w:rPr>
          <w:rFonts w:hint="eastAsia"/>
          <w:sz w:val="24"/>
          <w:szCs w:val="24"/>
          <w:lang w:val="en-US" w:eastAsia="zh-CN"/>
        </w:rPr>
        <w:drawing>
          <wp:inline distT="0" distB="0" distL="114300" distR="114300">
            <wp:extent cx="5904230" cy="8352155"/>
            <wp:effectExtent l="0" t="0" r="1270" b="10795"/>
            <wp:docPr id="82" name="图片 82" descr="验收意见签字版_页面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验收意见签字版_页面_6"/>
                    <pic:cNvPicPr>
                      <a:picLocks noChangeAspect="1"/>
                    </pic:cNvPicPr>
                  </pic:nvPicPr>
                  <pic:blipFill>
                    <a:blip r:embed="rId111"/>
                    <a:stretch>
                      <a:fillRect/>
                    </a:stretch>
                  </pic:blipFill>
                  <pic:spPr>
                    <a:xfrm>
                      <a:off x="0" y="0"/>
                      <a:ext cx="5904230" cy="8352155"/>
                    </a:xfrm>
                    <a:prstGeom prst="rect">
                      <a:avLst/>
                    </a:prstGeom>
                  </pic:spPr>
                </pic:pic>
              </a:graphicData>
            </a:graphic>
          </wp:inline>
        </w:drawing>
      </w:r>
    </w:p>
    <w:p w14:paraId="5A504365">
      <w:pPr>
        <w:numPr>
          <w:ilvl w:val="0"/>
          <w:numId w:val="0"/>
        </w:numPr>
        <w:spacing w:line="360" w:lineRule="auto"/>
        <w:jc w:val="center"/>
        <w:rPr>
          <w:rFonts w:hint="eastAsia"/>
          <w:sz w:val="24"/>
          <w:szCs w:val="24"/>
          <w:lang w:val="en-US" w:eastAsia="zh-CN"/>
        </w:rPr>
      </w:pPr>
      <w:r>
        <w:rPr>
          <w:rFonts w:hint="eastAsia"/>
          <w:sz w:val="24"/>
          <w:szCs w:val="24"/>
          <w:lang w:val="en-US" w:eastAsia="zh-CN"/>
        </w:rPr>
        <w:drawing>
          <wp:inline distT="0" distB="0" distL="114300" distR="114300">
            <wp:extent cx="8448040" cy="4760595"/>
            <wp:effectExtent l="0" t="0" r="10160" b="1905"/>
            <wp:docPr id="81" name="图片 81" descr="验收意见签字版_页面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验收意见签字版_页面_7"/>
                    <pic:cNvPicPr>
                      <a:picLocks noChangeAspect="1"/>
                    </pic:cNvPicPr>
                  </pic:nvPicPr>
                  <pic:blipFill>
                    <a:blip r:embed="rId112"/>
                    <a:stretch>
                      <a:fillRect/>
                    </a:stretch>
                  </pic:blipFill>
                  <pic:spPr>
                    <a:xfrm>
                      <a:off x="0" y="0"/>
                      <a:ext cx="8448040" cy="4760595"/>
                    </a:xfrm>
                    <a:prstGeom prst="rect">
                      <a:avLst/>
                    </a:prstGeom>
                  </pic:spPr>
                </pic:pic>
              </a:graphicData>
            </a:graphic>
          </wp:inline>
        </w:drawing>
      </w:r>
    </w:p>
    <w:p w14:paraId="6F50FDE6">
      <w:pPr>
        <w:pStyle w:val="27"/>
        <w:spacing w:line="240" w:lineRule="auto"/>
        <w:ind w:firstLine="0" w:firstLineChars="0"/>
        <w:jc w:val="cente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sectPr>
          <w:pgSz w:w="16838" w:h="11906" w:orient="landscape"/>
          <w:pgMar w:top="1134" w:right="1701" w:bottom="1134" w:left="1701"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24B781F8">
      <w:pPr>
        <w:pStyle w:val="2"/>
        <w:keepNext w:val="0"/>
        <w:keepLines w:val="0"/>
        <w:pageBreakBefore w:val="0"/>
        <w:widowControl w:val="0"/>
        <w:kinsoku/>
        <w:wordWrap/>
        <w:overflowPunct/>
        <w:topLinePunct w:val="0"/>
        <w:autoSpaceDE/>
        <w:autoSpaceDN/>
        <w:bidi w:val="0"/>
        <w:adjustRightInd/>
        <w:snapToGrid w:val="0"/>
        <w:spacing w:before="0" w:after="0" w:line="360" w:lineRule="auto"/>
        <w:ind w:left="0" w:firstLine="0"/>
        <w:jc w:val="both"/>
        <w:textAlignment w:val="auto"/>
        <w:rPr>
          <w:rFonts w:hint="default" w:eastAsia="宋体" w:cs="Times New Roman"/>
          <w:color w:val="000000" w:themeColor="text1"/>
          <w:kern w:val="2"/>
          <w:sz w:val="28"/>
          <w:szCs w:val="28"/>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附件</w:t>
      </w:r>
      <w:r>
        <w:rPr>
          <w:rFonts w:hint="eastAsia" w:eastAsia="宋体" w:cs="Times New Roman"/>
          <w:color w:val="000000" w:themeColor="text1"/>
          <w:kern w:val="2"/>
          <w:sz w:val="28"/>
          <w:szCs w:val="28"/>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w:t>
      </w:r>
      <w:r>
        <w:rPr>
          <w:rFonts w:hint="eastAsia" w:eastAsia="宋体" w:cs="Times New Roman"/>
          <w:color w:val="000000" w:themeColor="text1"/>
          <w:kern w:val="2"/>
          <w:sz w:val="28"/>
          <w:szCs w:val="28"/>
          <w:highlight w:val="none"/>
          <w:lang w:val="en-US" w:eastAsia="zh-CN"/>
          <w14:textFill>
            <w14:solidFill>
              <w14:schemeClr w14:val="tx1"/>
            </w14:solidFill>
          </w14:textFill>
        </w:rPr>
        <w:t>现有项目总量确认书</w:t>
      </w:r>
    </w:p>
    <w:p w14:paraId="0E07F02B">
      <w:pPr>
        <w:rPr>
          <w:rFonts w:hint="default" w:cs="Times New Roman"/>
          <w:color w:val="000000" w:themeColor="text1"/>
          <w:kern w:val="2"/>
          <w:sz w:val="24"/>
          <w:szCs w:val="24"/>
          <w:highlight w:val="none"/>
          <w:lang w:val="en-US" w:eastAsia="zh-CN"/>
          <w14:textFill>
            <w14:solidFill>
              <w14:schemeClr w14:val="tx1"/>
            </w14:solidFill>
          </w14:textFill>
        </w:rPr>
      </w:pPr>
      <w:r>
        <w:rPr>
          <w:rFonts w:hint="eastAsia" w:cs="Times New Roman"/>
          <w:color w:val="000000" w:themeColor="text1"/>
          <w:kern w:val="2"/>
          <w:sz w:val="24"/>
          <w:szCs w:val="24"/>
          <w:highlight w:val="none"/>
          <w:lang w:val="en-US" w:eastAsia="zh-CN"/>
          <w14:textFill>
            <w14:solidFill>
              <w14:schemeClr w14:val="tx1"/>
            </w14:solidFill>
          </w14:textFill>
        </w:rPr>
        <w:t>（1）危废暂存库和锅炉改造项目总量确认书</w:t>
      </w:r>
    </w:p>
    <w:p w14:paraId="4DBC9B7D">
      <w:pPr>
        <w:jc w:val="center"/>
        <w:rPr>
          <w:rFonts w:hint="default" w:cs="Times New Roman"/>
          <w:color w:val="000000" w:themeColor="text1"/>
          <w:kern w:val="2"/>
          <w:sz w:val="28"/>
          <w:szCs w:val="28"/>
          <w:highlight w:val="none"/>
          <w:lang w:val="en-US" w:eastAsia="zh-CN"/>
          <w14:textFill>
            <w14:solidFill>
              <w14:schemeClr w14:val="tx1"/>
            </w14:solidFill>
          </w14:textFill>
        </w:rPr>
        <w:sectPr>
          <w:pgSz w:w="11906" w:h="16838"/>
          <w:pgMar w:top="1701" w:right="1134" w:bottom="1701" w:left="1134" w:header="851" w:footer="992" w:gutter="0"/>
          <w:pgBorders>
            <w:top w:val="none" w:sz="0" w:space="0"/>
            <w:left w:val="none" w:sz="0" w:space="0"/>
            <w:bottom w:val="none" w:sz="0" w:space="0"/>
            <w:right w:val="none" w:sz="0" w:space="0"/>
          </w:pgBorders>
          <w:pgNumType w:fmt="numberInDash"/>
          <w:cols w:space="425" w:num="1"/>
          <w:docGrid w:type="lines" w:linePitch="312" w:charSpace="0"/>
        </w:sectPr>
      </w:pPr>
      <w:r>
        <w:rPr>
          <w:rFonts w:hint="default" w:cs="Times New Roman"/>
          <w:color w:val="000000" w:themeColor="text1"/>
          <w:kern w:val="2"/>
          <w:sz w:val="28"/>
          <w:szCs w:val="28"/>
          <w:highlight w:val="none"/>
          <w:lang w:val="en-US" w:eastAsia="zh-CN"/>
          <w14:textFill>
            <w14:solidFill>
              <w14:schemeClr w14:val="tx1"/>
            </w14:solidFill>
          </w14:textFill>
        </w:rPr>
        <w:drawing>
          <wp:inline distT="0" distB="0" distL="114300" distR="114300">
            <wp:extent cx="5403850" cy="7806690"/>
            <wp:effectExtent l="0" t="0" r="6350" b="3810"/>
            <wp:docPr id="94" name="图片 94" descr="总量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总量1"/>
                    <pic:cNvPicPr>
                      <a:picLocks noChangeAspect="1"/>
                    </pic:cNvPicPr>
                  </pic:nvPicPr>
                  <pic:blipFill>
                    <a:blip r:embed="rId113"/>
                    <a:stretch>
                      <a:fillRect/>
                    </a:stretch>
                  </pic:blipFill>
                  <pic:spPr>
                    <a:xfrm>
                      <a:off x="0" y="0"/>
                      <a:ext cx="5403850" cy="7806690"/>
                    </a:xfrm>
                    <a:prstGeom prst="rect">
                      <a:avLst/>
                    </a:prstGeom>
                  </pic:spPr>
                </pic:pic>
              </a:graphicData>
            </a:graphic>
          </wp:inline>
        </w:drawing>
      </w:r>
      <w:r>
        <w:rPr>
          <w:rFonts w:hint="default" w:cs="Times New Roman"/>
          <w:color w:val="000000" w:themeColor="text1"/>
          <w:kern w:val="2"/>
          <w:sz w:val="28"/>
          <w:szCs w:val="28"/>
          <w:highlight w:val="none"/>
          <w:lang w:val="en-US" w:eastAsia="zh-CN"/>
          <w14:textFill>
            <w14:solidFill>
              <w14:schemeClr w14:val="tx1"/>
            </w14:solidFill>
          </w14:textFill>
        </w:rPr>
        <w:drawing>
          <wp:inline distT="0" distB="0" distL="114300" distR="114300">
            <wp:extent cx="5248275" cy="8429625"/>
            <wp:effectExtent l="0" t="0" r="9525" b="9525"/>
            <wp:docPr id="93" name="图片 93" descr="总量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总量2"/>
                    <pic:cNvPicPr>
                      <a:picLocks noChangeAspect="1"/>
                    </pic:cNvPicPr>
                  </pic:nvPicPr>
                  <pic:blipFill>
                    <a:blip r:embed="rId114"/>
                    <a:stretch>
                      <a:fillRect/>
                    </a:stretch>
                  </pic:blipFill>
                  <pic:spPr>
                    <a:xfrm>
                      <a:off x="0" y="0"/>
                      <a:ext cx="5248275" cy="8429625"/>
                    </a:xfrm>
                    <a:prstGeom prst="rect">
                      <a:avLst/>
                    </a:prstGeom>
                  </pic:spPr>
                </pic:pic>
              </a:graphicData>
            </a:graphic>
          </wp:inline>
        </w:drawing>
      </w:r>
    </w:p>
    <w:p w14:paraId="441041FD">
      <w:pPr>
        <w:rPr>
          <w:rFonts w:hint="default" w:cs="Times New Roman"/>
          <w:color w:val="000000" w:themeColor="text1"/>
          <w:kern w:val="2"/>
          <w:sz w:val="24"/>
          <w:szCs w:val="24"/>
          <w:highlight w:val="none"/>
          <w:lang w:val="en-US" w:eastAsia="zh-CN"/>
          <w14:textFill>
            <w14:solidFill>
              <w14:schemeClr w14:val="tx1"/>
            </w14:solidFill>
          </w14:textFill>
        </w:rPr>
      </w:pPr>
      <w:r>
        <w:rPr>
          <w:rFonts w:hint="eastAsia" w:cs="Times New Roman"/>
          <w:color w:val="000000" w:themeColor="text1"/>
          <w:kern w:val="2"/>
          <w:sz w:val="24"/>
          <w:szCs w:val="24"/>
          <w:highlight w:val="none"/>
          <w:lang w:val="en-US" w:eastAsia="zh-CN"/>
          <w14:textFill>
            <w14:solidFill>
              <w14:schemeClr w14:val="tx1"/>
            </w14:solidFill>
          </w14:textFill>
        </w:rPr>
        <w:t>（2）华润本溪三药危废暂存库和化学品库建设工程总量确认书</w:t>
      </w:r>
    </w:p>
    <w:p w14:paraId="5BF07578">
      <w:pPr>
        <w:jc w:val="center"/>
        <w:rPr>
          <w:rFonts w:hint="default"/>
          <w:lang w:val="en-US" w:eastAsia="zh-CN"/>
        </w:rPr>
      </w:pPr>
      <w:r>
        <w:rPr>
          <w:rFonts w:hint="default"/>
          <w:lang w:val="en-US" w:eastAsia="zh-CN"/>
        </w:rPr>
        <w:drawing>
          <wp:inline distT="0" distB="0" distL="114300" distR="114300">
            <wp:extent cx="5768975" cy="8162925"/>
            <wp:effectExtent l="0" t="0" r="3175" b="9525"/>
            <wp:docPr id="92" name="图片 92" descr="辽宁省建设项目污染物总量确认书（危废库和化学品库项目）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辽宁省建设项目污染物总量确认书（危废库和化学品库项目）_页面_1"/>
                    <pic:cNvPicPr>
                      <a:picLocks noChangeAspect="1"/>
                    </pic:cNvPicPr>
                  </pic:nvPicPr>
                  <pic:blipFill>
                    <a:blip r:embed="rId115"/>
                    <a:stretch>
                      <a:fillRect/>
                    </a:stretch>
                  </pic:blipFill>
                  <pic:spPr>
                    <a:xfrm>
                      <a:off x="0" y="0"/>
                      <a:ext cx="5768975" cy="8162925"/>
                    </a:xfrm>
                    <a:prstGeom prst="rect">
                      <a:avLst/>
                    </a:prstGeom>
                  </pic:spPr>
                </pic:pic>
              </a:graphicData>
            </a:graphic>
          </wp:inline>
        </w:drawing>
      </w:r>
      <w:r>
        <w:rPr>
          <w:rFonts w:hint="default"/>
          <w:lang w:val="en-US" w:eastAsia="zh-CN"/>
        </w:rPr>
        <w:drawing>
          <wp:inline distT="0" distB="0" distL="114300" distR="114300">
            <wp:extent cx="5959475" cy="8435340"/>
            <wp:effectExtent l="0" t="0" r="3175" b="3810"/>
            <wp:docPr id="91" name="图片 91" descr="辽宁省建设项目污染物总量确认书（危废库和化学品库项目）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辽宁省建设项目污染物总量确认书（危废库和化学品库项目）_页面_2"/>
                    <pic:cNvPicPr>
                      <a:picLocks noChangeAspect="1"/>
                    </pic:cNvPicPr>
                  </pic:nvPicPr>
                  <pic:blipFill>
                    <a:blip r:embed="rId116"/>
                    <a:stretch>
                      <a:fillRect/>
                    </a:stretch>
                  </pic:blipFill>
                  <pic:spPr>
                    <a:xfrm>
                      <a:off x="0" y="0"/>
                      <a:ext cx="5959475" cy="8435340"/>
                    </a:xfrm>
                    <a:prstGeom prst="rect">
                      <a:avLst/>
                    </a:prstGeom>
                  </pic:spPr>
                </pic:pic>
              </a:graphicData>
            </a:graphic>
          </wp:inline>
        </w:drawing>
      </w:r>
      <w:r>
        <w:rPr>
          <w:rFonts w:hint="default"/>
          <w:lang w:val="en-US" w:eastAsia="zh-CN"/>
        </w:rPr>
        <w:drawing>
          <wp:inline distT="0" distB="0" distL="114300" distR="114300">
            <wp:extent cx="5969000" cy="8442960"/>
            <wp:effectExtent l="0" t="0" r="12700" b="15240"/>
            <wp:docPr id="90" name="图片 90" descr="辽宁省建设项目污染物总量确认书（危废库和化学品库项目）_页面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辽宁省建设项目污染物总量确认书（危废库和化学品库项目）_页面_3"/>
                    <pic:cNvPicPr>
                      <a:picLocks noChangeAspect="1"/>
                    </pic:cNvPicPr>
                  </pic:nvPicPr>
                  <pic:blipFill>
                    <a:blip r:embed="rId117"/>
                    <a:stretch>
                      <a:fillRect/>
                    </a:stretch>
                  </pic:blipFill>
                  <pic:spPr>
                    <a:xfrm>
                      <a:off x="0" y="0"/>
                      <a:ext cx="5969000" cy="8442960"/>
                    </a:xfrm>
                    <a:prstGeom prst="rect">
                      <a:avLst/>
                    </a:prstGeom>
                  </pic:spPr>
                </pic:pic>
              </a:graphicData>
            </a:graphic>
          </wp:inline>
        </w:drawing>
      </w:r>
      <w:r>
        <w:rPr>
          <w:rFonts w:hint="default"/>
          <w:lang w:val="en-US" w:eastAsia="zh-CN"/>
        </w:rPr>
        <w:drawing>
          <wp:inline distT="0" distB="0" distL="114300" distR="114300">
            <wp:extent cx="5946775" cy="8416925"/>
            <wp:effectExtent l="0" t="0" r="15875" b="3175"/>
            <wp:docPr id="89" name="图片 89" descr="辽宁省建设项目污染物总量确认书（危废库和化学品库项目）_页面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辽宁省建设项目污染物总量确认书（危废库和化学品库项目）_页面_4"/>
                    <pic:cNvPicPr>
                      <a:picLocks noChangeAspect="1"/>
                    </pic:cNvPicPr>
                  </pic:nvPicPr>
                  <pic:blipFill>
                    <a:blip r:embed="rId118"/>
                    <a:stretch>
                      <a:fillRect/>
                    </a:stretch>
                  </pic:blipFill>
                  <pic:spPr>
                    <a:xfrm>
                      <a:off x="0" y="0"/>
                      <a:ext cx="5946775" cy="8416925"/>
                    </a:xfrm>
                    <a:prstGeom prst="rect">
                      <a:avLst/>
                    </a:prstGeom>
                  </pic:spPr>
                </pic:pic>
              </a:graphicData>
            </a:graphic>
          </wp:inline>
        </w:drawing>
      </w:r>
      <w:r>
        <w:rPr>
          <w:rFonts w:hint="default"/>
          <w:lang w:val="en-US" w:eastAsia="zh-CN"/>
        </w:rPr>
        <w:drawing>
          <wp:inline distT="0" distB="0" distL="114300" distR="114300">
            <wp:extent cx="5965190" cy="8437880"/>
            <wp:effectExtent l="0" t="0" r="16510" b="1270"/>
            <wp:docPr id="88" name="图片 88" descr="辽宁省建设项目污染物总量确认书（危废库和化学品库项目）_页面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辽宁省建设项目污染物总量确认书（危废库和化学品库项目）_页面_5"/>
                    <pic:cNvPicPr>
                      <a:picLocks noChangeAspect="1"/>
                    </pic:cNvPicPr>
                  </pic:nvPicPr>
                  <pic:blipFill>
                    <a:blip r:embed="rId119"/>
                    <a:stretch>
                      <a:fillRect/>
                    </a:stretch>
                  </pic:blipFill>
                  <pic:spPr>
                    <a:xfrm>
                      <a:off x="0" y="0"/>
                      <a:ext cx="5965190" cy="8437880"/>
                    </a:xfrm>
                    <a:prstGeom prst="rect">
                      <a:avLst/>
                    </a:prstGeom>
                  </pic:spPr>
                </pic:pic>
              </a:graphicData>
            </a:graphic>
          </wp:inline>
        </w:drawing>
      </w:r>
    </w:p>
    <w:p w14:paraId="7096F890">
      <w:pPr>
        <w:pStyle w:val="11"/>
        <w:jc w:val="center"/>
        <w:rPr>
          <w:rFonts w:hint="default"/>
          <w:color w:val="000000" w:themeColor="text1"/>
          <w:highlight w:val="none"/>
          <w:lang w:val="en-US" w:eastAsia="zh-CN"/>
          <w14:textFill>
            <w14:solidFill>
              <w14:schemeClr w14:val="tx1"/>
            </w14:solidFill>
          </w14:textFill>
        </w:rPr>
        <w:sectPr>
          <w:pgSz w:w="11906" w:h="16838"/>
          <w:pgMar w:top="1701" w:right="1134" w:bottom="1701" w:left="1134"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2B185030">
      <w:pPr>
        <w:pStyle w:val="2"/>
        <w:keepNext w:val="0"/>
        <w:keepLines w:val="0"/>
        <w:pageBreakBefore w:val="0"/>
        <w:widowControl w:val="0"/>
        <w:kinsoku/>
        <w:wordWrap/>
        <w:overflowPunct/>
        <w:topLinePunct w:val="0"/>
        <w:autoSpaceDE/>
        <w:autoSpaceDN/>
        <w:bidi w:val="0"/>
        <w:adjustRightInd/>
        <w:snapToGrid w:val="0"/>
        <w:spacing w:before="0" w:after="0" w:line="360" w:lineRule="auto"/>
        <w:ind w:left="0" w:firstLine="0"/>
        <w:jc w:val="both"/>
        <w:textAlignment w:val="auto"/>
        <w:rPr>
          <w:rFonts w:hint="default" w:eastAsia="宋体" w:cs="Times New Roman"/>
          <w:color w:val="000000" w:themeColor="text1"/>
          <w:kern w:val="2"/>
          <w:sz w:val="28"/>
          <w:szCs w:val="28"/>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附件</w:t>
      </w:r>
      <w:r>
        <w:rPr>
          <w:rFonts w:hint="eastAsia" w:eastAsia="宋体" w:cs="Times New Roman"/>
          <w:color w:val="000000" w:themeColor="text1"/>
          <w:kern w:val="2"/>
          <w:sz w:val="28"/>
          <w:szCs w:val="28"/>
          <w:highlight w:val="none"/>
          <w:lang w:val="en-US" w:eastAsia="zh-CN"/>
          <w14:textFill>
            <w14:solidFill>
              <w14:schemeClr w14:val="tx1"/>
            </w14:solidFill>
          </w14:textFill>
        </w:rPr>
        <w:t>7</w:t>
      </w:r>
      <w:r>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w:t>
      </w:r>
      <w:r>
        <w:rPr>
          <w:rFonts w:hint="eastAsia" w:eastAsia="宋体" w:cs="Times New Roman"/>
          <w:color w:val="000000" w:themeColor="text1"/>
          <w:kern w:val="2"/>
          <w:sz w:val="28"/>
          <w:szCs w:val="28"/>
          <w:highlight w:val="none"/>
          <w:lang w:val="en-US" w:eastAsia="zh-CN"/>
          <w14:textFill>
            <w14:solidFill>
              <w14:schemeClr w14:val="tx1"/>
            </w14:solidFill>
          </w14:textFill>
        </w:rPr>
        <w:t>现有项目应急预案备案表</w:t>
      </w:r>
    </w:p>
    <w:p w14:paraId="16A50B22">
      <w:pPr>
        <w:jc w:val="center"/>
        <w:rPr>
          <w:rFonts w:hint="default"/>
          <w:lang w:val="en-US" w:eastAsia="zh-CN"/>
        </w:rPr>
      </w:pPr>
      <w:r>
        <w:rPr>
          <w:rFonts w:hint="default"/>
          <w:lang w:val="en-US" w:eastAsia="zh-CN"/>
        </w:rPr>
        <w:drawing>
          <wp:inline distT="0" distB="0" distL="114300" distR="114300">
            <wp:extent cx="5675630" cy="8025130"/>
            <wp:effectExtent l="0" t="0" r="1270" b="13970"/>
            <wp:docPr id="96" name="图片 96" descr="应急预案备案表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应急预案备案表_页面_1"/>
                    <pic:cNvPicPr>
                      <a:picLocks noChangeAspect="1"/>
                    </pic:cNvPicPr>
                  </pic:nvPicPr>
                  <pic:blipFill>
                    <a:blip r:embed="rId120"/>
                    <a:stretch>
                      <a:fillRect/>
                    </a:stretch>
                  </pic:blipFill>
                  <pic:spPr>
                    <a:xfrm>
                      <a:off x="0" y="0"/>
                      <a:ext cx="5675630" cy="8025130"/>
                    </a:xfrm>
                    <a:prstGeom prst="rect">
                      <a:avLst/>
                    </a:prstGeom>
                  </pic:spPr>
                </pic:pic>
              </a:graphicData>
            </a:graphic>
          </wp:inline>
        </w:drawing>
      </w:r>
      <w:r>
        <w:rPr>
          <w:rFonts w:hint="default"/>
          <w:lang w:val="en-US" w:eastAsia="zh-CN"/>
        </w:rPr>
        <w:drawing>
          <wp:inline distT="0" distB="0" distL="114300" distR="114300">
            <wp:extent cx="6009005" cy="8528050"/>
            <wp:effectExtent l="0" t="0" r="10795" b="6350"/>
            <wp:docPr id="95" name="图片 95" descr="应急预案备案表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应急预案备案表_页面_2"/>
                    <pic:cNvPicPr>
                      <a:picLocks noChangeAspect="1"/>
                    </pic:cNvPicPr>
                  </pic:nvPicPr>
                  <pic:blipFill>
                    <a:blip r:embed="rId121"/>
                    <a:stretch>
                      <a:fillRect/>
                    </a:stretch>
                  </pic:blipFill>
                  <pic:spPr>
                    <a:xfrm>
                      <a:off x="0" y="0"/>
                      <a:ext cx="6009005" cy="8528050"/>
                    </a:xfrm>
                    <a:prstGeom prst="rect">
                      <a:avLst/>
                    </a:prstGeom>
                  </pic:spPr>
                </pic:pic>
              </a:graphicData>
            </a:graphic>
          </wp:inline>
        </w:drawing>
      </w:r>
    </w:p>
    <w:p w14:paraId="2008C66A">
      <w:pPr>
        <w:pStyle w:val="18"/>
        <w:rPr>
          <w:rFonts w:hint="default"/>
          <w:lang w:val="en-US" w:eastAsia="zh-CN"/>
        </w:rPr>
        <w:sectPr>
          <w:pgSz w:w="11906" w:h="16838"/>
          <w:pgMar w:top="1701" w:right="1134" w:bottom="1701" w:left="1134"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75A73B88">
      <w:pPr>
        <w:pStyle w:val="2"/>
        <w:keepNext w:val="0"/>
        <w:keepLines w:val="0"/>
        <w:pageBreakBefore w:val="0"/>
        <w:widowControl w:val="0"/>
        <w:kinsoku/>
        <w:wordWrap/>
        <w:overflowPunct/>
        <w:topLinePunct w:val="0"/>
        <w:autoSpaceDE/>
        <w:autoSpaceDN/>
        <w:bidi w:val="0"/>
        <w:adjustRightInd/>
        <w:snapToGrid w:val="0"/>
        <w:spacing w:before="0" w:after="0" w:line="360" w:lineRule="auto"/>
        <w:ind w:left="0" w:firstLine="0"/>
        <w:jc w:val="both"/>
        <w:textAlignment w:val="auto"/>
        <w:rPr>
          <w:rFonts w:hint="default" w:eastAsia="宋体" w:cs="Times New Roman"/>
          <w:color w:val="000000" w:themeColor="text1"/>
          <w:kern w:val="2"/>
          <w:sz w:val="28"/>
          <w:szCs w:val="28"/>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附件</w:t>
      </w:r>
      <w:r>
        <w:rPr>
          <w:rFonts w:hint="eastAsia" w:eastAsia="宋体" w:cs="Times New Roman"/>
          <w:color w:val="000000" w:themeColor="text1"/>
          <w:kern w:val="2"/>
          <w:sz w:val="28"/>
          <w:szCs w:val="28"/>
          <w:highlight w:val="none"/>
          <w:lang w:val="en-US" w:eastAsia="zh-CN"/>
          <w14:textFill>
            <w14:solidFill>
              <w14:schemeClr w14:val="tx1"/>
            </w14:solidFill>
          </w14:textFill>
        </w:rPr>
        <w:t>8</w:t>
      </w:r>
      <w:r>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w:t>
      </w:r>
      <w:r>
        <w:rPr>
          <w:rFonts w:hint="eastAsia" w:eastAsia="宋体" w:cs="Times New Roman"/>
          <w:color w:val="000000" w:themeColor="text1"/>
          <w:kern w:val="2"/>
          <w:sz w:val="28"/>
          <w:szCs w:val="28"/>
          <w:highlight w:val="none"/>
          <w:lang w:val="en-US" w:eastAsia="zh-CN"/>
          <w14:textFill>
            <w14:solidFill>
              <w14:schemeClr w14:val="tx1"/>
            </w14:solidFill>
          </w14:textFill>
        </w:rPr>
        <w:t>现有项目危废处置协议</w:t>
      </w:r>
    </w:p>
    <w:p w14:paraId="5D2DBEF9">
      <w:pPr>
        <w:pStyle w:val="43"/>
        <w:jc w:val="center"/>
        <w:rPr>
          <w:rFonts w:hint="default"/>
          <w:lang w:val="en-US" w:eastAsia="zh-CN"/>
        </w:rPr>
      </w:pPr>
      <w:r>
        <w:rPr>
          <w:rFonts w:hint="default"/>
          <w:lang w:val="en-US" w:eastAsia="zh-CN"/>
        </w:rPr>
        <w:drawing>
          <wp:inline distT="0" distB="0" distL="114300" distR="114300">
            <wp:extent cx="5676265" cy="8028940"/>
            <wp:effectExtent l="0" t="0" r="635" b="10160"/>
            <wp:docPr id="104" name="图片 104" descr="2026年危废处置服务合同书_页面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2026年危废处置服务合同书_页面_01"/>
                    <pic:cNvPicPr>
                      <a:picLocks noChangeAspect="1"/>
                    </pic:cNvPicPr>
                  </pic:nvPicPr>
                  <pic:blipFill>
                    <a:blip r:embed="rId122"/>
                    <a:stretch>
                      <a:fillRect/>
                    </a:stretch>
                  </pic:blipFill>
                  <pic:spPr>
                    <a:xfrm>
                      <a:off x="0" y="0"/>
                      <a:ext cx="5676265" cy="8028940"/>
                    </a:xfrm>
                    <a:prstGeom prst="rect">
                      <a:avLst/>
                    </a:prstGeom>
                  </pic:spPr>
                </pic:pic>
              </a:graphicData>
            </a:graphic>
          </wp:inline>
        </w:drawing>
      </w:r>
      <w:r>
        <w:rPr>
          <w:rFonts w:hint="default"/>
          <w:lang w:val="en-US" w:eastAsia="zh-CN"/>
        </w:rPr>
        <w:drawing>
          <wp:inline distT="0" distB="0" distL="114300" distR="114300">
            <wp:extent cx="5957570" cy="8409305"/>
            <wp:effectExtent l="0" t="0" r="5080" b="10795"/>
            <wp:docPr id="103" name="图片 103" descr="2026年危废处置服务合同书_页面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2026年危废处置服务合同书_页面_02"/>
                    <pic:cNvPicPr>
                      <a:picLocks noChangeAspect="1"/>
                    </pic:cNvPicPr>
                  </pic:nvPicPr>
                  <pic:blipFill>
                    <a:blip r:embed="rId123"/>
                    <a:stretch>
                      <a:fillRect/>
                    </a:stretch>
                  </pic:blipFill>
                  <pic:spPr>
                    <a:xfrm>
                      <a:off x="0" y="0"/>
                      <a:ext cx="5957570" cy="8409305"/>
                    </a:xfrm>
                    <a:prstGeom prst="rect">
                      <a:avLst/>
                    </a:prstGeom>
                  </pic:spPr>
                </pic:pic>
              </a:graphicData>
            </a:graphic>
          </wp:inline>
        </w:drawing>
      </w:r>
      <w:r>
        <w:rPr>
          <w:rFonts w:hint="default"/>
          <w:lang w:val="en-US" w:eastAsia="zh-CN"/>
        </w:rPr>
        <w:drawing>
          <wp:inline distT="0" distB="0" distL="114300" distR="114300">
            <wp:extent cx="5932805" cy="8433435"/>
            <wp:effectExtent l="0" t="0" r="10795" b="5715"/>
            <wp:docPr id="102" name="图片 102" descr="2026年危废处置服务合同书_页面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descr="2026年危废处置服务合同书_页面_03"/>
                    <pic:cNvPicPr>
                      <a:picLocks noChangeAspect="1"/>
                    </pic:cNvPicPr>
                  </pic:nvPicPr>
                  <pic:blipFill>
                    <a:blip r:embed="rId124"/>
                    <a:stretch>
                      <a:fillRect/>
                    </a:stretch>
                  </pic:blipFill>
                  <pic:spPr>
                    <a:xfrm>
                      <a:off x="0" y="0"/>
                      <a:ext cx="5932805" cy="8433435"/>
                    </a:xfrm>
                    <a:prstGeom prst="rect">
                      <a:avLst/>
                    </a:prstGeom>
                  </pic:spPr>
                </pic:pic>
              </a:graphicData>
            </a:graphic>
          </wp:inline>
        </w:drawing>
      </w:r>
      <w:r>
        <w:rPr>
          <w:rFonts w:hint="default"/>
          <w:lang w:val="en-US" w:eastAsia="zh-CN"/>
        </w:rPr>
        <w:drawing>
          <wp:inline distT="0" distB="0" distL="114300" distR="114300">
            <wp:extent cx="5923915" cy="8422640"/>
            <wp:effectExtent l="0" t="0" r="635" b="16510"/>
            <wp:docPr id="101" name="图片 101" descr="2026年危废处置服务合同书_页面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2026年危废处置服务合同书_页面_04"/>
                    <pic:cNvPicPr>
                      <a:picLocks noChangeAspect="1"/>
                    </pic:cNvPicPr>
                  </pic:nvPicPr>
                  <pic:blipFill>
                    <a:blip r:embed="rId125"/>
                    <a:stretch>
                      <a:fillRect/>
                    </a:stretch>
                  </pic:blipFill>
                  <pic:spPr>
                    <a:xfrm>
                      <a:off x="0" y="0"/>
                      <a:ext cx="5923915" cy="8422640"/>
                    </a:xfrm>
                    <a:prstGeom prst="rect">
                      <a:avLst/>
                    </a:prstGeom>
                  </pic:spPr>
                </pic:pic>
              </a:graphicData>
            </a:graphic>
          </wp:inline>
        </w:drawing>
      </w:r>
      <w:r>
        <w:rPr>
          <w:rFonts w:hint="default"/>
          <w:lang w:val="en-US" w:eastAsia="zh-CN"/>
        </w:rPr>
        <w:drawing>
          <wp:inline distT="0" distB="0" distL="114300" distR="114300">
            <wp:extent cx="5923915" cy="8420100"/>
            <wp:effectExtent l="0" t="0" r="635" b="0"/>
            <wp:docPr id="100" name="图片 100" descr="2026年危废处置服务合同书_页面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2026年危废处置服务合同书_页面_05"/>
                    <pic:cNvPicPr>
                      <a:picLocks noChangeAspect="1"/>
                    </pic:cNvPicPr>
                  </pic:nvPicPr>
                  <pic:blipFill>
                    <a:blip r:embed="rId126"/>
                    <a:stretch>
                      <a:fillRect/>
                    </a:stretch>
                  </pic:blipFill>
                  <pic:spPr>
                    <a:xfrm>
                      <a:off x="0" y="0"/>
                      <a:ext cx="5923915" cy="8420100"/>
                    </a:xfrm>
                    <a:prstGeom prst="rect">
                      <a:avLst/>
                    </a:prstGeom>
                  </pic:spPr>
                </pic:pic>
              </a:graphicData>
            </a:graphic>
          </wp:inline>
        </w:drawing>
      </w:r>
      <w:r>
        <w:rPr>
          <w:rFonts w:hint="default"/>
          <w:lang w:val="en-US" w:eastAsia="zh-CN"/>
        </w:rPr>
        <w:drawing>
          <wp:inline distT="0" distB="0" distL="114300" distR="114300">
            <wp:extent cx="5988050" cy="8455025"/>
            <wp:effectExtent l="0" t="0" r="12700" b="3175"/>
            <wp:docPr id="99" name="图片 99" descr="2026年危废处置服务合同书_页面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2026年危废处置服务合同书_页面_06"/>
                    <pic:cNvPicPr>
                      <a:picLocks noChangeAspect="1"/>
                    </pic:cNvPicPr>
                  </pic:nvPicPr>
                  <pic:blipFill>
                    <a:blip r:embed="rId127"/>
                    <a:stretch>
                      <a:fillRect/>
                    </a:stretch>
                  </pic:blipFill>
                  <pic:spPr>
                    <a:xfrm>
                      <a:off x="0" y="0"/>
                      <a:ext cx="5988050" cy="8455025"/>
                    </a:xfrm>
                    <a:prstGeom prst="rect">
                      <a:avLst/>
                    </a:prstGeom>
                  </pic:spPr>
                </pic:pic>
              </a:graphicData>
            </a:graphic>
          </wp:inline>
        </w:drawing>
      </w:r>
      <w:r>
        <w:rPr>
          <w:rFonts w:hint="default"/>
          <w:lang w:val="en-US" w:eastAsia="zh-CN"/>
        </w:rPr>
        <w:drawing>
          <wp:inline distT="0" distB="0" distL="114300" distR="114300">
            <wp:extent cx="5912485" cy="8404860"/>
            <wp:effectExtent l="0" t="0" r="12065" b="15240"/>
            <wp:docPr id="98" name="图片 98" descr="2026年危废处置服务合同书_页面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2026年危废处置服务合同书_页面_07"/>
                    <pic:cNvPicPr>
                      <a:picLocks noChangeAspect="1"/>
                    </pic:cNvPicPr>
                  </pic:nvPicPr>
                  <pic:blipFill>
                    <a:blip r:embed="rId128"/>
                    <a:stretch>
                      <a:fillRect/>
                    </a:stretch>
                  </pic:blipFill>
                  <pic:spPr>
                    <a:xfrm>
                      <a:off x="0" y="0"/>
                      <a:ext cx="5912485" cy="8404860"/>
                    </a:xfrm>
                    <a:prstGeom prst="rect">
                      <a:avLst/>
                    </a:prstGeom>
                  </pic:spPr>
                </pic:pic>
              </a:graphicData>
            </a:graphic>
          </wp:inline>
        </w:drawing>
      </w:r>
      <w:r>
        <w:rPr>
          <w:rFonts w:hint="default"/>
          <w:lang w:val="en-US" w:eastAsia="zh-CN"/>
        </w:rPr>
        <w:drawing>
          <wp:inline distT="0" distB="0" distL="114300" distR="114300">
            <wp:extent cx="5905500" cy="8394065"/>
            <wp:effectExtent l="0" t="0" r="0" b="6985"/>
            <wp:docPr id="97" name="图片 97" descr="2026年危废处置服务合同书_页面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2026年危废处置服务合同书_页面_08"/>
                    <pic:cNvPicPr>
                      <a:picLocks noChangeAspect="1"/>
                    </pic:cNvPicPr>
                  </pic:nvPicPr>
                  <pic:blipFill>
                    <a:blip r:embed="rId129"/>
                    <a:stretch>
                      <a:fillRect/>
                    </a:stretch>
                  </pic:blipFill>
                  <pic:spPr>
                    <a:xfrm>
                      <a:off x="0" y="0"/>
                      <a:ext cx="5905500" cy="8394065"/>
                    </a:xfrm>
                    <a:prstGeom prst="rect">
                      <a:avLst/>
                    </a:prstGeom>
                  </pic:spPr>
                </pic:pic>
              </a:graphicData>
            </a:graphic>
          </wp:inline>
        </w:drawing>
      </w:r>
    </w:p>
    <w:p w14:paraId="6978C964">
      <w:pPr>
        <w:pStyle w:val="43"/>
        <w:rPr>
          <w:rFonts w:hint="default"/>
          <w:lang w:val="en-US" w:eastAsia="zh-CN"/>
        </w:rPr>
        <w:sectPr>
          <w:pgSz w:w="11906" w:h="16838"/>
          <w:pgMar w:top="1701" w:right="1134" w:bottom="1701" w:left="1134"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23E55252">
      <w:pPr>
        <w:pStyle w:val="2"/>
        <w:keepNext w:val="0"/>
        <w:keepLines w:val="0"/>
        <w:pageBreakBefore w:val="0"/>
        <w:widowControl w:val="0"/>
        <w:kinsoku/>
        <w:wordWrap/>
        <w:overflowPunct/>
        <w:topLinePunct w:val="0"/>
        <w:autoSpaceDE/>
        <w:autoSpaceDN/>
        <w:bidi w:val="0"/>
        <w:adjustRightInd/>
        <w:snapToGrid w:val="0"/>
        <w:spacing w:before="0" w:after="0" w:line="360" w:lineRule="auto"/>
        <w:ind w:left="0" w:firstLine="0"/>
        <w:jc w:val="both"/>
        <w:textAlignment w:val="auto"/>
        <w:rPr>
          <w:rFonts w:hint="eastAsia" w:eastAsia="宋体" w:cs="Times New Roman"/>
          <w:color w:val="000000" w:themeColor="text1"/>
          <w:kern w:val="2"/>
          <w:sz w:val="28"/>
          <w:szCs w:val="28"/>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附件</w:t>
      </w:r>
      <w:r>
        <w:rPr>
          <w:rFonts w:hint="eastAsia" w:eastAsia="宋体" w:cs="Times New Roman"/>
          <w:color w:val="000000" w:themeColor="text1"/>
          <w:kern w:val="2"/>
          <w:sz w:val="28"/>
          <w:szCs w:val="28"/>
          <w:highlight w:val="none"/>
          <w:lang w:val="en-US" w:eastAsia="zh-CN"/>
          <w14:textFill>
            <w14:solidFill>
              <w14:schemeClr w14:val="tx1"/>
            </w14:solidFill>
          </w14:textFill>
        </w:rPr>
        <w:t>9</w:t>
      </w:r>
      <w:r>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w:t>
      </w:r>
      <w:r>
        <w:rPr>
          <w:rFonts w:hint="eastAsia" w:eastAsia="宋体" w:cs="Times New Roman"/>
          <w:color w:val="000000" w:themeColor="text1"/>
          <w:kern w:val="2"/>
          <w:sz w:val="28"/>
          <w:szCs w:val="28"/>
          <w:highlight w:val="none"/>
          <w:lang w:val="en-US" w:eastAsia="zh-CN"/>
          <w14:textFill>
            <w14:solidFill>
              <w14:schemeClr w14:val="tx1"/>
            </w14:solidFill>
          </w14:textFill>
        </w:rPr>
        <w:t>现有项目例行检测报告</w:t>
      </w:r>
    </w:p>
    <w:p w14:paraId="016CD56A">
      <w:pPr>
        <w:jc w:val="center"/>
        <w:rPr>
          <w:rFonts w:hint="eastAsia"/>
          <w:lang w:val="en-US" w:eastAsia="zh-CN"/>
        </w:rPr>
      </w:pPr>
      <w:r>
        <w:rPr>
          <w:rFonts w:hint="eastAsia"/>
          <w:lang w:val="en-US" w:eastAsia="zh-CN"/>
        </w:rPr>
        <w:drawing>
          <wp:inline distT="0" distB="0" distL="114300" distR="114300">
            <wp:extent cx="5725795" cy="8099425"/>
            <wp:effectExtent l="0" t="0" r="8255" b="15875"/>
            <wp:docPr id="126" name="图片 126" descr="2025年二季度检测报告_页面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descr="2025年二季度检测报告_页面_01"/>
                    <pic:cNvPicPr>
                      <a:picLocks noChangeAspect="1"/>
                    </pic:cNvPicPr>
                  </pic:nvPicPr>
                  <pic:blipFill>
                    <a:blip r:embed="rId130"/>
                    <a:stretch>
                      <a:fillRect/>
                    </a:stretch>
                  </pic:blipFill>
                  <pic:spPr>
                    <a:xfrm>
                      <a:off x="0" y="0"/>
                      <a:ext cx="5725795" cy="8099425"/>
                    </a:xfrm>
                    <a:prstGeom prst="rect">
                      <a:avLst/>
                    </a:prstGeom>
                  </pic:spPr>
                </pic:pic>
              </a:graphicData>
            </a:graphic>
          </wp:inline>
        </w:drawing>
      </w:r>
      <w:r>
        <w:rPr>
          <w:rFonts w:hint="eastAsia"/>
          <w:lang w:val="en-US" w:eastAsia="zh-CN"/>
        </w:rPr>
        <w:drawing>
          <wp:inline distT="0" distB="0" distL="114300" distR="114300">
            <wp:extent cx="5945505" cy="8403590"/>
            <wp:effectExtent l="0" t="0" r="17145" b="16510"/>
            <wp:docPr id="125" name="图片 125" descr="2025年二季度检测报告_页面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descr="2025年二季度检测报告_页面_03"/>
                    <pic:cNvPicPr>
                      <a:picLocks noChangeAspect="1"/>
                    </pic:cNvPicPr>
                  </pic:nvPicPr>
                  <pic:blipFill>
                    <a:blip r:embed="rId131"/>
                    <a:stretch>
                      <a:fillRect/>
                    </a:stretch>
                  </pic:blipFill>
                  <pic:spPr>
                    <a:xfrm>
                      <a:off x="0" y="0"/>
                      <a:ext cx="5945505" cy="8403590"/>
                    </a:xfrm>
                    <a:prstGeom prst="rect">
                      <a:avLst/>
                    </a:prstGeom>
                  </pic:spPr>
                </pic:pic>
              </a:graphicData>
            </a:graphic>
          </wp:inline>
        </w:drawing>
      </w:r>
      <w:r>
        <w:rPr>
          <w:rFonts w:hint="eastAsia"/>
          <w:lang w:val="en-US" w:eastAsia="zh-CN"/>
        </w:rPr>
        <w:drawing>
          <wp:inline distT="0" distB="0" distL="114300" distR="114300">
            <wp:extent cx="5951220" cy="8418195"/>
            <wp:effectExtent l="0" t="0" r="11430" b="1905"/>
            <wp:docPr id="124" name="图片 124" descr="2025年二季度检测报告_页面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2025年二季度检测报告_页面_04"/>
                    <pic:cNvPicPr>
                      <a:picLocks noChangeAspect="1"/>
                    </pic:cNvPicPr>
                  </pic:nvPicPr>
                  <pic:blipFill>
                    <a:blip r:embed="rId132"/>
                    <a:stretch>
                      <a:fillRect/>
                    </a:stretch>
                  </pic:blipFill>
                  <pic:spPr>
                    <a:xfrm>
                      <a:off x="0" y="0"/>
                      <a:ext cx="5951220" cy="8418195"/>
                    </a:xfrm>
                    <a:prstGeom prst="rect">
                      <a:avLst/>
                    </a:prstGeom>
                  </pic:spPr>
                </pic:pic>
              </a:graphicData>
            </a:graphic>
          </wp:inline>
        </w:drawing>
      </w:r>
      <w:r>
        <w:rPr>
          <w:rFonts w:hint="eastAsia"/>
          <w:lang w:val="en-US" w:eastAsia="zh-CN"/>
        </w:rPr>
        <w:drawing>
          <wp:inline distT="0" distB="0" distL="114300" distR="114300">
            <wp:extent cx="5934075" cy="8434705"/>
            <wp:effectExtent l="0" t="0" r="9525" b="4445"/>
            <wp:docPr id="123" name="图片 123" descr="2025年二季度检测报告_页面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descr="2025年二季度检测报告_页面_05"/>
                    <pic:cNvPicPr>
                      <a:picLocks noChangeAspect="1"/>
                    </pic:cNvPicPr>
                  </pic:nvPicPr>
                  <pic:blipFill>
                    <a:blip r:embed="rId133"/>
                    <a:stretch>
                      <a:fillRect/>
                    </a:stretch>
                  </pic:blipFill>
                  <pic:spPr>
                    <a:xfrm>
                      <a:off x="0" y="0"/>
                      <a:ext cx="5934075" cy="8434705"/>
                    </a:xfrm>
                    <a:prstGeom prst="rect">
                      <a:avLst/>
                    </a:prstGeom>
                  </pic:spPr>
                </pic:pic>
              </a:graphicData>
            </a:graphic>
          </wp:inline>
        </w:drawing>
      </w:r>
      <w:r>
        <w:rPr>
          <w:rFonts w:hint="eastAsia"/>
          <w:lang w:val="en-US" w:eastAsia="zh-CN"/>
        </w:rPr>
        <w:drawing>
          <wp:inline distT="0" distB="0" distL="114300" distR="114300">
            <wp:extent cx="5959475" cy="8429625"/>
            <wp:effectExtent l="0" t="0" r="3175" b="9525"/>
            <wp:docPr id="122" name="图片 122" descr="2025年二季度检测报告_页面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descr="2025年二季度检测报告_页面_06"/>
                    <pic:cNvPicPr>
                      <a:picLocks noChangeAspect="1"/>
                    </pic:cNvPicPr>
                  </pic:nvPicPr>
                  <pic:blipFill>
                    <a:blip r:embed="rId134"/>
                    <a:stretch>
                      <a:fillRect/>
                    </a:stretch>
                  </pic:blipFill>
                  <pic:spPr>
                    <a:xfrm>
                      <a:off x="0" y="0"/>
                      <a:ext cx="5959475" cy="8429625"/>
                    </a:xfrm>
                    <a:prstGeom prst="rect">
                      <a:avLst/>
                    </a:prstGeom>
                  </pic:spPr>
                </pic:pic>
              </a:graphicData>
            </a:graphic>
          </wp:inline>
        </w:drawing>
      </w:r>
      <w:r>
        <w:rPr>
          <w:rFonts w:hint="eastAsia"/>
          <w:lang w:val="en-US" w:eastAsia="zh-CN"/>
        </w:rPr>
        <w:drawing>
          <wp:inline distT="0" distB="0" distL="114300" distR="114300">
            <wp:extent cx="5965825" cy="8442325"/>
            <wp:effectExtent l="0" t="0" r="15875" b="15875"/>
            <wp:docPr id="121" name="图片 121" descr="2025年二季度检测报告_页面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2025年二季度检测报告_页面_10"/>
                    <pic:cNvPicPr>
                      <a:picLocks noChangeAspect="1"/>
                    </pic:cNvPicPr>
                  </pic:nvPicPr>
                  <pic:blipFill>
                    <a:blip r:embed="rId135"/>
                    <a:stretch>
                      <a:fillRect/>
                    </a:stretch>
                  </pic:blipFill>
                  <pic:spPr>
                    <a:xfrm>
                      <a:off x="0" y="0"/>
                      <a:ext cx="5965825" cy="8442325"/>
                    </a:xfrm>
                    <a:prstGeom prst="rect">
                      <a:avLst/>
                    </a:prstGeom>
                  </pic:spPr>
                </pic:pic>
              </a:graphicData>
            </a:graphic>
          </wp:inline>
        </w:drawing>
      </w:r>
      <w:r>
        <w:rPr>
          <w:rFonts w:hint="eastAsia"/>
          <w:lang w:val="en-US" w:eastAsia="zh-CN"/>
        </w:rPr>
        <w:drawing>
          <wp:inline distT="0" distB="0" distL="114300" distR="114300">
            <wp:extent cx="5949950" cy="8416290"/>
            <wp:effectExtent l="0" t="0" r="12700" b="3810"/>
            <wp:docPr id="120" name="图片 120" descr="2025年二季度检测报告_页面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descr="2025年二季度检测报告_页面_11"/>
                    <pic:cNvPicPr>
                      <a:picLocks noChangeAspect="1"/>
                    </pic:cNvPicPr>
                  </pic:nvPicPr>
                  <pic:blipFill>
                    <a:blip r:embed="rId136"/>
                    <a:stretch>
                      <a:fillRect/>
                    </a:stretch>
                  </pic:blipFill>
                  <pic:spPr>
                    <a:xfrm>
                      <a:off x="0" y="0"/>
                      <a:ext cx="5949950" cy="8416290"/>
                    </a:xfrm>
                    <a:prstGeom prst="rect">
                      <a:avLst/>
                    </a:prstGeom>
                  </pic:spPr>
                </pic:pic>
              </a:graphicData>
            </a:graphic>
          </wp:inline>
        </w:drawing>
      </w:r>
      <w:r>
        <w:rPr>
          <w:rFonts w:hint="eastAsia"/>
          <w:lang w:val="en-US" w:eastAsia="zh-CN"/>
        </w:rPr>
        <w:drawing>
          <wp:inline distT="0" distB="0" distL="114300" distR="114300">
            <wp:extent cx="5984875" cy="8468995"/>
            <wp:effectExtent l="0" t="0" r="15875" b="8255"/>
            <wp:docPr id="118" name="图片 118" descr="2025年二季度检测报告_页面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2025年二季度检测报告_页面_12"/>
                    <pic:cNvPicPr>
                      <a:picLocks noChangeAspect="1"/>
                    </pic:cNvPicPr>
                  </pic:nvPicPr>
                  <pic:blipFill>
                    <a:blip r:embed="rId137"/>
                    <a:stretch>
                      <a:fillRect/>
                    </a:stretch>
                  </pic:blipFill>
                  <pic:spPr>
                    <a:xfrm>
                      <a:off x="0" y="0"/>
                      <a:ext cx="5984875" cy="8468995"/>
                    </a:xfrm>
                    <a:prstGeom prst="rect">
                      <a:avLst/>
                    </a:prstGeom>
                  </pic:spPr>
                </pic:pic>
              </a:graphicData>
            </a:graphic>
          </wp:inline>
        </w:drawing>
      </w:r>
      <w:r>
        <w:rPr>
          <w:rFonts w:hint="eastAsia"/>
          <w:lang w:val="en-US" w:eastAsia="zh-CN"/>
        </w:rPr>
        <w:drawing>
          <wp:inline distT="0" distB="0" distL="114300" distR="114300">
            <wp:extent cx="5984240" cy="8455660"/>
            <wp:effectExtent l="0" t="0" r="16510" b="2540"/>
            <wp:docPr id="116" name="图片 116" descr="2025年二季度检测报告_页面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2025年二季度检测报告_页面_13"/>
                    <pic:cNvPicPr>
                      <a:picLocks noChangeAspect="1"/>
                    </pic:cNvPicPr>
                  </pic:nvPicPr>
                  <pic:blipFill>
                    <a:blip r:embed="rId138"/>
                    <a:stretch>
                      <a:fillRect/>
                    </a:stretch>
                  </pic:blipFill>
                  <pic:spPr>
                    <a:xfrm>
                      <a:off x="0" y="0"/>
                      <a:ext cx="5984240" cy="8455660"/>
                    </a:xfrm>
                    <a:prstGeom prst="rect">
                      <a:avLst/>
                    </a:prstGeom>
                  </pic:spPr>
                </pic:pic>
              </a:graphicData>
            </a:graphic>
          </wp:inline>
        </w:drawing>
      </w:r>
      <w:r>
        <w:rPr>
          <w:rFonts w:hint="eastAsia"/>
          <w:lang w:val="en-US" w:eastAsia="zh-CN"/>
        </w:rPr>
        <w:drawing>
          <wp:inline distT="0" distB="0" distL="114300" distR="114300">
            <wp:extent cx="5977890" cy="8455660"/>
            <wp:effectExtent l="0" t="0" r="3810" b="2540"/>
            <wp:docPr id="115" name="图片 115" descr="2025年二季度检测报告_页面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2025年二季度检测报告_页面_14"/>
                    <pic:cNvPicPr>
                      <a:picLocks noChangeAspect="1"/>
                    </pic:cNvPicPr>
                  </pic:nvPicPr>
                  <pic:blipFill>
                    <a:blip r:embed="rId139"/>
                    <a:stretch>
                      <a:fillRect/>
                    </a:stretch>
                  </pic:blipFill>
                  <pic:spPr>
                    <a:xfrm>
                      <a:off x="0" y="0"/>
                      <a:ext cx="5977890" cy="8455660"/>
                    </a:xfrm>
                    <a:prstGeom prst="rect">
                      <a:avLst/>
                    </a:prstGeom>
                  </pic:spPr>
                </pic:pic>
              </a:graphicData>
            </a:graphic>
          </wp:inline>
        </w:drawing>
      </w:r>
      <w:r>
        <w:rPr>
          <w:rFonts w:hint="eastAsia"/>
          <w:lang w:val="en-US" w:eastAsia="zh-CN"/>
        </w:rPr>
        <w:drawing>
          <wp:inline distT="0" distB="0" distL="114300" distR="114300">
            <wp:extent cx="5969635" cy="8482965"/>
            <wp:effectExtent l="0" t="0" r="12065" b="13335"/>
            <wp:docPr id="114" name="图片 114" descr="2025年二季度检测报告_页面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2025年二季度检测报告_页面_15"/>
                    <pic:cNvPicPr>
                      <a:picLocks noChangeAspect="1"/>
                    </pic:cNvPicPr>
                  </pic:nvPicPr>
                  <pic:blipFill>
                    <a:blip r:embed="rId140"/>
                    <a:stretch>
                      <a:fillRect/>
                    </a:stretch>
                  </pic:blipFill>
                  <pic:spPr>
                    <a:xfrm>
                      <a:off x="0" y="0"/>
                      <a:ext cx="5969635" cy="8482965"/>
                    </a:xfrm>
                    <a:prstGeom prst="rect">
                      <a:avLst/>
                    </a:prstGeom>
                  </pic:spPr>
                </pic:pic>
              </a:graphicData>
            </a:graphic>
          </wp:inline>
        </w:drawing>
      </w:r>
      <w:r>
        <w:rPr>
          <w:rFonts w:hint="eastAsia"/>
          <w:lang w:val="en-US" w:eastAsia="zh-CN"/>
        </w:rPr>
        <w:drawing>
          <wp:inline distT="0" distB="0" distL="114300" distR="114300">
            <wp:extent cx="5994400" cy="8482330"/>
            <wp:effectExtent l="0" t="0" r="6350" b="13970"/>
            <wp:docPr id="113" name="图片 113" descr="2025年二季度检测报告_页面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2025年二季度检测报告_页面_16"/>
                    <pic:cNvPicPr>
                      <a:picLocks noChangeAspect="1"/>
                    </pic:cNvPicPr>
                  </pic:nvPicPr>
                  <pic:blipFill>
                    <a:blip r:embed="rId141"/>
                    <a:stretch>
                      <a:fillRect/>
                    </a:stretch>
                  </pic:blipFill>
                  <pic:spPr>
                    <a:xfrm>
                      <a:off x="0" y="0"/>
                      <a:ext cx="5994400" cy="8482330"/>
                    </a:xfrm>
                    <a:prstGeom prst="rect">
                      <a:avLst/>
                    </a:prstGeom>
                  </pic:spPr>
                </pic:pic>
              </a:graphicData>
            </a:graphic>
          </wp:inline>
        </w:drawing>
      </w:r>
      <w:r>
        <w:rPr>
          <w:rFonts w:hint="eastAsia"/>
          <w:lang w:val="en-US" w:eastAsia="zh-CN"/>
        </w:rPr>
        <w:drawing>
          <wp:inline distT="0" distB="0" distL="114300" distR="114300">
            <wp:extent cx="5971540" cy="8488045"/>
            <wp:effectExtent l="0" t="0" r="10160" b="8255"/>
            <wp:docPr id="112" name="图片 112" descr="2025年二季度检测报告_页面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2025年二季度检测报告_页面_17"/>
                    <pic:cNvPicPr>
                      <a:picLocks noChangeAspect="1"/>
                    </pic:cNvPicPr>
                  </pic:nvPicPr>
                  <pic:blipFill>
                    <a:blip r:embed="rId142"/>
                    <a:stretch>
                      <a:fillRect/>
                    </a:stretch>
                  </pic:blipFill>
                  <pic:spPr>
                    <a:xfrm>
                      <a:off x="0" y="0"/>
                      <a:ext cx="5971540" cy="8488045"/>
                    </a:xfrm>
                    <a:prstGeom prst="rect">
                      <a:avLst/>
                    </a:prstGeom>
                  </pic:spPr>
                </pic:pic>
              </a:graphicData>
            </a:graphic>
          </wp:inline>
        </w:drawing>
      </w:r>
      <w:r>
        <w:rPr>
          <w:rFonts w:hint="eastAsia"/>
          <w:lang w:val="en-US" w:eastAsia="zh-CN"/>
        </w:rPr>
        <w:drawing>
          <wp:inline distT="0" distB="0" distL="114300" distR="114300">
            <wp:extent cx="5988050" cy="8470265"/>
            <wp:effectExtent l="0" t="0" r="12700" b="6985"/>
            <wp:docPr id="111" name="图片 111" descr="2025年二季度检测报告_页面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2025年二季度检测报告_页面_18"/>
                    <pic:cNvPicPr>
                      <a:picLocks noChangeAspect="1"/>
                    </pic:cNvPicPr>
                  </pic:nvPicPr>
                  <pic:blipFill>
                    <a:blip r:embed="rId143"/>
                    <a:stretch>
                      <a:fillRect/>
                    </a:stretch>
                  </pic:blipFill>
                  <pic:spPr>
                    <a:xfrm>
                      <a:off x="0" y="0"/>
                      <a:ext cx="5988050" cy="8470265"/>
                    </a:xfrm>
                    <a:prstGeom prst="rect">
                      <a:avLst/>
                    </a:prstGeom>
                  </pic:spPr>
                </pic:pic>
              </a:graphicData>
            </a:graphic>
          </wp:inline>
        </w:drawing>
      </w:r>
      <w:r>
        <w:rPr>
          <w:rFonts w:hint="eastAsia"/>
          <w:lang w:val="en-US" w:eastAsia="zh-CN"/>
        </w:rPr>
        <w:drawing>
          <wp:inline distT="0" distB="0" distL="114300" distR="114300">
            <wp:extent cx="5984875" cy="8470265"/>
            <wp:effectExtent l="0" t="0" r="15875" b="6985"/>
            <wp:docPr id="109" name="图片 109" descr="2025年二季度检测报告_页面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2025年二季度检测报告_页面_19"/>
                    <pic:cNvPicPr>
                      <a:picLocks noChangeAspect="1"/>
                    </pic:cNvPicPr>
                  </pic:nvPicPr>
                  <pic:blipFill>
                    <a:blip r:embed="rId144"/>
                    <a:stretch>
                      <a:fillRect/>
                    </a:stretch>
                  </pic:blipFill>
                  <pic:spPr>
                    <a:xfrm>
                      <a:off x="0" y="0"/>
                      <a:ext cx="5984875" cy="8470265"/>
                    </a:xfrm>
                    <a:prstGeom prst="rect">
                      <a:avLst/>
                    </a:prstGeom>
                  </pic:spPr>
                </pic:pic>
              </a:graphicData>
            </a:graphic>
          </wp:inline>
        </w:drawing>
      </w:r>
    </w:p>
    <w:p w14:paraId="5EBACA62">
      <w:pPr>
        <w:spacing w:line="360" w:lineRule="auto"/>
        <w:jc w:val="center"/>
        <w:rPr>
          <w:rFonts w:hint="eastAsia"/>
          <w:lang w:val="en-US" w:eastAsia="zh-CN"/>
        </w:rPr>
      </w:pPr>
      <w:r>
        <w:rPr>
          <w:rFonts w:hint="default"/>
          <w:color w:val="000000" w:themeColor="text1"/>
          <w:highlight w:val="none"/>
          <w:lang w:val="en-US" w:eastAsia="zh-CN"/>
          <w14:textFill>
            <w14:solidFill>
              <w14:schemeClr w14:val="tx1"/>
            </w14:solidFill>
          </w14:textFill>
        </w:rPr>
        <w:drawing>
          <wp:inline distT="0" distB="0" distL="114300" distR="114300">
            <wp:extent cx="5663565" cy="8056245"/>
            <wp:effectExtent l="0" t="0" r="13335" b="1905"/>
            <wp:docPr id="136" name="图片 136" descr="3月上半年污染物检测_页面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6" descr="3月上半年污染物检测_页面_01"/>
                    <pic:cNvPicPr>
                      <a:picLocks noChangeAspect="1"/>
                    </pic:cNvPicPr>
                  </pic:nvPicPr>
                  <pic:blipFill>
                    <a:blip r:embed="rId145"/>
                    <a:stretch>
                      <a:fillRect/>
                    </a:stretch>
                  </pic:blipFill>
                  <pic:spPr>
                    <a:xfrm>
                      <a:off x="0" y="0"/>
                      <a:ext cx="5663565" cy="8056245"/>
                    </a:xfrm>
                    <a:prstGeom prst="rect">
                      <a:avLst/>
                    </a:prstGeom>
                  </pic:spPr>
                </pic:pic>
              </a:graphicData>
            </a:graphic>
          </wp:inline>
        </w:drawing>
      </w:r>
      <w:r>
        <w:rPr>
          <w:rFonts w:hint="default"/>
          <w:color w:val="000000" w:themeColor="text1"/>
          <w:highlight w:val="none"/>
          <w:lang w:val="en-US" w:eastAsia="zh-CN"/>
          <w14:textFill>
            <w14:solidFill>
              <w14:schemeClr w14:val="tx1"/>
            </w14:solidFill>
          </w14:textFill>
        </w:rPr>
        <w:drawing>
          <wp:inline distT="0" distB="0" distL="114300" distR="114300">
            <wp:extent cx="5957570" cy="8406765"/>
            <wp:effectExtent l="0" t="0" r="5080" b="13335"/>
            <wp:docPr id="135" name="图片 135" descr="3月上半年污染物检测_页面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5" descr="3月上半年污染物检测_页面_02"/>
                    <pic:cNvPicPr>
                      <a:picLocks noChangeAspect="1"/>
                    </pic:cNvPicPr>
                  </pic:nvPicPr>
                  <pic:blipFill>
                    <a:blip r:embed="rId146"/>
                    <a:stretch>
                      <a:fillRect/>
                    </a:stretch>
                  </pic:blipFill>
                  <pic:spPr>
                    <a:xfrm>
                      <a:off x="0" y="0"/>
                      <a:ext cx="5957570" cy="8406765"/>
                    </a:xfrm>
                    <a:prstGeom prst="rect">
                      <a:avLst/>
                    </a:prstGeom>
                  </pic:spPr>
                </pic:pic>
              </a:graphicData>
            </a:graphic>
          </wp:inline>
        </w:drawing>
      </w:r>
      <w:r>
        <w:rPr>
          <w:rFonts w:hint="default"/>
          <w:color w:val="000000" w:themeColor="text1"/>
          <w:highlight w:val="none"/>
          <w:lang w:val="en-US" w:eastAsia="zh-CN"/>
          <w14:textFill>
            <w14:solidFill>
              <w14:schemeClr w14:val="tx1"/>
            </w14:solidFill>
          </w14:textFill>
        </w:rPr>
        <w:drawing>
          <wp:inline distT="0" distB="0" distL="114300" distR="114300">
            <wp:extent cx="5930900" cy="8434070"/>
            <wp:effectExtent l="0" t="0" r="12700" b="5080"/>
            <wp:docPr id="134" name="图片 134" descr="3月上半年污染物检测_页面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4" descr="3月上半年污染物检测_页面_03"/>
                    <pic:cNvPicPr>
                      <a:picLocks noChangeAspect="1"/>
                    </pic:cNvPicPr>
                  </pic:nvPicPr>
                  <pic:blipFill>
                    <a:blip r:embed="rId147"/>
                    <a:stretch>
                      <a:fillRect/>
                    </a:stretch>
                  </pic:blipFill>
                  <pic:spPr>
                    <a:xfrm>
                      <a:off x="0" y="0"/>
                      <a:ext cx="5930900" cy="8434070"/>
                    </a:xfrm>
                    <a:prstGeom prst="rect">
                      <a:avLst/>
                    </a:prstGeom>
                  </pic:spPr>
                </pic:pic>
              </a:graphicData>
            </a:graphic>
          </wp:inline>
        </w:drawing>
      </w:r>
      <w:r>
        <w:rPr>
          <w:rFonts w:hint="default"/>
          <w:color w:val="000000" w:themeColor="text1"/>
          <w:highlight w:val="none"/>
          <w:lang w:val="en-US" w:eastAsia="zh-CN"/>
          <w14:textFill>
            <w14:solidFill>
              <w14:schemeClr w14:val="tx1"/>
            </w14:solidFill>
          </w14:textFill>
        </w:rPr>
        <w:drawing>
          <wp:inline distT="0" distB="0" distL="114300" distR="114300">
            <wp:extent cx="5901690" cy="8392795"/>
            <wp:effectExtent l="0" t="0" r="3810" b="8255"/>
            <wp:docPr id="132" name="图片 132" descr="3月上半年污染物检测_页面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descr="3月上半年污染物检测_页面_04"/>
                    <pic:cNvPicPr>
                      <a:picLocks noChangeAspect="1"/>
                    </pic:cNvPicPr>
                  </pic:nvPicPr>
                  <pic:blipFill>
                    <a:blip r:embed="rId148"/>
                    <a:stretch>
                      <a:fillRect/>
                    </a:stretch>
                  </pic:blipFill>
                  <pic:spPr>
                    <a:xfrm>
                      <a:off x="0" y="0"/>
                      <a:ext cx="5901690" cy="8392795"/>
                    </a:xfrm>
                    <a:prstGeom prst="rect">
                      <a:avLst/>
                    </a:prstGeom>
                  </pic:spPr>
                </pic:pic>
              </a:graphicData>
            </a:graphic>
          </wp:inline>
        </w:drawing>
      </w:r>
      <w:r>
        <w:rPr>
          <w:rFonts w:hint="default"/>
          <w:color w:val="000000" w:themeColor="text1"/>
          <w:highlight w:val="none"/>
          <w:lang w:val="en-US" w:eastAsia="zh-CN"/>
          <w14:textFill>
            <w14:solidFill>
              <w14:schemeClr w14:val="tx1"/>
            </w14:solidFill>
          </w14:textFill>
        </w:rPr>
        <w:drawing>
          <wp:inline distT="0" distB="0" distL="114300" distR="114300">
            <wp:extent cx="5978525" cy="8441690"/>
            <wp:effectExtent l="0" t="0" r="3175" b="16510"/>
            <wp:docPr id="130" name="图片 130" descr="3月上半年污染物检测_页面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descr="3月上半年污染物检测_页面_05"/>
                    <pic:cNvPicPr>
                      <a:picLocks noChangeAspect="1"/>
                    </pic:cNvPicPr>
                  </pic:nvPicPr>
                  <pic:blipFill>
                    <a:blip r:embed="rId149"/>
                    <a:stretch>
                      <a:fillRect/>
                    </a:stretch>
                  </pic:blipFill>
                  <pic:spPr>
                    <a:xfrm>
                      <a:off x="0" y="0"/>
                      <a:ext cx="5978525" cy="8441690"/>
                    </a:xfrm>
                    <a:prstGeom prst="rect">
                      <a:avLst/>
                    </a:prstGeom>
                  </pic:spPr>
                </pic:pic>
              </a:graphicData>
            </a:graphic>
          </wp:inline>
        </w:drawing>
      </w:r>
      <w:r>
        <w:rPr>
          <w:rFonts w:hint="default"/>
          <w:color w:val="000000" w:themeColor="text1"/>
          <w:highlight w:val="none"/>
          <w:lang w:val="en-US" w:eastAsia="zh-CN"/>
          <w14:textFill>
            <w14:solidFill>
              <w14:schemeClr w14:val="tx1"/>
            </w14:solidFill>
          </w14:textFill>
        </w:rPr>
        <w:drawing>
          <wp:inline distT="0" distB="0" distL="114300" distR="114300">
            <wp:extent cx="5948045" cy="8399145"/>
            <wp:effectExtent l="0" t="0" r="14605" b="1905"/>
            <wp:docPr id="129" name="图片 129" descr="3月上半年污染物检测_页面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descr="3月上半年污染物检测_页面_06"/>
                    <pic:cNvPicPr>
                      <a:picLocks noChangeAspect="1"/>
                    </pic:cNvPicPr>
                  </pic:nvPicPr>
                  <pic:blipFill>
                    <a:blip r:embed="rId150"/>
                    <a:stretch>
                      <a:fillRect/>
                    </a:stretch>
                  </pic:blipFill>
                  <pic:spPr>
                    <a:xfrm>
                      <a:off x="0" y="0"/>
                      <a:ext cx="5948045" cy="8399145"/>
                    </a:xfrm>
                    <a:prstGeom prst="rect">
                      <a:avLst/>
                    </a:prstGeom>
                  </pic:spPr>
                </pic:pic>
              </a:graphicData>
            </a:graphic>
          </wp:inline>
        </w:drawing>
      </w:r>
      <w:r>
        <w:rPr>
          <w:rFonts w:hint="default"/>
          <w:color w:val="000000" w:themeColor="text1"/>
          <w:highlight w:val="none"/>
          <w:lang w:val="en-US" w:eastAsia="zh-CN"/>
          <w14:textFill>
            <w14:solidFill>
              <w14:schemeClr w14:val="tx1"/>
            </w14:solidFill>
          </w14:textFill>
        </w:rPr>
        <w:drawing>
          <wp:inline distT="0" distB="0" distL="114300" distR="114300">
            <wp:extent cx="5953125" cy="8459470"/>
            <wp:effectExtent l="0" t="0" r="9525" b="17780"/>
            <wp:docPr id="128" name="图片 128" descr="3月上半年污染物检测_页面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descr="3月上半年污染物检测_页面_07"/>
                    <pic:cNvPicPr>
                      <a:picLocks noChangeAspect="1"/>
                    </pic:cNvPicPr>
                  </pic:nvPicPr>
                  <pic:blipFill>
                    <a:blip r:embed="rId151"/>
                    <a:stretch>
                      <a:fillRect/>
                    </a:stretch>
                  </pic:blipFill>
                  <pic:spPr>
                    <a:xfrm>
                      <a:off x="0" y="0"/>
                      <a:ext cx="5953125" cy="8459470"/>
                    </a:xfrm>
                    <a:prstGeom prst="rect">
                      <a:avLst/>
                    </a:prstGeom>
                  </pic:spPr>
                </pic:pic>
              </a:graphicData>
            </a:graphic>
          </wp:inline>
        </w:drawing>
      </w:r>
      <w:r>
        <w:rPr>
          <w:rFonts w:hint="default"/>
          <w:color w:val="000000" w:themeColor="text1"/>
          <w:highlight w:val="none"/>
          <w:lang w:val="en-US" w:eastAsia="zh-CN"/>
          <w14:textFill>
            <w14:solidFill>
              <w14:schemeClr w14:val="tx1"/>
            </w14:solidFill>
          </w14:textFill>
        </w:rPr>
        <w:drawing>
          <wp:inline distT="0" distB="0" distL="114300" distR="114300">
            <wp:extent cx="5951220" cy="8417560"/>
            <wp:effectExtent l="0" t="0" r="11430" b="2540"/>
            <wp:docPr id="119" name="图片 119" descr="3月上半年污染物检测_页面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3月上半年污染物检测_页面_08"/>
                    <pic:cNvPicPr>
                      <a:picLocks noChangeAspect="1"/>
                    </pic:cNvPicPr>
                  </pic:nvPicPr>
                  <pic:blipFill>
                    <a:blip r:embed="rId152"/>
                    <a:stretch>
                      <a:fillRect/>
                    </a:stretch>
                  </pic:blipFill>
                  <pic:spPr>
                    <a:xfrm>
                      <a:off x="0" y="0"/>
                      <a:ext cx="5951220" cy="8417560"/>
                    </a:xfrm>
                    <a:prstGeom prst="rect">
                      <a:avLst/>
                    </a:prstGeom>
                  </pic:spPr>
                </pic:pic>
              </a:graphicData>
            </a:graphic>
          </wp:inline>
        </w:drawing>
      </w:r>
      <w:r>
        <w:rPr>
          <w:rFonts w:hint="default"/>
          <w:color w:val="000000" w:themeColor="text1"/>
          <w:highlight w:val="none"/>
          <w:lang w:val="en-US" w:eastAsia="zh-CN"/>
          <w14:textFill>
            <w14:solidFill>
              <w14:schemeClr w14:val="tx1"/>
            </w14:solidFill>
          </w14:textFill>
        </w:rPr>
        <w:drawing>
          <wp:inline distT="0" distB="0" distL="114300" distR="114300">
            <wp:extent cx="5930900" cy="8434070"/>
            <wp:effectExtent l="0" t="0" r="12700" b="5080"/>
            <wp:docPr id="117" name="图片 117" descr="3月上半年污染物检测_页面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3月上半年污染物检测_页面_09"/>
                    <pic:cNvPicPr>
                      <a:picLocks noChangeAspect="1"/>
                    </pic:cNvPicPr>
                  </pic:nvPicPr>
                  <pic:blipFill>
                    <a:blip r:embed="rId153"/>
                    <a:stretch>
                      <a:fillRect/>
                    </a:stretch>
                  </pic:blipFill>
                  <pic:spPr>
                    <a:xfrm>
                      <a:off x="0" y="0"/>
                      <a:ext cx="5930900" cy="8434070"/>
                    </a:xfrm>
                    <a:prstGeom prst="rect">
                      <a:avLst/>
                    </a:prstGeom>
                  </pic:spPr>
                </pic:pic>
              </a:graphicData>
            </a:graphic>
          </wp:inline>
        </w:drawing>
      </w:r>
      <w:r>
        <w:rPr>
          <w:rFonts w:hint="default"/>
          <w:color w:val="000000" w:themeColor="text1"/>
          <w:highlight w:val="none"/>
          <w:lang w:val="en-US" w:eastAsia="zh-CN"/>
          <w14:textFill>
            <w14:solidFill>
              <w14:schemeClr w14:val="tx1"/>
            </w14:solidFill>
          </w14:textFill>
        </w:rPr>
        <w:drawing>
          <wp:inline distT="0" distB="0" distL="114300" distR="114300">
            <wp:extent cx="5940425" cy="8387715"/>
            <wp:effectExtent l="0" t="0" r="3175" b="13335"/>
            <wp:docPr id="107" name="图片 107" descr="3月上半年污染物检测_页面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3月上半年污染物检测_页面_10"/>
                    <pic:cNvPicPr>
                      <a:picLocks noChangeAspect="1"/>
                    </pic:cNvPicPr>
                  </pic:nvPicPr>
                  <pic:blipFill>
                    <a:blip r:embed="rId154"/>
                    <a:stretch>
                      <a:fillRect/>
                    </a:stretch>
                  </pic:blipFill>
                  <pic:spPr>
                    <a:xfrm>
                      <a:off x="0" y="0"/>
                      <a:ext cx="5940425" cy="8387715"/>
                    </a:xfrm>
                    <a:prstGeom prst="rect">
                      <a:avLst/>
                    </a:prstGeom>
                  </pic:spPr>
                </pic:pic>
              </a:graphicData>
            </a:graphic>
          </wp:inline>
        </w:drawing>
      </w:r>
      <w:r>
        <w:rPr>
          <w:rFonts w:hint="default"/>
          <w:color w:val="000000" w:themeColor="text1"/>
          <w:highlight w:val="none"/>
          <w:lang w:val="en-US" w:eastAsia="zh-CN"/>
          <w14:textFill>
            <w14:solidFill>
              <w14:schemeClr w14:val="tx1"/>
            </w14:solidFill>
          </w14:textFill>
        </w:rPr>
        <w:drawing>
          <wp:inline distT="0" distB="0" distL="114300" distR="114300">
            <wp:extent cx="5966460" cy="8446135"/>
            <wp:effectExtent l="0" t="0" r="15240" b="12065"/>
            <wp:docPr id="106" name="图片 106" descr="3月上半年污染物检测_页面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3月上半年污染物检测_页面_11"/>
                    <pic:cNvPicPr>
                      <a:picLocks noChangeAspect="1"/>
                    </pic:cNvPicPr>
                  </pic:nvPicPr>
                  <pic:blipFill>
                    <a:blip r:embed="rId155"/>
                    <a:stretch>
                      <a:fillRect/>
                    </a:stretch>
                  </pic:blipFill>
                  <pic:spPr>
                    <a:xfrm>
                      <a:off x="0" y="0"/>
                      <a:ext cx="5966460" cy="8446135"/>
                    </a:xfrm>
                    <a:prstGeom prst="rect">
                      <a:avLst/>
                    </a:prstGeom>
                  </pic:spPr>
                </pic:pic>
              </a:graphicData>
            </a:graphic>
          </wp:inline>
        </w:drawing>
      </w:r>
      <w:r>
        <w:rPr>
          <w:rFonts w:hint="default"/>
          <w:color w:val="000000" w:themeColor="text1"/>
          <w:highlight w:val="none"/>
          <w:lang w:val="en-US" w:eastAsia="zh-CN"/>
          <w14:textFill>
            <w14:solidFill>
              <w14:schemeClr w14:val="tx1"/>
            </w14:solidFill>
          </w14:textFill>
        </w:rPr>
        <w:drawing>
          <wp:inline distT="0" distB="0" distL="114300" distR="114300">
            <wp:extent cx="5921375" cy="8420735"/>
            <wp:effectExtent l="0" t="0" r="3175" b="18415"/>
            <wp:docPr id="105" name="图片 105" descr="3月上半年污染物检测_页面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3月上半年污染物检测_页面_12"/>
                    <pic:cNvPicPr>
                      <a:picLocks noChangeAspect="1"/>
                    </pic:cNvPicPr>
                  </pic:nvPicPr>
                  <pic:blipFill>
                    <a:blip r:embed="rId156"/>
                    <a:stretch>
                      <a:fillRect/>
                    </a:stretch>
                  </pic:blipFill>
                  <pic:spPr>
                    <a:xfrm>
                      <a:off x="0" y="0"/>
                      <a:ext cx="5921375" cy="8420735"/>
                    </a:xfrm>
                    <a:prstGeom prst="rect">
                      <a:avLst/>
                    </a:prstGeom>
                  </pic:spPr>
                </pic:pic>
              </a:graphicData>
            </a:graphic>
          </wp:inline>
        </w:drawing>
      </w:r>
    </w:p>
    <w:p w14:paraId="5F502AAF">
      <w:pPr>
        <w:pStyle w:val="27"/>
        <w:spacing w:line="360" w:lineRule="auto"/>
        <w:ind w:firstLine="0" w:firstLineChars="0"/>
        <w:jc w:val="center"/>
        <w:rPr>
          <w:rFonts w:hint="eastAsia" w:eastAsia="宋体" w:cs="Times New Roman"/>
          <w:b/>
          <w:color w:val="000000" w:themeColor="text1"/>
          <w:sz w:val="24"/>
          <w:highlight w:val="none"/>
          <w:lang w:val="en-US" w:eastAsia="zh-CN"/>
          <w14:textFill>
            <w14:solidFill>
              <w14:schemeClr w14:val="tx1"/>
            </w14:solidFill>
          </w14:textFill>
        </w:rPr>
        <w:sectPr>
          <w:pgSz w:w="11906" w:h="16838"/>
          <w:pgMar w:top="1701" w:right="1134" w:bottom="1701" w:left="1134"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63CDB274">
      <w:pPr>
        <w:pStyle w:val="2"/>
        <w:keepNext w:val="0"/>
        <w:keepLines w:val="0"/>
        <w:pageBreakBefore w:val="0"/>
        <w:widowControl w:val="0"/>
        <w:kinsoku/>
        <w:wordWrap/>
        <w:overflowPunct/>
        <w:topLinePunct w:val="0"/>
        <w:autoSpaceDE/>
        <w:autoSpaceDN/>
        <w:bidi w:val="0"/>
        <w:adjustRightInd/>
        <w:snapToGrid w:val="0"/>
        <w:spacing w:before="0" w:after="0" w:line="360" w:lineRule="auto"/>
        <w:ind w:left="0" w:firstLine="0"/>
        <w:jc w:val="both"/>
        <w:textAlignment w:val="auto"/>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附件10：引用检测报告</w:t>
      </w:r>
    </w:p>
    <w:p w14:paraId="62C3AB2D">
      <w:pPr>
        <w:jc w:val="center"/>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sectPr>
          <w:pgSz w:w="11906" w:h="16838"/>
          <w:pgMar w:top="1701" w:right="1134" w:bottom="1701" w:left="1134" w:header="851" w:footer="992" w:gutter="0"/>
          <w:pgBorders>
            <w:top w:val="none" w:sz="0" w:space="0"/>
            <w:left w:val="none" w:sz="0" w:space="0"/>
            <w:bottom w:val="none" w:sz="0" w:space="0"/>
            <w:right w:val="none" w:sz="0" w:space="0"/>
          </w:pgBorders>
          <w:pgNumType w:fmt="numberInDash"/>
          <w:cols w:space="425" w:num="1"/>
          <w:docGrid w:type="lines" w:linePitch="312" w:charSpace="0"/>
        </w:sectPr>
      </w:pPr>
      <w:r>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drawing>
          <wp:inline distT="0" distB="0" distL="114300" distR="114300">
            <wp:extent cx="5699125" cy="8064500"/>
            <wp:effectExtent l="0" t="0" r="15875" b="12700"/>
            <wp:docPr id="152" name="图片 15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52" descr="1"/>
                    <pic:cNvPicPr>
                      <a:picLocks noChangeAspect="1"/>
                    </pic:cNvPicPr>
                  </pic:nvPicPr>
                  <pic:blipFill>
                    <a:blip r:embed="rId157"/>
                    <a:stretch>
                      <a:fillRect/>
                    </a:stretch>
                  </pic:blipFill>
                  <pic:spPr>
                    <a:xfrm>
                      <a:off x="0" y="0"/>
                      <a:ext cx="5699125" cy="8064500"/>
                    </a:xfrm>
                    <a:prstGeom prst="rect">
                      <a:avLst/>
                    </a:prstGeom>
                  </pic:spPr>
                </pic:pic>
              </a:graphicData>
            </a:graphic>
          </wp:inline>
        </w:drawing>
      </w:r>
      <w:r>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drawing>
          <wp:inline distT="0" distB="0" distL="114300" distR="114300">
            <wp:extent cx="5937885" cy="8401685"/>
            <wp:effectExtent l="0" t="0" r="5715" b="18415"/>
            <wp:docPr id="146" name="图片 14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46" descr="2"/>
                    <pic:cNvPicPr>
                      <a:picLocks noChangeAspect="1"/>
                    </pic:cNvPicPr>
                  </pic:nvPicPr>
                  <pic:blipFill>
                    <a:blip r:embed="rId158"/>
                    <a:stretch>
                      <a:fillRect/>
                    </a:stretch>
                  </pic:blipFill>
                  <pic:spPr>
                    <a:xfrm>
                      <a:off x="0" y="0"/>
                      <a:ext cx="5937885" cy="8401685"/>
                    </a:xfrm>
                    <a:prstGeom prst="rect">
                      <a:avLst/>
                    </a:prstGeom>
                  </pic:spPr>
                </pic:pic>
              </a:graphicData>
            </a:graphic>
          </wp:inline>
        </w:drawing>
      </w:r>
      <w:r>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drawing>
          <wp:inline distT="0" distB="0" distL="114300" distR="114300">
            <wp:extent cx="5895975" cy="8342630"/>
            <wp:effectExtent l="0" t="0" r="9525" b="1270"/>
            <wp:docPr id="145" name="图片 14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45" descr="3"/>
                    <pic:cNvPicPr>
                      <a:picLocks noChangeAspect="1"/>
                    </pic:cNvPicPr>
                  </pic:nvPicPr>
                  <pic:blipFill>
                    <a:blip r:embed="rId159"/>
                    <a:stretch>
                      <a:fillRect/>
                    </a:stretch>
                  </pic:blipFill>
                  <pic:spPr>
                    <a:xfrm>
                      <a:off x="0" y="0"/>
                      <a:ext cx="5895975" cy="8342630"/>
                    </a:xfrm>
                    <a:prstGeom prst="rect">
                      <a:avLst/>
                    </a:prstGeom>
                  </pic:spPr>
                </pic:pic>
              </a:graphicData>
            </a:graphic>
          </wp:inline>
        </w:drawing>
      </w:r>
      <w:r>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drawing>
          <wp:inline distT="0" distB="0" distL="114300" distR="114300">
            <wp:extent cx="5922010" cy="8380095"/>
            <wp:effectExtent l="0" t="0" r="2540" b="1905"/>
            <wp:docPr id="144" name="图片 14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44" descr="4"/>
                    <pic:cNvPicPr>
                      <a:picLocks noChangeAspect="1"/>
                    </pic:cNvPicPr>
                  </pic:nvPicPr>
                  <pic:blipFill>
                    <a:blip r:embed="rId160"/>
                    <a:stretch>
                      <a:fillRect/>
                    </a:stretch>
                  </pic:blipFill>
                  <pic:spPr>
                    <a:xfrm>
                      <a:off x="0" y="0"/>
                      <a:ext cx="5922010" cy="8380095"/>
                    </a:xfrm>
                    <a:prstGeom prst="rect">
                      <a:avLst/>
                    </a:prstGeom>
                  </pic:spPr>
                </pic:pic>
              </a:graphicData>
            </a:graphic>
          </wp:inline>
        </w:drawing>
      </w:r>
      <w:r>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drawing>
          <wp:inline distT="0" distB="0" distL="114300" distR="114300">
            <wp:extent cx="5966460" cy="8442325"/>
            <wp:effectExtent l="0" t="0" r="15240" b="15875"/>
            <wp:docPr id="143" name="图片 143"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43" descr="5"/>
                    <pic:cNvPicPr>
                      <a:picLocks noChangeAspect="1"/>
                    </pic:cNvPicPr>
                  </pic:nvPicPr>
                  <pic:blipFill>
                    <a:blip r:embed="rId161"/>
                    <a:stretch>
                      <a:fillRect/>
                    </a:stretch>
                  </pic:blipFill>
                  <pic:spPr>
                    <a:xfrm>
                      <a:off x="0" y="0"/>
                      <a:ext cx="5966460" cy="8442325"/>
                    </a:xfrm>
                    <a:prstGeom prst="rect">
                      <a:avLst/>
                    </a:prstGeom>
                  </pic:spPr>
                </pic:pic>
              </a:graphicData>
            </a:graphic>
          </wp:inline>
        </w:drawing>
      </w:r>
      <w:r>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drawing>
          <wp:inline distT="0" distB="0" distL="114300" distR="114300">
            <wp:extent cx="5922010" cy="8380095"/>
            <wp:effectExtent l="0" t="0" r="2540" b="1905"/>
            <wp:docPr id="141" name="图片 141"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41" descr="6"/>
                    <pic:cNvPicPr>
                      <a:picLocks noChangeAspect="1"/>
                    </pic:cNvPicPr>
                  </pic:nvPicPr>
                  <pic:blipFill>
                    <a:blip r:embed="rId162"/>
                    <a:stretch>
                      <a:fillRect/>
                    </a:stretch>
                  </pic:blipFill>
                  <pic:spPr>
                    <a:xfrm>
                      <a:off x="0" y="0"/>
                      <a:ext cx="5922010" cy="8380095"/>
                    </a:xfrm>
                    <a:prstGeom prst="rect">
                      <a:avLst/>
                    </a:prstGeom>
                  </pic:spPr>
                </pic:pic>
              </a:graphicData>
            </a:graphic>
          </wp:inline>
        </w:drawing>
      </w:r>
    </w:p>
    <w:p w14:paraId="11D27DDD">
      <w:pPr>
        <w:pStyle w:val="2"/>
        <w:keepNext w:val="0"/>
        <w:keepLines w:val="0"/>
        <w:pageBreakBefore w:val="0"/>
        <w:widowControl w:val="0"/>
        <w:kinsoku/>
        <w:wordWrap/>
        <w:overflowPunct/>
        <w:topLinePunct w:val="0"/>
        <w:autoSpaceDE/>
        <w:autoSpaceDN/>
        <w:bidi w:val="0"/>
        <w:adjustRightInd/>
        <w:snapToGrid w:val="0"/>
        <w:spacing w:before="0" w:after="0" w:line="360" w:lineRule="auto"/>
        <w:ind w:left="0" w:firstLine="0"/>
        <w:jc w:val="both"/>
        <w:textAlignment w:val="auto"/>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附件1</w:t>
      </w:r>
      <w:r>
        <w:rPr>
          <w:rFonts w:hint="eastAsia" w:eastAsia="宋体" w:cs="Times New Roman"/>
          <w:color w:val="000000" w:themeColor="text1"/>
          <w:kern w:val="2"/>
          <w:sz w:val="28"/>
          <w:szCs w:val="28"/>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w:t>
      </w:r>
      <w:r>
        <w:rPr>
          <w:rFonts w:hint="eastAsia" w:eastAsia="宋体" w:cs="Times New Roman"/>
          <w:color w:val="000000" w:themeColor="text1"/>
          <w:kern w:val="2"/>
          <w:sz w:val="28"/>
          <w:szCs w:val="28"/>
          <w:highlight w:val="none"/>
          <w:lang w:val="en-US" w:eastAsia="zh-CN"/>
          <w14:textFill>
            <w14:solidFill>
              <w14:schemeClr w14:val="tx1"/>
            </w14:solidFill>
          </w14:textFill>
        </w:rPr>
        <w:t>声环境现状监测报告</w:t>
      </w:r>
    </w:p>
    <w:p w14:paraId="40870DBA">
      <w:pPr>
        <w:bidi w:val="0"/>
        <w:jc w:val="center"/>
        <w:rPr>
          <w:rFonts w:hint="eastAsia"/>
          <w:lang w:val="en-US" w:eastAsia="zh-CN"/>
        </w:rPr>
      </w:pPr>
      <w:r>
        <w:rPr>
          <w:rFonts w:hint="eastAsia"/>
          <w:lang w:val="en-US" w:eastAsia="zh-CN"/>
        </w:rPr>
        <w:drawing>
          <wp:inline distT="0" distB="0" distL="114300" distR="114300">
            <wp:extent cx="5674995" cy="8023225"/>
            <wp:effectExtent l="0" t="0" r="1905" b="15875"/>
            <wp:docPr id="337" name="图片 337" descr="辽宁华润本溪三药有限公司改扩建项目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图片 337" descr="辽宁华润本溪三药有限公司改扩建项目_页面_1"/>
                    <pic:cNvPicPr>
                      <a:picLocks noChangeAspect="1"/>
                    </pic:cNvPicPr>
                  </pic:nvPicPr>
                  <pic:blipFill>
                    <a:blip r:embed="rId163"/>
                    <a:stretch>
                      <a:fillRect/>
                    </a:stretch>
                  </pic:blipFill>
                  <pic:spPr>
                    <a:xfrm>
                      <a:off x="0" y="0"/>
                      <a:ext cx="5674995" cy="8023225"/>
                    </a:xfrm>
                    <a:prstGeom prst="rect">
                      <a:avLst/>
                    </a:prstGeom>
                  </pic:spPr>
                </pic:pic>
              </a:graphicData>
            </a:graphic>
          </wp:inline>
        </w:drawing>
      </w:r>
      <w:r>
        <w:rPr>
          <w:rFonts w:hint="eastAsia"/>
          <w:lang w:val="en-US" w:eastAsia="zh-CN"/>
        </w:rPr>
        <w:drawing>
          <wp:inline distT="0" distB="0" distL="114300" distR="114300">
            <wp:extent cx="6034405" cy="8530590"/>
            <wp:effectExtent l="0" t="0" r="4445" b="3810"/>
            <wp:docPr id="336" name="图片 336" descr="辽宁华润本溪三药有限公司改扩建项目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图片 336" descr="辽宁华润本溪三药有限公司改扩建项目_页面_2"/>
                    <pic:cNvPicPr>
                      <a:picLocks noChangeAspect="1"/>
                    </pic:cNvPicPr>
                  </pic:nvPicPr>
                  <pic:blipFill>
                    <a:blip r:embed="rId164"/>
                    <a:stretch>
                      <a:fillRect/>
                    </a:stretch>
                  </pic:blipFill>
                  <pic:spPr>
                    <a:xfrm>
                      <a:off x="0" y="0"/>
                      <a:ext cx="6034405" cy="8530590"/>
                    </a:xfrm>
                    <a:prstGeom prst="rect">
                      <a:avLst/>
                    </a:prstGeom>
                  </pic:spPr>
                </pic:pic>
              </a:graphicData>
            </a:graphic>
          </wp:inline>
        </w:drawing>
      </w:r>
      <w:r>
        <w:rPr>
          <w:rFonts w:hint="eastAsia"/>
          <w:lang w:val="en-US" w:eastAsia="zh-CN"/>
        </w:rPr>
        <w:drawing>
          <wp:inline distT="0" distB="0" distL="114300" distR="114300">
            <wp:extent cx="6034405" cy="8530590"/>
            <wp:effectExtent l="0" t="0" r="4445" b="3810"/>
            <wp:docPr id="335" name="图片 335" descr="辽宁华润本溪三药有限公司改扩建项目_页面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图片 335" descr="辽宁华润本溪三药有限公司改扩建项目_页面_3"/>
                    <pic:cNvPicPr>
                      <a:picLocks noChangeAspect="1"/>
                    </pic:cNvPicPr>
                  </pic:nvPicPr>
                  <pic:blipFill>
                    <a:blip r:embed="rId165"/>
                    <a:stretch>
                      <a:fillRect/>
                    </a:stretch>
                  </pic:blipFill>
                  <pic:spPr>
                    <a:xfrm>
                      <a:off x="0" y="0"/>
                      <a:ext cx="6034405" cy="8530590"/>
                    </a:xfrm>
                    <a:prstGeom prst="rect">
                      <a:avLst/>
                    </a:prstGeom>
                  </pic:spPr>
                </pic:pic>
              </a:graphicData>
            </a:graphic>
          </wp:inline>
        </w:drawing>
      </w:r>
      <w:r>
        <w:rPr>
          <w:rFonts w:hint="eastAsia"/>
          <w:lang w:val="en-US" w:eastAsia="zh-CN"/>
        </w:rPr>
        <w:drawing>
          <wp:inline distT="0" distB="0" distL="114300" distR="114300">
            <wp:extent cx="6034405" cy="8530590"/>
            <wp:effectExtent l="0" t="0" r="4445" b="3810"/>
            <wp:docPr id="334" name="图片 334" descr="辽宁华润本溪三药有限公司改扩建项目_页面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图片 334" descr="辽宁华润本溪三药有限公司改扩建项目_页面_4"/>
                    <pic:cNvPicPr>
                      <a:picLocks noChangeAspect="1"/>
                    </pic:cNvPicPr>
                  </pic:nvPicPr>
                  <pic:blipFill>
                    <a:blip r:embed="rId166"/>
                    <a:stretch>
                      <a:fillRect/>
                    </a:stretch>
                  </pic:blipFill>
                  <pic:spPr>
                    <a:xfrm>
                      <a:off x="0" y="0"/>
                      <a:ext cx="6034405" cy="8530590"/>
                    </a:xfrm>
                    <a:prstGeom prst="rect">
                      <a:avLst/>
                    </a:prstGeom>
                  </pic:spPr>
                </pic:pic>
              </a:graphicData>
            </a:graphic>
          </wp:inline>
        </w:drawing>
      </w:r>
      <w:r>
        <w:rPr>
          <w:rFonts w:hint="eastAsia"/>
          <w:lang w:val="en-US" w:eastAsia="zh-CN"/>
        </w:rPr>
        <w:drawing>
          <wp:inline distT="0" distB="0" distL="114300" distR="114300">
            <wp:extent cx="6034405" cy="8530590"/>
            <wp:effectExtent l="0" t="0" r="4445" b="3810"/>
            <wp:docPr id="333" name="图片 333" descr="辽宁华润本溪三药有限公司改扩建项目_页面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图片 333" descr="辽宁华润本溪三药有限公司改扩建项目_页面_5"/>
                    <pic:cNvPicPr>
                      <a:picLocks noChangeAspect="1"/>
                    </pic:cNvPicPr>
                  </pic:nvPicPr>
                  <pic:blipFill>
                    <a:blip r:embed="rId167"/>
                    <a:stretch>
                      <a:fillRect/>
                    </a:stretch>
                  </pic:blipFill>
                  <pic:spPr>
                    <a:xfrm>
                      <a:off x="0" y="0"/>
                      <a:ext cx="6034405" cy="8530590"/>
                    </a:xfrm>
                    <a:prstGeom prst="rect">
                      <a:avLst/>
                    </a:prstGeom>
                  </pic:spPr>
                </pic:pic>
              </a:graphicData>
            </a:graphic>
          </wp:inline>
        </w:drawing>
      </w:r>
      <w:r>
        <w:rPr>
          <w:rFonts w:hint="eastAsia"/>
          <w:lang w:val="en-US" w:eastAsia="zh-CN"/>
        </w:rPr>
        <w:drawing>
          <wp:inline distT="0" distB="0" distL="114300" distR="114300">
            <wp:extent cx="6034405" cy="8530590"/>
            <wp:effectExtent l="0" t="0" r="4445" b="3810"/>
            <wp:docPr id="330" name="图片 330" descr="辽宁华润本溪三药有限公司改扩建项目_页面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图片 330" descr="辽宁华润本溪三药有限公司改扩建项目_页面_6"/>
                    <pic:cNvPicPr>
                      <a:picLocks noChangeAspect="1"/>
                    </pic:cNvPicPr>
                  </pic:nvPicPr>
                  <pic:blipFill>
                    <a:blip r:embed="rId168"/>
                    <a:stretch>
                      <a:fillRect/>
                    </a:stretch>
                  </pic:blipFill>
                  <pic:spPr>
                    <a:xfrm>
                      <a:off x="0" y="0"/>
                      <a:ext cx="6034405" cy="8530590"/>
                    </a:xfrm>
                    <a:prstGeom prst="rect">
                      <a:avLst/>
                    </a:prstGeom>
                  </pic:spPr>
                </pic:pic>
              </a:graphicData>
            </a:graphic>
          </wp:inline>
        </w:drawing>
      </w:r>
    </w:p>
    <w:p w14:paraId="227FB8B6">
      <w:pPr>
        <w:rPr>
          <w:rFonts w:hint="eastAsia"/>
          <w:lang w:val="en-US" w:eastAsia="zh-CN"/>
        </w:rPr>
        <w:sectPr>
          <w:pgSz w:w="11906" w:h="16838"/>
          <w:pgMar w:top="1701" w:right="1134" w:bottom="1701" w:left="1134"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48FC0393">
      <w:pPr>
        <w:pStyle w:val="2"/>
        <w:keepNext w:val="0"/>
        <w:keepLines w:val="0"/>
        <w:pageBreakBefore w:val="0"/>
        <w:widowControl w:val="0"/>
        <w:kinsoku/>
        <w:wordWrap/>
        <w:overflowPunct/>
        <w:topLinePunct w:val="0"/>
        <w:autoSpaceDE/>
        <w:autoSpaceDN/>
        <w:bidi w:val="0"/>
        <w:adjustRightInd/>
        <w:snapToGrid w:val="0"/>
        <w:spacing w:before="0" w:after="0" w:line="360" w:lineRule="auto"/>
        <w:ind w:left="0" w:firstLine="0"/>
        <w:jc w:val="both"/>
        <w:textAlignment w:val="auto"/>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附件1</w:t>
      </w:r>
      <w:r>
        <w:rPr>
          <w:rFonts w:hint="eastAsia" w:eastAsia="宋体" w:cs="Times New Roman"/>
          <w:color w:val="000000" w:themeColor="text1"/>
          <w:kern w:val="2"/>
          <w:sz w:val="28"/>
          <w:szCs w:val="28"/>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w:t>
      </w:r>
      <w:r>
        <w:rPr>
          <w:rFonts w:hint="eastAsia" w:eastAsia="宋体" w:cs="Times New Roman"/>
          <w:color w:val="000000" w:themeColor="text1"/>
          <w:kern w:val="2"/>
          <w:sz w:val="28"/>
          <w:szCs w:val="28"/>
          <w:highlight w:val="none"/>
          <w:lang w:val="en-US" w:eastAsia="zh-CN"/>
          <w14:textFill>
            <w14:solidFill>
              <w14:schemeClr w14:val="tx1"/>
            </w14:solidFill>
          </w14:textFill>
        </w:rPr>
        <w:t>保密情况的说明</w:t>
      </w:r>
    </w:p>
    <w:p w14:paraId="4E9DC8CF">
      <w:pPr>
        <w:jc w:val="cente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drawing>
          <wp:inline distT="0" distB="0" distL="114300" distR="114300">
            <wp:extent cx="5706110" cy="8103870"/>
            <wp:effectExtent l="0" t="0" r="8890" b="11430"/>
            <wp:docPr id="259" name="图片 259" descr="关于公司改扩建项目中原辅料保密情况的说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图片 259" descr="关于公司改扩建项目中原辅料保密情况的说明"/>
                    <pic:cNvPicPr>
                      <a:picLocks noChangeAspect="1"/>
                    </pic:cNvPicPr>
                  </pic:nvPicPr>
                  <pic:blipFill>
                    <a:blip r:embed="rId169"/>
                    <a:stretch>
                      <a:fillRect/>
                    </a:stretch>
                  </pic:blipFill>
                  <pic:spPr>
                    <a:xfrm>
                      <a:off x="0" y="0"/>
                      <a:ext cx="5706110" cy="8103870"/>
                    </a:xfrm>
                    <a:prstGeom prst="rect">
                      <a:avLst/>
                    </a:prstGeom>
                  </pic:spPr>
                </pic:pic>
              </a:graphicData>
            </a:graphic>
          </wp:inline>
        </w:drawing>
      </w:r>
    </w:p>
    <w:sectPr>
      <w:pgSz w:w="11906" w:h="16838"/>
      <w:pgMar w:top="1701" w:right="1134" w:bottom="1701" w:left="1134" w:header="851" w:footer="992" w:gutter="0"/>
      <w:pgBorders>
        <w:top w:val="none" w:sz="0" w:space="0"/>
        <w:left w:val="none" w:sz="0" w:space="0"/>
        <w:bottom w:val="none" w:sz="0" w:space="0"/>
        <w:right w:val="none" w:sz="0" w:space="0"/>
      </w:pgBorders>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panose1 w:val="020B0604020202020204"/>
    <w:charset w:val="86"/>
    <w:family w:val="swiss"/>
    <w:pitch w:val="default"/>
    <w:sig w:usb0="FFFFFFFF" w:usb1="E9FFFFFF" w:usb2="0000003F" w:usb3="00000000" w:csb0="603F01FF" w:csb1="FFFF0000"/>
  </w:font>
  <w:font w:name="楷体_GB2312">
    <w:panose1 w:val="02010609030101010101"/>
    <w:charset w:val="86"/>
    <w:family w:val="modern"/>
    <w:pitch w:val="default"/>
    <w:sig w:usb0="00000001" w:usb1="080E0000" w:usb2="00000000" w:usb3="00000000" w:csb0="00040000" w:csb1="00000000"/>
  </w:font>
  <w:font w:name="Calibri Light">
    <w:panose1 w:val="020F0302020204030204"/>
    <w:charset w:val="00"/>
    <w:family w:val="auto"/>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新宋体-18030">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Garamond">
    <w:panose1 w:val="02020404030301010803"/>
    <w:charset w:val="00"/>
    <w:family w:val="roman"/>
    <w:pitch w:val="default"/>
    <w:sig w:usb0="00000287" w:usb1="00000000" w:usb2="00000000" w:usb3="00000000" w:csb0="0000009F" w:csb1="DFD70000"/>
  </w:font>
  <w:font w:name="等线">
    <w:panose1 w:val="02010600030101010101"/>
    <w:charset w:val="86"/>
    <w:family w:val="auto"/>
    <w:pitch w:val="default"/>
    <w:sig w:usb0="A00002BF" w:usb1="38CF7CFA" w:usb2="00000016" w:usb3="00000000" w:csb0="0004000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小标宋_GBK">
    <w:altName w:val="微软雅黑"/>
    <w:panose1 w:val="02000000000000000000"/>
    <w:charset w:val="86"/>
    <w:family w:val="script"/>
    <w:pitch w:val="default"/>
    <w:sig w:usb0="00000000" w:usb1="00000000" w:usb2="00082016" w:usb3="00000000" w:csb0="00040001"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decorative"/>
    <w:pitch w:val="default"/>
    <w:sig w:usb0="00000000" w:usb1="00000000" w:usb2="00000000" w:usb3="00000000" w:csb0="80000000" w:csb1="00000000"/>
  </w:font>
  <w:font w:name="新宋体">
    <w:panose1 w:val="02010609030101010101"/>
    <w:charset w:val="86"/>
    <w:family w:val="modern"/>
    <w:pitch w:val="default"/>
    <w:sig w:usb0="00000203" w:usb1="288F0000" w:usb2="00000006" w:usb3="00000000" w:csb0="00040001" w:csb1="00000000"/>
  </w:font>
  <w:font w:name="CIDFon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elvetica">
    <w:altName w:val="Arial"/>
    <w:panose1 w:val="00000000000000000000"/>
    <w:charset w:val="00"/>
    <w:family w:val="auto"/>
    <w:pitch w:val="default"/>
    <w:sig w:usb0="00000000" w:usb1="00000000" w:usb2="00000000" w:usb3="00000000" w:csb0="00000000" w:csb1="00000000"/>
  </w:font>
  <w:font w:name="瀹嬩綋">
    <w:altName w:val="Segoe Print"/>
    <w:panose1 w:val="00000000000000000000"/>
    <w:charset w:val="00"/>
    <w:family w:val="auto"/>
    <w:pitch w:val="default"/>
    <w:sig w:usb0="00000000"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D3FC9">
    <w:pPr>
      <w:pStyle w:val="11"/>
      <w:ind w:right="360"/>
      <w:jc w:val="both"/>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618575A"/>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U4S+80BAACpAwAADgAAAGRycy9lMm9Eb2MueG1srVNLbtswEN0H6B0I&#10;7mspLlA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QJrzhzAlLL37++eP86/H88J1R&#10;jATqA1ZUdxeoMg7v/UDFcxwpmHgPLdj0JUaM8iTv6SKvGiKT6dJquVqVlJKUmx3CL56uB8D4QXnL&#10;klFzoPfLsorjJ4xj6VySujl/q43Jb2jcXwHCHCMqL8F0OzEZJ05WHHbDRG/nmxOx62kRau5o7zkz&#10;Hx3pnHZmNmA2drNxCKD3XV6q1B3Du0OkkfKkqcMISwyTQy+YuU7bllbkTz9XPf1hm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0U4S+80BAACpAwAADgAAAAAAAAABACAAAAAeAQAAZHJzL2Uy&#10;b0RvYy54bWxQSwUGAAAAAAYABgBZAQAAXQUAAAAA&#10;">
              <v:fill on="f" focussize="0,0"/>
              <v:stroke on="f"/>
              <v:imagedata o:title=""/>
              <o:lock v:ext="edit" aspectratio="f"/>
              <v:textbox inset="0mm,0mm,0mm,0mm" style="mso-fit-shape-to-text:t;">
                <w:txbxContent>
                  <w:p w14:paraId="6618575A"/>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B6D6B">
    <w:pPr>
      <w:pStyle w:val="11"/>
      <w:framePr w:wrap="around" w:vAnchor="text" w:hAnchor="margin" w:xAlign="center" w:y="1"/>
      <w:rPr>
        <w:rStyle w:val="39"/>
      </w:rPr>
    </w:pPr>
    <w:r>
      <w:fldChar w:fldCharType="begin"/>
    </w:r>
    <w:r>
      <w:rPr>
        <w:rStyle w:val="39"/>
      </w:rPr>
      <w:instrText xml:space="preserve">PAGE  </w:instrText>
    </w:r>
    <w:r>
      <w:fldChar w:fldCharType="end"/>
    </w:r>
  </w:p>
  <w:p w14:paraId="370F2BA7">
    <w:pPr>
      <w:pStyle w:val="1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81027">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EF34A">
    <w:pPr>
      <w:pStyle w:val="11"/>
      <w:ind w:right="360" w:firstLine="36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CE90D">
    <w:pPr>
      <w:pStyle w:val="11"/>
      <w:ind w:right="360" w:firstLine="36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E5DA54">
                          <w:pPr>
                            <w:pStyle w:val="11"/>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J7cdktAgAAV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J7cdktAgAAVwQAAA4AAAAAAAAAAQAgAAAAHwEAAGRycy9lMm9Eb2MueG1sUEsFBgAAAAAG&#10;AAYAWQEAAL4FAAAAAA==&#10;">
              <v:fill on="f" focussize="0,0"/>
              <v:stroke on="f" weight="0.5pt"/>
              <v:imagedata o:title=""/>
              <o:lock v:ext="edit" aspectratio="f"/>
              <v:textbox inset="0mm,0mm,0mm,0mm" style="mso-fit-shape-to-text:t;">
                <w:txbxContent>
                  <w:p w14:paraId="4FE5DA54">
                    <w:pPr>
                      <w:pStyle w:val="11"/>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96086">
    <w:pPr>
      <w:pStyle w:val="11"/>
      <w:ind w:right="360" w:firstLine="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9CD56A">
                          <w:pPr>
                            <w:pStyle w:val="11"/>
                            <w:rPr>
                              <w:rStyle w:val="39"/>
                              <w:rFonts w:ascii="宋体" w:hAnsi="宋体"/>
                              <w:sz w:val="28"/>
                              <w:szCs w:val="28"/>
                            </w:rPr>
                          </w:pPr>
                          <w:r>
                            <w:rPr>
                              <w:rStyle w:val="39"/>
                              <w:rFonts w:hint="eastAsia" w:ascii="宋体" w:hAnsi="宋体"/>
                              <w:sz w:val="20"/>
                            </w:rPr>
                            <w:t xml:space="preserve"> </w:t>
                          </w:r>
                          <w:r>
                            <w:rPr>
                              <w:rFonts w:hint="default" w:ascii="Times New Roman" w:hAnsi="Times New Roman" w:cs="Times New Roman"/>
                              <w:sz w:val="18"/>
                              <w:szCs w:val="18"/>
                            </w:rPr>
                            <w:fldChar w:fldCharType="begin"/>
                          </w:r>
                          <w:r>
                            <w:rPr>
                              <w:rStyle w:val="39"/>
                              <w:rFonts w:hint="default" w:ascii="Times New Roman" w:hAnsi="Times New Roman" w:cs="Times New Roman"/>
                              <w:sz w:val="18"/>
                              <w:szCs w:val="18"/>
                            </w:rPr>
                            <w:instrText xml:space="preserve">PAGE  </w:instrText>
                          </w:r>
                          <w:r>
                            <w:rPr>
                              <w:rFonts w:hint="default" w:ascii="Times New Roman" w:hAnsi="Times New Roman" w:cs="Times New Roman"/>
                              <w:sz w:val="18"/>
                              <w:szCs w:val="18"/>
                            </w:rPr>
                            <w:fldChar w:fldCharType="separate"/>
                          </w:r>
                          <w:r>
                            <w:rPr>
                              <w:rStyle w:val="39"/>
                              <w:rFonts w:hint="default" w:ascii="Times New Roman" w:hAnsi="Times New Roman" w:cs="Times New Roman"/>
                              <w:sz w:val="18"/>
                              <w:szCs w:val="18"/>
                            </w:rPr>
                            <w:t>10</w:t>
                          </w:r>
                          <w:r>
                            <w:rPr>
                              <w:rFonts w:hint="default" w:ascii="Times New Roman" w:hAnsi="Times New Roman" w:cs="Times New Roman"/>
                              <w:sz w:val="18"/>
                              <w:szCs w:val="18"/>
                            </w:rPr>
                            <w:fldChar w:fldCharType="end"/>
                          </w:r>
                          <w:r>
                            <w:rPr>
                              <w:rStyle w:val="39"/>
                              <w:rFonts w:hint="eastAsia" w:ascii="宋体" w:hAnsi="宋体"/>
                              <w:sz w:val="20"/>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fIv8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NXJEEl2x0Qrtvu2Z7U1x&#10;BjFnutnwlm9qJN8yHx6YwzCgYDyXcI+llAZJTG9RUhn35V/nMR49gpeSBsOVU423RIl8r9E7AIbB&#10;cIOxHwx9VHcG04p2oJZk4oILcjBLZ9RnvKFVzAEX0xyZchoG8y50A443yMVqlYIwbZaFrd5ZHqGj&#10;eN6ujgECJl2jKJ0SvVaYt9SZ/m3Egf5zn6Ie/wf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HyL/KwIAAFcEAAAOAAAAAAAAAAEAIAAAAB8BAABkcnMvZTJvRG9jLnhtbFBLBQYAAAAABgAG&#10;AFkBAAC8BQAAAAA=&#10;">
              <v:fill on="f" focussize="0,0"/>
              <v:stroke on="f" weight="0.5pt"/>
              <v:imagedata o:title=""/>
              <o:lock v:ext="edit" aspectratio="f"/>
              <v:textbox inset="0mm,0mm,0mm,0mm" style="mso-fit-shape-to-text:t;">
                <w:txbxContent>
                  <w:p w14:paraId="6A9CD56A">
                    <w:pPr>
                      <w:pStyle w:val="11"/>
                      <w:rPr>
                        <w:rStyle w:val="39"/>
                        <w:rFonts w:ascii="宋体" w:hAnsi="宋体"/>
                        <w:sz w:val="28"/>
                        <w:szCs w:val="28"/>
                      </w:rPr>
                    </w:pPr>
                    <w:r>
                      <w:rPr>
                        <w:rStyle w:val="39"/>
                        <w:rFonts w:hint="eastAsia" w:ascii="宋体" w:hAnsi="宋体"/>
                        <w:sz w:val="20"/>
                      </w:rPr>
                      <w:t xml:space="preserve"> </w:t>
                    </w:r>
                    <w:r>
                      <w:rPr>
                        <w:rFonts w:hint="default" w:ascii="Times New Roman" w:hAnsi="Times New Roman" w:cs="Times New Roman"/>
                        <w:sz w:val="18"/>
                        <w:szCs w:val="18"/>
                      </w:rPr>
                      <w:fldChar w:fldCharType="begin"/>
                    </w:r>
                    <w:r>
                      <w:rPr>
                        <w:rStyle w:val="39"/>
                        <w:rFonts w:hint="default" w:ascii="Times New Roman" w:hAnsi="Times New Roman" w:cs="Times New Roman"/>
                        <w:sz w:val="18"/>
                        <w:szCs w:val="18"/>
                      </w:rPr>
                      <w:instrText xml:space="preserve">PAGE  </w:instrText>
                    </w:r>
                    <w:r>
                      <w:rPr>
                        <w:rFonts w:hint="default" w:ascii="Times New Roman" w:hAnsi="Times New Roman" w:cs="Times New Roman"/>
                        <w:sz w:val="18"/>
                        <w:szCs w:val="18"/>
                      </w:rPr>
                      <w:fldChar w:fldCharType="separate"/>
                    </w:r>
                    <w:r>
                      <w:rPr>
                        <w:rStyle w:val="39"/>
                        <w:rFonts w:hint="default" w:ascii="Times New Roman" w:hAnsi="Times New Roman" w:cs="Times New Roman"/>
                        <w:sz w:val="18"/>
                        <w:szCs w:val="18"/>
                      </w:rPr>
                      <w:t>10</w:t>
                    </w:r>
                    <w:r>
                      <w:rPr>
                        <w:rFonts w:hint="default" w:ascii="Times New Roman" w:hAnsi="Times New Roman" w:cs="Times New Roman"/>
                        <w:sz w:val="18"/>
                        <w:szCs w:val="18"/>
                      </w:rPr>
                      <w:fldChar w:fldCharType="end"/>
                    </w:r>
                    <w:r>
                      <w:rPr>
                        <w:rStyle w:val="39"/>
                        <w:rFonts w:hint="eastAsia" w:ascii="宋体" w:hAnsi="宋体"/>
                        <w:sz w:val="20"/>
                      </w:rP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C76BC">
    <w:pPr>
      <w:pStyle w:val="11"/>
      <w:ind w:right="360"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4E0266">
                          <w:pPr>
                            <w:pStyle w:val="11"/>
                            <w:rPr>
                              <w:rStyle w:val="39"/>
                              <w:rFonts w:ascii="宋体" w:hAnsi="宋体"/>
                              <w:sz w:val="28"/>
                              <w:szCs w:val="28"/>
                            </w:rPr>
                          </w:pPr>
                          <w:r>
                            <w:rPr>
                              <w:rStyle w:val="39"/>
                              <w:rFonts w:hint="eastAsia" w:ascii="宋体" w:hAnsi="宋体"/>
                              <w:sz w:val="20"/>
                            </w:rPr>
                            <w:t xml:space="preserve">  </w:t>
                          </w:r>
                          <w:r>
                            <w:rPr>
                              <w:rFonts w:hint="default" w:ascii="Times New Roman" w:hAnsi="Times New Roman" w:cs="Times New Roman"/>
                              <w:sz w:val="18"/>
                              <w:szCs w:val="18"/>
                            </w:rPr>
                            <w:fldChar w:fldCharType="begin"/>
                          </w:r>
                          <w:r>
                            <w:rPr>
                              <w:rStyle w:val="39"/>
                              <w:rFonts w:hint="default" w:ascii="Times New Roman" w:hAnsi="Times New Roman" w:cs="Times New Roman"/>
                              <w:sz w:val="18"/>
                              <w:szCs w:val="18"/>
                            </w:rPr>
                            <w:instrText xml:space="preserve">PAGE  </w:instrText>
                          </w:r>
                          <w:r>
                            <w:rPr>
                              <w:rFonts w:hint="default" w:ascii="Times New Roman" w:hAnsi="Times New Roman" w:cs="Times New Roman"/>
                              <w:sz w:val="18"/>
                              <w:szCs w:val="18"/>
                            </w:rPr>
                            <w:fldChar w:fldCharType="separate"/>
                          </w:r>
                          <w:r>
                            <w:rPr>
                              <w:rStyle w:val="39"/>
                              <w:rFonts w:hint="default" w:ascii="Times New Roman" w:hAnsi="Times New Roman" w:cs="Times New Roman"/>
                              <w:sz w:val="18"/>
                              <w:szCs w:val="18"/>
                            </w:rPr>
                            <w:t>10</w:t>
                          </w:r>
                          <w:r>
                            <w:rPr>
                              <w:rFonts w:hint="default" w:ascii="Times New Roman" w:hAnsi="Times New Roman" w:cs="Times New Roman"/>
                              <w:sz w:val="18"/>
                              <w:szCs w:val="18"/>
                            </w:rPr>
                            <w:fldChar w:fldCharType="end"/>
                          </w:r>
                          <w:r>
                            <w:rPr>
                              <w:rStyle w:val="39"/>
                              <w:rFonts w:hint="default" w:ascii="Times New Roman" w:hAnsi="Times New Roman" w:cs="Times New Roman"/>
                              <w:sz w:val="18"/>
                              <w:szCs w:val="1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p w14:paraId="594E0266">
                    <w:pPr>
                      <w:pStyle w:val="11"/>
                      <w:rPr>
                        <w:rStyle w:val="39"/>
                        <w:rFonts w:ascii="宋体" w:hAnsi="宋体"/>
                        <w:sz w:val="28"/>
                        <w:szCs w:val="28"/>
                      </w:rPr>
                    </w:pPr>
                    <w:r>
                      <w:rPr>
                        <w:rStyle w:val="39"/>
                        <w:rFonts w:hint="eastAsia" w:ascii="宋体" w:hAnsi="宋体"/>
                        <w:sz w:val="20"/>
                      </w:rPr>
                      <w:t xml:space="preserve">  </w:t>
                    </w:r>
                    <w:r>
                      <w:rPr>
                        <w:rFonts w:hint="default" w:ascii="Times New Roman" w:hAnsi="Times New Roman" w:cs="Times New Roman"/>
                        <w:sz w:val="18"/>
                        <w:szCs w:val="18"/>
                      </w:rPr>
                      <w:fldChar w:fldCharType="begin"/>
                    </w:r>
                    <w:r>
                      <w:rPr>
                        <w:rStyle w:val="39"/>
                        <w:rFonts w:hint="default" w:ascii="Times New Roman" w:hAnsi="Times New Roman" w:cs="Times New Roman"/>
                        <w:sz w:val="18"/>
                        <w:szCs w:val="18"/>
                      </w:rPr>
                      <w:instrText xml:space="preserve">PAGE  </w:instrText>
                    </w:r>
                    <w:r>
                      <w:rPr>
                        <w:rFonts w:hint="default" w:ascii="Times New Roman" w:hAnsi="Times New Roman" w:cs="Times New Roman"/>
                        <w:sz w:val="18"/>
                        <w:szCs w:val="18"/>
                      </w:rPr>
                      <w:fldChar w:fldCharType="separate"/>
                    </w:r>
                    <w:r>
                      <w:rPr>
                        <w:rStyle w:val="39"/>
                        <w:rFonts w:hint="default" w:ascii="Times New Roman" w:hAnsi="Times New Roman" w:cs="Times New Roman"/>
                        <w:sz w:val="18"/>
                        <w:szCs w:val="18"/>
                      </w:rPr>
                      <w:t>10</w:t>
                    </w:r>
                    <w:r>
                      <w:rPr>
                        <w:rFonts w:hint="default" w:ascii="Times New Roman" w:hAnsi="Times New Roman" w:cs="Times New Roman"/>
                        <w:sz w:val="18"/>
                        <w:szCs w:val="18"/>
                      </w:rPr>
                      <w:fldChar w:fldCharType="end"/>
                    </w:r>
                    <w:r>
                      <w:rPr>
                        <w:rStyle w:val="39"/>
                        <w:rFonts w:hint="default" w:ascii="Times New Roman" w:hAnsi="Times New Roman" w:cs="Times New Roman"/>
                        <w:sz w:val="18"/>
                        <w:szCs w:val="1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BB960D">
    <w:pPr>
      <w:pStyle w:val="2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AF914">
    <w:pPr>
      <w:pStyle w:val="26"/>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56ABE">
    <w:pPr>
      <w:pStyle w:val="2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9E99E3"/>
    <w:multiLevelType w:val="singleLevel"/>
    <w:tmpl w:val="859E99E3"/>
    <w:lvl w:ilvl="0" w:tentative="0">
      <w:start w:val="1"/>
      <w:numFmt w:val="decimal"/>
      <w:suff w:val="nothing"/>
      <w:lvlText w:val="%1"/>
      <w:lvlJc w:val="center"/>
      <w:pPr>
        <w:tabs>
          <w:tab w:val="left" w:pos="0"/>
        </w:tabs>
        <w:ind w:left="0" w:leftChars="0" w:firstLine="0" w:firstLineChars="0"/>
      </w:pPr>
      <w:rPr>
        <w:rFonts w:hint="default"/>
      </w:rPr>
    </w:lvl>
  </w:abstractNum>
  <w:abstractNum w:abstractNumId="1">
    <w:nsid w:val="85EDFB97"/>
    <w:multiLevelType w:val="singleLevel"/>
    <w:tmpl w:val="85EDFB97"/>
    <w:lvl w:ilvl="0" w:tentative="0">
      <w:start w:val="1"/>
      <w:numFmt w:val="decimal"/>
      <w:suff w:val="nothing"/>
      <w:lvlText w:val="%1"/>
      <w:lvlJc w:val="center"/>
      <w:pPr>
        <w:tabs>
          <w:tab w:val="left" w:pos="0"/>
        </w:tabs>
        <w:ind w:left="0" w:leftChars="0" w:firstLine="0" w:firstLineChars="0"/>
      </w:pPr>
      <w:rPr>
        <w:rFonts w:hint="default"/>
      </w:rPr>
    </w:lvl>
  </w:abstractNum>
  <w:abstractNum w:abstractNumId="2">
    <w:nsid w:val="87AE6458"/>
    <w:multiLevelType w:val="singleLevel"/>
    <w:tmpl w:val="87AE6458"/>
    <w:lvl w:ilvl="0" w:tentative="0">
      <w:start w:val="1"/>
      <w:numFmt w:val="decimal"/>
      <w:suff w:val="nothing"/>
      <w:lvlText w:val="（%1）"/>
      <w:lvlJc w:val="left"/>
    </w:lvl>
  </w:abstractNum>
  <w:abstractNum w:abstractNumId="3">
    <w:nsid w:val="8F7C3DD8"/>
    <w:multiLevelType w:val="singleLevel"/>
    <w:tmpl w:val="8F7C3DD8"/>
    <w:lvl w:ilvl="0" w:tentative="0">
      <w:start w:val="1"/>
      <w:numFmt w:val="decimal"/>
      <w:suff w:val="nothing"/>
      <w:lvlText w:val="%1"/>
      <w:lvlJc w:val="center"/>
      <w:pPr>
        <w:tabs>
          <w:tab w:val="left" w:pos="0"/>
        </w:tabs>
        <w:ind w:left="0" w:leftChars="0" w:firstLine="0" w:firstLineChars="0"/>
      </w:pPr>
      <w:rPr>
        <w:rFonts w:hint="default"/>
      </w:rPr>
    </w:lvl>
  </w:abstractNum>
  <w:abstractNum w:abstractNumId="4">
    <w:nsid w:val="92B55739"/>
    <w:multiLevelType w:val="singleLevel"/>
    <w:tmpl w:val="92B55739"/>
    <w:lvl w:ilvl="0" w:tentative="0">
      <w:start w:val="1"/>
      <w:numFmt w:val="decimal"/>
      <w:suff w:val="nothing"/>
      <w:lvlText w:val="%1"/>
      <w:lvlJc w:val="center"/>
      <w:pPr>
        <w:tabs>
          <w:tab w:val="left" w:pos="0"/>
        </w:tabs>
        <w:ind w:left="0" w:leftChars="0" w:firstLine="0" w:firstLineChars="0"/>
      </w:pPr>
      <w:rPr>
        <w:rFonts w:hint="default"/>
      </w:rPr>
    </w:lvl>
  </w:abstractNum>
  <w:abstractNum w:abstractNumId="5">
    <w:nsid w:val="92E98ABC"/>
    <w:multiLevelType w:val="singleLevel"/>
    <w:tmpl w:val="92E98ABC"/>
    <w:lvl w:ilvl="0" w:tentative="0">
      <w:start w:val="1"/>
      <w:numFmt w:val="decimal"/>
      <w:suff w:val="nothing"/>
      <w:lvlText w:val="%1"/>
      <w:lvlJc w:val="center"/>
      <w:pPr>
        <w:tabs>
          <w:tab w:val="left" w:pos="0"/>
        </w:tabs>
        <w:ind w:left="0" w:leftChars="0" w:firstLine="0" w:firstLineChars="0"/>
      </w:pPr>
      <w:rPr>
        <w:rFonts w:hint="default"/>
      </w:rPr>
    </w:lvl>
  </w:abstractNum>
  <w:abstractNum w:abstractNumId="6">
    <w:nsid w:val="97CCB885"/>
    <w:multiLevelType w:val="singleLevel"/>
    <w:tmpl w:val="97CCB885"/>
    <w:lvl w:ilvl="0" w:tentative="0">
      <w:start w:val="1"/>
      <w:numFmt w:val="decimal"/>
      <w:suff w:val="nothing"/>
      <w:lvlText w:val="%1"/>
      <w:lvlJc w:val="center"/>
      <w:pPr>
        <w:tabs>
          <w:tab w:val="left" w:pos="0"/>
        </w:tabs>
        <w:ind w:left="0" w:leftChars="0" w:firstLine="0" w:firstLineChars="0"/>
      </w:pPr>
      <w:rPr>
        <w:rFonts w:hint="default"/>
      </w:rPr>
    </w:lvl>
  </w:abstractNum>
  <w:abstractNum w:abstractNumId="7">
    <w:nsid w:val="98C48B9F"/>
    <w:multiLevelType w:val="singleLevel"/>
    <w:tmpl w:val="98C48B9F"/>
    <w:lvl w:ilvl="0" w:tentative="0">
      <w:start w:val="1"/>
      <w:numFmt w:val="decimal"/>
      <w:suff w:val="nothing"/>
      <w:lvlText w:val="表2-%1"/>
      <w:lvlJc w:val="left"/>
      <w:pPr>
        <w:tabs>
          <w:tab w:val="left" w:pos="0"/>
        </w:tabs>
      </w:pPr>
      <w:rPr>
        <w:rFonts w:hint="default" w:ascii="Times New Roman" w:hAnsi="Times New Roman" w:eastAsia="宋体" w:cs="宋体"/>
        <w:sz w:val="21"/>
      </w:rPr>
    </w:lvl>
  </w:abstractNum>
  <w:abstractNum w:abstractNumId="8">
    <w:nsid w:val="98DB4870"/>
    <w:multiLevelType w:val="singleLevel"/>
    <w:tmpl w:val="98DB4870"/>
    <w:lvl w:ilvl="0" w:tentative="0">
      <w:start w:val="1"/>
      <w:numFmt w:val="decimal"/>
      <w:suff w:val="nothing"/>
      <w:lvlText w:val="%1、"/>
      <w:lvlJc w:val="left"/>
    </w:lvl>
  </w:abstractNum>
  <w:abstractNum w:abstractNumId="9">
    <w:nsid w:val="A0B41E07"/>
    <w:multiLevelType w:val="singleLevel"/>
    <w:tmpl w:val="A0B41E07"/>
    <w:lvl w:ilvl="0" w:tentative="0">
      <w:start w:val="1"/>
      <w:numFmt w:val="decimal"/>
      <w:suff w:val="nothing"/>
      <w:lvlText w:val="%1"/>
      <w:lvlJc w:val="center"/>
      <w:pPr>
        <w:tabs>
          <w:tab w:val="left" w:pos="0"/>
        </w:tabs>
        <w:ind w:left="0" w:leftChars="0" w:firstLine="0" w:firstLineChars="0"/>
      </w:pPr>
      <w:rPr>
        <w:rFonts w:hint="default"/>
      </w:rPr>
    </w:lvl>
  </w:abstractNum>
  <w:abstractNum w:abstractNumId="10">
    <w:nsid w:val="AC9BA303"/>
    <w:multiLevelType w:val="singleLevel"/>
    <w:tmpl w:val="AC9BA303"/>
    <w:lvl w:ilvl="0" w:tentative="0">
      <w:start w:val="1"/>
      <w:numFmt w:val="decimal"/>
      <w:suff w:val="nothing"/>
      <w:lvlText w:val="%1"/>
      <w:lvlJc w:val="center"/>
      <w:pPr>
        <w:tabs>
          <w:tab w:val="left" w:pos="0"/>
        </w:tabs>
        <w:ind w:left="0" w:leftChars="0" w:firstLine="0" w:firstLineChars="0"/>
      </w:pPr>
      <w:rPr>
        <w:rFonts w:hint="default"/>
      </w:rPr>
    </w:lvl>
  </w:abstractNum>
  <w:abstractNum w:abstractNumId="11">
    <w:nsid w:val="AE8442C1"/>
    <w:multiLevelType w:val="singleLevel"/>
    <w:tmpl w:val="AE8442C1"/>
    <w:lvl w:ilvl="0" w:tentative="0">
      <w:start w:val="1"/>
      <w:numFmt w:val="decimal"/>
      <w:suff w:val="nothing"/>
      <w:lvlText w:val="%1"/>
      <w:lvlJc w:val="center"/>
      <w:pPr>
        <w:tabs>
          <w:tab w:val="left" w:pos="0"/>
        </w:tabs>
        <w:ind w:left="0" w:leftChars="0" w:firstLine="0" w:firstLineChars="0"/>
      </w:pPr>
      <w:rPr>
        <w:rFonts w:hint="default"/>
      </w:rPr>
    </w:lvl>
  </w:abstractNum>
  <w:abstractNum w:abstractNumId="12">
    <w:nsid w:val="BCCDD70B"/>
    <w:multiLevelType w:val="singleLevel"/>
    <w:tmpl w:val="BCCDD70B"/>
    <w:lvl w:ilvl="0" w:tentative="0">
      <w:start w:val="1"/>
      <w:numFmt w:val="decimal"/>
      <w:suff w:val="nothing"/>
      <w:lvlText w:val="%1"/>
      <w:lvlJc w:val="center"/>
      <w:pPr>
        <w:tabs>
          <w:tab w:val="left" w:pos="0"/>
        </w:tabs>
        <w:ind w:left="0" w:leftChars="0" w:firstLine="0" w:firstLineChars="0"/>
      </w:pPr>
      <w:rPr>
        <w:rFonts w:hint="default"/>
      </w:rPr>
    </w:lvl>
  </w:abstractNum>
  <w:abstractNum w:abstractNumId="13">
    <w:nsid w:val="BF0936A8"/>
    <w:multiLevelType w:val="singleLevel"/>
    <w:tmpl w:val="BF0936A8"/>
    <w:lvl w:ilvl="0" w:tentative="0">
      <w:start w:val="1"/>
      <w:numFmt w:val="decimal"/>
      <w:suff w:val="nothing"/>
      <w:lvlText w:val="%1"/>
      <w:lvlJc w:val="center"/>
      <w:pPr>
        <w:tabs>
          <w:tab w:val="left" w:pos="0"/>
        </w:tabs>
        <w:ind w:left="0" w:leftChars="0" w:firstLine="0" w:firstLineChars="0"/>
      </w:pPr>
      <w:rPr>
        <w:rFonts w:hint="default"/>
      </w:rPr>
    </w:lvl>
  </w:abstractNum>
  <w:abstractNum w:abstractNumId="14">
    <w:nsid w:val="C451CFAD"/>
    <w:multiLevelType w:val="singleLevel"/>
    <w:tmpl w:val="C451CFAD"/>
    <w:lvl w:ilvl="0" w:tentative="0">
      <w:start w:val="1"/>
      <w:numFmt w:val="decimal"/>
      <w:suff w:val="nothing"/>
      <w:lvlText w:val="%1"/>
      <w:lvlJc w:val="center"/>
      <w:pPr>
        <w:tabs>
          <w:tab w:val="left" w:pos="0"/>
        </w:tabs>
        <w:ind w:left="0" w:leftChars="0" w:firstLine="0" w:firstLineChars="0"/>
      </w:pPr>
      <w:rPr>
        <w:rFonts w:hint="default"/>
      </w:rPr>
    </w:lvl>
  </w:abstractNum>
  <w:abstractNum w:abstractNumId="15">
    <w:nsid w:val="D034A59B"/>
    <w:multiLevelType w:val="singleLevel"/>
    <w:tmpl w:val="D034A59B"/>
    <w:lvl w:ilvl="0" w:tentative="0">
      <w:start w:val="1"/>
      <w:numFmt w:val="decimal"/>
      <w:suff w:val="nothing"/>
      <w:lvlText w:val="%1"/>
      <w:lvlJc w:val="center"/>
      <w:pPr>
        <w:tabs>
          <w:tab w:val="left" w:pos="0"/>
        </w:tabs>
        <w:ind w:left="0" w:leftChars="0" w:firstLine="0" w:firstLineChars="0"/>
      </w:pPr>
      <w:rPr>
        <w:rFonts w:hint="default"/>
      </w:rPr>
    </w:lvl>
  </w:abstractNum>
  <w:abstractNum w:abstractNumId="16">
    <w:nsid w:val="D30540F7"/>
    <w:multiLevelType w:val="singleLevel"/>
    <w:tmpl w:val="D30540F7"/>
    <w:lvl w:ilvl="0" w:tentative="0">
      <w:start w:val="1"/>
      <w:numFmt w:val="decimal"/>
      <w:suff w:val="nothing"/>
      <w:lvlText w:val="表3-%1"/>
      <w:lvlJc w:val="left"/>
      <w:pPr>
        <w:tabs>
          <w:tab w:val="left" w:pos="0"/>
        </w:tabs>
      </w:pPr>
      <w:rPr>
        <w:rFonts w:hint="default" w:ascii="Times New Roman" w:hAnsi="Times New Roman" w:eastAsia="宋体" w:cs="宋体"/>
        <w:sz w:val="21"/>
      </w:rPr>
    </w:lvl>
  </w:abstractNum>
  <w:abstractNum w:abstractNumId="17">
    <w:nsid w:val="D31AFF26"/>
    <w:multiLevelType w:val="singleLevel"/>
    <w:tmpl w:val="D31AFF26"/>
    <w:lvl w:ilvl="0" w:tentative="0">
      <w:start w:val="1"/>
      <w:numFmt w:val="decimal"/>
      <w:suff w:val="nothing"/>
      <w:lvlText w:val="%1"/>
      <w:lvlJc w:val="center"/>
      <w:pPr>
        <w:tabs>
          <w:tab w:val="left" w:pos="0"/>
        </w:tabs>
        <w:ind w:left="0" w:leftChars="0" w:firstLine="0" w:firstLineChars="0"/>
      </w:pPr>
      <w:rPr>
        <w:rFonts w:hint="default"/>
      </w:rPr>
    </w:lvl>
  </w:abstractNum>
  <w:abstractNum w:abstractNumId="18">
    <w:nsid w:val="DB04CCD9"/>
    <w:multiLevelType w:val="singleLevel"/>
    <w:tmpl w:val="DB04CCD9"/>
    <w:lvl w:ilvl="0" w:tentative="0">
      <w:start w:val="1"/>
      <w:numFmt w:val="decimal"/>
      <w:suff w:val="nothing"/>
      <w:lvlText w:val="%1"/>
      <w:lvlJc w:val="center"/>
      <w:pPr>
        <w:tabs>
          <w:tab w:val="left" w:pos="0"/>
        </w:tabs>
        <w:ind w:left="0" w:leftChars="0" w:firstLine="0" w:firstLineChars="0"/>
      </w:pPr>
      <w:rPr>
        <w:rFonts w:hint="default"/>
      </w:rPr>
    </w:lvl>
  </w:abstractNum>
  <w:abstractNum w:abstractNumId="19">
    <w:nsid w:val="DB9CB80C"/>
    <w:multiLevelType w:val="singleLevel"/>
    <w:tmpl w:val="DB9CB80C"/>
    <w:lvl w:ilvl="0" w:tentative="0">
      <w:start w:val="1"/>
      <w:numFmt w:val="decimal"/>
      <w:suff w:val="nothing"/>
      <w:lvlText w:val="图2-%1"/>
      <w:lvlJc w:val="left"/>
      <w:pPr>
        <w:tabs>
          <w:tab w:val="left" w:pos="0"/>
        </w:tabs>
      </w:pPr>
      <w:rPr>
        <w:rFonts w:hint="default" w:ascii="Times New Roman" w:hAnsi="Times New Roman" w:eastAsia="宋体" w:cs="宋体"/>
        <w:b/>
        <w:bCs/>
        <w:sz w:val="24"/>
      </w:rPr>
    </w:lvl>
  </w:abstractNum>
  <w:abstractNum w:abstractNumId="20">
    <w:nsid w:val="DEC7F63C"/>
    <w:multiLevelType w:val="singleLevel"/>
    <w:tmpl w:val="DEC7F63C"/>
    <w:lvl w:ilvl="0" w:tentative="0">
      <w:start w:val="1"/>
      <w:numFmt w:val="decimal"/>
      <w:suff w:val="nothing"/>
      <w:lvlText w:val="（%1）"/>
      <w:lvlJc w:val="left"/>
    </w:lvl>
  </w:abstractNum>
  <w:abstractNum w:abstractNumId="21">
    <w:nsid w:val="E45C72D2"/>
    <w:multiLevelType w:val="singleLevel"/>
    <w:tmpl w:val="E45C72D2"/>
    <w:lvl w:ilvl="0" w:tentative="0">
      <w:start w:val="1"/>
      <w:numFmt w:val="decimal"/>
      <w:suff w:val="nothing"/>
      <w:lvlText w:val="%1"/>
      <w:lvlJc w:val="center"/>
      <w:pPr>
        <w:tabs>
          <w:tab w:val="left" w:pos="0"/>
        </w:tabs>
        <w:ind w:left="0" w:leftChars="0" w:firstLine="0" w:firstLineChars="0"/>
      </w:pPr>
      <w:rPr>
        <w:rFonts w:hint="default"/>
      </w:rPr>
    </w:lvl>
  </w:abstractNum>
  <w:abstractNum w:abstractNumId="22">
    <w:nsid w:val="E83E6332"/>
    <w:multiLevelType w:val="singleLevel"/>
    <w:tmpl w:val="E83E6332"/>
    <w:lvl w:ilvl="0" w:tentative="0">
      <w:start w:val="1"/>
      <w:numFmt w:val="decimal"/>
      <w:suff w:val="nothing"/>
      <w:lvlText w:val="%1"/>
      <w:lvlJc w:val="center"/>
      <w:pPr>
        <w:tabs>
          <w:tab w:val="left" w:pos="0"/>
        </w:tabs>
        <w:ind w:left="0" w:leftChars="0" w:firstLine="0" w:firstLineChars="0"/>
      </w:pPr>
      <w:rPr>
        <w:rFonts w:hint="default"/>
      </w:rPr>
    </w:lvl>
  </w:abstractNum>
  <w:abstractNum w:abstractNumId="23">
    <w:nsid w:val="F0620D4E"/>
    <w:multiLevelType w:val="singleLevel"/>
    <w:tmpl w:val="F0620D4E"/>
    <w:lvl w:ilvl="0" w:tentative="0">
      <w:start w:val="1"/>
      <w:numFmt w:val="decimal"/>
      <w:suff w:val="nothing"/>
      <w:lvlText w:val="%1"/>
      <w:lvlJc w:val="center"/>
      <w:pPr>
        <w:tabs>
          <w:tab w:val="left" w:pos="0"/>
        </w:tabs>
        <w:ind w:left="0" w:leftChars="0" w:firstLine="0" w:firstLineChars="0"/>
      </w:pPr>
      <w:rPr>
        <w:rFonts w:hint="default"/>
      </w:rPr>
    </w:lvl>
  </w:abstractNum>
  <w:abstractNum w:abstractNumId="24">
    <w:nsid w:val="03043A41"/>
    <w:multiLevelType w:val="singleLevel"/>
    <w:tmpl w:val="03043A41"/>
    <w:lvl w:ilvl="0" w:tentative="0">
      <w:start w:val="1"/>
      <w:numFmt w:val="decimal"/>
      <w:suff w:val="nothing"/>
      <w:lvlText w:val="%1"/>
      <w:lvlJc w:val="center"/>
      <w:pPr>
        <w:tabs>
          <w:tab w:val="left" w:pos="0"/>
        </w:tabs>
        <w:ind w:left="0" w:leftChars="0" w:firstLine="0" w:firstLineChars="0"/>
      </w:pPr>
      <w:rPr>
        <w:rFonts w:hint="default"/>
      </w:rPr>
    </w:lvl>
  </w:abstractNum>
  <w:abstractNum w:abstractNumId="25">
    <w:nsid w:val="0564773C"/>
    <w:multiLevelType w:val="singleLevel"/>
    <w:tmpl w:val="0564773C"/>
    <w:lvl w:ilvl="0" w:tentative="0">
      <w:start w:val="1"/>
      <w:numFmt w:val="decimal"/>
      <w:suff w:val="nothing"/>
      <w:lvlText w:val="%1"/>
      <w:lvlJc w:val="center"/>
      <w:pPr>
        <w:tabs>
          <w:tab w:val="left" w:pos="0"/>
        </w:tabs>
        <w:ind w:left="0" w:leftChars="0" w:firstLine="0" w:firstLineChars="0"/>
      </w:pPr>
      <w:rPr>
        <w:rFonts w:hint="default"/>
      </w:rPr>
    </w:lvl>
  </w:abstractNum>
  <w:abstractNum w:abstractNumId="26">
    <w:nsid w:val="1685AB1B"/>
    <w:multiLevelType w:val="singleLevel"/>
    <w:tmpl w:val="1685AB1B"/>
    <w:lvl w:ilvl="0" w:tentative="0">
      <w:start w:val="1"/>
      <w:numFmt w:val="decimal"/>
      <w:suff w:val="nothing"/>
      <w:lvlText w:val="%1"/>
      <w:lvlJc w:val="center"/>
      <w:pPr>
        <w:tabs>
          <w:tab w:val="left" w:pos="0"/>
        </w:tabs>
        <w:ind w:left="0" w:leftChars="0" w:firstLine="0" w:firstLineChars="0"/>
      </w:pPr>
      <w:rPr>
        <w:rFonts w:hint="default"/>
      </w:rPr>
    </w:lvl>
  </w:abstractNum>
  <w:abstractNum w:abstractNumId="27">
    <w:nsid w:val="1F2D66E4"/>
    <w:multiLevelType w:val="singleLevel"/>
    <w:tmpl w:val="1F2D66E4"/>
    <w:lvl w:ilvl="0" w:tentative="0">
      <w:start w:val="1"/>
      <w:numFmt w:val="decimal"/>
      <w:suff w:val="nothing"/>
      <w:lvlText w:val="（%1）"/>
      <w:lvlJc w:val="left"/>
    </w:lvl>
  </w:abstractNum>
  <w:abstractNum w:abstractNumId="28">
    <w:nsid w:val="276E2C06"/>
    <w:multiLevelType w:val="singleLevel"/>
    <w:tmpl w:val="276E2C06"/>
    <w:lvl w:ilvl="0" w:tentative="0">
      <w:start w:val="1"/>
      <w:numFmt w:val="decimal"/>
      <w:lvlText w:val="%1."/>
      <w:lvlJc w:val="left"/>
      <w:pPr>
        <w:tabs>
          <w:tab w:val="left" w:pos="312"/>
        </w:tabs>
      </w:pPr>
    </w:lvl>
  </w:abstractNum>
  <w:abstractNum w:abstractNumId="29">
    <w:nsid w:val="2A28AD5A"/>
    <w:multiLevelType w:val="singleLevel"/>
    <w:tmpl w:val="2A28AD5A"/>
    <w:lvl w:ilvl="0" w:tentative="0">
      <w:start w:val="1"/>
      <w:numFmt w:val="decimal"/>
      <w:suff w:val="nothing"/>
      <w:lvlText w:val="（%1）"/>
      <w:lvlJc w:val="left"/>
    </w:lvl>
  </w:abstractNum>
  <w:abstractNum w:abstractNumId="30">
    <w:nsid w:val="2F3F2B15"/>
    <w:multiLevelType w:val="singleLevel"/>
    <w:tmpl w:val="2F3F2B15"/>
    <w:lvl w:ilvl="0" w:tentative="0">
      <w:start w:val="1"/>
      <w:numFmt w:val="decimal"/>
      <w:suff w:val="nothing"/>
      <w:lvlText w:val="%1"/>
      <w:lvlJc w:val="center"/>
      <w:pPr>
        <w:tabs>
          <w:tab w:val="left" w:pos="0"/>
        </w:tabs>
        <w:ind w:left="0" w:leftChars="0" w:firstLine="0" w:firstLineChars="0"/>
      </w:pPr>
      <w:rPr>
        <w:rFonts w:hint="default"/>
      </w:rPr>
    </w:lvl>
  </w:abstractNum>
  <w:abstractNum w:abstractNumId="31">
    <w:nsid w:val="3272DAA4"/>
    <w:multiLevelType w:val="singleLevel"/>
    <w:tmpl w:val="3272DAA4"/>
    <w:lvl w:ilvl="0" w:tentative="0">
      <w:start w:val="1"/>
      <w:numFmt w:val="decimal"/>
      <w:suff w:val="nothing"/>
      <w:lvlText w:val="%1"/>
      <w:lvlJc w:val="center"/>
      <w:pPr>
        <w:tabs>
          <w:tab w:val="left" w:pos="0"/>
        </w:tabs>
        <w:ind w:left="0" w:leftChars="0" w:firstLine="0" w:firstLineChars="0"/>
      </w:pPr>
      <w:rPr>
        <w:rFonts w:hint="default"/>
      </w:rPr>
    </w:lvl>
  </w:abstractNum>
  <w:abstractNum w:abstractNumId="32">
    <w:nsid w:val="3CE84969"/>
    <w:multiLevelType w:val="multilevel"/>
    <w:tmpl w:val="3CE8496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3">
    <w:nsid w:val="435E6BC8"/>
    <w:multiLevelType w:val="singleLevel"/>
    <w:tmpl w:val="435E6BC8"/>
    <w:lvl w:ilvl="0" w:tentative="0">
      <w:start w:val="1"/>
      <w:numFmt w:val="decimal"/>
      <w:suff w:val="nothing"/>
      <w:lvlText w:val="%1"/>
      <w:lvlJc w:val="center"/>
      <w:pPr>
        <w:tabs>
          <w:tab w:val="left" w:pos="0"/>
        </w:tabs>
        <w:ind w:left="0" w:leftChars="0" w:firstLine="0" w:firstLineChars="0"/>
      </w:pPr>
      <w:rPr>
        <w:rFonts w:hint="default"/>
      </w:rPr>
    </w:lvl>
  </w:abstractNum>
  <w:abstractNum w:abstractNumId="34">
    <w:nsid w:val="4BEC7482"/>
    <w:multiLevelType w:val="multilevel"/>
    <w:tmpl w:val="4BEC7482"/>
    <w:lvl w:ilvl="0" w:tentative="0">
      <w:start w:val="1"/>
      <w:numFmt w:val="decimal"/>
      <w:pStyle w:val="5"/>
      <w:lvlText w:val="第%1条"/>
      <w:lvlJc w:val="left"/>
      <w:pPr>
        <w:ind w:left="1555" w:hanging="420"/>
      </w:pPr>
      <w:rPr>
        <w:rFonts w:hint="default" w:ascii="Times New Roman" w:hAnsi="Times New Roman" w:eastAsia="楷体_GB2312"/>
        <w:b w:val="0"/>
        <w:i w:val="0"/>
        <w:color w:val="auto"/>
        <w:sz w:val="32"/>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35">
    <w:nsid w:val="594630E7"/>
    <w:multiLevelType w:val="singleLevel"/>
    <w:tmpl w:val="594630E7"/>
    <w:lvl w:ilvl="0" w:tentative="0">
      <w:start w:val="1"/>
      <w:numFmt w:val="decimal"/>
      <w:suff w:val="nothing"/>
      <w:lvlText w:val="表1-%1"/>
      <w:lvlJc w:val="left"/>
      <w:pPr>
        <w:tabs>
          <w:tab w:val="left" w:pos="0"/>
        </w:tabs>
      </w:pPr>
      <w:rPr>
        <w:rFonts w:hint="default" w:ascii="Times New Roman" w:hAnsi="Times New Roman" w:eastAsia="宋体" w:cs="宋体"/>
        <w:sz w:val="21"/>
      </w:rPr>
    </w:lvl>
  </w:abstractNum>
  <w:abstractNum w:abstractNumId="36">
    <w:nsid w:val="5D3244DB"/>
    <w:multiLevelType w:val="singleLevel"/>
    <w:tmpl w:val="5D3244DB"/>
    <w:lvl w:ilvl="0" w:tentative="0">
      <w:start w:val="1"/>
      <w:numFmt w:val="decimal"/>
      <w:suff w:val="nothing"/>
      <w:lvlText w:val="%1"/>
      <w:lvlJc w:val="center"/>
      <w:pPr>
        <w:tabs>
          <w:tab w:val="left" w:pos="0"/>
        </w:tabs>
        <w:ind w:left="0" w:leftChars="0" w:firstLine="0" w:firstLineChars="0"/>
      </w:pPr>
      <w:rPr>
        <w:rFonts w:hint="default"/>
      </w:rPr>
    </w:lvl>
  </w:abstractNum>
  <w:abstractNum w:abstractNumId="37">
    <w:nsid w:val="7D515D32"/>
    <w:multiLevelType w:val="singleLevel"/>
    <w:tmpl w:val="7D515D32"/>
    <w:lvl w:ilvl="0" w:tentative="0">
      <w:start w:val="1"/>
      <w:numFmt w:val="decimal"/>
      <w:suff w:val="nothing"/>
      <w:lvlText w:val="表4-%1"/>
      <w:lvlJc w:val="left"/>
      <w:pPr>
        <w:tabs>
          <w:tab w:val="left" w:pos="0"/>
        </w:tabs>
      </w:pPr>
      <w:rPr>
        <w:rFonts w:hint="default" w:ascii="Times New Roman" w:hAnsi="Times New Roman" w:eastAsia="宋体" w:cs="宋体"/>
        <w:sz w:val="21"/>
      </w:rPr>
    </w:lvl>
  </w:abstractNum>
  <w:num w:numId="1">
    <w:abstractNumId w:val="34"/>
  </w:num>
  <w:num w:numId="2">
    <w:abstractNumId w:val="35"/>
  </w:num>
  <w:num w:numId="3">
    <w:abstractNumId w:val="20"/>
  </w:num>
  <w:num w:numId="4">
    <w:abstractNumId w:val="8"/>
  </w:num>
  <w:num w:numId="5">
    <w:abstractNumId w:val="7"/>
  </w:num>
  <w:num w:numId="6">
    <w:abstractNumId w:val="12"/>
  </w:num>
  <w:num w:numId="7">
    <w:abstractNumId w:val="30"/>
  </w:num>
  <w:num w:numId="8">
    <w:abstractNumId w:val="17"/>
  </w:num>
  <w:num w:numId="9">
    <w:abstractNumId w:val="4"/>
  </w:num>
  <w:num w:numId="10">
    <w:abstractNumId w:val="5"/>
  </w:num>
  <w:num w:numId="11">
    <w:abstractNumId w:val="15"/>
  </w:num>
  <w:num w:numId="12">
    <w:abstractNumId w:val="6"/>
  </w:num>
  <w:num w:numId="13">
    <w:abstractNumId w:val="31"/>
  </w:num>
  <w:num w:numId="14">
    <w:abstractNumId w:val="1"/>
  </w:num>
  <w:num w:numId="15">
    <w:abstractNumId w:val="3"/>
  </w:num>
  <w:num w:numId="16">
    <w:abstractNumId w:val="19"/>
  </w:num>
  <w:num w:numId="17">
    <w:abstractNumId w:val="22"/>
  </w:num>
  <w:num w:numId="18">
    <w:abstractNumId w:val="28"/>
  </w:num>
  <w:num w:numId="19">
    <w:abstractNumId w:val="10"/>
  </w:num>
  <w:num w:numId="20">
    <w:abstractNumId w:val="23"/>
  </w:num>
  <w:num w:numId="21">
    <w:abstractNumId w:val="33"/>
  </w:num>
  <w:num w:numId="22">
    <w:abstractNumId w:val="2"/>
  </w:num>
  <w:num w:numId="23">
    <w:abstractNumId w:val="32"/>
  </w:num>
  <w:num w:numId="24">
    <w:abstractNumId w:val="16"/>
  </w:num>
  <w:num w:numId="25">
    <w:abstractNumId w:val="14"/>
  </w:num>
  <w:num w:numId="26">
    <w:abstractNumId w:val="37"/>
  </w:num>
  <w:num w:numId="27">
    <w:abstractNumId w:val="24"/>
  </w:num>
  <w:num w:numId="28">
    <w:abstractNumId w:val="0"/>
  </w:num>
  <w:num w:numId="29">
    <w:abstractNumId w:val="13"/>
  </w:num>
  <w:num w:numId="30">
    <w:abstractNumId w:val="9"/>
  </w:num>
  <w:num w:numId="31">
    <w:abstractNumId w:val="18"/>
  </w:num>
  <w:num w:numId="32">
    <w:abstractNumId w:val="36"/>
  </w:num>
  <w:num w:numId="33">
    <w:abstractNumId w:val="25"/>
  </w:num>
  <w:num w:numId="34">
    <w:abstractNumId w:val="11"/>
  </w:num>
  <w:num w:numId="35">
    <w:abstractNumId w:val="29"/>
  </w:num>
  <w:num w:numId="36">
    <w:abstractNumId w:val="21"/>
  </w:num>
  <w:num w:numId="37">
    <w:abstractNumId w:val="26"/>
  </w:num>
  <w:num w:numId="3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ExMmQ2NmNlMDRmM2IzZTg2NjBhODc4MzJlNTFlYTgifQ=="/>
    <w:docVar w:name="KSO_WPS_MARK_KEY" w:val="db50987d-82ea-4f8b-9585-1260a736b5e5"/>
  </w:docVars>
  <w:rsids>
    <w:rsidRoot w:val="16732275"/>
    <w:rsid w:val="00054A2A"/>
    <w:rsid w:val="00056187"/>
    <w:rsid w:val="00072E2E"/>
    <w:rsid w:val="000903F1"/>
    <w:rsid w:val="000C5EEB"/>
    <w:rsid w:val="000F2F54"/>
    <w:rsid w:val="000F72E8"/>
    <w:rsid w:val="001657AA"/>
    <w:rsid w:val="001A5E7E"/>
    <w:rsid w:val="001E2AFA"/>
    <w:rsid w:val="002136A6"/>
    <w:rsid w:val="00241678"/>
    <w:rsid w:val="00287EE9"/>
    <w:rsid w:val="00292BAB"/>
    <w:rsid w:val="002B79EF"/>
    <w:rsid w:val="002D4674"/>
    <w:rsid w:val="002F1965"/>
    <w:rsid w:val="003C7636"/>
    <w:rsid w:val="003D2C01"/>
    <w:rsid w:val="003D6656"/>
    <w:rsid w:val="003E37E5"/>
    <w:rsid w:val="003F7F14"/>
    <w:rsid w:val="00454768"/>
    <w:rsid w:val="00457B13"/>
    <w:rsid w:val="004B298B"/>
    <w:rsid w:val="004B6B73"/>
    <w:rsid w:val="004F54E8"/>
    <w:rsid w:val="00504F17"/>
    <w:rsid w:val="005550E0"/>
    <w:rsid w:val="005653BA"/>
    <w:rsid w:val="0057084C"/>
    <w:rsid w:val="005A14A4"/>
    <w:rsid w:val="005A4BB9"/>
    <w:rsid w:val="005F589E"/>
    <w:rsid w:val="006665A7"/>
    <w:rsid w:val="006667F6"/>
    <w:rsid w:val="00692780"/>
    <w:rsid w:val="00734A46"/>
    <w:rsid w:val="007578DC"/>
    <w:rsid w:val="00797460"/>
    <w:rsid w:val="007E1958"/>
    <w:rsid w:val="00801065"/>
    <w:rsid w:val="00816665"/>
    <w:rsid w:val="00847367"/>
    <w:rsid w:val="008705F7"/>
    <w:rsid w:val="0088150F"/>
    <w:rsid w:val="008C1FFD"/>
    <w:rsid w:val="008F1746"/>
    <w:rsid w:val="009518F6"/>
    <w:rsid w:val="009B237C"/>
    <w:rsid w:val="009B6F8C"/>
    <w:rsid w:val="009D68EE"/>
    <w:rsid w:val="009E4D10"/>
    <w:rsid w:val="009F0376"/>
    <w:rsid w:val="00A70CE0"/>
    <w:rsid w:val="00A8018D"/>
    <w:rsid w:val="00A85CAA"/>
    <w:rsid w:val="00AA0649"/>
    <w:rsid w:val="00AA5E3C"/>
    <w:rsid w:val="00AB3B7A"/>
    <w:rsid w:val="00AE297A"/>
    <w:rsid w:val="00B8124B"/>
    <w:rsid w:val="00BE03EB"/>
    <w:rsid w:val="00C257D6"/>
    <w:rsid w:val="00C625C6"/>
    <w:rsid w:val="00C85F2D"/>
    <w:rsid w:val="00C91FD0"/>
    <w:rsid w:val="00D000E4"/>
    <w:rsid w:val="00D40D69"/>
    <w:rsid w:val="00E12F74"/>
    <w:rsid w:val="00E15D1B"/>
    <w:rsid w:val="00E17CA0"/>
    <w:rsid w:val="00E67F01"/>
    <w:rsid w:val="00E9070B"/>
    <w:rsid w:val="00F43009"/>
    <w:rsid w:val="00F45D10"/>
    <w:rsid w:val="00FA12CF"/>
    <w:rsid w:val="00FF1638"/>
    <w:rsid w:val="00FF24F9"/>
    <w:rsid w:val="010A02E8"/>
    <w:rsid w:val="01117101"/>
    <w:rsid w:val="011E1A2F"/>
    <w:rsid w:val="011F405F"/>
    <w:rsid w:val="012670F1"/>
    <w:rsid w:val="012A29AF"/>
    <w:rsid w:val="014F2831"/>
    <w:rsid w:val="014F590C"/>
    <w:rsid w:val="016A64E6"/>
    <w:rsid w:val="01750D5E"/>
    <w:rsid w:val="017B6664"/>
    <w:rsid w:val="018631D1"/>
    <w:rsid w:val="01913DF5"/>
    <w:rsid w:val="01917D45"/>
    <w:rsid w:val="01992745"/>
    <w:rsid w:val="019B1AE2"/>
    <w:rsid w:val="01A52705"/>
    <w:rsid w:val="01A713EB"/>
    <w:rsid w:val="01AA67C9"/>
    <w:rsid w:val="01AB71A3"/>
    <w:rsid w:val="01AB7368"/>
    <w:rsid w:val="01B234B7"/>
    <w:rsid w:val="01BC789A"/>
    <w:rsid w:val="01D148D2"/>
    <w:rsid w:val="01D24A8A"/>
    <w:rsid w:val="01DF40BF"/>
    <w:rsid w:val="01DF5C17"/>
    <w:rsid w:val="01F14319"/>
    <w:rsid w:val="01F4329B"/>
    <w:rsid w:val="01F475AA"/>
    <w:rsid w:val="020F0DE2"/>
    <w:rsid w:val="022810AB"/>
    <w:rsid w:val="02290C40"/>
    <w:rsid w:val="022D3FE5"/>
    <w:rsid w:val="02346AA7"/>
    <w:rsid w:val="023974A6"/>
    <w:rsid w:val="023C2D9B"/>
    <w:rsid w:val="023D0B8F"/>
    <w:rsid w:val="02443CCC"/>
    <w:rsid w:val="024A1251"/>
    <w:rsid w:val="02553B31"/>
    <w:rsid w:val="025F0B06"/>
    <w:rsid w:val="026033F5"/>
    <w:rsid w:val="02683C06"/>
    <w:rsid w:val="026F7DF5"/>
    <w:rsid w:val="027272DD"/>
    <w:rsid w:val="027965EA"/>
    <w:rsid w:val="027A7612"/>
    <w:rsid w:val="02816CCE"/>
    <w:rsid w:val="02836333"/>
    <w:rsid w:val="02877ADB"/>
    <w:rsid w:val="028C0BD5"/>
    <w:rsid w:val="02956445"/>
    <w:rsid w:val="02AC43FF"/>
    <w:rsid w:val="02AC7D53"/>
    <w:rsid w:val="02AF1034"/>
    <w:rsid w:val="02AF238A"/>
    <w:rsid w:val="02B2655F"/>
    <w:rsid w:val="02B658CC"/>
    <w:rsid w:val="02C02C45"/>
    <w:rsid w:val="02C84FE2"/>
    <w:rsid w:val="02CA3411"/>
    <w:rsid w:val="02D62744"/>
    <w:rsid w:val="02E636F7"/>
    <w:rsid w:val="02F16CF0"/>
    <w:rsid w:val="03031350"/>
    <w:rsid w:val="03041F65"/>
    <w:rsid w:val="031F26A3"/>
    <w:rsid w:val="032E61EE"/>
    <w:rsid w:val="03356F14"/>
    <w:rsid w:val="03422C12"/>
    <w:rsid w:val="034E1D34"/>
    <w:rsid w:val="03633F1C"/>
    <w:rsid w:val="0364275B"/>
    <w:rsid w:val="037205E8"/>
    <w:rsid w:val="037B4C65"/>
    <w:rsid w:val="038247D1"/>
    <w:rsid w:val="039303CC"/>
    <w:rsid w:val="039A47D3"/>
    <w:rsid w:val="039E62D1"/>
    <w:rsid w:val="03B63530"/>
    <w:rsid w:val="03B67E73"/>
    <w:rsid w:val="03C417E3"/>
    <w:rsid w:val="03DB186A"/>
    <w:rsid w:val="03DB679A"/>
    <w:rsid w:val="03DD2674"/>
    <w:rsid w:val="03F53224"/>
    <w:rsid w:val="03F97C93"/>
    <w:rsid w:val="040556DD"/>
    <w:rsid w:val="040E4566"/>
    <w:rsid w:val="042E5F2F"/>
    <w:rsid w:val="042F3D71"/>
    <w:rsid w:val="0434085F"/>
    <w:rsid w:val="04365FF6"/>
    <w:rsid w:val="04387AF7"/>
    <w:rsid w:val="04581721"/>
    <w:rsid w:val="046C5A25"/>
    <w:rsid w:val="047702EE"/>
    <w:rsid w:val="047A3BD8"/>
    <w:rsid w:val="04810E0E"/>
    <w:rsid w:val="04871F37"/>
    <w:rsid w:val="04885D09"/>
    <w:rsid w:val="0489700E"/>
    <w:rsid w:val="048F337D"/>
    <w:rsid w:val="04900B75"/>
    <w:rsid w:val="049177CE"/>
    <w:rsid w:val="04976040"/>
    <w:rsid w:val="049B749C"/>
    <w:rsid w:val="049E0421"/>
    <w:rsid w:val="04A21746"/>
    <w:rsid w:val="04B70F5B"/>
    <w:rsid w:val="04B831C7"/>
    <w:rsid w:val="04C04BAC"/>
    <w:rsid w:val="04C529F4"/>
    <w:rsid w:val="04DF1CCB"/>
    <w:rsid w:val="04E61B5C"/>
    <w:rsid w:val="04FA5415"/>
    <w:rsid w:val="051D738B"/>
    <w:rsid w:val="051E4A0E"/>
    <w:rsid w:val="052317ED"/>
    <w:rsid w:val="05244CAD"/>
    <w:rsid w:val="05252C7E"/>
    <w:rsid w:val="054304DC"/>
    <w:rsid w:val="05500BDA"/>
    <w:rsid w:val="05515CC6"/>
    <w:rsid w:val="055B6768"/>
    <w:rsid w:val="056639CA"/>
    <w:rsid w:val="0567638B"/>
    <w:rsid w:val="05706B86"/>
    <w:rsid w:val="057C6BA1"/>
    <w:rsid w:val="057D0943"/>
    <w:rsid w:val="058049F9"/>
    <w:rsid w:val="058E2FB3"/>
    <w:rsid w:val="059657F2"/>
    <w:rsid w:val="05984B4F"/>
    <w:rsid w:val="05A72A49"/>
    <w:rsid w:val="05AD67D6"/>
    <w:rsid w:val="05B1651E"/>
    <w:rsid w:val="05C06E6E"/>
    <w:rsid w:val="05C077EF"/>
    <w:rsid w:val="05D7604E"/>
    <w:rsid w:val="05D77224"/>
    <w:rsid w:val="05E64275"/>
    <w:rsid w:val="05F15F19"/>
    <w:rsid w:val="05F217B4"/>
    <w:rsid w:val="05F86D74"/>
    <w:rsid w:val="06137352"/>
    <w:rsid w:val="063B43C4"/>
    <w:rsid w:val="063C40F4"/>
    <w:rsid w:val="063C707A"/>
    <w:rsid w:val="063C7C97"/>
    <w:rsid w:val="06403946"/>
    <w:rsid w:val="06451A56"/>
    <w:rsid w:val="06531E5C"/>
    <w:rsid w:val="06551CF0"/>
    <w:rsid w:val="06563FCE"/>
    <w:rsid w:val="065A0456"/>
    <w:rsid w:val="06710264"/>
    <w:rsid w:val="06712670"/>
    <w:rsid w:val="06783B28"/>
    <w:rsid w:val="068A2C1E"/>
    <w:rsid w:val="06933635"/>
    <w:rsid w:val="06936FD0"/>
    <w:rsid w:val="06A32343"/>
    <w:rsid w:val="06A72BA8"/>
    <w:rsid w:val="06A81C43"/>
    <w:rsid w:val="06A905A2"/>
    <w:rsid w:val="06A90C9D"/>
    <w:rsid w:val="06B94957"/>
    <w:rsid w:val="06C3044B"/>
    <w:rsid w:val="06E37835"/>
    <w:rsid w:val="06F537E7"/>
    <w:rsid w:val="07010618"/>
    <w:rsid w:val="07025BF8"/>
    <w:rsid w:val="07087E94"/>
    <w:rsid w:val="070C5798"/>
    <w:rsid w:val="07161BE8"/>
    <w:rsid w:val="072B7D8D"/>
    <w:rsid w:val="072E1A25"/>
    <w:rsid w:val="075A189C"/>
    <w:rsid w:val="075B2F41"/>
    <w:rsid w:val="0762369E"/>
    <w:rsid w:val="07677E0A"/>
    <w:rsid w:val="07690A0B"/>
    <w:rsid w:val="076A6065"/>
    <w:rsid w:val="076D4732"/>
    <w:rsid w:val="077730CD"/>
    <w:rsid w:val="07781085"/>
    <w:rsid w:val="07787F42"/>
    <w:rsid w:val="077B5E33"/>
    <w:rsid w:val="077F7F2E"/>
    <w:rsid w:val="07811F21"/>
    <w:rsid w:val="078372BC"/>
    <w:rsid w:val="078609FB"/>
    <w:rsid w:val="07881F21"/>
    <w:rsid w:val="078A686A"/>
    <w:rsid w:val="078C1D6D"/>
    <w:rsid w:val="078D31EC"/>
    <w:rsid w:val="079C0106"/>
    <w:rsid w:val="07A35216"/>
    <w:rsid w:val="07AC6A68"/>
    <w:rsid w:val="07B611C8"/>
    <w:rsid w:val="07B735DE"/>
    <w:rsid w:val="07BF1318"/>
    <w:rsid w:val="07C00736"/>
    <w:rsid w:val="07C213A0"/>
    <w:rsid w:val="07CA5CDF"/>
    <w:rsid w:val="07E92107"/>
    <w:rsid w:val="07EA49A8"/>
    <w:rsid w:val="07F35FCA"/>
    <w:rsid w:val="07F47043"/>
    <w:rsid w:val="07F65A68"/>
    <w:rsid w:val="07FF097F"/>
    <w:rsid w:val="08036534"/>
    <w:rsid w:val="081B3BDB"/>
    <w:rsid w:val="083365F4"/>
    <w:rsid w:val="08362644"/>
    <w:rsid w:val="08432093"/>
    <w:rsid w:val="08447252"/>
    <w:rsid w:val="084C44EC"/>
    <w:rsid w:val="08542B63"/>
    <w:rsid w:val="085C28D6"/>
    <w:rsid w:val="085F5DFB"/>
    <w:rsid w:val="08602F6F"/>
    <w:rsid w:val="08646E76"/>
    <w:rsid w:val="08966904"/>
    <w:rsid w:val="08976915"/>
    <w:rsid w:val="089E29D3"/>
    <w:rsid w:val="08A14C0D"/>
    <w:rsid w:val="08AF1043"/>
    <w:rsid w:val="08AF2DF4"/>
    <w:rsid w:val="08B108C0"/>
    <w:rsid w:val="08B71959"/>
    <w:rsid w:val="08B72523"/>
    <w:rsid w:val="08C86BCF"/>
    <w:rsid w:val="08D15B8E"/>
    <w:rsid w:val="08E01B1F"/>
    <w:rsid w:val="08E35BA2"/>
    <w:rsid w:val="08E4236A"/>
    <w:rsid w:val="08FC6619"/>
    <w:rsid w:val="0904195A"/>
    <w:rsid w:val="09055BC2"/>
    <w:rsid w:val="09076239"/>
    <w:rsid w:val="09116963"/>
    <w:rsid w:val="09143080"/>
    <w:rsid w:val="0915124B"/>
    <w:rsid w:val="091C11FF"/>
    <w:rsid w:val="092C3A3F"/>
    <w:rsid w:val="093E0F73"/>
    <w:rsid w:val="09410F65"/>
    <w:rsid w:val="09500FA6"/>
    <w:rsid w:val="095C610B"/>
    <w:rsid w:val="09602F68"/>
    <w:rsid w:val="097D1872"/>
    <w:rsid w:val="098440AC"/>
    <w:rsid w:val="0988663F"/>
    <w:rsid w:val="099E09A8"/>
    <w:rsid w:val="099F1CFD"/>
    <w:rsid w:val="09A56361"/>
    <w:rsid w:val="09AC427E"/>
    <w:rsid w:val="09AD00A6"/>
    <w:rsid w:val="09AD29F2"/>
    <w:rsid w:val="09C32DEB"/>
    <w:rsid w:val="09D56F76"/>
    <w:rsid w:val="09E65669"/>
    <w:rsid w:val="09ED0C1A"/>
    <w:rsid w:val="09EE4D9C"/>
    <w:rsid w:val="09FD61E2"/>
    <w:rsid w:val="0A0007F1"/>
    <w:rsid w:val="0A0B0E87"/>
    <w:rsid w:val="0A1F4DBA"/>
    <w:rsid w:val="0A237D23"/>
    <w:rsid w:val="0A3208AE"/>
    <w:rsid w:val="0A410AF1"/>
    <w:rsid w:val="0A4C71F2"/>
    <w:rsid w:val="0A5115FC"/>
    <w:rsid w:val="0A54044A"/>
    <w:rsid w:val="0A586566"/>
    <w:rsid w:val="0A5B1BB3"/>
    <w:rsid w:val="0A621F0B"/>
    <w:rsid w:val="0A622F41"/>
    <w:rsid w:val="0A756BD4"/>
    <w:rsid w:val="0A77592D"/>
    <w:rsid w:val="0A794C7C"/>
    <w:rsid w:val="0A802B88"/>
    <w:rsid w:val="0A85133A"/>
    <w:rsid w:val="0A875619"/>
    <w:rsid w:val="0A8939C3"/>
    <w:rsid w:val="0A895060"/>
    <w:rsid w:val="0A8A71D7"/>
    <w:rsid w:val="0A8E1461"/>
    <w:rsid w:val="0A911C8D"/>
    <w:rsid w:val="0A947582"/>
    <w:rsid w:val="0A9B189C"/>
    <w:rsid w:val="0AA674E4"/>
    <w:rsid w:val="0AB30A79"/>
    <w:rsid w:val="0AB85257"/>
    <w:rsid w:val="0AC57E18"/>
    <w:rsid w:val="0AC714DD"/>
    <w:rsid w:val="0ACA6353"/>
    <w:rsid w:val="0ACB616E"/>
    <w:rsid w:val="0AD35BED"/>
    <w:rsid w:val="0AD927DA"/>
    <w:rsid w:val="0AE233DC"/>
    <w:rsid w:val="0AF4269F"/>
    <w:rsid w:val="0B0179A3"/>
    <w:rsid w:val="0B09418A"/>
    <w:rsid w:val="0B0B2368"/>
    <w:rsid w:val="0B1B59B6"/>
    <w:rsid w:val="0B242DEF"/>
    <w:rsid w:val="0B254E57"/>
    <w:rsid w:val="0B26152B"/>
    <w:rsid w:val="0B26367A"/>
    <w:rsid w:val="0B286C8D"/>
    <w:rsid w:val="0B2C0B26"/>
    <w:rsid w:val="0B2E72C7"/>
    <w:rsid w:val="0B303411"/>
    <w:rsid w:val="0B311630"/>
    <w:rsid w:val="0B3B0436"/>
    <w:rsid w:val="0B4124A7"/>
    <w:rsid w:val="0B4C5451"/>
    <w:rsid w:val="0B506007"/>
    <w:rsid w:val="0B6B4077"/>
    <w:rsid w:val="0B753B34"/>
    <w:rsid w:val="0B774614"/>
    <w:rsid w:val="0B7A7971"/>
    <w:rsid w:val="0B7D7A18"/>
    <w:rsid w:val="0B867F20"/>
    <w:rsid w:val="0B883A47"/>
    <w:rsid w:val="0B8D3D9D"/>
    <w:rsid w:val="0B972F29"/>
    <w:rsid w:val="0BA20207"/>
    <w:rsid w:val="0BB721C8"/>
    <w:rsid w:val="0BC25FDA"/>
    <w:rsid w:val="0BC342A5"/>
    <w:rsid w:val="0BD25EA5"/>
    <w:rsid w:val="0BD74046"/>
    <w:rsid w:val="0BDC6D23"/>
    <w:rsid w:val="0BDE1F24"/>
    <w:rsid w:val="0BE32DE9"/>
    <w:rsid w:val="0BE77114"/>
    <w:rsid w:val="0BEF0FAD"/>
    <w:rsid w:val="0BF205E2"/>
    <w:rsid w:val="0BF254C1"/>
    <w:rsid w:val="0BFA53FB"/>
    <w:rsid w:val="0BFB5C6C"/>
    <w:rsid w:val="0BFD6797"/>
    <w:rsid w:val="0C013296"/>
    <w:rsid w:val="0C067B21"/>
    <w:rsid w:val="0C0A5EAE"/>
    <w:rsid w:val="0C1032CE"/>
    <w:rsid w:val="0C114EFD"/>
    <w:rsid w:val="0C1E0EC6"/>
    <w:rsid w:val="0C264483"/>
    <w:rsid w:val="0C434FF4"/>
    <w:rsid w:val="0C4C76D1"/>
    <w:rsid w:val="0C4D4603"/>
    <w:rsid w:val="0C4E2B00"/>
    <w:rsid w:val="0C5E3BDC"/>
    <w:rsid w:val="0C73630C"/>
    <w:rsid w:val="0C844FAD"/>
    <w:rsid w:val="0C912BA5"/>
    <w:rsid w:val="0C9E7FBE"/>
    <w:rsid w:val="0CA60E0C"/>
    <w:rsid w:val="0CBB4B8B"/>
    <w:rsid w:val="0CBE28CD"/>
    <w:rsid w:val="0CC53A7D"/>
    <w:rsid w:val="0CCC4FEA"/>
    <w:rsid w:val="0CD21C55"/>
    <w:rsid w:val="0CE413FE"/>
    <w:rsid w:val="0CE5440C"/>
    <w:rsid w:val="0CE8592E"/>
    <w:rsid w:val="0CF320DE"/>
    <w:rsid w:val="0D06659F"/>
    <w:rsid w:val="0D07035E"/>
    <w:rsid w:val="0D092609"/>
    <w:rsid w:val="0D107E7B"/>
    <w:rsid w:val="0D1664B2"/>
    <w:rsid w:val="0D25786F"/>
    <w:rsid w:val="0D4217B5"/>
    <w:rsid w:val="0D500C64"/>
    <w:rsid w:val="0D52320D"/>
    <w:rsid w:val="0D523741"/>
    <w:rsid w:val="0D536C70"/>
    <w:rsid w:val="0D582A1E"/>
    <w:rsid w:val="0D610E15"/>
    <w:rsid w:val="0D662938"/>
    <w:rsid w:val="0D713860"/>
    <w:rsid w:val="0D945ED5"/>
    <w:rsid w:val="0D991142"/>
    <w:rsid w:val="0D9F4266"/>
    <w:rsid w:val="0DA21FCB"/>
    <w:rsid w:val="0DA67783"/>
    <w:rsid w:val="0DAB60CE"/>
    <w:rsid w:val="0DAE46EF"/>
    <w:rsid w:val="0DB0255B"/>
    <w:rsid w:val="0DBF6376"/>
    <w:rsid w:val="0DC359C9"/>
    <w:rsid w:val="0DCC75F6"/>
    <w:rsid w:val="0DD20ED1"/>
    <w:rsid w:val="0DD610A3"/>
    <w:rsid w:val="0DDB664A"/>
    <w:rsid w:val="0DE425BB"/>
    <w:rsid w:val="0DF059B9"/>
    <w:rsid w:val="0E0255EF"/>
    <w:rsid w:val="0E124F60"/>
    <w:rsid w:val="0E1A2F4F"/>
    <w:rsid w:val="0E1B0383"/>
    <w:rsid w:val="0E1F096A"/>
    <w:rsid w:val="0E202600"/>
    <w:rsid w:val="0E226EE7"/>
    <w:rsid w:val="0E245572"/>
    <w:rsid w:val="0E2F0338"/>
    <w:rsid w:val="0E334D27"/>
    <w:rsid w:val="0E34132B"/>
    <w:rsid w:val="0E3445FD"/>
    <w:rsid w:val="0E3A66ED"/>
    <w:rsid w:val="0E4E6A85"/>
    <w:rsid w:val="0E525ADF"/>
    <w:rsid w:val="0E5F49A7"/>
    <w:rsid w:val="0E6018B5"/>
    <w:rsid w:val="0E611DA6"/>
    <w:rsid w:val="0E750A47"/>
    <w:rsid w:val="0E766C5B"/>
    <w:rsid w:val="0E796AAB"/>
    <w:rsid w:val="0E7D56FD"/>
    <w:rsid w:val="0E8407E5"/>
    <w:rsid w:val="0E8838DD"/>
    <w:rsid w:val="0E887A67"/>
    <w:rsid w:val="0E9347EB"/>
    <w:rsid w:val="0E9838F5"/>
    <w:rsid w:val="0E9B5403"/>
    <w:rsid w:val="0EA32C27"/>
    <w:rsid w:val="0EC36E44"/>
    <w:rsid w:val="0EC8650C"/>
    <w:rsid w:val="0ED158DD"/>
    <w:rsid w:val="0EED7AE2"/>
    <w:rsid w:val="0EF23520"/>
    <w:rsid w:val="0F0032B8"/>
    <w:rsid w:val="0F0229BC"/>
    <w:rsid w:val="0F0419EB"/>
    <w:rsid w:val="0F1306A2"/>
    <w:rsid w:val="0F39646A"/>
    <w:rsid w:val="0F3A580E"/>
    <w:rsid w:val="0F41598B"/>
    <w:rsid w:val="0F5D3D72"/>
    <w:rsid w:val="0F6259FD"/>
    <w:rsid w:val="0F671CCB"/>
    <w:rsid w:val="0F696B20"/>
    <w:rsid w:val="0F721E6B"/>
    <w:rsid w:val="0F737374"/>
    <w:rsid w:val="0F7D130E"/>
    <w:rsid w:val="0F7E4DEC"/>
    <w:rsid w:val="0F804743"/>
    <w:rsid w:val="0F9954A7"/>
    <w:rsid w:val="0FA53A62"/>
    <w:rsid w:val="0FAD143C"/>
    <w:rsid w:val="0FAE72F2"/>
    <w:rsid w:val="0FB05050"/>
    <w:rsid w:val="0FB92B51"/>
    <w:rsid w:val="0FBD35D0"/>
    <w:rsid w:val="0FBD73D7"/>
    <w:rsid w:val="0FC24FB5"/>
    <w:rsid w:val="0FC52C57"/>
    <w:rsid w:val="0FC70E77"/>
    <w:rsid w:val="0FCD295A"/>
    <w:rsid w:val="0FDB5714"/>
    <w:rsid w:val="0FEF2568"/>
    <w:rsid w:val="0FF1183A"/>
    <w:rsid w:val="0FF44571"/>
    <w:rsid w:val="0FFB13C6"/>
    <w:rsid w:val="1006548F"/>
    <w:rsid w:val="100914BC"/>
    <w:rsid w:val="100C4020"/>
    <w:rsid w:val="10141182"/>
    <w:rsid w:val="101A42BE"/>
    <w:rsid w:val="10273577"/>
    <w:rsid w:val="102A1A37"/>
    <w:rsid w:val="10383F2B"/>
    <w:rsid w:val="10436811"/>
    <w:rsid w:val="10552896"/>
    <w:rsid w:val="105C0993"/>
    <w:rsid w:val="105E5089"/>
    <w:rsid w:val="10661D47"/>
    <w:rsid w:val="10725EA8"/>
    <w:rsid w:val="10765998"/>
    <w:rsid w:val="1076629E"/>
    <w:rsid w:val="107F306E"/>
    <w:rsid w:val="108B7F2D"/>
    <w:rsid w:val="108D2888"/>
    <w:rsid w:val="109158BE"/>
    <w:rsid w:val="1097070E"/>
    <w:rsid w:val="10A33EEB"/>
    <w:rsid w:val="10AA2078"/>
    <w:rsid w:val="10B07FDE"/>
    <w:rsid w:val="10B67047"/>
    <w:rsid w:val="10CA28CF"/>
    <w:rsid w:val="10D17678"/>
    <w:rsid w:val="10D20CB0"/>
    <w:rsid w:val="10D75E5D"/>
    <w:rsid w:val="10EB17D6"/>
    <w:rsid w:val="10F11B46"/>
    <w:rsid w:val="10FB3C68"/>
    <w:rsid w:val="11057BB9"/>
    <w:rsid w:val="110A5C1C"/>
    <w:rsid w:val="111237D5"/>
    <w:rsid w:val="113D6759"/>
    <w:rsid w:val="1141734A"/>
    <w:rsid w:val="11431B5A"/>
    <w:rsid w:val="11475ED7"/>
    <w:rsid w:val="115227E8"/>
    <w:rsid w:val="115455FC"/>
    <w:rsid w:val="115E7D98"/>
    <w:rsid w:val="116C26B4"/>
    <w:rsid w:val="118B7CD4"/>
    <w:rsid w:val="118C4D48"/>
    <w:rsid w:val="118C5756"/>
    <w:rsid w:val="11915461"/>
    <w:rsid w:val="119510D4"/>
    <w:rsid w:val="11A93B4C"/>
    <w:rsid w:val="11AB5AB5"/>
    <w:rsid w:val="11B30526"/>
    <w:rsid w:val="11BB03D1"/>
    <w:rsid w:val="11C12B2C"/>
    <w:rsid w:val="11CA5486"/>
    <w:rsid w:val="11CD752C"/>
    <w:rsid w:val="11D4582F"/>
    <w:rsid w:val="11D956A8"/>
    <w:rsid w:val="11E132E5"/>
    <w:rsid w:val="11F20E06"/>
    <w:rsid w:val="120D286F"/>
    <w:rsid w:val="121769BF"/>
    <w:rsid w:val="12246550"/>
    <w:rsid w:val="1226174C"/>
    <w:rsid w:val="1227569C"/>
    <w:rsid w:val="122A2771"/>
    <w:rsid w:val="122D0E03"/>
    <w:rsid w:val="12424955"/>
    <w:rsid w:val="125300F0"/>
    <w:rsid w:val="125851AB"/>
    <w:rsid w:val="125C4DA6"/>
    <w:rsid w:val="125E66E4"/>
    <w:rsid w:val="126D40D3"/>
    <w:rsid w:val="12706417"/>
    <w:rsid w:val="1273407F"/>
    <w:rsid w:val="128351DA"/>
    <w:rsid w:val="12887F77"/>
    <w:rsid w:val="12895998"/>
    <w:rsid w:val="12976F0D"/>
    <w:rsid w:val="129B72CB"/>
    <w:rsid w:val="12AC2C72"/>
    <w:rsid w:val="12AF5192"/>
    <w:rsid w:val="12B17BA4"/>
    <w:rsid w:val="12BA0CA4"/>
    <w:rsid w:val="12BF6186"/>
    <w:rsid w:val="12C055FC"/>
    <w:rsid w:val="12C377F0"/>
    <w:rsid w:val="12C40FC2"/>
    <w:rsid w:val="12C42893"/>
    <w:rsid w:val="12D83402"/>
    <w:rsid w:val="12D96909"/>
    <w:rsid w:val="12E36904"/>
    <w:rsid w:val="12EB16AE"/>
    <w:rsid w:val="12F4149A"/>
    <w:rsid w:val="12FE06CF"/>
    <w:rsid w:val="130750A9"/>
    <w:rsid w:val="132053DB"/>
    <w:rsid w:val="13257202"/>
    <w:rsid w:val="132C67E2"/>
    <w:rsid w:val="13357DBD"/>
    <w:rsid w:val="133F4AD7"/>
    <w:rsid w:val="134532DF"/>
    <w:rsid w:val="13514C48"/>
    <w:rsid w:val="135C5FAF"/>
    <w:rsid w:val="13612C85"/>
    <w:rsid w:val="136441CE"/>
    <w:rsid w:val="13690A64"/>
    <w:rsid w:val="13983317"/>
    <w:rsid w:val="13A70DB8"/>
    <w:rsid w:val="13AC347F"/>
    <w:rsid w:val="13AE1860"/>
    <w:rsid w:val="13DA737D"/>
    <w:rsid w:val="13E45D60"/>
    <w:rsid w:val="13EC6C6B"/>
    <w:rsid w:val="13F1367D"/>
    <w:rsid w:val="14024FE7"/>
    <w:rsid w:val="14147B8C"/>
    <w:rsid w:val="1424660F"/>
    <w:rsid w:val="142D2812"/>
    <w:rsid w:val="142F3635"/>
    <w:rsid w:val="1434133A"/>
    <w:rsid w:val="144C52CF"/>
    <w:rsid w:val="14556DB3"/>
    <w:rsid w:val="14717120"/>
    <w:rsid w:val="148D3832"/>
    <w:rsid w:val="1496706B"/>
    <w:rsid w:val="149D5297"/>
    <w:rsid w:val="14A34882"/>
    <w:rsid w:val="14AA3E63"/>
    <w:rsid w:val="14B27E01"/>
    <w:rsid w:val="14B32499"/>
    <w:rsid w:val="14B72370"/>
    <w:rsid w:val="14B80058"/>
    <w:rsid w:val="14C32197"/>
    <w:rsid w:val="14C95F28"/>
    <w:rsid w:val="14CF5102"/>
    <w:rsid w:val="14D32310"/>
    <w:rsid w:val="14D7598F"/>
    <w:rsid w:val="14D86AFB"/>
    <w:rsid w:val="14DE4093"/>
    <w:rsid w:val="14E41B3B"/>
    <w:rsid w:val="14E53B8B"/>
    <w:rsid w:val="14EE28E4"/>
    <w:rsid w:val="15073471"/>
    <w:rsid w:val="15083E09"/>
    <w:rsid w:val="1518718D"/>
    <w:rsid w:val="151C157E"/>
    <w:rsid w:val="15205763"/>
    <w:rsid w:val="1528122B"/>
    <w:rsid w:val="153720B6"/>
    <w:rsid w:val="15380E1A"/>
    <w:rsid w:val="153F406E"/>
    <w:rsid w:val="15432F2B"/>
    <w:rsid w:val="15473BCA"/>
    <w:rsid w:val="15495527"/>
    <w:rsid w:val="1565422D"/>
    <w:rsid w:val="15672512"/>
    <w:rsid w:val="15721419"/>
    <w:rsid w:val="157742EF"/>
    <w:rsid w:val="157D3303"/>
    <w:rsid w:val="158712FC"/>
    <w:rsid w:val="158770BA"/>
    <w:rsid w:val="159E028F"/>
    <w:rsid w:val="15B6157F"/>
    <w:rsid w:val="15B864D0"/>
    <w:rsid w:val="15BA0C2C"/>
    <w:rsid w:val="15CC2413"/>
    <w:rsid w:val="15CC6A4F"/>
    <w:rsid w:val="15CD3D97"/>
    <w:rsid w:val="15CF11DB"/>
    <w:rsid w:val="15D24AB9"/>
    <w:rsid w:val="15E02221"/>
    <w:rsid w:val="15E4401A"/>
    <w:rsid w:val="15E74B22"/>
    <w:rsid w:val="15EA355E"/>
    <w:rsid w:val="15EC0321"/>
    <w:rsid w:val="15F63117"/>
    <w:rsid w:val="15FD7C30"/>
    <w:rsid w:val="15FF5ACC"/>
    <w:rsid w:val="160E65BF"/>
    <w:rsid w:val="1617003E"/>
    <w:rsid w:val="16195F12"/>
    <w:rsid w:val="16293E7F"/>
    <w:rsid w:val="162C63AB"/>
    <w:rsid w:val="1631388A"/>
    <w:rsid w:val="16343008"/>
    <w:rsid w:val="164666A6"/>
    <w:rsid w:val="164717FA"/>
    <w:rsid w:val="1647621D"/>
    <w:rsid w:val="164B21BA"/>
    <w:rsid w:val="164E4507"/>
    <w:rsid w:val="164E4CC1"/>
    <w:rsid w:val="16571B1D"/>
    <w:rsid w:val="16574435"/>
    <w:rsid w:val="165B1328"/>
    <w:rsid w:val="16732275"/>
    <w:rsid w:val="16732A81"/>
    <w:rsid w:val="167504A0"/>
    <w:rsid w:val="167926D0"/>
    <w:rsid w:val="167E2D4D"/>
    <w:rsid w:val="168119A9"/>
    <w:rsid w:val="168409DE"/>
    <w:rsid w:val="16897AA8"/>
    <w:rsid w:val="16A23725"/>
    <w:rsid w:val="16AF677A"/>
    <w:rsid w:val="16B212CB"/>
    <w:rsid w:val="16C60A43"/>
    <w:rsid w:val="16CE5C5A"/>
    <w:rsid w:val="16CF4B18"/>
    <w:rsid w:val="16E509B8"/>
    <w:rsid w:val="16EC3BD0"/>
    <w:rsid w:val="17004581"/>
    <w:rsid w:val="17057F58"/>
    <w:rsid w:val="17081314"/>
    <w:rsid w:val="170852F7"/>
    <w:rsid w:val="172E7705"/>
    <w:rsid w:val="173A2DBA"/>
    <w:rsid w:val="173C173C"/>
    <w:rsid w:val="176A0A7A"/>
    <w:rsid w:val="176E6E29"/>
    <w:rsid w:val="17757C3C"/>
    <w:rsid w:val="17771379"/>
    <w:rsid w:val="17AE026A"/>
    <w:rsid w:val="17BF1251"/>
    <w:rsid w:val="17C67534"/>
    <w:rsid w:val="17D31CD9"/>
    <w:rsid w:val="17D913F3"/>
    <w:rsid w:val="17DB7164"/>
    <w:rsid w:val="17DF2EB8"/>
    <w:rsid w:val="17E66AB3"/>
    <w:rsid w:val="17EE2E0A"/>
    <w:rsid w:val="180031FC"/>
    <w:rsid w:val="180354F1"/>
    <w:rsid w:val="180C0B82"/>
    <w:rsid w:val="182A7068"/>
    <w:rsid w:val="18357EE7"/>
    <w:rsid w:val="1837038F"/>
    <w:rsid w:val="183D038D"/>
    <w:rsid w:val="183F7FF5"/>
    <w:rsid w:val="184717DF"/>
    <w:rsid w:val="18492AAE"/>
    <w:rsid w:val="185C1BEA"/>
    <w:rsid w:val="186537B5"/>
    <w:rsid w:val="186F4AEB"/>
    <w:rsid w:val="187A4823"/>
    <w:rsid w:val="187D64C2"/>
    <w:rsid w:val="18856682"/>
    <w:rsid w:val="18865056"/>
    <w:rsid w:val="188D36A9"/>
    <w:rsid w:val="18935F5E"/>
    <w:rsid w:val="18937CE6"/>
    <w:rsid w:val="189539C4"/>
    <w:rsid w:val="18974B70"/>
    <w:rsid w:val="18A41178"/>
    <w:rsid w:val="18A70392"/>
    <w:rsid w:val="18BB288E"/>
    <w:rsid w:val="18BD3E6A"/>
    <w:rsid w:val="18C674AD"/>
    <w:rsid w:val="18C7745A"/>
    <w:rsid w:val="18CF6E43"/>
    <w:rsid w:val="18D26A37"/>
    <w:rsid w:val="18D46A27"/>
    <w:rsid w:val="18DA4AB5"/>
    <w:rsid w:val="18DE63DD"/>
    <w:rsid w:val="18E3449D"/>
    <w:rsid w:val="18F5112A"/>
    <w:rsid w:val="18F5267A"/>
    <w:rsid w:val="18FE1457"/>
    <w:rsid w:val="1902303A"/>
    <w:rsid w:val="19181A3A"/>
    <w:rsid w:val="19254AC4"/>
    <w:rsid w:val="19577A62"/>
    <w:rsid w:val="1963792F"/>
    <w:rsid w:val="197248E8"/>
    <w:rsid w:val="1987050A"/>
    <w:rsid w:val="199248F5"/>
    <w:rsid w:val="19926E13"/>
    <w:rsid w:val="199418B8"/>
    <w:rsid w:val="19A42F66"/>
    <w:rsid w:val="19A44710"/>
    <w:rsid w:val="19B2023E"/>
    <w:rsid w:val="19BC2548"/>
    <w:rsid w:val="19C13CA9"/>
    <w:rsid w:val="19C75265"/>
    <w:rsid w:val="19CB76F3"/>
    <w:rsid w:val="19E43F01"/>
    <w:rsid w:val="19E8056E"/>
    <w:rsid w:val="19EF621A"/>
    <w:rsid w:val="19FB54BA"/>
    <w:rsid w:val="1A037BA3"/>
    <w:rsid w:val="1A0E29AB"/>
    <w:rsid w:val="1A111C52"/>
    <w:rsid w:val="1A193E0F"/>
    <w:rsid w:val="1A1F5E29"/>
    <w:rsid w:val="1A234762"/>
    <w:rsid w:val="1A281612"/>
    <w:rsid w:val="1A2E2E40"/>
    <w:rsid w:val="1A5815DD"/>
    <w:rsid w:val="1A586B42"/>
    <w:rsid w:val="1A5F64BE"/>
    <w:rsid w:val="1A605033"/>
    <w:rsid w:val="1A6201AC"/>
    <w:rsid w:val="1A720859"/>
    <w:rsid w:val="1A7556EF"/>
    <w:rsid w:val="1A8467E2"/>
    <w:rsid w:val="1A8477D6"/>
    <w:rsid w:val="1A903942"/>
    <w:rsid w:val="1A924C23"/>
    <w:rsid w:val="1A9269D8"/>
    <w:rsid w:val="1A996FC3"/>
    <w:rsid w:val="1A9B6333"/>
    <w:rsid w:val="1A9D0627"/>
    <w:rsid w:val="1A9D17A4"/>
    <w:rsid w:val="1AA64DFC"/>
    <w:rsid w:val="1AA67F47"/>
    <w:rsid w:val="1AA8660F"/>
    <w:rsid w:val="1AAB4D8E"/>
    <w:rsid w:val="1AB56AD0"/>
    <w:rsid w:val="1ABD0324"/>
    <w:rsid w:val="1AC5187D"/>
    <w:rsid w:val="1AD31D10"/>
    <w:rsid w:val="1ADC0275"/>
    <w:rsid w:val="1ADC6863"/>
    <w:rsid w:val="1AE26B7D"/>
    <w:rsid w:val="1AE5239D"/>
    <w:rsid w:val="1AF743F8"/>
    <w:rsid w:val="1B030964"/>
    <w:rsid w:val="1B0A7D42"/>
    <w:rsid w:val="1B0D06D6"/>
    <w:rsid w:val="1B0E4A1F"/>
    <w:rsid w:val="1B1D4027"/>
    <w:rsid w:val="1B30623C"/>
    <w:rsid w:val="1B3B7572"/>
    <w:rsid w:val="1B594AE5"/>
    <w:rsid w:val="1B5A56F2"/>
    <w:rsid w:val="1B602BF9"/>
    <w:rsid w:val="1B77688F"/>
    <w:rsid w:val="1B7921E3"/>
    <w:rsid w:val="1B7B63E1"/>
    <w:rsid w:val="1B831376"/>
    <w:rsid w:val="1B853B96"/>
    <w:rsid w:val="1B895FBB"/>
    <w:rsid w:val="1B8C033F"/>
    <w:rsid w:val="1B93777B"/>
    <w:rsid w:val="1B9B4B6E"/>
    <w:rsid w:val="1B9E0C4E"/>
    <w:rsid w:val="1BAC19F3"/>
    <w:rsid w:val="1BC86D36"/>
    <w:rsid w:val="1BCF50F9"/>
    <w:rsid w:val="1BE5087C"/>
    <w:rsid w:val="1BE76486"/>
    <w:rsid w:val="1BF11FDA"/>
    <w:rsid w:val="1C10231F"/>
    <w:rsid w:val="1C107160"/>
    <w:rsid w:val="1C197CF0"/>
    <w:rsid w:val="1C251CA5"/>
    <w:rsid w:val="1C2B5830"/>
    <w:rsid w:val="1C2C3AA0"/>
    <w:rsid w:val="1C3A1F70"/>
    <w:rsid w:val="1C420957"/>
    <w:rsid w:val="1C4526C3"/>
    <w:rsid w:val="1C4A1683"/>
    <w:rsid w:val="1C585979"/>
    <w:rsid w:val="1C60407D"/>
    <w:rsid w:val="1C6C2094"/>
    <w:rsid w:val="1C6F78BE"/>
    <w:rsid w:val="1C84035C"/>
    <w:rsid w:val="1C871D38"/>
    <w:rsid w:val="1C890801"/>
    <w:rsid w:val="1C8A6657"/>
    <w:rsid w:val="1C920060"/>
    <w:rsid w:val="1CA26379"/>
    <w:rsid w:val="1CAF1C64"/>
    <w:rsid w:val="1CB405DB"/>
    <w:rsid w:val="1CBC7C4C"/>
    <w:rsid w:val="1CCD7F91"/>
    <w:rsid w:val="1CD37257"/>
    <w:rsid w:val="1CD516B0"/>
    <w:rsid w:val="1CDB049A"/>
    <w:rsid w:val="1CE95037"/>
    <w:rsid w:val="1CEE3CA3"/>
    <w:rsid w:val="1D0437D6"/>
    <w:rsid w:val="1D121CA9"/>
    <w:rsid w:val="1D24677C"/>
    <w:rsid w:val="1D265C44"/>
    <w:rsid w:val="1D2675DC"/>
    <w:rsid w:val="1D500288"/>
    <w:rsid w:val="1D517704"/>
    <w:rsid w:val="1D550D43"/>
    <w:rsid w:val="1D562D13"/>
    <w:rsid w:val="1D577DA1"/>
    <w:rsid w:val="1D5F2185"/>
    <w:rsid w:val="1D6727C4"/>
    <w:rsid w:val="1D674C76"/>
    <w:rsid w:val="1D820A52"/>
    <w:rsid w:val="1D8457A6"/>
    <w:rsid w:val="1D862758"/>
    <w:rsid w:val="1D863B00"/>
    <w:rsid w:val="1D8D41A7"/>
    <w:rsid w:val="1D974876"/>
    <w:rsid w:val="1D9C2A4E"/>
    <w:rsid w:val="1DA50519"/>
    <w:rsid w:val="1DA72BFF"/>
    <w:rsid w:val="1DAA6C81"/>
    <w:rsid w:val="1DAC3F3B"/>
    <w:rsid w:val="1DD0183F"/>
    <w:rsid w:val="1DD42D48"/>
    <w:rsid w:val="1DDF4C68"/>
    <w:rsid w:val="1DEC3B4B"/>
    <w:rsid w:val="1DED20C7"/>
    <w:rsid w:val="1DEE4E27"/>
    <w:rsid w:val="1DF71875"/>
    <w:rsid w:val="1DFB5DA3"/>
    <w:rsid w:val="1DFE521F"/>
    <w:rsid w:val="1E033FA3"/>
    <w:rsid w:val="1E1F4C18"/>
    <w:rsid w:val="1E2A1C9B"/>
    <w:rsid w:val="1E2C5846"/>
    <w:rsid w:val="1E3918A2"/>
    <w:rsid w:val="1E46106B"/>
    <w:rsid w:val="1E4A2212"/>
    <w:rsid w:val="1E584323"/>
    <w:rsid w:val="1E5D5EE9"/>
    <w:rsid w:val="1E65172E"/>
    <w:rsid w:val="1E7B755D"/>
    <w:rsid w:val="1E8311B2"/>
    <w:rsid w:val="1E975C3E"/>
    <w:rsid w:val="1E9A37B0"/>
    <w:rsid w:val="1EAA2431"/>
    <w:rsid w:val="1EAE0C12"/>
    <w:rsid w:val="1EB6713F"/>
    <w:rsid w:val="1EBE4E7B"/>
    <w:rsid w:val="1EC0227C"/>
    <w:rsid w:val="1EE04F69"/>
    <w:rsid w:val="1EE1351B"/>
    <w:rsid w:val="1EEA460D"/>
    <w:rsid w:val="1EEB7551"/>
    <w:rsid w:val="1EF33786"/>
    <w:rsid w:val="1EFA5AA3"/>
    <w:rsid w:val="1EFC4C0E"/>
    <w:rsid w:val="1F001975"/>
    <w:rsid w:val="1F007B5D"/>
    <w:rsid w:val="1F0423C1"/>
    <w:rsid w:val="1F062A04"/>
    <w:rsid w:val="1F0979D8"/>
    <w:rsid w:val="1F0B48A0"/>
    <w:rsid w:val="1F223089"/>
    <w:rsid w:val="1F277232"/>
    <w:rsid w:val="1F3367F0"/>
    <w:rsid w:val="1F365409"/>
    <w:rsid w:val="1F386A10"/>
    <w:rsid w:val="1F704E11"/>
    <w:rsid w:val="1F837AC4"/>
    <w:rsid w:val="1F8653BF"/>
    <w:rsid w:val="1F8A490F"/>
    <w:rsid w:val="1F9279CD"/>
    <w:rsid w:val="1F9C62A3"/>
    <w:rsid w:val="1F9F033C"/>
    <w:rsid w:val="1FA01A04"/>
    <w:rsid w:val="1FAF707C"/>
    <w:rsid w:val="1FB57B5F"/>
    <w:rsid w:val="1FBA2492"/>
    <w:rsid w:val="1FBB471C"/>
    <w:rsid w:val="1FC06E59"/>
    <w:rsid w:val="1FC102B2"/>
    <w:rsid w:val="1FC71C6F"/>
    <w:rsid w:val="1FCB7866"/>
    <w:rsid w:val="1FD8790C"/>
    <w:rsid w:val="1FD9586A"/>
    <w:rsid w:val="1FE36915"/>
    <w:rsid w:val="1FEF6BCD"/>
    <w:rsid w:val="200301F7"/>
    <w:rsid w:val="200B476C"/>
    <w:rsid w:val="2027280B"/>
    <w:rsid w:val="203A086E"/>
    <w:rsid w:val="203A7850"/>
    <w:rsid w:val="20415B37"/>
    <w:rsid w:val="204A3398"/>
    <w:rsid w:val="205E04C8"/>
    <w:rsid w:val="205E67CD"/>
    <w:rsid w:val="20653333"/>
    <w:rsid w:val="206A36B4"/>
    <w:rsid w:val="20834165"/>
    <w:rsid w:val="2084619B"/>
    <w:rsid w:val="208810EA"/>
    <w:rsid w:val="208F5C41"/>
    <w:rsid w:val="209E704C"/>
    <w:rsid w:val="209E7D28"/>
    <w:rsid w:val="20A726D6"/>
    <w:rsid w:val="20AF0E2C"/>
    <w:rsid w:val="20CB14D5"/>
    <w:rsid w:val="20CD33FB"/>
    <w:rsid w:val="20DD736E"/>
    <w:rsid w:val="20DE5D3F"/>
    <w:rsid w:val="20E86D29"/>
    <w:rsid w:val="20F95200"/>
    <w:rsid w:val="20FF7332"/>
    <w:rsid w:val="21040CF3"/>
    <w:rsid w:val="210C162E"/>
    <w:rsid w:val="210E0C95"/>
    <w:rsid w:val="21130FE1"/>
    <w:rsid w:val="211C48AB"/>
    <w:rsid w:val="21275F6C"/>
    <w:rsid w:val="212878D9"/>
    <w:rsid w:val="21290EE7"/>
    <w:rsid w:val="212B2081"/>
    <w:rsid w:val="212B27B8"/>
    <w:rsid w:val="21321E93"/>
    <w:rsid w:val="213B53ED"/>
    <w:rsid w:val="2143356B"/>
    <w:rsid w:val="21484BE4"/>
    <w:rsid w:val="2154124E"/>
    <w:rsid w:val="21554BF9"/>
    <w:rsid w:val="2166791F"/>
    <w:rsid w:val="216E211C"/>
    <w:rsid w:val="21700CE7"/>
    <w:rsid w:val="2174263E"/>
    <w:rsid w:val="217F21D3"/>
    <w:rsid w:val="217F2DFF"/>
    <w:rsid w:val="218D393D"/>
    <w:rsid w:val="218E6687"/>
    <w:rsid w:val="21997E01"/>
    <w:rsid w:val="219A2095"/>
    <w:rsid w:val="219A7B12"/>
    <w:rsid w:val="21D36B57"/>
    <w:rsid w:val="21D54BCC"/>
    <w:rsid w:val="21DC21B5"/>
    <w:rsid w:val="21DE311D"/>
    <w:rsid w:val="21E25450"/>
    <w:rsid w:val="21F14034"/>
    <w:rsid w:val="21F5300C"/>
    <w:rsid w:val="21F71AC8"/>
    <w:rsid w:val="21F91344"/>
    <w:rsid w:val="22043D05"/>
    <w:rsid w:val="22067B59"/>
    <w:rsid w:val="22144138"/>
    <w:rsid w:val="2215479B"/>
    <w:rsid w:val="221A33AD"/>
    <w:rsid w:val="221A44C8"/>
    <w:rsid w:val="221C4DB0"/>
    <w:rsid w:val="221D58E9"/>
    <w:rsid w:val="222A28DD"/>
    <w:rsid w:val="22317E3D"/>
    <w:rsid w:val="223C55EC"/>
    <w:rsid w:val="22406FE2"/>
    <w:rsid w:val="224A626A"/>
    <w:rsid w:val="224D16B9"/>
    <w:rsid w:val="22531D1D"/>
    <w:rsid w:val="225B6036"/>
    <w:rsid w:val="226371B8"/>
    <w:rsid w:val="227F2CA6"/>
    <w:rsid w:val="229323DA"/>
    <w:rsid w:val="229F50AB"/>
    <w:rsid w:val="22B1460E"/>
    <w:rsid w:val="22B70787"/>
    <w:rsid w:val="22BC59C7"/>
    <w:rsid w:val="22CC7C80"/>
    <w:rsid w:val="22DA2748"/>
    <w:rsid w:val="22E42F2E"/>
    <w:rsid w:val="22E460BA"/>
    <w:rsid w:val="22E839A4"/>
    <w:rsid w:val="22EA60A8"/>
    <w:rsid w:val="22F15C26"/>
    <w:rsid w:val="22F62969"/>
    <w:rsid w:val="22F831C2"/>
    <w:rsid w:val="22FA3138"/>
    <w:rsid w:val="230044F9"/>
    <w:rsid w:val="230842C2"/>
    <w:rsid w:val="2310016E"/>
    <w:rsid w:val="23155542"/>
    <w:rsid w:val="231855EB"/>
    <w:rsid w:val="231B1E8E"/>
    <w:rsid w:val="23221AE3"/>
    <w:rsid w:val="23387465"/>
    <w:rsid w:val="233F3F9F"/>
    <w:rsid w:val="234125E4"/>
    <w:rsid w:val="2342710D"/>
    <w:rsid w:val="23544679"/>
    <w:rsid w:val="2358614A"/>
    <w:rsid w:val="23657AA0"/>
    <w:rsid w:val="237B1C44"/>
    <w:rsid w:val="2387751E"/>
    <w:rsid w:val="238950B4"/>
    <w:rsid w:val="238E0478"/>
    <w:rsid w:val="23936D42"/>
    <w:rsid w:val="239D2DE4"/>
    <w:rsid w:val="239E2088"/>
    <w:rsid w:val="23A01AAA"/>
    <w:rsid w:val="23A23091"/>
    <w:rsid w:val="23A3680E"/>
    <w:rsid w:val="23AA6D59"/>
    <w:rsid w:val="23C45029"/>
    <w:rsid w:val="23D745C6"/>
    <w:rsid w:val="23DF38BB"/>
    <w:rsid w:val="23EB5808"/>
    <w:rsid w:val="23EC3936"/>
    <w:rsid w:val="23FC6553"/>
    <w:rsid w:val="24013373"/>
    <w:rsid w:val="24032071"/>
    <w:rsid w:val="2404235F"/>
    <w:rsid w:val="241D0191"/>
    <w:rsid w:val="241D5C4D"/>
    <w:rsid w:val="242D3E85"/>
    <w:rsid w:val="242F7FE8"/>
    <w:rsid w:val="2431266C"/>
    <w:rsid w:val="244471B6"/>
    <w:rsid w:val="244E08B1"/>
    <w:rsid w:val="24534EDC"/>
    <w:rsid w:val="245940BF"/>
    <w:rsid w:val="245A053A"/>
    <w:rsid w:val="24686DD4"/>
    <w:rsid w:val="247F1071"/>
    <w:rsid w:val="247F57A8"/>
    <w:rsid w:val="2483647E"/>
    <w:rsid w:val="24854C29"/>
    <w:rsid w:val="248C0371"/>
    <w:rsid w:val="24903365"/>
    <w:rsid w:val="24983315"/>
    <w:rsid w:val="249973C0"/>
    <w:rsid w:val="249E7E58"/>
    <w:rsid w:val="24A26B80"/>
    <w:rsid w:val="24A67A63"/>
    <w:rsid w:val="24A84630"/>
    <w:rsid w:val="24A87D56"/>
    <w:rsid w:val="24B42C46"/>
    <w:rsid w:val="24C434B5"/>
    <w:rsid w:val="24D22F21"/>
    <w:rsid w:val="24DB45BB"/>
    <w:rsid w:val="24E27891"/>
    <w:rsid w:val="24E76918"/>
    <w:rsid w:val="24EA1617"/>
    <w:rsid w:val="24EF77AD"/>
    <w:rsid w:val="250119CF"/>
    <w:rsid w:val="250A7DD1"/>
    <w:rsid w:val="250C7BDD"/>
    <w:rsid w:val="25104604"/>
    <w:rsid w:val="251170B3"/>
    <w:rsid w:val="25146ACC"/>
    <w:rsid w:val="25177FEC"/>
    <w:rsid w:val="251946ED"/>
    <w:rsid w:val="251B2C62"/>
    <w:rsid w:val="251E1D03"/>
    <w:rsid w:val="251E295E"/>
    <w:rsid w:val="251E5D4C"/>
    <w:rsid w:val="2528761E"/>
    <w:rsid w:val="252F3F10"/>
    <w:rsid w:val="25445C0D"/>
    <w:rsid w:val="254D3845"/>
    <w:rsid w:val="25541EB2"/>
    <w:rsid w:val="25596541"/>
    <w:rsid w:val="25672EFA"/>
    <w:rsid w:val="25680B4B"/>
    <w:rsid w:val="256B176B"/>
    <w:rsid w:val="256D244F"/>
    <w:rsid w:val="25767490"/>
    <w:rsid w:val="25811B1B"/>
    <w:rsid w:val="25812575"/>
    <w:rsid w:val="258F1E63"/>
    <w:rsid w:val="25915C4A"/>
    <w:rsid w:val="2598351C"/>
    <w:rsid w:val="259A0070"/>
    <w:rsid w:val="259C0CB3"/>
    <w:rsid w:val="259F4AE8"/>
    <w:rsid w:val="25A4045A"/>
    <w:rsid w:val="25B842EB"/>
    <w:rsid w:val="25C368EA"/>
    <w:rsid w:val="25C428AA"/>
    <w:rsid w:val="25C84E46"/>
    <w:rsid w:val="25D02FFD"/>
    <w:rsid w:val="25DB0F42"/>
    <w:rsid w:val="25E22AEA"/>
    <w:rsid w:val="25E534E1"/>
    <w:rsid w:val="25FC3DF2"/>
    <w:rsid w:val="260441AB"/>
    <w:rsid w:val="26143832"/>
    <w:rsid w:val="261A687E"/>
    <w:rsid w:val="261B575E"/>
    <w:rsid w:val="261C5147"/>
    <w:rsid w:val="261E645E"/>
    <w:rsid w:val="262E3906"/>
    <w:rsid w:val="26353C04"/>
    <w:rsid w:val="263D4EC5"/>
    <w:rsid w:val="263E49DB"/>
    <w:rsid w:val="26543880"/>
    <w:rsid w:val="265C3FE5"/>
    <w:rsid w:val="266670B6"/>
    <w:rsid w:val="266F006C"/>
    <w:rsid w:val="26774F45"/>
    <w:rsid w:val="268B7026"/>
    <w:rsid w:val="26962119"/>
    <w:rsid w:val="269D0828"/>
    <w:rsid w:val="269E5038"/>
    <w:rsid w:val="26B50973"/>
    <w:rsid w:val="26C324A4"/>
    <w:rsid w:val="26CE59D5"/>
    <w:rsid w:val="26D933C3"/>
    <w:rsid w:val="26F2274B"/>
    <w:rsid w:val="26F9432D"/>
    <w:rsid w:val="26FA4A89"/>
    <w:rsid w:val="26FD694C"/>
    <w:rsid w:val="27033022"/>
    <w:rsid w:val="270E5195"/>
    <w:rsid w:val="27114E36"/>
    <w:rsid w:val="27150916"/>
    <w:rsid w:val="27160ED4"/>
    <w:rsid w:val="271649AE"/>
    <w:rsid w:val="272A6446"/>
    <w:rsid w:val="27371D1A"/>
    <w:rsid w:val="273852FE"/>
    <w:rsid w:val="273A793F"/>
    <w:rsid w:val="273C4CE1"/>
    <w:rsid w:val="27402EAC"/>
    <w:rsid w:val="27416BDE"/>
    <w:rsid w:val="27483D84"/>
    <w:rsid w:val="2751074A"/>
    <w:rsid w:val="27533EE6"/>
    <w:rsid w:val="27564124"/>
    <w:rsid w:val="275B0DCC"/>
    <w:rsid w:val="27630C0D"/>
    <w:rsid w:val="276A7D1D"/>
    <w:rsid w:val="27702EE5"/>
    <w:rsid w:val="2784618C"/>
    <w:rsid w:val="278C733F"/>
    <w:rsid w:val="279E2283"/>
    <w:rsid w:val="279F0214"/>
    <w:rsid w:val="27A0630F"/>
    <w:rsid w:val="27A358F3"/>
    <w:rsid w:val="27A84DA7"/>
    <w:rsid w:val="27B1496B"/>
    <w:rsid w:val="27BA76BA"/>
    <w:rsid w:val="27BB500D"/>
    <w:rsid w:val="27C5437A"/>
    <w:rsid w:val="27C74388"/>
    <w:rsid w:val="27CD62DB"/>
    <w:rsid w:val="27D1361A"/>
    <w:rsid w:val="27E07918"/>
    <w:rsid w:val="27E35DFD"/>
    <w:rsid w:val="27EB3340"/>
    <w:rsid w:val="27F30BE3"/>
    <w:rsid w:val="27F364C5"/>
    <w:rsid w:val="27F72C42"/>
    <w:rsid w:val="27FD3974"/>
    <w:rsid w:val="28073AC7"/>
    <w:rsid w:val="28171EFB"/>
    <w:rsid w:val="281A0EA7"/>
    <w:rsid w:val="281E2384"/>
    <w:rsid w:val="28234413"/>
    <w:rsid w:val="28365762"/>
    <w:rsid w:val="283F0198"/>
    <w:rsid w:val="284018C9"/>
    <w:rsid w:val="284C3915"/>
    <w:rsid w:val="286C371E"/>
    <w:rsid w:val="286E40D8"/>
    <w:rsid w:val="28707A67"/>
    <w:rsid w:val="288250DE"/>
    <w:rsid w:val="28A20895"/>
    <w:rsid w:val="28B47745"/>
    <w:rsid w:val="28B8385D"/>
    <w:rsid w:val="28BC19DA"/>
    <w:rsid w:val="28C80FFA"/>
    <w:rsid w:val="28EA6B37"/>
    <w:rsid w:val="28EF40E2"/>
    <w:rsid w:val="28F6721F"/>
    <w:rsid w:val="28FD5C97"/>
    <w:rsid w:val="29086754"/>
    <w:rsid w:val="290F3048"/>
    <w:rsid w:val="29100A17"/>
    <w:rsid w:val="29102162"/>
    <w:rsid w:val="291E5962"/>
    <w:rsid w:val="292340BE"/>
    <w:rsid w:val="29267AB9"/>
    <w:rsid w:val="29322EE3"/>
    <w:rsid w:val="29332D4F"/>
    <w:rsid w:val="293C5FA1"/>
    <w:rsid w:val="294066EC"/>
    <w:rsid w:val="29522BF3"/>
    <w:rsid w:val="2953174C"/>
    <w:rsid w:val="2956239B"/>
    <w:rsid w:val="295E1358"/>
    <w:rsid w:val="295E6B72"/>
    <w:rsid w:val="295F30EF"/>
    <w:rsid w:val="295F7B87"/>
    <w:rsid w:val="29656F71"/>
    <w:rsid w:val="297B3BC8"/>
    <w:rsid w:val="298365D8"/>
    <w:rsid w:val="298814E7"/>
    <w:rsid w:val="298D5754"/>
    <w:rsid w:val="298E56A9"/>
    <w:rsid w:val="29932D65"/>
    <w:rsid w:val="299568F5"/>
    <w:rsid w:val="299A1E4A"/>
    <w:rsid w:val="299B5836"/>
    <w:rsid w:val="29E7224E"/>
    <w:rsid w:val="29F01EC0"/>
    <w:rsid w:val="29FA57FA"/>
    <w:rsid w:val="29FF0355"/>
    <w:rsid w:val="2A003CC7"/>
    <w:rsid w:val="2A071243"/>
    <w:rsid w:val="2A311C47"/>
    <w:rsid w:val="2A3A0AE7"/>
    <w:rsid w:val="2A3E2C5C"/>
    <w:rsid w:val="2A4028DC"/>
    <w:rsid w:val="2A431318"/>
    <w:rsid w:val="2A6374ED"/>
    <w:rsid w:val="2A683153"/>
    <w:rsid w:val="2A6E594A"/>
    <w:rsid w:val="2A727FC6"/>
    <w:rsid w:val="2A7E3A46"/>
    <w:rsid w:val="2A8645D2"/>
    <w:rsid w:val="2A8D1131"/>
    <w:rsid w:val="2A9168E7"/>
    <w:rsid w:val="2A9211C9"/>
    <w:rsid w:val="2A944F41"/>
    <w:rsid w:val="2A996592"/>
    <w:rsid w:val="2AA84549"/>
    <w:rsid w:val="2AAB712E"/>
    <w:rsid w:val="2AAE58D7"/>
    <w:rsid w:val="2AB33B12"/>
    <w:rsid w:val="2ACA74E7"/>
    <w:rsid w:val="2ACB0237"/>
    <w:rsid w:val="2ACE437F"/>
    <w:rsid w:val="2ACF76F1"/>
    <w:rsid w:val="2AD00F5B"/>
    <w:rsid w:val="2ADD5534"/>
    <w:rsid w:val="2ADF3877"/>
    <w:rsid w:val="2AE365AF"/>
    <w:rsid w:val="2AEE4079"/>
    <w:rsid w:val="2AEE5863"/>
    <w:rsid w:val="2B040184"/>
    <w:rsid w:val="2B08442C"/>
    <w:rsid w:val="2B0C25C0"/>
    <w:rsid w:val="2B17347C"/>
    <w:rsid w:val="2B1A44A3"/>
    <w:rsid w:val="2B283A17"/>
    <w:rsid w:val="2B40204B"/>
    <w:rsid w:val="2B470A4E"/>
    <w:rsid w:val="2B4D35A6"/>
    <w:rsid w:val="2B527F50"/>
    <w:rsid w:val="2B5E5728"/>
    <w:rsid w:val="2B5F728A"/>
    <w:rsid w:val="2B65243A"/>
    <w:rsid w:val="2B751230"/>
    <w:rsid w:val="2B911206"/>
    <w:rsid w:val="2B9B09A0"/>
    <w:rsid w:val="2BAC3392"/>
    <w:rsid w:val="2BB20B7A"/>
    <w:rsid w:val="2BF1365A"/>
    <w:rsid w:val="2BF17F00"/>
    <w:rsid w:val="2BF569E7"/>
    <w:rsid w:val="2C041F67"/>
    <w:rsid w:val="2C051D1E"/>
    <w:rsid w:val="2C0568B4"/>
    <w:rsid w:val="2C0D64E5"/>
    <w:rsid w:val="2C35288D"/>
    <w:rsid w:val="2C41055E"/>
    <w:rsid w:val="2C442D65"/>
    <w:rsid w:val="2C4C74EC"/>
    <w:rsid w:val="2C5373DC"/>
    <w:rsid w:val="2C640943"/>
    <w:rsid w:val="2C6922ED"/>
    <w:rsid w:val="2C6A00BD"/>
    <w:rsid w:val="2C6D5A4A"/>
    <w:rsid w:val="2C720A7A"/>
    <w:rsid w:val="2C736DD8"/>
    <w:rsid w:val="2C7D2907"/>
    <w:rsid w:val="2C84361B"/>
    <w:rsid w:val="2C8B3388"/>
    <w:rsid w:val="2C8D53CA"/>
    <w:rsid w:val="2C925A8D"/>
    <w:rsid w:val="2C9D353E"/>
    <w:rsid w:val="2C9F5C30"/>
    <w:rsid w:val="2CAC63EE"/>
    <w:rsid w:val="2CBD4657"/>
    <w:rsid w:val="2CBF201D"/>
    <w:rsid w:val="2CBF3DC0"/>
    <w:rsid w:val="2CDD65BD"/>
    <w:rsid w:val="2CE034A6"/>
    <w:rsid w:val="2CEC66FD"/>
    <w:rsid w:val="2CEC6D5B"/>
    <w:rsid w:val="2CF66513"/>
    <w:rsid w:val="2CFE48F4"/>
    <w:rsid w:val="2D0F7A13"/>
    <w:rsid w:val="2D1E0EC6"/>
    <w:rsid w:val="2D3272FA"/>
    <w:rsid w:val="2D4937AE"/>
    <w:rsid w:val="2D4D26B3"/>
    <w:rsid w:val="2D514095"/>
    <w:rsid w:val="2D586214"/>
    <w:rsid w:val="2D61229F"/>
    <w:rsid w:val="2D6A77D6"/>
    <w:rsid w:val="2D7012EB"/>
    <w:rsid w:val="2D7B5F44"/>
    <w:rsid w:val="2D7B7623"/>
    <w:rsid w:val="2D82468D"/>
    <w:rsid w:val="2D84067D"/>
    <w:rsid w:val="2D8D1351"/>
    <w:rsid w:val="2D93363A"/>
    <w:rsid w:val="2D9F1E86"/>
    <w:rsid w:val="2DB02171"/>
    <w:rsid w:val="2DB463C6"/>
    <w:rsid w:val="2DB6182E"/>
    <w:rsid w:val="2DB7013A"/>
    <w:rsid w:val="2DC0511F"/>
    <w:rsid w:val="2DC63745"/>
    <w:rsid w:val="2DD5358D"/>
    <w:rsid w:val="2DD61DB7"/>
    <w:rsid w:val="2DDB73D2"/>
    <w:rsid w:val="2DDF7877"/>
    <w:rsid w:val="2DEB5ED4"/>
    <w:rsid w:val="2DEB6093"/>
    <w:rsid w:val="2DEB7395"/>
    <w:rsid w:val="2DEE0CEA"/>
    <w:rsid w:val="2DEE741F"/>
    <w:rsid w:val="2DF2745E"/>
    <w:rsid w:val="2DF42D5C"/>
    <w:rsid w:val="2E033C34"/>
    <w:rsid w:val="2E0866FA"/>
    <w:rsid w:val="2E185EE6"/>
    <w:rsid w:val="2E21543A"/>
    <w:rsid w:val="2E2874A3"/>
    <w:rsid w:val="2E2C76A5"/>
    <w:rsid w:val="2E351701"/>
    <w:rsid w:val="2E365D60"/>
    <w:rsid w:val="2E376FE0"/>
    <w:rsid w:val="2E400F3C"/>
    <w:rsid w:val="2E4838A1"/>
    <w:rsid w:val="2E4C5B33"/>
    <w:rsid w:val="2E5844D8"/>
    <w:rsid w:val="2E584C6D"/>
    <w:rsid w:val="2E616F14"/>
    <w:rsid w:val="2E7C6418"/>
    <w:rsid w:val="2E84707B"/>
    <w:rsid w:val="2E9469C5"/>
    <w:rsid w:val="2EA65243"/>
    <w:rsid w:val="2EAD2A94"/>
    <w:rsid w:val="2EB37ACC"/>
    <w:rsid w:val="2EC15BF3"/>
    <w:rsid w:val="2EC2278D"/>
    <w:rsid w:val="2EC3078E"/>
    <w:rsid w:val="2EC67677"/>
    <w:rsid w:val="2ECD27D0"/>
    <w:rsid w:val="2ED56B63"/>
    <w:rsid w:val="2EE07CEF"/>
    <w:rsid w:val="2EEC4D8F"/>
    <w:rsid w:val="2EED3D25"/>
    <w:rsid w:val="2EFC6572"/>
    <w:rsid w:val="2F093EE6"/>
    <w:rsid w:val="2F0F4AC5"/>
    <w:rsid w:val="2F140124"/>
    <w:rsid w:val="2F1971A4"/>
    <w:rsid w:val="2F1F0594"/>
    <w:rsid w:val="2F2919D0"/>
    <w:rsid w:val="2F447214"/>
    <w:rsid w:val="2F5F4819"/>
    <w:rsid w:val="2F68074A"/>
    <w:rsid w:val="2F6B035B"/>
    <w:rsid w:val="2F816386"/>
    <w:rsid w:val="2F8B44EB"/>
    <w:rsid w:val="2F8C1E45"/>
    <w:rsid w:val="2F904F9C"/>
    <w:rsid w:val="2F962F2B"/>
    <w:rsid w:val="2F9939F3"/>
    <w:rsid w:val="2F9A4B17"/>
    <w:rsid w:val="2F9C22C6"/>
    <w:rsid w:val="2F9F36C3"/>
    <w:rsid w:val="2F9F469B"/>
    <w:rsid w:val="2FA21EAE"/>
    <w:rsid w:val="2FA52B77"/>
    <w:rsid w:val="2FA75D92"/>
    <w:rsid w:val="2FA81FF9"/>
    <w:rsid w:val="2FAE1FFC"/>
    <w:rsid w:val="2FB5619B"/>
    <w:rsid w:val="2FB62450"/>
    <w:rsid w:val="2FC4426D"/>
    <w:rsid w:val="2FCD6D83"/>
    <w:rsid w:val="2FD31C2E"/>
    <w:rsid w:val="2FD508C3"/>
    <w:rsid w:val="2FDC18EF"/>
    <w:rsid w:val="2FE61B32"/>
    <w:rsid w:val="2FEB1315"/>
    <w:rsid w:val="2FED5EB7"/>
    <w:rsid w:val="2FF50789"/>
    <w:rsid w:val="3000168F"/>
    <w:rsid w:val="300425E8"/>
    <w:rsid w:val="3008407F"/>
    <w:rsid w:val="300C1340"/>
    <w:rsid w:val="30110965"/>
    <w:rsid w:val="3013798C"/>
    <w:rsid w:val="3014379F"/>
    <w:rsid w:val="301B2EE4"/>
    <w:rsid w:val="3024261C"/>
    <w:rsid w:val="3026454C"/>
    <w:rsid w:val="30373EB7"/>
    <w:rsid w:val="3038636F"/>
    <w:rsid w:val="30455292"/>
    <w:rsid w:val="30470360"/>
    <w:rsid w:val="30496C83"/>
    <w:rsid w:val="304D2993"/>
    <w:rsid w:val="305F666A"/>
    <w:rsid w:val="30645FF2"/>
    <w:rsid w:val="3069199D"/>
    <w:rsid w:val="306A052C"/>
    <w:rsid w:val="30764F3A"/>
    <w:rsid w:val="307D0225"/>
    <w:rsid w:val="30834489"/>
    <w:rsid w:val="30866529"/>
    <w:rsid w:val="30BA5106"/>
    <w:rsid w:val="30BE1F06"/>
    <w:rsid w:val="30D00355"/>
    <w:rsid w:val="30D14A43"/>
    <w:rsid w:val="30F314A0"/>
    <w:rsid w:val="30F629FF"/>
    <w:rsid w:val="30FC77ED"/>
    <w:rsid w:val="31082B59"/>
    <w:rsid w:val="31124217"/>
    <w:rsid w:val="311F7B37"/>
    <w:rsid w:val="312A1A10"/>
    <w:rsid w:val="312C1F6A"/>
    <w:rsid w:val="312D39F9"/>
    <w:rsid w:val="312F4B42"/>
    <w:rsid w:val="3137517D"/>
    <w:rsid w:val="31422EA9"/>
    <w:rsid w:val="314510CC"/>
    <w:rsid w:val="315A67DA"/>
    <w:rsid w:val="31603C8E"/>
    <w:rsid w:val="317E045D"/>
    <w:rsid w:val="318310FB"/>
    <w:rsid w:val="318C1651"/>
    <w:rsid w:val="31990E01"/>
    <w:rsid w:val="31A04A78"/>
    <w:rsid w:val="31B40132"/>
    <w:rsid w:val="31B84F83"/>
    <w:rsid w:val="31BF7BB1"/>
    <w:rsid w:val="31C81974"/>
    <w:rsid w:val="31CA6E34"/>
    <w:rsid w:val="31CC1204"/>
    <w:rsid w:val="31CF1D56"/>
    <w:rsid w:val="31F249B7"/>
    <w:rsid w:val="31F54C91"/>
    <w:rsid w:val="320C79B9"/>
    <w:rsid w:val="320D1D83"/>
    <w:rsid w:val="32141A35"/>
    <w:rsid w:val="32317831"/>
    <w:rsid w:val="323652EA"/>
    <w:rsid w:val="3245316A"/>
    <w:rsid w:val="324635B9"/>
    <w:rsid w:val="324747DF"/>
    <w:rsid w:val="324F50E4"/>
    <w:rsid w:val="325029E4"/>
    <w:rsid w:val="325B7096"/>
    <w:rsid w:val="326E3BEE"/>
    <w:rsid w:val="3278160F"/>
    <w:rsid w:val="32792AEE"/>
    <w:rsid w:val="327F65D9"/>
    <w:rsid w:val="32816C40"/>
    <w:rsid w:val="32867B8A"/>
    <w:rsid w:val="3292132A"/>
    <w:rsid w:val="32925305"/>
    <w:rsid w:val="32A120DF"/>
    <w:rsid w:val="32A46B9E"/>
    <w:rsid w:val="32BD2DD4"/>
    <w:rsid w:val="32D00477"/>
    <w:rsid w:val="32DC15E2"/>
    <w:rsid w:val="32DC7485"/>
    <w:rsid w:val="32E15228"/>
    <w:rsid w:val="32E33081"/>
    <w:rsid w:val="32F47928"/>
    <w:rsid w:val="33067D67"/>
    <w:rsid w:val="33080494"/>
    <w:rsid w:val="330B54AC"/>
    <w:rsid w:val="330B58BE"/>
    <w:rsid w:val="33221109"/>
    <w:rsid w:val="33365864"/>
    <w:rsid w:val="333D49BD"/>
    <w:rsid w:val="3364747B"/>
    <w:rsid w:val="33732BCC"/>
    <w:rsid w:val="33751F41"/>
    <w:rsid w:val="337B0E24"/>
    <w:rsid w:val="337C47C4"/>
    <w:rsid w:val="338B0EAB"/>
    <w:rsid w:val="33967794"/>
    <w:rsid w:val="33973A0A"/>
    <w:rsid w:val="33A21F3D"/>
    <w:rsid w:val="33A76845"/>
    <w:rsid w:val="33AC58A5"/>
    <w:rsid w:val="33AE564F"/>
    <w:rsid w:val="33BD3AE4"/>
    <w:rsid w:val="33D33712"/>
    <w:rsid w:val="33D353FF"/>
    <w:rsid w:val="33DB3690"/>
    <w:rsid w:val="33E22E17"/>
    <w:rsid w:val="33E54197"/>
    <w:rsid w:val="33E61686"/>
    <w:rsid w:val="33EA749A"/>
    <w:rsid w:val="33EC005D"/>
    <w:rsid w:val="33F44517"/>
    <w:rsid w:val="33F66B3F"/>
    <w:rsid w:val="33F7209D"/>
    <w:rsid w:val="33F75840"/>
    <w:rsid w:val="33F82962"/>
    <w:rsid w:val="3402159B"/>
    <w:rsid w:val="34052FE8"/>
    <w:rsid w:val="3413097B"/>
    <w:rsid w:val="341763B5"/>
    <w:rsid w:val="34183FE1"/>
    <w:rsid w:val="341946A5"/>
    <w:rsid w:val="341A5D23"/>
    <w:rsid w:val="341B2D94"/>
    <w:rsid w:val="341B630F"/>
    <w:rsid w:val="341E2B5B"/>
    <w:rsid w:val="34227EB0"/>
    <w:rsid w:val="343A7D6F"/>
    <w:rsid w:val="344067CA"/>
    <w:rsid w:val="344B287A"/>
    <w:rsid w:val="347544BC"/>
    <w:rsid w:val="349B0F5D"/>
    <w:rsid w:val="34A0221E"/>
    <w:rsid w:val="34A64D70"/>
    <w:rsid w:val="34AF1020"/>
    <w:rsid w:val="34BB4F72"/>
    <w:rsid w:val="34BD6E42"/>
    <w:rsid w:val="34CD2B44"/>
    <w:rsid w:val="34DB7695"/>
    <w:rsid w:val="34F632D5"/>
    <w:rsid w:val="34FA16CD"/>
    <w:rsid w:val="3508450A"/>
    <w:rsid w:val="350E18AB"/>
    <w:rsid w:val="352173A8"/>
    <w:rsid w:val="3524557A"/>
    <w:rsid w:val="35284CD5"/>
    <w:rsid w:val="35291A27"/>
    <w:rsid w:val="352E07BB"/>
    <w:rsid w:val="354F71ED"/>
    <w:rsid w:val="35593205"/>
    <w:rsid w:val="355F619D"/>
    <w:rsid w:val="356063A9"/>
    <w:rsid w:val="356276A1"/>
    <w:rsid w:val="35636367"/>
    <w:rsid w:val="356A0B81"/>
    <w:rsid w:val="358048F0"/>
    <w:rsid w:val="358C510B"/>
    <w:rsid w:val="35B47914"/>
    <w:rsid w:val="35BD5697"/>
    <w:rsid w:val="35C01ECE"/>
    <w:rsid w:val="35C3492C"/>
    <w:rsid w:val="35C74090"/>
    <w:rsid w:val="35EF4AB0"/>
    <w:rsid w:val="35F65E8B"/>
    <w:rsid w:val="36010031"/>
    <w:rsid w:val="36044FC9"/>
    <w:rsid w:val="36076290"/>
    <w:rsid w:val="360B6A61"/>
    <w:rsid w:val="360E7CE3"/>
    <w:rsid w:val="361121FD"/>
    <w:rsid w:val="361123F7"/>
    <w:rsid w:val="3625426F"/>
    <w:rsid w:val="363650FE"/>
    <w:rsid w:val="36374201"/>
    <w:rsid w:val="363A3F9A"/>
    <w:rsid w:val="363A6674"/>
    <w:rsid w:val="363C14F6"/>
    <w:rsid w:val="3647586B"/>
    <w:rsid w:val="364916B9"/>
    <w:rsid w:val="36652C76"/>
    <w:rsid w:val="36686D6F"/>
    <w:rsid w:val="368B3C8B"/>
    <w:rsid w:val="368F0CB2"/>
    <w:rsid w:val="369B06A2"/>
    <w:rsid w:val="36B530A8"/>
    <w:rsid w:val="36C15907"/>
    <w:rsid w:val="36C83BC7"/>
    <w:rsid w:val="36CF2A0F"/>
    <w:rsid w:val="36D641EB"/>
    <w:rsid w:val="36D8085D"/>
    <w:rsid w:val="36D83C95"/>
    <w:rsid w:val="36DC65B8"/>
    <w:rsid w:val="36E3211C"/>
    <w:rsid w:val="36E903C3"/>
    <w:rsid w:val="36F877A1"/>
    <w:rsid w:val="36FB5B2A"/>
    <w:rsid w:val="36FC1C5A"/>
    <w:rsid w:val="370D6A56"/>
    <w:rsid w:val="37142320"/>
    <w:rsid w:val="371B42F4"/>
    <w:rsid w:val="371C6C6F"/>
    <w:rsid w:val="371F1188"/>
    <w:rsid w:val="371F66FD"/>
    <w:rsid w:val="3722482A"/>
    <w:rsid w:val="37366EB6"/>
    <w:rsid w:val="373A0948"/>
    <w:rsid w:val="373E4BC6"/>
    <w:rsid w:val="37520BEA"/>
    <w:rsid w:val="37543CF6"/>
    <w:rsid w:val="37561BC7"/>
    <w:rsid w:val="37610F7D"/>
    <w:rsid w:val="376C0D7B"/>
    <w:rsid w:val="376D562C"/>
    <w:rsid w:val="37800934"/>
    <w:rsid w:val="3785382C"/>
    <w:rsid w:val="37913ADD"/>
    <w:rsid w:val="37921AE1"/>
    <w:rsid w:val="379A6BE4"/>
    <w:rsid w:val="37B26A07"/>
    <w:rsid w:val="37B409D1"/>
    <w:rsid w:val="37BD6F38"/>
    <w:rsid w:val="37C468DF"/>
    <w:rsid w:val="37CB2DB7"/>
    <w:rsid w:val="37CF18B8"/>
    <w:rsid w:val="37D13134"/>
    <w:rsid w:val="37D27938"/>
    <w:rsid w:val="37D43B57"/>
    <w:rsid w:val="37F53D43"/>
    <w:rsid w:val="37F54B45"/>
    <w:rsid w:val="37FC0951"/>
    <w:rsid w:val="37FD2665"/>
    <w:rsid w:val="38141215"/>
    <w:rsid w:val="381E22EE"/>
    <w:rsid w:val="382D7CE5"/>
    <w:rsid w:val="383B4F10"/>
    <w:rsid w:val="384E3271"/>
    <w:rsid w:val="38547A46"/>
    <w:rsid w:val="385766B3"/>
    <w:rsid w:val="38695284"/>
    <w:rsid w:val="386B418F"/>
    <w:rsid w:val="3876277B"/>
    <w:rsid w:val="38776002"/>
    <w:rsid w:val="38882B89"/>
    <w:rsid w:val="388A772D"/>
    <w:rsid w:val="388B11D3"/>
    <w:rsid w:val="38986A60"/>
    <w:rsid w:val="389B26B7"/>
    <w:rsid w:val="38A071A7"/>
    <w:rsid w:val="38A4587A"/>
    <w:rsid w:val="38A665F1"/>
    <w:rsid w:val="38BA1CBF"/>
    <w:rsid w:val="38D01CD3"/>
    <w:rsid w:val="38D26C34"/>
    <w:rsid w:val="38F97288"/>
    <w:rsid w:val="39064CEC"/>
    <w:rsid w:val="39104E5F"/>
    <w:rsid w:val="391100E3"/>
    <w:rsid w:val="39111E53"/>
    <w:rsid w:val="39111F8C"/>
    <w:rsid w:val="391F1E9A"/>
    <w:rsid w:val="39201D5E"/>
    <w:rsid w:val="39202143"/>
    <w:rsid w:val="39250143"/>
    <w:rsid w:val="39275621"/>
    <w:rsid w:val="394701D3"/>
    <w:rsid w:val="39561F33"/>
    <w:rsid w:val="39610032"/>
    <w:rsid w:val="39776433"/>
    <w:rsid w:val="39811D9E"/>
    <w:rsid w:val="398603BE"/>
    <w:rsid w:val="399C171C"/>
    <w:rsid w:val="39A46823"/>
    <w:rsid w:val="39AB7BB1"/>
    <w:rsid w:val="39BA22E3"/>
    <w:rsid w:val="39C07FE0"/>
    <w:rsid w:val="39C820D2"/>
    <w:rsid w:val="39C944DB"/>
    <w:rsid w:val="39CB0EB6"/>
    <w:rsid w:val="39CC6E89"/>
    <w:rsid w:val="39DE04FC"/>
    <w:rsid w:val="39E06281"/>
    <w:rsid w:val="39E34BD5"/>
    <w:rsid w:val="39E95184"/>
    <w:rsid w:val="39FE173D"/>
    <w:rsid w:val="3A035965"/>
    <w:rsid w:val="3A085004"/>
    <w:rsid w:val="3A1729A0"/>
    <w:rsid w:val="3A1A6AE5"/>
    <w:rsid w:val="3A2A53FC"/>
    <w:rsid w:val="3A2C07E5"/>
    <w:rsid w:val="3A320E60"/>
    <w:rsid w:val="3A39324E"/>
    <w:rsid w:val="3A481F05"/>
    <w:rsid w:val="3A4E3B84"/>
    <w:rsid w:val="3A4F69A1"/>
    <w:rsid w:val="3A516DD4"/>
    <w:rsid w:val="3A5B451C"/>
    <w:rsid w:val="3A96252C"/>
    <w:rsid w:val="3A971EE4"/>
    <w:rsid w:val="3A9F66BB"/>
    <w:rsid w:val="3AAA2E0E"/>
    <w:rsid w:val="3AB224E9"/>
    <w:rsid w:val="3AB67F7E"/>
    <w:rsid w:val="3AB80C2E"/>
    <w:rsid w:val="3ABC7B9C"/>
    <w:rsid w:val="3ABD710D"/>
    <w:rsid w:val="3AC73285"/>
    <w:rsid w:val="3AC7738C"/>
    <w:rsid w:val="3AC93013"/>
    <w:rsid w:val="3AD40B0E"/>
    <w:rsid w:val="3AD6380B"/>
    <w:rsid w:val="3AEC222F"/>
    <w:rsid w:val="3AF235BE"/>
    <w:rsid w:val="3B0C28D2"/>
    <w:rsid w:val="3B1960CD"/>
    <w:rsid w:val="3B200F90"/>
    <w:rsid w:val="3B3211C8"/>
    <w:rsid w:val="3B3E454F"/>
    <w:rsid w:val="3B3F0CDB"/>
    <w:rsid w:val="3B4E14F1"/>
    <w:rsid w:val="3B532972"/>
    <w:rsid w:val="3B684FF6"/>
    <w:rsid w:val="3B6A5D88"/>
    <w:rsid w:val="3B6E43A4"/>
    <w:rsid w:val="3B6E66FA"/>
    <w:rsid w:val="3B6E7AA5"/>
    <w:rsid w:val="3B7905A1"/>
    <w:rsid w:val="3B7E132F"/>
    <w:rsid w:val="3B8025A5"/>
    <w:rsid w:val="3B8B454D"/>
    <w:rsid w:val="3B8E7AF7"/>
    <w:rsid w:val="3B950B57"/>
    <w:rsid w:val="3B9A6BF7"/>
    <w:rsid w:val="3BA90624"/>
    <w:rsid w:val="3BC60CD2"/>
    <w:rsid w:val="3BCB4B28"/>
    <w:rsid w:val="3BCB6221"/>
    <w:rsid w:val="3BCE402B"/>
    <w:rsid w:val="3BD232D3"/>
    <w:rsid w:val="3BDF00D5"/>
    <w:rsid w:val="3BDF211B"/>
    <w:rsid w:val="3BE54E91"/>
    <w:rsid w:val="3BE63BCB"/>
    <w:rsid w:val="3BF21AC7"/>
    <w:rsid w:val="3BFA73AF"/>
    <w:rsid w:val="3C183E8D"/>
    <w:rsid w:val="3C1E4346"/>
    <w:rsid w:val="3C1F4CC6"/>
    <w:rsid w:val="3C2105FF"/>
    <w:rsid w:val="3C227735"/>
    <w:rsid w:val="3C2B6408"/>
    <w:rsid w:val="3C2C0044"/>
    <w:rsid w:val="3C2D2471"/>
    <w:rsid w:val="3C2D2E8A"/>
    <w:rsid w:val="3C2E6878"/>
    <w:rsid w:val="3C2E6DCB"/>
    <w:rsid w:val="3C4163C2"/>
    <w:rsid w:val="3C57564E"/>
    <w:rsid w:val="3C584969"/>
    <w:rsid w:val="3C5C0BFC"/>
    <w:rsid w:val="3C5E3F9E"/>
    <w:rsid w:val="3C61421D"/>
    <w:rsid w:val="3C666012"/>
    <w:rsid w:val="3C696000"/>
    <w:rsid w:val="3C6C1F0C"/>
    <w:rsid w:val="3C720E5A"/>
    <w:rsid w:val="3C774D07"/>
    <w:rsid w:val="3C7E0814"/>
    <w:rsid w:val="3C871C60"/>
    <w:rsid w:val="3C886DBE"/>
    <w:rsid w:val="3C945797"/>
    <w:rsid w:val="3CB37245"/>
    <w:rsid w:val="3CB925E5"/>
    <w:rsid w:val="3CC91B81"/>
    <w:rsid w:val="3CD24055"/>
    <w:rsid w:val="3CD269A7"/>
    <w:rsid w:val="3CD41443"/>
    <w:rsid w:val="3CD73D60"/>
    <w:rsid w:val="3CDB07AE"/>
    <w:rsid w:val="3CDC58B0"/>
    <w:rsid w:val="3CE30868"/>
    <w:rsid w:val="3CE904CE"/>
    <w:rsid w:val="3CEC62D7"/>
    <w:rsid w:val="3CEE2341"/>
    <w:rsid w:val="3CF06C04"/>
    <w:rsid w:val="3CF30B0F"/>
    <w:rsid w:val="3CF31E51"/>
    <w:rsid w:val="3D0243E2"/>
    <w:rsid w:val="3D0E61E1"/>
    <w:rsid w:val="3D1141CF"/>
    <w:rsid w:val="3D121C7F"/>
    <w:rsid w:val="3D281CFC"/>
    <w:rsid w:val="3D2C1765"/>
    <w:rsid w:val="3D304C0B"/>
    <w:rsid w:val="3D362651"/>
    <w:rsid w:val="3D456BC4"/>
    <w:rsid w:val="3D4A5933"/>
    <w:rsid w:val="3D621C04"/>
    <w:rsid w:val="3D62710E"/>
    <w:rsid w:val="3D653594"/>
    <w:rsid w:val="3D6821FE"/>
    <w:rsid w:val="3D744051"/>
    <w:rsid w:val="3D755618"/>
    <w:rsid w:val="3D7D1628"/>
    <w:rsid w:val="3D8C258A"/>
    <w:rsid w:val="3D8D2DEC"/>
    <w:rsid w:val="3D911ECB"/>
    <w:rsid w:val="3D98059B"/>
    <w:rsid w:val="3D9E3894"/>
    <w:rsid w:val="3DAF2C3E"/>
    <w:rsid w:val="3DB01C3A"/>
    <w:rsid w:val="3DB8313C"/>
    <w:rsid w:val="3DCA3CF6"/>
    <w:rsid w:val="3DD1383D"/>
    <w:rsid w:val="3DD54696"/>
    <w:rsid w:val="3DDE722C"/>
    <w:rsid w:val="3DF17B5D"/>
    <w:rsid w:val="3DF40A22"/>
    <w:rsid w:val="3DF71C2D"/>
    <w:rsid w:val="3E076FBF"/>
    <w:rsid w:val="3E0B5D95"/>
    <w:rsid w:val="3E0C719B"/>
    <w:rsid w:val="3E0E2682"/>
    <w:rsid w:val="3E0E294C"/>
    <w:rsid w:val="3E13107E"/>
    <w:rsid w:val="3E146DBF"/>
    <w:rsid w:val="3E153C31"/>
    <w:rsid w:val="3E1652CB"/>
    <w:rsid w:val="3E1A5313"/>
    <w:rsid w:val="3E1D0952"/>
    <w:rsid w:val="3E246851"/>
    <w:rsid w:val="3E2E6065"/>
    <w:rsid w:val="3E317C39"/>
    <w:rsid w:val="3E3A5BA6"/>
    <w:rsid w:val="3E4575C6"/>
    <w:rsid w:val="3E487557"/>
    <w:rsid w:val="3E4943C3"/>
    <w:rsid w:val="3E591354"/>
    <w:rsid w:val="3E5A0199"/>
    <w:rsid w:val="3E5B716D"/>
    <w:rsid w:val="3E7B35D3"/>
    <w:rsid w:val="3E7E7642"/>
    <w:rsid w:val="3E8F2DAE"/>
    <w:rsid w:val="3E9F4D3F"/>
    <w:rsid w:val="3EA55255"/>
    <w:rsid w:val="3EAC4DA7"/>
    <w:rsid w:val="3EB83B77"/>
    <w:rsid w:val="3EC34324"/>
    <w:rsid w:val="3EC64454"/>
    <w:rsid w:val="3ED951C1"/>
    <w:rsid w:val="3EDB446B"/>
    <w:rsid w:val="3EE43D5D"/>
    <w:rsid w:val="3EEA1A64"/>
    <w:rsid w:val="3EEB4F13"/>
    <w:rsid w:val="3F055788"/>
    <w:rsid w:val="3F087662"/>
    <w:rsid w:val="3F176181"/>
    <w:rsid w:val="3F1917B7"/>
    <w:rsid w:val="3F285494"/>
    <w:rsid w:val="3F2952B7"/>
    <w:rsid w:val="3F310B59"/>
    <w:rsid w:val="3F3240C5"/>
    <w:rsid w:val="3F3C175F"/>
    <w:rsid w:val="3F4662FE"/>
    <w:rsid w:val="3F4C60E8"/>
    <w:rsid w:val="3F5465F5"/>
    <w:rsid w:val="3F5A0266"/>
    <w:rsid w:val="3F626201"/>
    <w:rsid w:val="3F680126"/>
    <w:rsid w:val="3F6C7354"/>
    <w:rsid w:val="3F735D70"/>
    <w:rsid w:val="3F7545FE"/>
    <w:rsid w:val="3F771A36"/>
    <w:rsid w:val="3F7B2ECB"/>
    <w:rsid w:val="3F7D273C"/>
    <w:rsid w:val="3F8E7D59"/>
    <w:rsid w:val="3F9A5347"/>
    <w:rsid w:val="3FA318F5"/>
    <w:rsid w:val="3FAF4340"/>
    <w:rsid w:val="3FB663D2"/>
    <w:rsid w:val="3FCC760F"/>
    <w:rsid w:val="3FD26B2E"/>
    <w:rsid w:val="3FD32FC9"/>
    <w:rsid w:val="3FEF6A0A"/>
    <w:rsid w:val="3FFA144F"/>
    <w:rsid w:val="3FFF708F"/>
    <w:rsid w:val="40022383"/>
    <w:rsid w:val="40052054"/>
    <w:rsid w:val="400F1888"/>
    <w:rsid w:val="4013200C"/>
    <w:rsid w:val="40161AFD"/>
    <w:rsid w:val="401650A3"/>
    <w:rsid w:val="401960B5"/>
    <w:rsid w:val="401B2838"/>
    <w:rsid w:val="401E3034"/>
    <w:rsid w:val="4022403B"/>
    <w:rsid w:val="40307896"/>
    <w:rsid w:val="40312608"/>
    <w:rsid w:val="40616830"/>
    <w:rsid w:val="406F5E13"/>
    <w:rsid w:val="407F255D"/>
    <w:rsid w:val="409F3DC2"/>
    <w:rsid w:val="40A307C7"/>
    <w:rsid w:val="40A75C9F"/>
    <w:rsid w:val="40A8309D"/>
    <w:rsid w:val="40B34AC7"/>
    <w:rsid w:val="40B96B73"/>
    <w:rsid w:val="40BA5965"/>
    <w:rsid w:val="40CC7758"/>
    <w:rsid w:val="40D400F9"/>
    <w:rsid w:val="40E32D8B"/>
    <w:rsid w:val="40EE34FA"/>
    <w:rsid w:val="40F76097"/>
    <w:rsid w:val="40FE2B4E"/>
    <w:rsid w:val="40FE638D"/>
    <w:rsid w:val="410305C6"/>
    <w:rsid w:val="4106770C"/>
    <w:rsid w:val="410F0A26"/>
    <w:rsid w:val="41120516"/>
    <w:rsid w:val="41161CA2"/>
    <w:rsid w:val="41171FD0"/>
    <w:rsid w:val="411C3CEC"/>
    <w:rsid w:val="411E504E"/>
    <w:rsid w:val="41267873"/>
    <w:rsid w:val="41325F50"/>
    <w:rsid w:val="41333B88"/>
    <w:rsid w:val="41406E31"/>
    <w:rsid w:val="414D2AE6"/>
    <w:rsid w:val="414E0ED6"/>
    <w:rsid w:val="415E375B"/>
    <w:rsid w:val="416C126A"/>
    <w:rsid w:val="417737D7"/>
    <w:rsid w:val="41774063"/>
    <w:rsid w:val="41784401"/>
    <w:rsid w:val="41795FF8"/>
    <w:rsid w:val="41863D15"/>
    <w:rsid w:val="418E501A"/>
    <w:rsid w:val="41917CDC"/>
    <w:rsid w:val="41975402"/>
    <w:rsid w:val="419E4A11"/>
    <w:rsid w:val="41A575DC"/>
    <w:rsid w:val="41B56141"/>
    <w:rsid w:val="41B83A12"/>
    <w:rsid w:val="41BA3087"/>
    <w:rsid w:val="41C373A2"/>
    <w:rsid w:val="41D35FCA"/>
    <w:rsid w:val="41D60080"/>
    <w:rsid w:val="41DF73B7"/>
    <w:rsid w:val="41EA5BC6"/>
    <w:rsid w:val="41FC3083"/>
    <w:rsid w:val="421957B0"/>
    <w:rsid w:val="42223ECC"/>
    <w:rsid w:val="42256110"/>
    <w:rsid w:val="422C60A2"/>
    <w:rsid w:val="42317828"/>
    <w:rsid w:val="42370C03"/>
    <w:rsid w:val="42382BB3"/>
    <w:rsid w:val="423B3E02"/>
    <w:rsid w:val="424251BF"/>
    <w:rsid w:val="42476B0D"/>
    <w:rsid w:val="426024C3"/>
    <w:rsid w:val="42633529"/>
    <w:rsid w:val="42753072"/>
    <w:rsid w:val="42786A9F"/>
    <w:rsid w:val="427F1F58"/>
    <w:rsid w:val="4281050D"/>
    <w:rsid w:val="42833F2C"/>
    <w:rsid w:val="42847FE2"/>
    <w:rsid w:val="42862AB5"/>
    <w:rsid w:val="42957265"/>
    <w:rsid w:val="429C7020"/>
    <w:rsid w:val="42A81132"/>
    <w:rsid w:val="42AC70FD"/>
    <w:rsid w:val="42AE675C"/>
    <w:rsid w:val="42B34040"/>
    <w:rsid w:val="42B57515"/>
    <w:rsid w:val="42BB7B9A"/>
    <w:rsid w:val="42BE2F2E"/>
    <w:rsid w:val="42C27D1A"/>
    <w:rsid w:val="42C42E2C"/>
    <w:rsid w:val="42C42E74"/>
    <w:rsid w:val="42C57F36"/>
    <w:rsid w:val="42D76775"/>
    <w:rsid w:val="42E57E4E"/>
    <w:rsid w:val="42F06ADE"/>
    <w:rsid w:val="42F17EEA"/>
    <w:rsid w:val="4315253F"/>
    <w:rsid w:val="43171DCF"/>
    <w:rsid w:val="431A4F31"/>
    <w:rsid w:val="43285062"/>
    <w:rsid w:val="43286C75"/>
    <w:rsid w:val="4331097A"/>
    <w:rsid w:val="433170FD"/>
    <w:rsid w:val="43473F67"/>
    <w:rsid w:val="43513AA8"/>
    <w:rsid w:val="435326DA"/>
    <w:rsid w:val="43641046"/>
    <w:rsid w:val="437156E3"/>
    <w:rsid w:val="437A4E3E"/>
    <w:rsid w:val="437F512A"/>
    <w:rsid w:val="4383245A"/>
    <w:rsid w:val="438F1AD4"/>
    <w:rsid w:val="43937947"/>
    <w:rsid w:val="439475EC"/>
    <w:rsid w:val="43A761D4"/>
    <w:rsid w:val="43B1111A"/>
    <w:rsid w:val="43B52AAF"/>
    <w:rsid w:val="43B64019"/>
    <w:rsid w:val="43C04259"/>
    <w:rsid w:val="43C17C45"/>
    <w:rsid w:val="43C54BA0"/>
    <w:rsid w:val="43CF7D82"/>
    <w:rsid w:val="43D431A4"/>
    <w:rsid w:val="43F026AF"/>
    <w:rsid w:val="43FE6B87"/>
    <w:rsid w:val="440346E6"/>
    <w:rsid w:val="4414531D"/>
    <w:rsid w:val="44297ADF"/>
    <w:rsid w:val="44412E0A"/>
    <w:rsid w:val="44453C43"/>
    <w:rsid w:val="44472913"/>
    <w:rsid w:val="445A46F8"/>
    <w:rsid w:val="445F27DE"/>
    <w:rsid w:val="446C706E"/>
    <w:rsid w:val="44726360"/>
    <w:rsid w:val="44877E79"/>
    <w:rsid w:val="448A2AB5"/>
    <w:rsid w:val="4494246C"/>
    <w:rsid w:val="44987A23"/>
    <w:rsid w:val="44AE6D02"/>
    <w:rsid w:val="44B05D81"/>
    <w:rsid w:val="44B951D0"/>
    <w:rsid w:val="44BD0B96"/>
    <w:rsid w:val="44D33F15"/>
    <w:rsid w:val="44D73F50"/>
    <w:rsid w:val="44EA3F06"/>
    <w:rsid w:val="44EE46A2"/>
    <w:rsid w:val="44EE5FCA"/>
    <w:rsid w:val="44F328A2"/>
    <w:rsid w:val="44F514AA"/>
    <w:rsid w:val="450958FC"/>
    <w:rsid w:val="450C24B5"/>
    <w:rsid w:val="45104169"/>
    <w:rsid w:val="45175211"/>
    <w:rsid w:val="45182AC0"/>
    <w:rsid w:val="45303BB3"/>
    <w:rsid w:val="45331413"/>
    <w:rsid w:val="45334A8F"/>
    <w:rsid w:val="453977E6"/>
    <w:rsid w:val="454072A1"/>
    <w:rsid w:val="45555DB5"/>
    <w:rsid w:val="455B69D8"/>
    <w:rsid w:val="456034F7"/>
    <w:rsid w:val="45680710"/>
    <w:rsid w:val="457C60EA"/>
    <w:rsid w:val="458110F6"/>
    <w:rsid w:val="458B3EFE"/>
    <w:rsid w:val="458B7BCC"/>
    <w:rsid w:val="45961716"/>
    <w:rsid w:val="4596458A"/>
    <w:rsid w:val="459D0391"/>
    <w:rsid w:val="45B04499"/>
    <w:rsid w:val="45B91787"/>
    <w:rsid w:val="45C029D1"/>
    <w:rsid w:val="45C25EAC"/>
    <w:rsid w:val="45C35187"/>
    <w:rsid w:val="45CE6F07"/>
    <w:rsid w:val="45D937E2"/>
    <w:rsid w:val="46002242"/>
    <w:rsid w:val="460551B9"/>
    <w:rsid w:val="46061748"/>
    <w:rsid w:val="460976DF"/>
    <w:rsid w:val="4613749B"/>
    <w:rsid w:val="461420FB"/>
    <w:rsid w:val="461A4CCC"/>
    <w:rsid w:val="461E170B"/>
    <w:rsid w:val="46351569"/>
    <w:rsid w:val="463924B8"/>
    <w:rsid w:val="463F442F"/>
    <w:rsid w:val="46507009"/>
    <w:rsid w:val="46521A6E"/>
    <w:rsid w:val="4657193E"/>
    <w:rsid w:val="466806B4"/>
    <w:rsid w:val="46790B9E"/>
    <w:rsid w:val="4683718D"/>
    <w:rsid w:val="4689127A"/>
    <w:rsid w:val="468A3B34"/>
    <w:rsid w:val="46971C6D"/>
    <w:rsid w:val="469817EC"/>
    <w:rsid w:val="46A349C7"/>
    <w:rsid w:val="46A352B3"/>
    <w:rsid w:val="46AC0532"/>
    <w:rsid w:val="46AC316F"/>
    <w:rsid w:val="46B01906"/>
    <w:rsid w:val="46C146A3"/>
    <w:rsid w:val="46E910EB"/>
    <w:rsid w:val="46F06F9E"/>
    <w:rsid w:val="46F621A8"/>
    <w:rsid w:val="470B0FBE"/>
    <w:rsid w:val="47111B23"/>
    <w:rsid w:val="471E5356"/>
    <w:rsid w:val="47257A24"/>
    <w:rsid w:val="47271E99"/>
    <w:rsid w:val="472D13C8"/>
    <w:rsid w:val="472E5486"/>
    <w:rsid w:val="473B7E1E"/>
    <w:rsid w:val="474A249C"/>
    <w:rsid w:val="474B2E49"/>
    <w:rsid w:val="474B4F24"/>
    <w:rsid w:val="47541829"/>
    <w:rsid w:val="47544B14"/>
    <w:rsid w:val="47677480"/>
    <w:rsid w:val="476B6A66"/>
    <w:rsid w:val="476E7140"/>
    <w:rsid w:val="47725E07"/>
    <w:rsid w:val="4777117D"/>
    <w:rsid w:val="47801FF8"/>
    <w:rsid w:val="478153DD"/>
    <w:rsid w:val="47844C36"/>
    <w:rsid w:val="478672E9"/>
    <w:rsid w:val="478A2100"/>
    <w:rsid w:val="47986858"/>
    <w:rsid w:val="479F7AC9"/>
    <w:rsid w:val="47BA0998"/>
    <w:rsid w:val="47CA3D72"/>
    <w:rsid w:val="47D7186A"/>
    <w:rsid w:val="47D811E8"/>
    <w:rsid w:val="47E856D7"/>
    <w:rsid w:val="47EA03B1"/>
    <w:rsid w:val="47EB0D8B"/>
    <w:rsid w:val="47ED016A"/>
    <w:rsid w:val="47ED2433"/>
    <w:rsid w:val="47F27B4A"/>
    <w:rsid w:val="48007643"/>
    <w:rsid w:val="48112949"/>
    <w:rsid w:val="481A105A"/>
    <w:rsid w:val="482E7891"/>
    <w:rsid w:val="483064B1"/>
    <w:rsid w:val="483B0BC3"/>
    <w:rsid w:val="483E1E16"/>
    <w:rsid w:val="48403BBB"/>
    <w:rsid w:val="484111AD"/>
    <w:rsid w:val="484A762B"/>
    <w:rsid w:val="48512FCD"/>
    <w:rsid w:val="4856438F"/>
    <w:rsid w:val="4857668D"/>
    <w:rsid w:val="486139CD"/>
    <w:rsid w:val="489F7BAD"/>
    <w:rsid w:val="48A54E8B"/>
    <w:rsid w:val="48AD357B"/>
    <w:rsid w:val="48B03682"/>
    <w:rsid w:val="48BE737A"/>
    <w:rsid w:val="48C208F6"/>
    <w:rsid w:val="48C46BB8"/>
    <w:rsid w:val="48C70ACC"/>
    <w:rsid w:val="48CD2B5B"/>
    <w:rsid w:val="48CE77DB"/>
    <w:rsid w:val="48CF5C4A"/>
    <w:rsid w:val="48D02357"/>
    <w:rsid w:val="48D3615A"/>
    <w:rsid w:val="48DC27A3"/>
    <w:rsid w:val="48E50663"/>
    <w:rsid w:val="48E54373"/>
    <w:rsid w:val="48EF2337"/>
    <w:rsid w:val="48FA2C67"/>
    <w:rsid w:val="490D0A6E"/>
    <w:rsid w:val="4911530E"/>
    <w:rsid w:val="4911701A"/>
    <w:rsid w:val="49171D68"/>
    <w:rsid w:val="491A0FE8"/>
    <w:rsid w:val="491B1EC6"/>
    <w:rsid w:val="493727F4"/>
    <w:rsid w:val="493C5FEF"/>
    <w:rsid w:val="49407797"/>
    <w:rsid w:val="495104CB"/>
    <w:rsid w:val="49591E4A"/>
    <w:rsid w:val="49697141"/>
    <w:rsid w:val="496D5789"/>
    <w:rsid w:val="497731F2"/>
    <w:rsid w:val="49843AB4"/>
    <w:rsid w:val="4995246D"/>
    <w:rsid w:val="49AF76FC"/>
    <w:rsid w:val="49B2260A"/>
    <w:rsid w:val="49B36940"/>
    <w:rsid w:val="49B72066"/>
    <w:rsid w:val="49B95283"/>
    <w:rsid w:val="49BD0AFE"/>
    <w:rsid w:val="49BE5DB8"/>
    <w:rsid w:val="49C16E0C"/>
    <w:rsid w:val="49D57801"/>
    <w:rsid w:val="49DA6215"/>
    <w:rsid w:val="49DC2FB4"/>
    <w:rsid w:val="49E97973"/>
    <w:rsid w:val="49EB50E1"/>
    <w:rsid w:val="49F35C48"/>
    <w:rsid w:val="49F80C14"/>
    <w:rsid w:val="4A272033"/>
    <w:rsid w:val="4A2816F9"/>
    <w:rsid w:val="4A2953F6"/>
    <w:rsid w:val="4A2D00FC"/>
    <w:rsid w:val="4A344BCC"/>
    <w:rsid w:val="4A436488"/>
    <w:rsid w:val="4A445C00"/>
    <w:rsid w:val="4A4C2CEB"/>
    <w:rsid w:val="4A52560D"/>
    <w:rsid w:val="4A5357F8"/>
    <w:rsid w:val="4A5B751A"/>
    <w:rsid w:val="4A6465F1"/>
    <w:rsid w:val="4A66622E"/>
    <w:rsid w:val="4A696B34"/>
    <w:rsid w:val="4A7C59CB"/>
    <w:rsid w:val="4A842D0B"/>
    <w:rsid w:val="4A8B0669"/>
    <w:rsid w:val="4A940469"/>
    <w:rsid w:val="4AA45F6E"/>
    <w:rsid w:val="4AB813E0"/>
    <w:rsid w:val="4ABD7744"/>
    <w:rsid w:val="4AC11201"/>
    <w:rsid w:val="4AC34267"/>
    <w:rsid w:val="4ACB3565"/>
    <w:rsid w:val="4ADC25B0"/>
    <w:rsid w:val="4AF229B2"/>
    <w:rsid w:val="4AF4649B"/>
    <w:rsid w:val="4B0B4153"/>
    <w:rsid w:val="4B152DFB"/>
    <w:rsid w:val="4B1B1B54"/>
    <w:rsid w:val="4B1B26BD"/>
    <w:rsid w:val="4B1F2431"/>
    <w:rsid w:val="4B243DB8"/>
    <w:rsid w:val="4B2E23F0"/>
    <w:rsid w:val="4B3115EC"/>
    <w:rsid w:val="4B4873DB"/>
    <w:rsid w:val="4B4D0B07"/>
    <w:rsid w:val="4B525D64"/>
    <w:rsid w:val="4B5375A2"/>
    <w:rsid w:val="4B552B92"/>
    <w:rsid w:val="4B5B6ED2"/>
    <w:rsid w:val="4B604956"/>
    <w:rsid w:val="4B66799B"/>
    <w:rsid w:val="4B693428"/>
    <w:rsid w:val="4B85466F"/>
    <w:rsid w:val="4B8926B0"/>
    <w:rsid w:val="4B93258A"/>
    <w:rsid w:val="4B9C7A4C"/>
    <w:rsid w:val="4BA600F3"/>
    <w:rsid w:val="4BA707F0"/>
    <w:rsid w:val="4BA97FB1"/>
    <w:rsid w:val="4BAE389C"/>
    <w:rsid w:val="4BC30D8B"/>
    <w:rsid w:val="4BCD04AD"/>
    <w:rsid w:val="4BDB3763"/>
    <w:rsid w:val="4BDC5859"/>
    <w:rsid w:val="4BEE0515"/>
    <w:rsid w:val="4BF0258E"/>
    <w:rsid w:val="4BFF3BB3"/>
    <w:rsid w:val="4C0910EA"/>
    <w:rsid w:val="4C0D7346"/>
    <w:rsid w:val="4C0E2627"/>
    <w:rsid w:val="4C0E5BAD"/>
    <w:rsid w:val="4C0F0711"/>
    <w:rsid w:val="4C10469A"/>
    <w:rsid w:val="4C127A4D"/>
    <w:rsid w:val="4C134C8E"/>
    <w:rsid w:val="4C177328"/>
    <w:rsid w:val="4C243449"/>
    <w:rsid w:val="4C251AF9"/>
    <w:rsid w:val="4C2E39B0"/>
    <w:rsid w:val="4C2F683C"/>
    <w:rsid w:val="4C374D22"/>
    <w:rsid w:val="4C3C0393"/>
    <w:rsid w:val="4C417F01"/>
    <w:rsid w:val="4C45173E"/>
    <w:rsid w:val="4C4E6D78"/>
    <w:rsid w:val="4C643131"/>
    <w:rsid w:val="4C7107E7"/>
    <w:rsid w:val="4C827C94"/>
    <w:rsid w:val="4C951AAA"/>
    <w:rsid w:val="4C99371D"/>
    <w:rsid w:val="4CA0266F"/>
    <w:rsid w:val="4CC622F5"/>
    <w:rsid w:val="4CCC65F7"/>
    <w:rsid w:val="4CD02C84"/>
    <w:rsid w:val="4CD604AC"/>
    <w:rsid w:val="4CDB3D2A"/>
    <w:rsid w:val="4CDF52E4"/>
    <w:rsid w:val="4CE91C3E"/>
    <w:rsid w:val="4CE94821"/>
    <w:rsid w:val="4CF3569F"/>
    <w:rsid w:val="4CF63DF6"/>
    <w:rsid w:val="4CF91FCC"/>
    <w:rsid w:val="4CFB1FF9"/>
    <w:rsid w:val="4CFE0282"/>
    <w:rsid w:val="4D070084"/>
    <w:rsid w:val="4D0D679C"/>
    <w:rsid w:val="4D1F6B41"/>
    <w:rsid w:val="4D291727"/>
    <w:rsid w:val="4D2941B8"/>
    <w:rsid w:val="4D420663"/>
    <w:rsid w:val="4D4E6D7A"/>
    <w:rsid w:val="4D5218A8"/>
    <w:rsid w:val="4D5C07F9"/>
    <w:rsid w:val="4D5C3AB4"/>
    <w:rsid w:val="4D605FFE"/>
    <w:rsid w:val="4D641897"/>
    <w:rsid w:val="4D877542"/>
    <w:rsid w:val="4D8A5169"/>
    <w:rsid w:val="4D8F494F"/>
    <w:rsid w:val="4D9214B2"/>
    <w:rsid w:val="4D944396"/>
    <w:rsid w:val="4D9F1383"/>
    <w:rsid w:val="4DA56AF2"/>
    <w:rsid w:val="4DA57439"/>
    <w:rsid w:val="4DA846DC"/>
    <w:rsid w:val="4DAE3DCF"/>
    <w:rsid w:val="4DAF613E"/>
    <w:rsid w:val="4DC32B1A"/>
    <w:rsid w:val="4DCE4932"/>
    <w:rsid w:val="4DDB1F35"/>
    <w:rsid w:val="4DDE5190"/>
    <w:rsid w:val="4DE60EE5"/>
    <w:rsid w:val="4DE95A24"/>
    <w:rsid w:val="4DE96C1E"/>
    <w:rsid w:val="4DEB0C85"/>
    <w:rsid w:val="4DF032BE"/>
    <w:rsid w:val="4DFB6410"/>
    <w:rsid w:val="4E0F1955"/>
    <w:rsid w:val="4E25715A"/>
    <w:rsid w:val="4E267452"/>
    <w:rsid w:val="4E30461A"/>
    <w:rsid w:val="4E3353E5"/>
    <w:rsid w:val="4E3C6BD2"/>
    <w:rsid w:val="4E476437"/>
    <w:rsid w:val="4E497600"/>
    <w:rsid w:val="4E4F11C0"/>
    <w:rsid w:val="4E6B74B7"/>
    <w:rsid w:val="4E7740AE"/>
    <w:rsid w:val="4E7E456E"/>
    <w:rsid w:val="4E8130E1"/>
    <w:rsid w:val="4E9E10B4"/>
    <w:rsid w:val="4EA708A9"/>
    <w:rsid w:val="4EAD34A6"/>
    <w:rsid w:val="4EBA746F"/>
    <w:rsid w:val="4EBB3930"/>
    <w:rsid w:val="4EC05A55"/>
    <w:rsid w:val="4EC829EE"/>
    <w:rsid w:val="4EC87E88"/>
    <w:rsid w:val="4ECC43FA"/>
    <w:rsid w:val="4EE03396"/>
    <w:rsid w:val="4EE51109"/>
    <w:rsid w:val="4EE75DB8"/>
    <w:rsid w:val="4EF84E1A"/>
    <w:rsid w:val="4EF91BF3"/>
    <w:rsid w:val="4EFC1A38"/>
    <w:rsid w:val="4F11483C"/>
    <w:rsid w:val="4F1544B5"/>
    <w:rsid w:val="4F162176"/>
    <w:rsid w:val="4F1A44F5"/>
    <w:rsid w:val="4F1F7356"/>
    <w:rsid w:val="4F262B4A"/>
    <w:rsid w:val="4F275AD4"/>
    <w:rsid w:val="4F2C6C47"/>
    <w:rsid w:val="4F445429"/>
    <w:rsid w:val="4F461207"/>
    <w:rsid w:val="4F4A6C4A"/>
    <w:rsid w:val="4F562F15"/>
    <w:rsid w:val="4F5F526E"/>
    <w:rsid w:val="4F61663F"/>
    <w:rsid w:val="4F624D5E"/>
    <w:rsid w:val="4F644633"/>
    <w:rsid w:val="4F761427"/>
    <w:rsid w:val="4F7F76BE"/>
    <w:rsid w:val="4F820508"/>
    <w:rsid w:val="4F8731BA"/>
    <w:rsid w:val="4F893C46"/>
    <w:rsid w:val="4F8A39FB"/>
    <w:rsid w:val="4F8C3B89"/>
    <w:rsid w:val="4F8F4094"/>
    <w:rsid w:val="4F9053DB"/>
    <w:rsid w:val="4FA77B75"/>
    <w:rsid w:val="4FBA6496"/>
    <w:rsid w:val="4FC1115B"/>
    <w:rsid w:val="4FCA0B10"/>
    <w:rsid w:val="4FD04B2D"/>
    <w:rsid w:val="4FD74E04"/>
    <w:rsid w:val="4FDD54F3"/>
    <w:rsid w:val="4FDE0717"/>
    <w:rsid w:val="4FE44DF5"/>
    <w:rsid w:val="4FE70DC0"/>
    <w:rsid w:val="4FEC1ECB"/>
    <w:rsid w:val="4FED55A3"/>
    <w:rsid w:val="4FFD25DC"/>
    <w:rsid w:val="50131C67"/>
    <w:rsid w:val="501C5536"/>
    <w:rsid w:val="501D04CE"/>
    <w:rsid w:val="50296761"/>
    <w:rsid w:val="5043249A"/>
    <w:rsid w:val="50460C49"/>
    <w:rsid w:val="504A2E1D"/>
    <w:rsid w:val="504F1328"/>
    <w:rsid w:val="505350BF"/>
    <w:rsid w:val="50565494"/>
    <w:rsid w:val="50586B5C"/>
    <w:rsid w:val="505969AD"/>
    <w:rsid w:val="505D36E7"/>
    <w:rsid w:val="505F5227"/>
    <w:rsid w:val="506D01FF"/>
    <w:rsid w:val="507A1C34"/>
    <w:rsid w:val="507F399C"/>
    <w:rsid w:val="5082336B"/>
    <w:rsid w:val="50825C46"/>
    <w:rsid w:val="509B531B"/>
    <w:rsid w:val="50A074FB"/>
    <w:rsid w:val="50B41030"/>
    <w:rsid w:val="50B63009"/>
    <w:rsid w:val="50D22B15"/>
    <w:rsid w:val="50DB33C6"/>
    <w:rsid w:val="50DE503B"/>
    <w:rsid w:val="50EA13A5"/>
    <w:rsid w:val="50FA629D"/>
    <w:rsid w:val="510222DC"/>
    <w:rsid w:val="51083949"/>
    <w:rsid w:val="510C31D4"/>
    <w:rsid w:val="511238C6"/>
    <w:rsid w:val="511A1CAD"/>
    <w:rsid w:val="512045A9"/>
    <w:rsid w:val="512275CA"/>
    <w:rsid w:val="5123672E"/>
    <w:rsid w:val="51241F2C"/>
    <w:rsid w:val="512B7338"/>
    <w:rsid w:val="51317043"/>
    <w:rsid w:val="51463C42"/>
    <w:rsid w:val="51501AF7"/>
    <w:rsid w:val="51534370"/>
    <w:rsid w:val="51544EDA"/>
    <w:rsid w:val="515F38EF"/>
    <w:rsid w:val="51713456"/>
    <w:rsid w:val="51764AF1"/>
    <w:rsid w:val="517A37CC"/>
    <w:rsid w:val="517F6E04"/>
    <w:rsid w:val="51870AAC"/>
    <w:rsid w:val="5196613F"/>
    <w:rsid w:val="519977AF"/>
    <w:rsid w:val="519E5F0E"/>
    <w:rsid w:val="51A91177"/>
    <w:rsid w:val="51A92185"/>
    <w:rsid w:val="51B4347F"/>
    <w:rsid w:val="51B954BA"/>
    <w:rsid w:val="51BE7445"/>
    <w:rsid w:val="51BF4329"/>
    <w:rsid w:val="51C12315"/>
    <w:rsid w:val="51CC000D"/>
    <w:rsid w:val="51DA28A6"/>
    <w:rsid w:val="51DA7AB7"/>
    <w:rsid w:val="51DE17F3"/>
    <w:rsid w:val="51E63A25"/>
    <w:rsid w:val="51ED25D3"/>
    <w:rsid w:val="51EE027B"/>
    <w:rsid w:val="51F948C9"/>
    <w:rsid w:val="5220523B"/>
    <w:rsid w:val="52223E6D"/>
    <w:rsid w:val="522F5BDB"/>
    <w:rsid w:val="523713CC"/>
    <w:rsid w:val="523A5B1F"/>
    <w:rsid w:val="523D6212"/>
    <w:rsid w:val="524558B2"/>
    <w:rsid w:val="525020BD"/>
    <w:rsid w:val="525F30C2"/>
    <w:rsid w:val="52686BF2"/>
    <w:rsid w:val="526A097C"/>
    <w:rsid w:val="526A56A7"/>
    <w:rsid w:val="526F0499"/>
    <w:rsid w:val="527728CF"/>
    <w:rsid w:val="527C3337"/>
    <w:rsid w:val="528A0579"/>
    <w:rsid w:val="528E3FCA"/>
    <w:rsid w:val="52922F00"/>
    <w:rsid w:val="529B4543"/>
    <w:rsid w:val="529E7CDB"/>
    <w:rsid w:val="529F0314"/>
    <w:rsid w:val="52A32DB5"/>
    <w:rsid w:val="52A53238"/>
    <w:rsid w:val="52B46151"/>
    <w:rsid w:val="52BD62A1"/>
    <w:rsid w:val="52C46B68"/>
    <w:rsid w:val="52C97798"/>
    <w:rsid w:val="52CB7904"/>
    <w:rsid w:val="52CD37A3"/>
    <w:rsid w:val="52DA2875"/>
    <w:rsid w:val="52E26087"/>
    <w:rsid w:val="52E678FD"/>
    <w:rsid w:val="530A3743"/>
    <w:rsid w:val="530E0D37"/>
    <w:rsid w:val="53186FD6"/>
    <w:rsid w:val="531C2079"/>
    <w:rsid w:val="53205F6A"/>
    <w:rsid w:val="532217F2"/>
    <w:rsid w:val="532306A7"/>
    <w:rsid w:val="532372C5"/>
    <w:rsid w:val="533005B5"/>
    <w:rsid w:val="53335E7F"/>
    <w:rsid w:val="53375192"/>
    <w:rsid w:val="53760BD3"/>
    <w:rsid w:val="537D7091"/>
    <w:rsid w:val="537E1A3B"/>
    <w:rsid w:val="53832D10"/>
    <w:rsid w:val="538965F1"/>
    <w:rsid w:val="53912921"/>
    <w:rsid w:val="53935A05"/>
    <w:rsid w:val="539478C8"/>
    <w:rsid w:val="539B614A"/>
    <w:rsid w:val="53A37ED2"/>
    <w:rsid w:val="53C07017"/>
    <w:rsid w:val="53C44D66"/>
    <w:rsid w:val="53DD00A8"/>
    <w:rsid w:val="53E917BB"/>
    <w:rsid w:val="53ED12EF"/>
    <w:rsid w:val="53EE0FF6"/>
    <w:rsid w:val="53EF7163"/>
    <w:rsid w:val="53FB1092"/>
    <w:rsid w:val="541156FD"/>
    <w:rsid w:val="54281471"/>
    <w:rsid w:val="542D5B15"/>
    <w:rsid w:val="54421A64"/>
    <w:rsid w:val="544F407E"/>
    <w:rsid w:val="54745B1B"/>
    <w:rsid w:val="54751090"/>
    <w:rsid w:val="547B3DC0"/>
    <w:rsid w:val="547E1E04"/>
    <w:rsid w:val="548E7874"/>
    <w:rsid w:val="54902503"/>
    <w:rsid w:val="549137C3"/>
    <w:rsid w:val="54996BC6"/>
    <w:rsid w:val="54997F59"/>
    <w:rsid w:val="549B427B"/>
    <w:rsid w:val="54A21B6C"/>
    <w:rsid w:val="54B8090D"/>
    <w:rsid w:val="54BA163D"/>
    <w:rsid w:val="54BD7A90"/>
    <w:rsid w:val="54C7464B"/>
    <w:rsid w:val="54D96645"/>
    <w:rsid w:val="54E20225"/>
    <w:rsid w:val="54E8086E"/>
    <w:rsid w:val="54E94597"/>
    <w:rsid w:val="54FC6198"/>
    <w:rsid w:val="550923C8"/>
    <w:rsid w:val="551F45A7"/>
    <w:rsid w:val="551F59CD"/>
    <w:rsid w:val="552F3854"/>
    <w:rsid w:val="5532366D"/>
    <w:rsid w:val="55444C42"/>
    <w:rsid w:val="554C2E96"/>
    <w:rsid w:val="555C625F"/>
    <w:rsid w:val="555F0572"/>
    <w:rsid w:val="55630EE8"/>
    <w:rsid w:val="556A7DF9"/>
    <w:rsid w:val="55723134"/>
    <w:rsid w:val="55774444"/>
    <w:rsid w:val="55872CF3"/>
    <w:rsid w:val="558859E4"/>
    <w:rsid w:val="559250D7"/>
    <w:rsid w:val="5597277B"/>
    <w:rsid w:val="55A90FF1"/>
    <w:rsid w:val="55AA399A"/>
    <w:rsid w:val="55B71E6F"/>
    <w:rsid w:val="55B7730C"/>
    <w:rsid w:val="55D36D5C"/>
    <w:rsid w:val="55E65D7D"/>
    <w:rsid w:val="55E93AE3"/>
    <w:rsid w:val="55F25F79"/>
    <w:rsid w:val="55F75928"/>
    <w:rsid w:val="55FB37C3"/>
    <w:rsid w:val="55FB5C27"/>
    <w:rsid w:val="56182AD9"/>
    <w:rsid w:val="562D69D0"/>
    <w:rsid w:val="5642772B"/>
    <w:rsid w:val="564477C4"/>
    <w:rsid w:val="564E40DA"/>
    <w:rsid w:val="56591CA8"/>
    <w:rsid w:val="565D0A0B"/>
    <w:rsid w:val="565D3B8A"/>
    <w:rsid w:val="566134BE"/>
    <w:rsid w:val="566E1159"/>
    <w:rsid w:val="566F1C9B"/>
    <w:rsid w:val="567A57C4"/>
    <w:rsid w:val="567C0A12"/>
    <w:rsid w:val="567C1A24"/>
    <w:rsid w:val="567D5EF0"/>
    <w:rsid w:val="5680314B"/>
    <w:rsid w:val="56825BFB"/>
    <w:rsid w:val="5683345F"/>
    <w:rsid w:val="56837BCF"/>
    <w:rsid w:val="568A0EEB"/>
    <w:rsid w:val="569D33D7"/>
    <w:rsid w:val="56A314A4"/>
    <w:rsid w:val="56A40E7F"/>
    <w:rsid w:val="56A810ED"/>
    <w:rsid w:val="56A96DCA"/>
    <w:rsid w:val="56B174CD"/>
    <w:rsid w:val="56D46BE8"/>
    <w:rsid w:val="56D92565"/>
    <w:rsid w:val="56DC5FCA"/>
    <w:rsid w:val="56E01209"/>
    <w:rsid w:val="56F05B4A"/>
    <w:rsid w:val="56F577E0"/>
    <w:rsid w:val="57095653"/>
    <w:rsid w:val="570A089A"/>
    <w:rsid w:val="570D04C7"/>
    <w:rsid w:val="570F2DB5"/>
    <w:rsid w:val="570F31DB"/>
    <w:rsid w:val="571B74A4"/>
    <w:rsid w:val="572E6C86"/>
    <w:rsid w:val="57361450"/>
    <w:rsid w:val="57361C94"/>
    <w:rsid w:val="575925A3"/>
    <w:rsid w:val="57744710"/>
    <w:rsid w:val="57750C1F"/>
    <w:rsid w:val="57765C32"/>
    <w:rsid w:val="57772233"/>
    <w:rsid w:val="57824EA7"/>
    <w:rsid w:val="57863747"/>
    <w:rsid w:val="578E4E34"/>
    <w:rsid w:val="579509E5"/>
    <w:rsid w:val="57963D10"/>
    <w:rsid w:val="5797088D"/>
    <w:rsid w:val="57AB4172"/>
    <w:rsid w:val="57BA6BB5"/>
    <w:rsid w:val="57BC02DA"/>
    <w:rsid w:val="57C92E92"/>
    <w:rsid w:val="57CD0F76"/>
    <w:rsid w:val="57CE11E3"/>
    <w:rsid w:val="57D4431F"/>
    <w:rsid w:val="57D4478B"/>
    <w:rsid w:val="57D71884"/>
    <w:rsid w:val="57E84249"/>
    <w:rsid w:val="57F63D88"/>
    <w:rsid w:val="57F83FBE"/>
    <w:rsid w:val="57FF69AB"/>
    <w:rsid w:val="581304A7"/>
    <w:rsid w:val="58144E4D"/>
    <w:rsid w:val="58217755"/>
    <w:rsid w:val="583B3DEB"/>
    <w:rsid w:val="58574A97"/>
    <w:rsid w:val="585B5DB6"/>
    <w:rsid w:val="585D2CA4"/>
    <w:rsid w:val="58614766"/>
    <w:rsid w:val="58643361"/>
    <w:rsid w:val="586572BE"/>
    <w:rsid w:val="58686FDF"/>
    <w:rsid w:val="587252B6"/>
    <w:rsid w:val="587C29ED"/>
    <w:rsid w:val="587F5D79"/>
    <w:rsid w:val="58926CEF"/>
    <w:rsid w:val="589E6D5E"/>
    <w:rsid w:val="58AF77DD"/>
    <w:rsid w:val="58C41C2B"/>
    <w:rsid w:val="58D03034"/>
    <w:rsid w:val="58D5076E"/>
    <w:rsid w:val="58E6255C"/>
    <w:rsid w:val="58E63FFB"/>
    <w:rsid w:val="58E76359"/>
    <w:rsid w:val="58E80082"/>
    <w:rsid w:val="58FC3B2E"/>
    <w:rsid w:val="58FD1A9A"/>
    <w:rsid w:val="59005C82"/>
    <w:rsid w:val="59016F14"/>
    <w:rsid w:val="59045C76"/>
    <w:rsid w:val="590C4B5D"/>
    <w:rsid w:val="590E3940"/>
    <w:rsid w:val="591A311E"/>
    <w:rsid w:val="591E78D7"/>
    <w:rsid w:val="59204C86"/>
    <w:rsid w:val="59307102"/>
    <w:rsid w:val="594060AD"/>
    <w:rsid w:val="594352B9"/>
    <w:rsid w:val="5943797D"/>
    <w:rsid w:val="5945754E"/>
    <w:rsid w:val="594E3790"/>
    <w:rsid w:val="595C040D"/>
    <w:rsid w:val="595C2DB6"/>
    <w:rsid w:val="59617B7F"/>
    <w:rsid w:val="596C23A1"/>
    <w:rsid w:val="59782066"/>
    <w:rsid w:val="597E0833"/>
    <w:rsid w:val="59831B59"/>
    <w:rsid w:val="59861F5F"/>
    <w:rsid w:val="5988716F"/>
    <w:rsid w:val="59892E30"/>
    <w:rsid w:val="59920F0D"/>
    <w:rsid w:val="599A5457"/>
    <w:rsid w:val="59A66640"/>
    <w:rsid w:val="59A954E0"/>
    <w:rsid w:val="59AE4D7D"/>
    <w:rsid w:val="59AF68FA"/>
    <w:rsid w:val="59BA0C02"/>
    <w:rsid w:val="59BE2B4A"/>
    <w:rsid w:val="59BE5645"/>
    <w:rsid w:val="59CA3365"/>
    <w:rsid w:val="59DE61A3"/>
    <w:rsid w:val="59DE6390"/>
    <w:rsid w:val="59E3084A"/>
    <w:rsid w:val="59E86CFD"/>
    <w:rsid w:val="59E86E96"/>
    <w:rsid w:val="59F56013"/>
    <w:rsid w:val="59F8001B"/>
    <w:rsid w:val="59F818C1"/>
    <w:rsid w:val="59F82547"/>
    <w:rsid w:val="59FA6399"/>
    <w:rsid w:val="5A0E063A"/>
    <w:rsid w:val="5A1676AA"/>
    <w:rsid w:val="5A1F30BA"/>
    <w:rsid w:val="5A207BC6"/>
    <w:rsid w:val="5A2935B2"/>
    <w:rsid w:val="5A437FE8"/>
    <w:rsid w:val="5A556328"/>
    <w:rsid w:val="5A6559EC"/>
    <w:rsid w:val="5A6C083F"/>
    <w:rsid w:val="5A73753D"/>
    <w:rsid w:val="5A775959"/>
    <w:rsid w:val="5A7E53FE"/>
    <w:rsid w:val="5A852ECF"/>
    <w:rsid w:val="5A896EE0"/>
    <w:rsid w:val="5A9754BE"/>
    <w:rsid w:val="5A9D4E9D"/>
    <w:rsid w:val="5AA71093"/>
    <w:rsid w:val="5AA8596C"/>
    <w:rsid w:val="5AA86598"/>
    <w:rsid w:val="5AAC2101"/>
    <w:rsid w:val="5AAC30FE"/>
    <w:rsid w:val="5AB006AA"/>
    <w:rsid w:val="5AB15330"/>
    <w:rsid w:val="5AB57279"/>
    <w:rsid w:val="5ABB6BE1"/>
    <w:rsid w:val="5ABE1FDA"/>
    <w:rsid w:val="5ABF7792"/>
    <w:rsid w:val="5AC153A5"/>
    <w:rsid w:val="5AD14663"/>
    <w:rsid w:val="5AD71A3B"/>
    <w:rsid w:val="5AE34EAB"/>
    <w:rsid w:val="5AE94FBF"/>
    <w:rsid w:val="5AEB0B06"/>
    <w:rsid w:val="5AF037F8"/>
    <w:rsid w:val="5B036575"/>
    <w:rsid w:val="5B0647F0"/>
    <w:rsid w:val="5B094007"/>
    <w:rsid w:val="5B160F72"/>
    <w:rsid w:val="5B343925"/>
    <w:rsid w:val="5B3637FA"/>
    <w:rsid w:val="5B366EA4"/>
    <w:rsid w:val="5B443C4D"/>
    <w:rsid w:val="5B4D0671"/>
    <w:rsid w:val="5B4D2897"/>
    <w:rsid w:val="5B4D3256"/>
    <w:rsid w:val="5B520721"/>
    <w:rsid w:val="5B5835E9"/>
    <w:rsid w:val="5B6A0317"/>
    <w:rsid w:val="5B6A4FF1"/>
    <w:rsid w:val="5B705D94"/>
    <w:rsid w:val="5B782295"/>
    <w:rsid w:val="5B7A03FA"/>
    <w:rsid w:val="5B834092"/>
    <w:rsid w:val="5B915813"/>
    <w:rsid w:val="5B9A2663"/>
    <w:rsid w:val="5B9C16B8"/>
    <w:rsid w:val="5BBB1726"/>
    <w:rsid w:val="5BCA1926"/>
    <w:rsid w:val="5BCD404A"/>
    <w:rsid w:val="5BCF552A"/>
    <w:rsid w:val="5BE54D4D"/>
    <w:rsid w:val="5BEF2752"/>
    <w:rsid w:val="5BEF2E0C"/>
    <w:rsid w:val="5BF1317B"/>
    <w:rsid w:val="5BF34CE8"/>
    <w:rsid w:val="5C037027"/>
    <w:rsid w:val="5C052E68"/>
    <w:rsid w:val="5C080E5A"/>
    <w:rsid w:val="5C083989"/>
    <w:rsid w:val="5C152885"/>
    <w:rsid w:val="5C16596A"/>
    <w:rsid w:val="5C190553"/>
    <w:rsid w:val="5C201030"/>
    <w:rsid w:val="5C294BC7"/>
    <w:rsid w:val="5C320050"/>
    <w:rsid w:val="5C38142D"/>
    <w:rsid w:val="5C417EF3"/>
    <w:rsid w:val="5C4F2650"/>
    <w:rsid w:val="5C6C4B26"/>
    <w:rsid w:val="5C6C4BF0"/>
    <w:rsid w:val="5C7031D6"/>
    <w:rsid w:val="5C71038F"/>
    <w:rsid w:val="5C721494"/>
    <w:rsid w:val="5C72744E"/>
    <w:rsid w:val="5C794F2B"/>
    <w:rsid w:val="5C7D4F86"/>
    <w:rsid w:val="5C7F5B35"/>
    <w:rsid w:val="5C8769FD"/>
    <w:rsid w:val="5C9F6077"/>
    <w:rsid w:val="5CA029CD"/>
    <w:rsid w:val="5CA442C0"/>
    <w:rsid w:val="5CA5597E"/>
    <w:rsid w:val="5CA924A3"/>
    <w:rsid w:val="5CAD579C"/>
    <w:rsid w:val="5CB32755"/>
    <w:rsid w:val="5CB42F3A"/>
    <w:rsid w:val="5CBA6D31"/>
    <w:rsid w:val="5CC340BC"/>
    <w:rsid w:val="5CCE3208"/>
    <w:rsid w:val="5CD800AC"/>
    <w:rsid w:val="5CE87F90"/>
    <w:rsid w:val="5CE96189"/>
    <w:rsid w:val="5CEE3C70"/>
    <w:rsid w:val="5CEE6205"/>
    <w:rsid w:val="5D0E08F2"/>
    <w:rsid w:val="5D0E1CF8"/>
    <w:rsid w:val="5D146445"/>
    <w:rsid w:val="5D184620"/>
    <w:rsid w:val="5D1C0052"/>
    <w:rsid w:val="5D224892"/>
    <w:rsid w:val="5D23298D"/>
    <w:rsid w:val="5D26526C"/>
    <w:rsid w:val="5D311AA7"/>
    <w:rsid w:val="5D3C099D"/>
    <w:rsid w:val="5D46181B"/>
    <w:rsid w:val="5D517697"/>
    <w:rsid w:val="5D6A0EF4"/>
    <w:rsid w:val="5D7511E2"/>
    <w:rsid w:val="5D752101"/>
    <w:rsid w:val="5D7B64BE"/>
    <w:rsid w:val="5D8026ED"/>
    <w:rsid w:val="5D86767D"/>
    <w:rsid w:val="5D881E34"/>
    <w:rsid w:val="5D942587"/>
    <w:rsid w:val="5D9F27A5"/>
    <w:rsid w:val="5DB10D24"/>
    <w:rsid w:val="5DB7076E"/>
    <w:rsid w:val="5DC6470A"/>
    <w:rsid w:val="5DCE3842"/>
    <w:rsid w:val="5DCE62C1"/>
    <w:rsid w:val="5DD50A81"/>
    <w:rsid w:val="5DE75D79"/>
    <w:rsid w:val="5DEB02DF"/>
    <w:rsid w:val="5DED33BD"/>
    <w:rsid w:val="5DEE2025"/>
    <w:rsid w:val="5DF216EA"/>
    <w:rsid w:val="5DF47A18"/>
    <w:rsid w:val="5DF9688E"/>
    <w:rsid w:val="5DFA3D4F"/>
    <w:rsid w:val="5DFE3E44"/>
    <w:rsid w:val="5E033269"/>
    <w:rsid w:val="5E0F20A8"/>
    <w:rsid w:val="5E160D5E"/>
    <w:rsid w:val="5E162F9C"/>
    <w:rsid w:val="5E176A61"/>
    <w:rsid w:val="5E182718"/>
    <w:rsid w:val="5E1A3862"/>
    <w:rsid w:val="5E203FF8"/>
    <w:rsid w:val="5E2866F8"/>
    <w:rsid w:val="5E301273"/>
    <w:rsid w:val="5E344936"/>
    <w:rsid w:val="5E347F74"/>
    <w:rsid w:val="5E355E51"/>
    <w:rsid w:val="5E3C5907"/>
    <w:rsid w:val="5E453EF0"/>
    <w:rsid w:val="5E4567B6"/>
    <w:rsid w:val="5E4865F5"/>
    <w:rsid w:val="5E49581F"/>
    <w:rsid w:val="5E4A6F64"/>
    <w:rsid w:val="5E584679"/>
    <w:rsid w:val="5E6315EA"/>
    <w:rsid w:val="5E652729"/>
    <w:rsid w:val="5E6B2E1B"/>
    <w:rsid w:val="5E6D448F"/>
    <w:rsid w:val="5E75117C"/>
    <w:rsid w:val="5E7B7D86"/>
    <w:rsid w:val="5E8022EC"/>
    <w:rsid w:val="5E945227"/>
    <w:rsid w:val="5E96030A"/>
    <w:rsid w:val="5E9D3853"/>
    <w:rsid w:val="5EA0364D"/>
    <w:rsid w:val="5EA2193D"/>
    <w:rsid w:val="5EA651E7"/>
    <w:rsid w:val="5EAB402C"/>
    <w:rsid w:val="5EAC3845"/>
    <w:rsid w:val="5EAD4A28"/>
    <w:rsid w:val="5EAF7CC4"/>
    <w:rsid w:val="5EB2306D"/>
    <w:rsid w:val="5EC043D7"/>
    <w:rsid w:val="5EC64B62"/>
    <w:rsid w:val="5ECF0AE7"/>
    <w:rsid w:val="5ED103DD"/>
    <w:rsid w:val="5EDB3860"/>
    <w:rsid w:val="5EE525C5"/>
    <w:rsid w:val="5EF051B8"/>
    <w:rsid w:val="5EF157B7"/>
    <w:rsid w:val="5EFB2039"/>
    <w:rsid w:val="5F004000"/>
    <w:rsid w:val="5F034984"/>
    <w:rsid w:val="5F090364"/>
    <w:rsid w:val="5F0C53C6"/>
    <w:rsid w:val="5F1450BE"/>
    <w:rsid w:val="5F1E6887"/>
    <w:rsid w:val="5F27742B"/>
    <w:rsid w:val="5F33397E"/>
    <w:rsid w:val="5F377F56"/>
    <w:rsid w:val="5F441D8B"/>
    <w:rsid w:val="5F505763"/>
    <w:rsid w:val="5F507610"/>
    <w:rsid w:val="5F532817"/>
    <w:rsid w:val="5F6146EB"/>
    <w:rsid w:val="5F723B2F"/>
    <w:rsid w:val="5F7537C9"/>
    <w:rsid w:val="5F8754B4"/>
    <w:rsid w:val="5F8E4DFB"/>
    <w:rsid w:val="5F951FD3"/>
    <w:rsid w:val="5FA36AB1"/>
    <w:rsid w:val="5FA83300"/>
    <w:rsid w:val="5FB05672"/>
    <w:rsid w:val="5FB545E6"/>
    <w:rsid w:val="5FBA28EF"/>
    <w:rsid w:val="5FC403E3"/>
    <w:rsid w:val="5FC87A03"/>
    <w:rsid w:val="5FC92290"/>
    <w:rsid w:val="5FEE060B"/>
    <w:rsid w:val="5FF217E7"/>
    <w:rsid w:val="5FF5300A"/>
    <w:rsid w:val="5FF56DE5"/>
    <w:rsid w:val="5FFC0086"/>
    <w:rsid w:val="5FFD43AF"/>
    <w:rsid w:val="5FFF5F1A"/>
    <w:rsid w:val="600A135B"/>
    <w:rsid w:val="60160E14"/>
    <w:rsid w:val="6021215C"/>
    <w:rsid w:val="6022031E"/>
    <w:rsid w:val="60261667"/>
    <w:rsid w:val="602D0825"/>
    <w:rsid w:val="602F048C"/>
    <w:rsid w:val="60324405"/>
    <w:rsid w:val="6042008A"/>
    <w:rsid w:val="605E7C22"/>
    <w:rsid w:val="60604DC0"/>
    <w:rsid w:val="606636CB"/>
    <w:rsid w:val="606731CD"/>
    <w:rsid w:val="60720B77"/>
    <w:rsid w:val="607C3AAB"/>
    <w:rsid w:val="6082602C"/>
    <w:rsid w:val="608F37B2"/>
    <w:rsid w:val="608F69DA"/>
    <w:rsid w:val="609F4617"/>
    <w:rsid w:val="60A73A04"/>
    <w:rsid w:val="60AF6B5F"/>
    <w:rsid w:val="60B028AD"/>
    <w:rsid w:val="60BF64FB"/>
    <w:rsid w:val="60C864D5"/>
    <w:rsid w:val="60C95EDB"/>
    <w:rsid w:val="60D64C7F"/>
    <w:rsid w:val="60EE5330"/>
    <w:rsid w:val="60F84365"/>
    <w:rsid w:val="60FD6695"/>
    <w:rsid w:val="61126F33"/>
    <w:rsid w:val="61135AD6"/>
    <w:rsid w:val="61277DCC"/>
    <w:rsid w:val="6129460F"/>
    <w:rsid w:val="612A5F13"/>
    <w:rsid w:val="612C3B99"/>
    <w:rsid w:val="61317F21"/>
    <w:rsid w:val="61433C21"/>
    <w:rsid w:val="614B5652"/>
    <w:rsid w:val="61504A17"/>
    <w:rsid w:val="615A312F"/>
    <w:rsid w:val="615F3904"/>
    <w:rsid w:val="616E1158"/>
    <w:rsid w:val="6177547A"/>
    <w:rsid w:val="61782DF6"/>
    <w:rsid w:val="617940FB"/>
    <w:rsid w:val="619960CB"/>
    <w:rsid w:val="61AD5F8C"/>
    <w:rsid w:val="61D5307A"/>
    <w:rsid w:val="61D93011"/>
    <w:rsid w:val="61EA282F"/>
    <w:rsid w:val="61EF3C1A"/>
    <w:rsid w:val="61F71336"/>
    <w:rsid w:val="61F923DF"/>
    <w:rsid w:val="61F94649"/>
    <w:rsid w:val="61FC3527"/>
    <w:rsid w:val="620077B2"/>
    <w:rsid w:val="620128A9"/>
    <w:rsid w:val="620F686A"/>
    <w:rsid w:val="621A52D6"/>
    <w:rsid w:val="621B0F45"/>
    <w:rsid w:val="621C52E5"/>
    <w:rsid w:val="62326812"/>
    <w:rsid w:val="623600B0"/>
    <w:rsid w:val="623E788B"/>
    <w:rsid w:val="62486E58"/>
    <w:rsid w:val="625B7B17"/>
    <w:rsid w:val="625F6532"/>
    <w:rsid w:val="6264738A"/>
    <w:rsid w:val="62650B51"/>
    <w:rsid w:val="62656EA8"/>
    <w:rsid w:val="62721A53"/>
    <w:rsid w:val="628663E8"/>
    <w:rsid w:val="628726BA"/>
    <w:rsid w:val="62912653"/>
    <w:rsid w:val="629C70C8"/>
    <w:rsid w:val="62A86E58"/>
    <w:rsid w:val="62AB743E"/>
    <w:rsid w:val="62C144EB"/>
    <w:rsid w:val="62C66F9D"/>
    <w:rsid w:val="62C85833"/>
    <w:rsid w:val="62CB3190"/>
    <w:rsid w:val="62CE3C3C"/>
    <w:rsid w:val="62D965F0"/>
    <w:rsid w:val="62DE083F"/>
    <w:rsid w:val="62E27CF1"/>
    <w:rsid w:val="62F74D7E"/>
    <w:rsid w:val="62FD3A63"/>
    <w:rsid w:val="630167C7"/>
    <w:rsid w:val="6309165F"/>
    <w:rsid w:val="630F6528"/>
    <w:rsid w:val="631A5AE1"/>
    <w:rsid w:val="63206B7E"/>
    <w:rsid w:val="633D2BD8"/>
    <w:rsid w:val="63417E63"/>
    <w:rsid w:val="634E4A2A"/>
    <w:rsid w:val="63576530"/>
    <w:rsid w:val="635D6582"/>
    <w:rsid w:val="636011DA"/>
    <w:rsid w:val="63604D7F"/>
    <w:rsid w:val="63612F0B"/>
    <w:rsid w:val="636146ED"/>
    <w:rsid w:val="636A3249"/>
    <w:rsid w:val="636D1FAC"/>
    <w:rsid w:val="63887FBA"/>
    <w:rsid w:val="63897534"/>
    <w:rsid w:val="639548D6"/>
    <w:rsid w:val="639C7278"/>
    <w:rsid w:val="639F4030"/>
    <w:rsid w:val="63A1155A"/>
    <w:rsid w:val="63AC6E90"/>
    <w:rsid w:val="63CC57AF"/>
    <w:rsid w:val="63E03AEB"/>
    <w:rsid w:val="63F94D40"/>
    <w:rsid w:val="64050D02"/>
    <w:rsid w:val="640F75B7"/>
    <w:rsid w:val="64177C0C"/>
    <w:rsid w:val="64195A51"/>
    <w:rsid w:val="6424475F"/>
    <w:rsid w:val="6425605D"/>
    <w:rsid w:val="642F13C6"/>
    <w:rsid w:val="64324089"/>
    <w:rsid w:val="64434297"/>
    <w:rsid w:val="64480A16"/>
    <w:rsid w:val="644E538B"/>
    <w:rsid w:val="6457430E"/>
    <w:rsid w:val="645B2050"/>
    <w:rsid w:val="6475615A"/>
    <w:rsid w:val="648A46E4"/>
    <w:rsid w:val="648D024C"/>
    <w:rsid w:val="64935B6B"/>
    <w:rsid w:val="64986E00"/>
    <w:rsid w:val="64A70DF2"/>
    <w:rsid w:val="64AC1820"/>
    <w:rsid w:val="64AD1906"/>
    <w:rsid w:val="64AD6859"/>
    <w:rsid w:val="64B17048"/>
    <w:rsid w:val="64B76F0A"/>
    <w:rsid w:val="64C74ED6"/>
    <w:rsid w:val="64D6313A"/>
    <w:rsid w:val="64D74F96"/>
    <w:rsid w:val="64D805E7"/>
    <w:rsid w:val="64DE2339"/>
    <w:rsid w:val="64E50419"/>
    <w:rsid w:val="64EE6A20"/>
    <w:rsid w:val="650A0E29"/>
    <w:rsid w:val="650B5081"/>
    <w:rsid w:val="65117993"/>
    <w:rsid w:val="65135199"/>
    <w:rsid w:val="652E6D28"/>
    <w:rsid w:val="653111E3"/>
    <w:rsid w:val="65324255"/>
    <w:rsid w:val="653C63F9"/>
    <w:rsid w:val="653F54CE"/>
    <w:rsid w:val="6546506D"/>
    <w:rsid w:val="6546685C"/>
    <w:rsid w:val="6552171C"/>
    <w:rsid w:val="65547A36"/>
    <w:rsid w:val="655C553C"/>
    <w:rsid w:val="65674A25"/>
    <w:rsid w:val="657128C1"/>
    <w:rsid w:val="65735501"/>
    <w:rsid w:val="65747D21"/>
    <w:rsid w:val="65772044"/>
    <w:rsid w:val="658057EC"/>
    <w:rsid w:val="658969A3"/>
    <w:rsid w:val="65922F98"/>
    <w:rsid w:val="65A174FA"/>
    <w:rsid w:val="65AA1556"/>
    <w:rsid w:val="65AA1AAA"/>
    <w:rsid w:val="65AB097C"/>
    <w:rsid w:val="65BA2DA7"/>
    <w:rsid w:val="65C6226F"/>
    <w:rsid w:val="65C854B5"/>
    <w:rsid w:val="65CD59F4"/>
    <w:rsid w:val="65CF56D4"/>
    <w:rsid w:val="65D91CFF"/>
    <w:rsid w:val="65E05BD0"/>
    <w:rsid w:val="65F820DF"/>
    <w:rsid w:val="6609788A"/>
    <w:rsid w:val="66211188"/>
    <w:rsid w:val="66291D73"/>
    <w:rsid w:val="662C21C5"/>
    <w:rsid w:val="66371F0B"/>
    <w:rsid w:val="6638312E"/>
    <w:rsid w:val="66384703"/>
    <w:rsid w:val="664154B8"/>
    <w:rsid w:val="664211D4"/>
    <w:rsid w:val="664A3A63"/>
    <w:rsid w:val="6653417F"/>
    <w:rsid w:val="666A657B"/>
    <w:rsid w:val="666E73BE"/>
    <w:rsid w:val="6670131F"/>
    <w:rsid w:val="66701488"/>
    <w:rsid w:val="66704F97"/>
    <w:rsid w:val="6680749A"/>
    <w:rsid w:val="66884C53"/>
    <w:rsid w:val="6695111E"/>
    <w:rsid w:val="669B5C23"/>
    <w:rsid w:val="66A7147C"/>
    <w:rsid w:val="66B56591"/>
    <w:rsid w:val="66BB27DA"/>
    <w:rsid w:val="66C235E6"/>
    <w:rsid w:val="66DE4873"/>
    <w:rsid w:val="66E376DB"/>
    <w:rsid w:val="66E55C01"/>
    <w:rsid w:val="67072723"/>
    <w:rsid w:val="67074132"/>
    <w:rsid w:val="670C7141"/>
    <w:rsid w:val="67127E0C"/>
    <w:rsid w:val="67131CF9"/>
    <w:rsid w:val="672F072B"/>
    <w:rsid w:val="67330745"/>
    <w:rsid w:val="67356C43"/>
    <w:rsid w:val="673D776E"/>
    <w:rsid w:val="674E102D"/>
    <w:rsid w:val="67591D81"/>
    <w:rsid w:val="675E7762"/>
    <w:rsid w:val="675F02E7"/>
    <w:rsid w:val="67694A84"/>
    <w:rsid w:val="676A4DBB"/>
    <w:rsid w:val="676D039A"/>
    <w:rsid w:val="67795E58"/>
    <w:rsid w:val="677F6AD9"/>
    <w:rsid w:val="67866BB9"/>
    <w:rsid w:val="678D29F1"/>
    <w:rsid w:val="678E6274"/>
    <w:rsid w:val="67940964"/>
    <w:rsid w:val="679A1D94"/>
    <w:rsid w:val="67B01CAC"/>
    <w:rsid w:val="67B56611"/>
    <w:rsid w:val="67B56F1B"/>
    <w:rsid w:val="67B7355F"/>
    <w:rsid w:val="67C718D1"/>
    <w:rsid w:val="67E834D7"/>
    <w:rsid w:val="67EF7E82"/>
    <w:rsid w:val="680A363F"/>
    <w:rsid w:val="68122C4A"/>
    <w:rsid w:val="6816558E"/>
    <w:rsid w:val="682721C2"/>
    <w:rsid w:val="682730EF"/>
    <w:rsid w:val="68274179"/>
    <w:rsid w:val="682B1D3A"/>
    <w:rsid w:val="68357F4B"/>
    <w:rsid w:val="684400AB"/>
    <w:rsid w:val="68464DC5"/>
    <w:rsid w:val="685048BF"/>
    <w:rsid w:val="68550B65"/>
    <w:rsid w:val="68553587"/>
    <w:rsid w:val="685C4C3D"/>
    <w:rsid w:val="68605FEA"/>
    <w:rsid w:val="6862378C"/>
    <w:rsid w:val="686435B2"/>
    <w:rsid w:val="6866596B"/>
    <w:rsid w:val="688C4254"/>
    <w:rsid w:val="689B7826"/>
    <w:rsid w:val="68AE3915"/>
    <w:rsid w:val="68B63758"/>
    <w:rsid w:val="68BE495C"/>
    <w:rsid w:val="68BF234A"/>
    <w:rsid w:val="68CA3925"/>
    <w:rsid w:val="68D0236E"/>
    <w:rsid w:val="68D423D1"/>
    <w:rsid w:val="68D96D76"/>
    <w:rsid w:val="68E04A07"/>
    <w:rsid w:val="68F26EA0"/>
    <w:rsid w:val="68FC0779"/>
    <w:rsid w:val="68FD33C2"/>
    <w:rsid w:val="68FD3ECC"/>
    <w:rsid w:val="68FE744E"/>
    <w:rsid w:val="69006007"/>
    <w:rsid w:val="69054923"/>
    <w:rsid w:val="690F2EED"/>
    <w:rsid w:val="691F43B6"/>
    <w:rsid w:val="692528EC"/>
    <w:rsid w:val="69275E4D"/>
    <w:rsid w:val="692A3EAE"/>
    <w:rsid w:val="69360996"/>
    <w:rsid w:val="693C5C0C"/>
    <w:rsid w:val="69455434"/>
    <w:rsid w:val="694A4441"/>
    <w:rsid w:val="694F1A58"/>
    <w:rsid w:val="695552D4"/>
    <w:rsid w:val="69742EEC"/>
    <w:rsid w:val="697571F7"/>
    <w:rsid w:val="697A6F98"/>
    <w:rsid w:val="697F6ADC"/>
    <w:rsid w:val="69803BE2"/>
    <w:rsid w:val="699937E6"/>
    <w:rsid w:val="69A668E3"/>
    <w:rsid w:val="69AC098F"/>
    <w:rsid w:val="69C01BDA"/>
    <w:rsid w:val="69D81A4D"/>
    <w:rsid w:val="69EB5F9B"/>
    <w:rsid w:val="69F452E7"/>
    <w:rsid w:val="69F86CC5"/>
    <w:rsid w:val="69FF6FDA"/>
    <w:rsid w:val="6A005C9E"/>
    <w:rsid w:val="6A050B73"/>
    <w:rsid w:val="6A077823"/>
    <w:rsid w:val="6A0F5147"/>
    <w:rsid w:val="6A292930"/>
    <w:rsid w:val="6A2E56D0"/>
    <w:rsid w:val="6A312B09"/>
    <w:rsid w:val="6A3A7AD6"/>
    <w:rsid w:val="6A3C571E"/>
    <w:rsid w:val="6A4A73A3"/>
    <w:rsid w:val="6A4C6B1E"/>
    <w:rsid w:val="6A511B8E"/>
    <w:rsid w:val="6A59321A"/>
    <w:rsid w:val="6A5E60A5"/>
    <w:rsid w:val="6A5F0290"/>
    <w:rsid w:val="6A5F22E4"/>
    <w:rsid w:val="6A5F65CF"/>
    <w:rsid w:val="6A647F9B"/>
    <w:rsid w:val="6A822C1B"/>
    <w:rsid w:val="6A8B2F63"/>
    <w:rsid w:val="6A9B2E65"/>
    <w:rsid w:val="6AAD4C88"/>
    <w:rsid w:val="6AB64AAC"/>
    <w:rsid w:val="6ABD2C9F"/>
    <w:rsid w:val="6AC01C35"/>
    <w:rsid w:val="6AC56475"/>
    <w:rsid w:val="6AC87D14"/>
    <w:rsid w:val="6AD27B71"/>
    <w:rsid w:val="6AD761A9"/>
    <w:rsid w:val="6AE8745C"/>
    <w:rsid w:val="6AEB2170"/>
    <w:rsid w:val="6AF40A74"/>
    <w:rsid w:val="6B054AC4"/>
    <w:rsid w:val="6B122D3D"/>
    <w:rsid w:val="6B201BF7"/>
    <w:rsid w:val="6B207D0A"/>
    <w:rsid w:val="6B2667E8"/>
    <w:rsid w:val="6B271E65"/>
    <w:rsid w:val="6B2E009A"/>
    <w:rsid w:val="6B4227D3"/>
    <w:rsid w:val="6B483A91"/>
    <w:rsid w:val="6B524310"/>
    <w:rsid w:val="6B5D0438"/>
    <w:rsid w:val="6B6D1190"/>
    <w:rsid w:val="6B734DBF"/>
    <w:rsid w:val="6B76133D"/>
    <w:rsid w:val="6B79012E"/>
    <w:rsid w:val="6B7C546E"/>
    <w:rsid w:val="6B7F3933"/>
    <w:rsid w:val="6B824366"/>
    <w:rsid w:val="6B897776"/>
    <w:rsid w:val="6B8D0B95"/>
    <w:rsid w:val="6B9B568B"/>
    <w:rsid w:val="6B9C33E2"/>
    <w:rsid w:val="6BA21002"/>
    <w:rsid w:val="6BAB3B89"/>
    <w:rsid w:val="6BB40BC2"/>
    <w:rsid w:val="6BB42046"/>
    <w:rsid w:val="6BB843CE"/>
    <w:rsid w:val="6BBA7230"/>
    <w:rsid w:val="6BBC5236"/>
    <w:rsid w:val="6BC03C57"/>
    <w:rsid w:val="6BC146C9"/>
    <w:rsid w:val="6BD066AD"/>
    <w:rsid w:val="6BD87A2E"/>
    <w:rsid w:val="6BDA510E"/>
    <w:rsid w:val="6BDE69D9"/>
    <w:rsid w:val="6BE52DAF"/>
    <w:rsid w:val="6BFA6F74"/>
    <w:rsid w:val="6C050664"/>
    <w:rsid w:val="6C0B485C"/>
    <w:rsid w:val="6C186520"/>
    <w:rsid w:val="6C1F1BE1"/>
    <w:rsid w:val="6C282A6D"/>
    <w:rsid w:val="6C374C0D"/>
    <w:rsid w:val="6C511909"/>
    <w:rsid w:val="6C511D45"/>
    <w:rsid w:val="6C52676C"/>
    <w:rsid w:val="6C567424"/>
    <w:rsid w:val="6C6E0704"/>
    <w:rsid w:val="6C6E0D0A"/>
    <w:rsid w:val="6C810E50"/>
    <w:rsid w:val="6C81689A"/>
    <w:rsid w:val="6C845EBC"/>
    <w:rsid w:val="6C855284"/>
    <w:rsid w:val="6C8C4AAA"/>
    <w:rsid w:val="6C8C6559"/>
    <w:rsid w:val="6C92217F"/>
    <w:rsid w:val="6C9B2C21"/>
    <w:rsid w:val="6CA62331"/>
    <w:rsid w:val="6CAA23D4"/>
    <w:rsid w:val="6CAA39D9"/>
    <w:rsid w:val="6CAF12FD"/>
    <w:rsid w:val="6CB71879"/>
    <w:rsid w:val="6CC263B6"/>
    <w:rsid w:val="6CC41738"/>
    <w:rsid w:val="6CD23598"/>
    <w:rsid w:val="6CD92B59"/>
    <w:rsid w:val="6CDB7669"/>
    <w:rsid w:val="6CE134C9"/>
    <w:rsid w:val="6CE31E4C"/>
    <w:rsid w:val="6CE7318F"/>
    <w:rsid w:val="6CEB66C0"/>
    <w:rsid w:val="6CF44DF0"/>
    <w:rsid w:val="6CFC5A53"/>
    <w:rsid w:val="6D05726A"/>
    <w:rsid w:val="6D0914F3"/>
    <w:rsid w:val="6D0E376D"/>
    <w:rsid w:val="6D1620E8"/>
    <w:rsid w:val="6D16559E"/>
    <w:rsid w:val="6D1F12BA"/>
    <w:rsid w:val="6D21195D"/>
    <w:rsid w:val="6D304DE5"/>
    <w:rsid w:val="6D336AB4"/>
    <w:rsid w:val="6D401191"/>
    <w:rsid w:val="6D407D10"/>
    <w:rsid w:val="6D4F2C2D"/>
    <w:rsid w:val="6D511354"/>
    <w:rsid w:val="6D5250A3"/>
    <w:rsid w:val="6D534B3A"/>
    <w:rsid w:val="6D561C32"/>
    <w:rsid w:val="6D5D220D"/>
    <w:rsid w:val="6D5D2FE6"/>
    <w:rsid w:val="6D5F1A5F"/>
    <w:rsid w:val="6D6A682C"/>
    <w:rsid w:val="6D6B238A"/>
    <w:rsid w:val="6D72211B"/>
    <w:rsid w:val="6D765682"/>
    <w:rsid w:val="6D7B3575"/>
    <w:rsid w:val="6D7D22BB"/>
    <w:rsid w:val="6D810206"/>
    <w:rsid w:val="6D90444A"/>
    <w:rsid w:val="6D91187F"/>
    <w:rsid w:val="6DA35705"/>
    <w:rsid w:val="6DAC1E54"/>
    <w:rsid w:val="6DAF7654"/>
    <w:rsid w:val="6DB32B90"/>
    <w:rsid w:val="6DB40DC4"/>
    <w:rsid w:val="6DBC4063"/>
    <w:rsid w:val="6DBD071A"/>
    <w:rsid w:val="6DC53FD1"/>
    <w:rsid w:val="6DC813A4"/>
    <w:rsid w:val="6DCA696E"/>
    <w:rsid w:val="6DCD078A"/>
    <w:rsid w:val="6DD46E11"/>
    <w:rsid w:val="6DE076BE"/>
    <w:rsid w:val="6DE83A6D"/>
    <w:rsid w:val="6DFE5D2E"/>
    <w:rsid w:val="6E0B4071"/>
    <w:rsid w:val="6E0C6169"/>
    <w:rsid w:val="6E101A13"/>
    <w:rsid w:val="6E192634"/>
    <w:rsid w:val="6E1E3060"/>
    <w:rsid w:val="6E1F080B"/>
    <w:rsid w:val="6E273784"/>
    <w:rsid w:val="6E284B2A"/>
    <w:rsid w:val="6E2C5624"/>
    <w:rsid w:val="6E2C694E"/>
    <w:rsid w:val="6E333F78"/>
    <w:rsid w:val="6E357CA4"/>
    <w:rsid w:val="6E41617C"/>
    <w:rsid w:val="6E5C5541"/>
    <w:rsid w:val="6E7F693B"/>
    <w:rsid w:val="6E8210D6"/>
    <w:rsid w:val="6E957F0D"/>
    <w:rsid w:val="6E980C6B"/>
    <w:rsid w:val="6E992F04"/>
    <w:rsid w:val="6E9A12BD"/>
    <w:rsid w:val="6EA2262A"/>
    <w:rsid w:val="6EA56D16"/>
    <w:rsid w:val="6EB14753"/>
    <w:rsid w:val="6ED74580"/>
    <w:rsid w:val="6EF06A77"/>
    <w:rsid w:val="6EF57880"/>
    <w:rsid w:val="6EF67A1A"/>
    <w:rsid w:val="6EF76E08"/>
    <w:rsid w:val="6EF80124"/>
    <w:rsid w:val="6EFA5250"/>
    <w:rsid w:val="6F0B413C"/>
    <w:rsid w:val="6F0E52E8"/>
    <w:rsid w:val="6F1C3334"/>
    <w:rsid w:val="6F2914EE"/>
    <w:rsid w:val="6F2B3B84"/>
    <w:rsid w:val="6F2C6261"/>
    <w:rsid w:val="6F324C87"/>
    <w:rsid w:val="6F346C0D"/>
    <w:rsid w:val="6F366A61"/>
    <w:rsid w:val="6F374A6D"/>
    <w:rsid w:val="6F3C482C"/>
    <w:rsid w:val="6F483F13"/>
    <w:rsid w:val="6F512DEB"/>
    <w:rsid w:val="6F5C1749"/>
    <w:rsid w:val="6F626E59"/>
    <w:rsid w:val="6F650316"/>
    <w:rsid w:val="6F7044D6"/>
    <w:rsid w:val="6F7076E4"/>
    <w:rsid w:val="6F75622A"/>
    <w:rsid w:val="6F7A0B8C"/>
    <w:rsid w:val="6F89280C"/>
    <w:rsid w:val="6F896F89"/>
    <w:rsid w:val="6F96444F"/>
    <w:rsid w:val="6FA14BB7"/>
    <w:rsid w:val="6FAB4C6A"/>
    <w:rsid w:val="6FAE71C8"/>
    <w:rsid w:val="6FD72C44"/>
    <w:rsid w:val="6FD93B1D"/>
    <w:rsid w:val="6FD93BB5"/>
    <w:rsid w:val="6FDE6249"/>
    <w:rsid w:val="6FDF45BC"/>
    <w:rsid w:val="6FE2091C"/>
    <w:rsid w:val="6FE37C1A"/>
    <w:rsid w:val="6FE40D44"/>
    <w:rsid w:val="6FEA7092"/>
    <w:rsid w:val="6FEC7F36"/>
    <w:rsid w:val="6FFE360F"/>
    <w:rsid w:val="6FFF782D"/>
    <w:rsid w:val="70017A54"/>
    <w:rsid w:val="70064C2A"/>
    <w:rsid w:val="700C3CDF"/>
    <w:rsid w:val="700E0F25"/>
    <w:rsid w:val="701557A9"/>
    <w:rsid w:val="7016507D"/>
    <w:rsid w:val="701970E5"/>
    <w:rsid w:val="701B732E"/>
    <w:rsid w:val="702A4611"/>
    <w:rsid w:val="70306F5F"/>
    <w:rsid w:val="70417F5D"/>
    <w:rsid w:val="70471D10"/>
    <w:rsid w:val="70495453"/>
    <w:rsid w:val="70673267"/>
    <w:rsid w:val="706E3D83"/>
    <w:rsid w:val="70725E34"/>
    <w:rsid w:val="7081431F"/>
    <w:rsid w:val="708930AD"/>
    <w:rsid w:val="708F15E0"/>
    <w:rsid w:val="70937ACE"/>
    <w:rsid w:val="7097152E"/>
    <w:rsid w:val="709C6B77"/>
    <w:rsid w:val="70AB493C"/>
    <w:rsid w:val="70AD3C34"/>
    <w:rsid w:val="70AE12EA"/>
    <w:rsid w:val="70B312D5"/>
    <w:rsid w:val="70B84CBE"/>
    <w:rsid w:val="70B90EDE"/>
    <w:rsid w:val="70BF1647"/>
    <w:rsid w:val="70C06F44"/>
    <w:rsid w:val="70D25AA9"/>
    <w:rsid w:val="70D61147"/>
    <w:rsid w:val="70D94625"/>
    <w:rsid w:val="70E20BB5"/>
    <w:rsid w:val="70E402C9"/>
    <w:rsid w:val="70EE5395"/>
    <w:rsid w:val="70F53833"/>
    <w:rsid w:val="71132313"/>
    <w:rsid w:val="712A1F38"/>
    <w:rsid w:val="71325AFC"/>
    <w:rsid w:val="713E691F"/>
    <w:rsid w:val="71465FE5"/>
    <w:rsid w:val="714770EF"/>
    <w:rsid w:val="714B3B84"/>
    <w:rsid w:val="714C07F7"/>
    <w:rsid w:val="715A71EC"/>
    <w:rsid w:val="716562BC"/>
    <w:rsid w:val="716A6582"/>
    <w:rsid w:val="717B4624"/>
    <w:rsid w:val="717E19C2"/>
    <w:rsid w:val="71801ADA"/>
    <w:rsid w:val="71812F15"/>
    <w:rsid w:val="71825C11"/>
    <w:rsid w:val="71870E4D"/>
    <w:rsid w:val="71922E29"/>
    <w:rsid w:val="719323A3"/>
    <w:rsid w:val="71A56947"/>
    <w:rsid w:val="71B17A61"/>
    <w:rsid w:val="71BC6666"/>
    <w:rsid w:val="71C15B51"/>
    <w:rsid w:val="71C75023"/>
    <w:rsid w:val="71D4056A"/>
    <w:rsid w:val="71DC1515"/>
    <w:rsid w:val="71E12FA3"/>
    <w:rsid w:val="71E14C48"/>
    <w:rsid w:val="71E332CE"/>
    <w:rsid w:val="71E97186"/>
    <w:rsid w:val="71E97843"/>
    <w:rsid w:val="71ED7A78"/>
    <w:rsid w:val="71F02569"/>
    <w:rsid w:val="720C6D8F"/>
    <w:rsid w:val="721279DF"/>
    <w:rsid w:val="72167281"/>
    <w:rsid w:val="721834E3"/>
    <w:rsid w:val="722C53BE"/>
    <w:rsid w:val="722F1331"/>
    <w:rsid w:val="7237192D"/>
    <w:rsid w:val="723F1FDF"/>
    <w:rsid w:val="724339B3"/>
    <w:rsid w:val="7257736F"/>
    <w:rsid w:val="72601242"/>
    <w:rsid w:val="7269117A"/>
    <w:rsid w:val="727A16F9"/>
    <w:rsid w:val="727D7636"/>
    <w:rsid w:val="72813700"/>
    <w:rsid w:val="72855A16"/>
    <w:rsid w:val="72921F2B"/>
    <w:rsid w:val="72AB41A3"/>
    <w:rsid w:val="72AE7B36"/>
    <w:rsid w:val="72C94574"/>
    <w:rsid w:val="72CB17E9"/>
    <w:rsid w:val="72DF6020"/>
    <w:rsid w:val="72E20818"/>
    <w:rsid w:val="72EB13B7"/>
    <w:rsid w:val="72FD42D3"/>
    <w:rsid w:val="73033076"/>
    <w:rsid w:val="73050544"/>
    <w:rsid w:val="730646C5"/>
    <w:rsid w:val="732140F3"/>
    <w:rsid w:val="732C628C"/>
    <w:rsid w:val="733115A6"/>
    <w:rsid w:val="73376479"/>
    <w:rsid w:val="73455167"/>
    <w:rsid w:val="734902DF"/>
    <w:rsid w:val="734B3290"/>
    <w:rsid w:val="735641A0"/>
    <w:rsid w:val="735812E0"/>
    <w:rsid w:val="73585003"/>
    <w:rsid w:val="735D0C69"/>
    <w:rsid w:val="736D520A"/>
    <w:rsid w:val="73770BD9"/>
    <w:rsid w:val="73793AE0"/>
    <w:rsid w:val="738004A6"/>
    <w:rsid w:val="73996607"/>
    <w:rsid w:val="73A34E7A"/>
    <w:rsid w:val="73B07B41"/>
    <w:rsid w:val="73BC678D"/>
    <w:rsid w:val="73C3118A"/>
    <w:rsid w:val="73CA760C"/>
    <w:rsid w:val="73CE5A0F"/>
    <w:rsid w:val="73D00F12"/>
    <w:rsid w:val="73D14C84"/>
    <w:rsid w:val="73D32BDA"/>
    <w:rsid w:val="73D64B50"/>
    <w:rsid w:val="73E22412"/>
    <w:rsid w:val="73E82D35"/>
    <w:rsid w:val="73F37213"/>
    <w:rsid w:val="73F57FB8"/>
    <w:rsid w:val="740C22DA"/>
    <w:rsid w:val="740E3197"/>
    <w:rsid w:val="74443079"/>
    <w:rsid w:val="74464405"/>
    <w:rsid w:val="745C5BE2"/>
    <w:rsid w:val="745E5EC1"/>
    <w:rsid w:val="74672502"/>
    <w:rsid w:val="74680BCF"/>
    <w:rsid w:val="746B1A43"/>
    <w:rsid w:val="746B2300"/>
    <w:rsid w:val="746D2F8F"/>
    <w:rsid w:val="747A256A"/>
    <w:rsid w:val="747C7E78"/>
    <w:rsid w:val="74944905"/>
    <w:rsid w:val="749B06C1"/>
    <w:rsid w:val="749E202E"/>
    <w:rsid w:val="749E216A"/>
    <w:rsid w:val="74BA23BC"/>
    <w:rsid w:val="74BA62A4"/>
    <w:rsid w:val="74BC4B26"/>
    <w:rsid w:val="74BE1A94"/>
    <w:rsid w:val="74C051C4"/>
    <w:rsid w:val="74CF1C9F"/>
    <w:rsid w:val="74D6127F"/>
    <w:rsid w:val="74D6302D"/>
    <w:rsid w:val="74DE2E1A"/>
    <w:rsid w:val="74EC59BE"/>
    <w:rsid w:val="74EF3B1E"/>
    <w:rsid w:val="74F914AD"/>
    <w:rsid w:val="74FD3934"/>
    <w:rsid w:val="750A36B1"/>
    <w:rsid w:val="750B1268"/>
    <w:rsid w:val="750D1D7B"/>
    <w:rsid w:val="75186C83"/>
    <w:rsid w:val="751876EA"/>
    <w:rsid w:val="751F2194"/>
    <w:rsid w:val="75212EC9"/>
    <w:rsid w:val="75234AB6"/>
    <w:rsid w:val="752F411D"/>
    <w:rsid w:val="753507D9"/>
    <w:rsid w:val="7556556B"/>
    <w:rsid w:val="755B209C"/>
    <w:rsid w:val="755D31CD"/>
    <w:rsid w:val="756B249E"/>
    <w:rsid w:val="75737ECF"/>
    <w:rsid w:val="757537C1"/>
    <w:rsid w:val="75853A5B"/>
    <w:rsid w:val="758E3908"/>
    <w:rsid w:val="75951521"/>
    <w:rsid w:val="759B1447"/>
    <w:rsid w:val="75A501BF"/>
    <w:rsid w:val="75A67813"/>
    <w:rsid w:val="75AC13CA"/>
    <w:rsid w:val="75B63FCA"/>
    <w:rsid w:val="75BE7D97"/>
    <w:rsid w:val="75C94804"/>
    <w:rsid w:val="75C97243"/>
    <w:rsid w:val="75D14111"/>
    <w:rsid w:val="75DE796D"/>
    <w:rsid w:val="75DF122F"/>
    <w:rsid w:val="75E178B4"/>
    <w:rsid w:val="75E872D1"/>
    <w:rsid w:val="75EB013E"/>
    <w:rsid w:val="75EB69E6"/>
    <w:rsid w:val="75F220E9"/>
    <w:rsid w:val="75FF7F28"/>
    <w:rsid w:val="7605663F"/>
    <w:rsid w:val="7611487C"/>
    <w:rsid w:val="7618684D"/>
    <w:rsid w:val="762B1BF4"/>
    <w:rsid w:val="762C1FB5"/>
    <w:rsid w:val="76354FAD"/>
    <w:rsid w:val="763B6DED"/>
    <w:rsid w:val="763C0048"/>
    <w:rsid w:val="763E69A1"/>
    <w:rsid w:val="764364A0"/>
    <w:rsid w:val="7645629D"/>
    <w:rsid w:val="764F0FAD"/>
    <w:rsid w:val="765370AE"/>
    <w:rsid w:val="76542BE0"/>
    <w:rsid w:val="766B2A54"/>
    <w:rsid w:val="76707161"/>
    <w:rsid w:val="767201E1"/>
    <w:rsid w:val="767C2E7B"/>
    <w:rsid w:val="76863C14"/>
    <w:rsid w:val="76986020"/>
    <w:rsid w:val="769E08F4"/>
    <w:rsid w:val="769E5294"/>
    <w:rsid w:val="76A103C9"/>
    <w:rsid w:val="76A154AD"/>
    <w:rsid w:val="76AD0C76"/>
    <w:rsid w:val="76AF17C5"/>
    <w:rsid w:val="76B73CEF"/>
    <w:rsid w:val="76C416E9"/>
    <w:rsid w:val="76C45833"/>
    <w:rsid w:val="76D31F1A"/>
    <w:rsid w:val="76D777F9"/>
    <w:rsid w:val="76DC07FF"/>
    <w:rsid w:val="76E72331"/>
    <w:rsid w:val="76F309A1"/>
    <w:rsid w:val="76FB522F"/>
    <w:rsid w:val="76FC5454"/>
    <w:rsid w:val="77125740"/>
    <w:rsid w:val="771413EB"/>
    <w:rsid w:val="77170059"/>
    <w:rsid w:val="772635CD"/>
    <w:rsid w:val="77343AF8"/>
    <w:rsid w:val="7738675F"/>
    <w:rsid w:val="7751032C"/>
    <w:rsid w:val="775F5908"/>
    <w:rsid w:val="77613082"/>
    <w:rsid w:val="7767680D"/>
    <w:rsid w:val="776A0209"/>
    <w:rsid w:val="776B3F5C"/>
    <w:rsid w:val="77710016"/>
    <w:rsid w:val="777820A8"/>
    <w:rsid w:val="77815E20"/>
    <w:rsid w:val="77850FA2"/>
    <w:rsid w:val="77862AE9"/>
    <w:rsid w:val="77987100"/>
    <w:rsid w:val="77A213D0"/>
    <w:rsid w:val="77A47C9D"/>
    <w:rsid w:val="77AB35E2"/>
    <w:rsid w:val="77AE385E"/>
    <w:rsid w:val="77B8202F"/>
    <w:rsid w:val="77BE2401"/>
    <w:rsid w:val="77BF11A6"/>
    <w:rsid w:val="77C7119B"/>
    <w:rsid w:val="77CE35CF"/>
    <w:rsid w:val="77D445A5"/>
    <w:rsid w:val="77D82244"/>
    <w:rsid w:val="77E77399"/>
    <w:rsid w:val="77EF74C1"/>
    <w:rsid w:val="77F27D15"/>
    <w:rsid w:val="77F746C0"/>
    <w:rsid w:val="78007B88"/>
    <w:rsid w:val="780D0263"/>
    <w:rsid w:val="78105AA2"/>
    <w:rsid w:val="781225CE"/>
    <w:rsid w:val="78183DE9"/>
    <w:rsid w:val="782F2D17"/>
    <w:rsid w:val="783C7635"/>
    <w:rsid w:val="78404CCA"/>
    <w:rsid w:val="78411105"/>
    <w:rsid w:val="784400DC"/>
    <w:rsid w:val="78447E24"/>
    <w:rsid w:val="78496FD5"/>
    <w:rsid w:val="784D312B"/>
    <w:rsid w:val="785F59B7"/>
    <w:rsid w:val="785F64AB"/>
    <w:rsid w:val="788504DF"/>
    <w:rsid w:val="78887735"/>
    <w:rsid w:val="789B7F4D"/>
    <w:rsid w:val="78A837C7"/>
    <w:rsid w:val="78AF3E7B"/>
    <w:rsid w:val="78B268BE"/>
    <w:rsid w:val="78C51542"/>
    <w:rsid w:val="78CB12BA"/>
    <w:rsid w:val="78E92AD9"/>
    <w:rsid w:val="78EC1071"/>
    <w:rsid w:val="78FA489E"/>
    <w:rsid w:val="78FB11BB"/>
    <w:rsid w:val="78FB737E"/>
    <w:rsid w:val="79083BF1"/>
    <w:rsid w:val="79084AE9"/>
    <w:rsid w:val="79117C35"/>
    <w:rsid w:val="791374B0"/>
    <w:rsid w:val="791D747D"/>
    <w:rsid w:val="7926455D"/>
    <w:rsid w:val="792A25EE"/>
    <w:rsid w:val="79321F63"/>
    <w:rsid w:val="79366790"/>
    <w:rsid w:val="79382F91"/>
    <w:rsid w:val="794A4D1D"/>
    <w:rsid w:val="794D1A6C"/>
    <w:rsid w:val="794F557A"/>
    <w:rsid w:val="795135CA"/>
    <w:rsid w:val="79544488"/>
    <w:rsid w:val="79587431"/>
    <w:rsid w:val="795F1383"/>
    <w:rsid w:val="796D40A2"/>
    <w:rsid w:val="79970BC2"/>
    <w:rsid w:val="79994B66"/>
    <w:rsid w:val="799A3FD9"/>
    <w:rsid w:val="799E0040"/>
    <w:rsid w:val="79A91CCC"/>
    <w:rsid w:val="79AB74BF"/>
    <w:rsid w:val="79BA6E04"/>
    <w:rsid w:val="79C10206"/>
    <w:rsid w:val="79C711D3"/>
    <w:rsid w:val="79CA2BB5"/>
    <w:rsid w:val="79D24516"/>
    <w:rsid w:val="79DB1F19"/>
    <w:rsid w:val="79DE5717"/>
    <w:rsid w:val="79DF6EB8"/>
    <w:rsid w:val="79E8081E"/>
    <w:rsid w:val="79E80E8B"/>
    <w:rsid w:val="79F26DCD"/>
    <w:rsid w:val="79FC7CC7"/>
    <w:rsid w:val="7A010995"/>
    <w:rsid w:val="7A0C0E55"/>
    <w:rsid w:val="7A0F4421"/>
    <w:rsid w:val="7A1E34AC"/>
    <w:rsid w:val="7A2075A3"/>
    <w:rsid w:val="7A2D2E1A"/>
    <w:rsid w:val="7A3D4E14"/>
    <w:rsid w:val="7A3E0325"/>
    <w:rsid w:val="7A4B078B"/>
    <w:rsid w:val="7A5D23EA"/>
    <w:rsid w:val="7A6E1CEA"/>
    <w:rsid w:val="7A710BCD"/>
    <w:rsid w:val="7A717CA2"/>
    <w:rsid w:val="7A732834"/>
    <w:rsid w:val="7A7430CC"/>
    <w:rsid w:val="7A8772A3"/>
    <w:rsid w:val="7A964F67"/>
    <w:rsid w:val="7A99059B"/>
    <w:rsid w:val="7AB00418"/>
    <w:rsid w:val="7AB15A90"/>
    <w:rsid w:val="7AB65962"/>
    <w:rsid w:val="7AB97353"/>
    <w:rsid w:val="7ABF63D4"/>
    <w:rsid w:val="7AC95024"/>
    <w:rsid w:val="7AD149C3"/>
    <w:rsid w:val="7AD73B71"/>
    <w:rsid w:val="7ADF4890"/>
    <w:rsid w:val="7B113011"/>
    <w:rsid w:val="7B1457F7"/>
    <w:rsid w:val="7B1B7C8E"/>
    <w:rsid w:val="7B1D4732"/>
    <w:rsid w:val="7B1E0EF4"/>
    <w:rsid w:val="7B2413EF"/>
    <w:rsid w:val="7B25423E"/>
    <w:rsid w:val="7B285865"/>
    <w:rsid w:val="7B340BB7"/>
    <w:rsid w:val="7B36684F"/>
    <w:rsid w:val="7B394B1A"/>
    <w:rsid w:val="7B3E60D5"/>
    <w:rsid w:val="7B46521F"/>
    <w:rsid w:val="7B6B106D"/>
    <w:rsid w:val="7B704D90"/>
    <w:rsid w:val="7B793F5B"/>
    <w:rsid w:val="7B80061C"/>
    <w:rsid w:val="7B870E5E"/>
    <w:rsid w:val="7B9C53B4"/>
    <w:rsid w:val="7B9C784A"/>
    <w:rsid w:val="7B9F58E0"/>
    <w:rsid w:val="7BAA70FD"/>
    <w:rsid w:val="7BB84122"/>
    <w:rsid w:val="7BC500E7"/>
    <w:rsid w:val="7BCB516D"/>
    <w:rsid w:val="7BDC6377"/>
    <w:rsid w:val="7BE04007"/>
    <w:rsid w:val="7BED0D9A"/>
    <w:rsid w:val="7BEF1B75"/>
    <w:rsid w:val="7C066589"/>
    <w:rsid w:val="7C0B48D6"/>
    <w:rsid w:val="7C12239B"/>
    <w:rsid w:val="7C244A5D"/>
    <w:rsid w:val="7C2B0FBE"/>
    <w:rsid w:val="7C301E32"/>
    <w:rsid w:val="7C45606D"/>
    <w:rsid w:val="7C4D40ED"/>
    <w:rsid w:val="7C773348"/>
    <w:rsid w:val="7C824E12"/>
    <w:rsid w:val="7C8264C5"/>
    <w:rsid w:val="7C826EF5"/>
    <w:rsid w:val="7C8C76D2"/>
    <w:rsid w:val="7C8D6209"/>
    <w:rsid w:val="7C8F5AEB"/>
    <w:rsid w:val="7CA672E2"/>
    <w:rsid w:val="7CC1648E"/>
    <w:rsid w:val="7CC3693C"/>
    <w:rsid w:val="7CCF6CE0"/>
    <w:rsid w:val="7CD32459"/>
    <w:rsid w:val="7CE06A37"/>
    <w:rsid w:val="7CE34BBF"/>
    <w:rsid w:val="7CE35D1B"/>
    <w:rsid w:val="7CE6507B"/>
    <w:rsid w:val="7CED38D8"/>
    <w:rsid w:val="7D0F6AAD"/>
    <w:rsid w:val="7D1F3AD1"/>
    <w:rsid w:val="7D21078B"/>
    <w:rsid w:val="7D231EC9"/>
    <w:rsid w:val="7D29017F"/>
    <w:rsid w:val="7D2E52B5"/>
    <w:rsid w:val="7D2F75A9"/>
    <w:rsid w:val="7D387999"/>
    <w:rsid w:val="7D4D54E7"/>
    <w:rsid w:val="7D517411"/>
    <w:rsid w:val="7D5231B3"/>
    <w:rsid w:val="7D626845"/>
    <w:rsid w:val="7D6836C0"/>
    <w:rsid w:val="7D697520"/>
    <w:rsid w:val="7D6A0A36"/>
    <w:rsid w:val="7D7509AD"/>
    <w:rsid w:val="7D7B33BC"/>
    <w:rsid w:val="7D805BC0"/>
    <w:rsid w:val="7D8133B3"/>
    <w:rsid w:val="7D845D1C"/>
    <w:rsid w:val="7D860874"/>
    <w:rsid w:val="7D863B8F"/>
    <w:rsid w:val="7D896705"/>
    <w:rsid w:val="7D8F37C5"/>
    <w:rsid w:val="7D9D74ED"/>
    <w:rsid w:val="7DA77C5D"/>
    <w:rsid w:val="7DB16763"/>
    <w:rsid w:val="7DB44A60"/>
    <w:rsid w:val="7DB568BB"/>
    <w:rsid w:val="7DBD0F2C"/>
    <w:rsid w:val="7DCA6E75"/>
    <w:rsid w:val="7DD97097"/>
    <w:rsid w:val="7DEF15B4"/>
    <w:rsid w:val="7DFA1BFA"/>
    <w:rsid w:val="7DFD753B"/>
    <w:rsid w:val="7DFF35F5"/>
    <w:rsid w:val="7E046E5D"/>
    <w:rsid w:val="7E0B0ABC"/>
    <w:rsid w:val="7E0B7B49"/>
    <w:rsid w:val="7E0D091C"/>
    <w:rsid w:val="7E0D3BB8"/>
    <w:rsid w:val="7E121BCD"/>
    <w:rsid w:val="7E1F289D"/>
    <w:rsid w:val="7E21356B"/>
    <w:rsid w:val="7E2149B9"/>
    <w:rsid w:val="7E24305B"/>
    <w:rsid w:val="7E3C05ED"/>
    <w:rsid w:val="7E3E45B7"/>
    <w:rsid w:val="7E460108"/>
    <w:rsid w:val="7E5007CB"/>
    <w:rsid w:val="7E51149B"/>
    <w:rsid w:val="7E590DAD"/>
    <w:rsid w:val="7E6D7849"/>
    <w:rsid w:val="7E762DB4"/>
    <w:rsid w:val="7E7936D5"/>
    <w:rsid w:val="7E82797F"/>
    <w:rsid w:val="7E85312E"/>
    <w:rsid w:val="7E891400"/>
    <w:rsid w:val="7E8B3D29"/>
    <w:rsid w:val="7E971749"/>
    <w:rsid w:val="7E97278D"/>
    <w:rsid w:val="7E9F23BF"/>
    <w:rsid w:val="7EA2394E"/>
    <w:rsid w:val="7EA278A3"/>
    <w:rsid w:val="7EAD12EA"/>
    <w:rsid w:val="7EAF5740"/>
    <w:rsid w:val="7EBC6AB6"/>
    <w:rsid w:val="7ECC5F4D"/>
    <w:rsid w:val="7ED41DA0"/>
    <w:rsid w:val="7ED44EF6"/>
    <w:rsid w:val="7ED765CC"/>
    <w:rsid w:val="7EE431E5"/>
    <w:rsid w:val="7EE76641"/>
    <w:rsid w:val="7EE8522A"/>
    <w:rsid w:val="7EF51146"/>
    <w:rsid w:val="7EF86D70"/>
    <w:rsid w:val="7EFE4FFA"/>
    <w:rsid w:val="7F1E3F4E"/>
    <w:rsid w:val="7F233F5F"/>
    <w:rsid w:val="7F2D6C68"/>
    <w:rsid w:val="7F3D3D53"/>
    <w:rsid w:val="7F5D2AC3"/>
    <w:rsid w:val="7F6531E4"/>
    <w:rsid w:val="7F6B4650"/>
    <w:rsid w:val="7F781577"/>
    <w:rsid w:val="7F812D36"/>
    <w:rsid w:val="7F813894"/>
    <w:rsid w:val="7F887623"/>
    <w:rsid w:val="7F897DF9"/>
    <w:rsid w:val="7F99102B"/>
    <w:rsid w:val="7F9A1968"/>
    <w:rsid w:val="7FA16445"/>
    <w:rsid w:val="7FA36B15"/>
    <w:rsid w:val="7FA501CC"/>
    <w:rsid w:val="7FB34697"/>
    <w:rsid w:val="7FBA6B22"/>
    <w:rsid w:val="7FBD3767"/>
    <w:rsid w:val="7FD33D97"/>
    <w:rsid w:val="7FD654C2"/>
    <w:rsid w:val="7FED1B70"/>
    <w:rsid w:val="7FF667A0"/>
    <w:rsid w:val="7FF66A27"/>
    <w:rsid w:val="7FF831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9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4"/>
    <w:next w:val="5"/>
    <w:link w:val="91"/>
    <w:qFormat/>
    <w:uiPriority w:val="0"/>
    <w:pPr>
      <w:keepNext/>
      <w:keepLines/>
      <w:tabs>
        <w:tab w:val="left" w:pos="432"/>
        <w:tab w:val="left" w:pos="576"/>
      </w:tabs>
      <w:spacing w:before="50" w:beforeLines="50" w:after="50" w:afterLines="50" w:line="360" w:lineRule="auto"/>
      <w:outlineLvl w:val="1"/>
    </w:pPr>
    <w:rPr>
      <w:rFonts w:ascii="Arial Unicode MS" w:hAnsi="Arial Unicode MS" w:eastAsia="Courier New" w:cs="Arial Unicode MS"/>
      <w:sz w:val="28"/>
    </w:rPr>
  </w:style>
  <w:style w:type="paragraph" w:styleId="6">
    <w:name w:val="heading 3"/>
    <w:basedOn w:val="1"/>
    <w:next w:val="1"/>
    <w:qFormat/>
    <w:uiPriority w:val="99"/>
    <w:pPr>
      <w:keepNext/>
      <w:keepLines/>
      <w:widowControl/>
      <w:outlineLvl w:val="2"/>
    </w:pPr>
    <w:rPr>
      <w:rFonts w:eastAsia="黑体"/>
      <w:kern w:val="0"/>
      <w:sz w:val="28"/>
      <w:szCs w:val="20"/>
    </w:rPr>
  </w:style>
  <w:style w:type="paragraph" w:styleId="9">
    <w:name w:val="heading 4"/>
    <w:basedOn w:val="10"/>
    <w:next w:val="12"/>
    <w:unhideWhenUsed/>
    <w:qFormat/>
    <w:uiPriority w:val="0"/>
    <w:pPr>
      <w:keepNext/>
      <w:keepLines/>
      <w:tabs>
        <w:tab w:val="center" w:pos="4153"/>
        <w:tab w:val="right" w:pos="8306"/>
      </w:tabs>
      <w:spacing w:before="280" w:beforeLines="0" w:beforeAutospacing="0" w:after="290" w:afterLines="0" w:afterAutospacing="0" w:line="372" w:lineRule="auto"/>
      <w:outlineLvl w:val="3"/>
    </w:pPr>
    <w:rPr>
      <w:rFonts w:ascii="Arial" w:hAnsi="Arial"/>
      <w:b/>
      <w:sz w:val="21"/>
    </w:rPr>
  </w:style>
  <w:style w:type="character" w:default="1" w:styleId="37">
    <w:name w:val="Default Paragraph Font"/>
    <w:semiHidden/>
    <w:unhideWhenUsed/>
    <w:qFormat/>
    <w:uiPriority w:val="1"/>
  </w:style>
  <w:style w:type="table" w:default="1" w:styleId="3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Subtitle"/>
    <w:basedOn w:val="1"/>
    <w:next w:val="1"/>
    <w:qFormat/>
    <w:uiPriority w:val="0"/>
    <w:pPr>
      <w:spacing w:before="240" w:after="60" w:line="312" w:lineRule="auto"/>
      <w:jc w:val="center"/>
      <w:outlineLvl w:val="1"/>
    </w:pPr>
    <w:rPr>
      <w:b/>
      <w:bCs/>
      <w:kern w:val="28"/>
      <w:sz w:val="32"/>
      <w:szCs w:val="32"/>
    </w:rPr>
  </w:style>
  <w:style w:type="paragraph" w:customStyle="1" w:styleId="5">
    <w:name w:val="条标题"/>
    <w:basedOn w:val="6"/>
    <w:next w:val="7"/>
    <w:qFormat/>
    <w:uiPriority w:val="0"/>
    <w:pPr>
      <w:keepNext w:val="0"/>
      <w:keepLines w:val="0"/>
      <w:numPr>
        <w:ilvl w:val="0"/>
        <w:numId w:val="1"/>
      </w:numPr>
      <w:spacing w:before="50" w:beforeLines="50" w:after="50" w:afterLines="50" w:line="600" w:lineRule="exact"/>
      <w:ind w:left="641" w:firstLine="0" w:firstLineChars="0"/>
      <w:jc w:val="left"/>
    </w:pPr>
    <w:rPr>
      <w:rFonts w:eastAsia="楷体_GB2312"/>
      <w:sz w:val="32"/>
    </w:rPr>
  </w:style>
  <w:style w:type="paragraph" w:customStyle="1" w:styleId="7">
    <w:name w:val="正文样式"/>
    <w:basedOn w:val="8"/>
    <w:next w:val="8"/>
    <w:link w:val="90"/>
    <w:qFormat/>
    <w:uiPriority w:val="0"/>
    <w:pPr>
      <w:autoSpaceDE w:val="0"/>
      <w:autoSpaceDN w:val="0"/>
      <w:spacing w:before="0" w:beforeAutospacing="0" w:after="0" w:afterAutospacing="0" w:line="600" w:lineRule="exact"/>
      <w:ind w:firstLine="200" w:firstLineChars="200"/>
    </w:pPr>
    <w:rPr>
      <w:rFonts w:eastAsia="仿宋_GB2312" w:asciiTheme="majorHAnsi" w:hAnsiTheme="majorHAnsi" w:cstheme="majorBidi"/>
      <w:sz w:val="32"/>
      <w:szCs w:val="32"/>
    </w:rPr>
  </w:style>
  <w:style w:type="paragraph" w:styleId="8">
    <w:name w:val="Normal (Web)"/>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10">
    <w:name w:val="表头"/>
    <w:basedOn w:val="11"/>
    <w:qFormat/>
    <w:uiPriority w:val="99"/>
    <w:pPr>
      <w:tabs>
        <w:tab w:val="center" w:pos="4153"/>
        <w:tab w:val="right" w:pos="8306"/>
      </w:tabs>
      <w:spacing w:line="240" w:lineRule="auto"/>
      <w:jc w:val="center"/>
    </w:pPr>
    <w:rPr>
      <w:rFonts w:eastAsia="黑体"/>
    </w:rPr>
  </w:style>
  <w:style w:type="paragraph" w:styleId="11">
    <w:name w:val="footer"/>
    <w:basedOn w:val="1"/>
    <w:qFormat/>
    <w:uiPriority w:val="0"/>
    <w:pPr>
      <w:tabs>
        <w:tab w:val="center" w:pos="4153"/>
        <w:tab w:val="right" w:pos="8306"/>
      </w:tabs>
      <w:snapToGrid w:val="0"/>
      <w:jc w:val="left"/>
    </w:pPr>
    <w:rPr>
      <w:sz w:val="18"/>
      <w:szCs w:val="18"/>
    </w:rPr>
  </w:style>
  <w:style w:type="paragraph" w:customStyle="1" w:styleId="12">
    <w:name w:val="表 头"/>
    <w:basedOn w:val="1"/>
    <w:qFormat/>
    <w:uiPriority w:val="0"/>
    <w:pPr>
      <w:adjustRightInd w:val="0"/>
      <w:snapToGrid w:val="0"/>
      <w:jc w:val="left"/>
    </w:pPr>
    <w:rPr>
      <w:rFonts w:eastAsia="黑体"/>
      <w:b/>
      <w:kern w:val="0"/>
      <w:szCs w:val="20"/>
    </w:rPr>
  </w:style>
  <w:style w:type="paragraph" w:styleId="13">
    <w:name w:val="Normal Indent"/>
    <w:basedOn w:val="1"/>
    <w:next w:val="1"/>
    <w:qFormat/>
    <w:uiPriority w:val="0"/>
    <w:pPr>
      <w:ind w:firstLine="420" w:firstLineChars="200"/>
    </w:pPr>
    <w:rPr>
      <w:szCs w:val="20"/>
    </w:rPr>
  </w:style>
  <w:style w:type="paragraph" w:styleId="14">
    <w:name w:val="caption"/>
    <w:basedOn w:val="1"/>
    <w:next w:val="15"/>
    <w:qFormat/>
    <w:uiPriority w:val="35"/>
    <w:pPr>
      <w:outlineLvl w:val="4"/>
    </w:pPr>
    <w:rPr>
      <w:rFonts w:ascii="宋体" w:hAnsi="宋体"/>
      <w:b/>
      <w:sz w:val="24"/>
    </w:rPr>
  </w:style>
  <w:style w:type="paragraph" w:customStyle="1" w:styleId="15">
    <w:name w:val="我的正文"/>
    <w:qFormat/>
    <w:uiPriority w:val="0"/>
    <w:pPr>
      <w:adjustRightInd w:val="0"/>
      <w:snapToGrid w:val="0"/>
      <w:spacing w:line="360" w:lineRule="auto"/>
      <w:ind w:firstLine="200" w:firstLineChars="200"/>
    </w:pPr>
    <w:rPr>
      <w:rFonts w:cs="宋体" w:asciiTheme="minorHAnsi" w:hAnsiTheme="minorHAnsi" w:eastAsiaTheme="minorEastAsia"/>
      <w:color w:val="000000"/>
      <w:kern w:val="2"/>
      <w:sz w:val="24"/>
      <w:szCs w:val="22"/>
      <w:lang w:val="en-US" w:eastAsia="zh-CN" w:bidi="ar-SA"/>
    </w:rPr>
  </w:style>
  <w:style w:type="paragraph" w:styleId="16">
    <w:name w:val="annotation text"/>
    <w:basedOn w:val="1"/>
    <w:link w:val="69"/>
    <w:semiHidden/>
    <w:qFormat/>
    <w:uiPriority w:val="0"/>
    <w:pPr>
      <w:jc w:val="left"/>
    </w:pPr>
    <w:rPr>
      <w:kern w:val="0"/>
      <w:sz w:val="24"/>
      <w:szCs w:val="20"/>
    </w:rPr>
  </w:style>
  <w:style w:type="paragraph" w:styleId="17">
    <w:name w:val="Salutation"/>
    <w:basedOn w:val="1"/>
    <w:next w:val="1"/>
    <w:qFormat/>
    <w:uiPriority w:val="0"/>
    <w:rPr>
      <w:rFonts w:ascii="宋体" w:hAnsi="华文宋体"/>
      <w:sz w:val="28"/>
    </w:rPr>
  </w:style>
  <w:style w:type="paragraph" w:styleId="18">
    <w:name w:val="Body Text"/>
    <w:basedOn w:val="1"/>
    <w:next w:val="19"/>
    <w:qFormat/>
    <w:uiPriority w:val="0"/>
    <w:pPr>
      <w:widowControl/>
      <w:snapToGrid w:val="0"/>
      <w:spacing w:before="60" w:after="160" w:line="259" w:lineRule="auto"/>
      <w:ind w:right="113"/>
    </w:pPr>
    <w:rPr>
      <w:kern w:val="0"/>
      <w:sz w:val="18"/>
      <w:szCs w:val="20"/>
    </w:rPr>
  </w:style>
  <w:style w:type="paragraph" w:customStyle="1" w:styleId="19">
    <w:name w:val="Default"/>
    <w:basedOn w:val="20"/>
    <w:next w:val="21"/>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20">
    <w:name w:val="纯文本1"/>
    <w:basedOn w:val="1"/>
    <w:qFormat/>
    <w:uiPriority w:val="99"/>
    <w:rPr>
      <w:rFonts w:ascii="宋体" w:hAnsi="Courier New" w:cs="宋体"/>
    </w:rPr>
  </w:style>
  <w:style w:type="paragraph" w:customStyle="1" w:styleId="21">
    <w:name w:val="表格文字"/>
    <w:basedOn w:val="13"/>
    <w:next w:val="1"/>
    <w:qFormat/>
    <w:uiPriority w:val="0"/>
    <w:pPr>
      <w:widowControl/>
      <w:spacing w:line="240" w:lineRule="auto"/>
      <w:jc w:val="center"/>
    </w:pPr>
    <w:rPr>
      <w:rFonts w:ascii="Times New Roman" w:hAnsi="Times New Roman" w:eastAsia="宋体"/>
      <w:sz w:val="21"/>
      <w:szCs w:val="21"/>
    </w:rPr>
  </w:style>
  <w:style w:type="paragraph" w:styleId="22">
    <w:name w:val="Body Text Indent"/>
    <w:basedOn w:val="1"/>
    <w:next w:val="1"/>
    <w:qFormat/>
    <w:uiPriority w:val="0"/>
    <w:pPr>
      <w:spacing w:after="120"/>
      <w:ind w:left="420" w:leftChars="200"/>
    </w:pPr>
    <w:rPr>
      <w:kern w:val="0"/>
      <w:sz w:val="24"/>
      <w:szCs w:val="20"/>
    </w:rPr>
  </w:style>
  <w:style w:type="paragraph" w:styleId="23">
    <w:name w:val="Block Text"/>
    <w:basedOn w:val="1"/>
    <w:unhideWhenUsed/>
    <w:qFormat/>
    <w:uiPriority w:val="99"/>
    <w:pPr>
      <w:spacing w:after="120"/>
      <w:ind w:left="1440" w:leftChars="700" w:right="700" w:rightChars="700"/>
    </w:pPr>
  </w:style>
  <w:style w:type="paragraph" w:styleId="24">
    <w:name w:val="Plain Text"/>
    <w:basedOn w:val="1"/>
    <w:qFormat/>
    <w:uiPriority w:val="99"/>
    <w:pPr>
      <w:spacing w:line="480" w:lineRule="exact"/>
    </w:pPr>
    <w:rPr>
      <w:rFonts w:ascii="宋体" w:hAnsi="Courier New" w:cs="Courier New"/>
      <w:sz w:val="28"/>
      <w:szCs w:val="21"/>
    </w:rPr>
  </w:style>
  <w:style w:type="paragraph" w:styleId="25">
    <w:name w:val="Body Text Indent 2"/>
    <w:basedOn w:val="1"/>
    <w:next w:val="1"/>
    <w:qFormat/>
    <w:uiPriority w:val="0"/>
    <w:pPr>
      <w:spacing w:after="120" w:line="480" w:lineRule="auto"/>
      <w:ind w:left="420" w:leftChars="200"/>
    </w:pPr>
  </w:style>
  <w:style w:type="paragraph" w:styleId="26">
    <w:name w:val="header"/>
    <w:basedOn w:val="1"/>
    <w:next w:val="27"/>
    <w:qFormat/>
    <w:uiPriority w:val="0"/>
    <w:pPr>
      <w:pBdr>
        <w:bottom w:val="single" w:color="auto" w:sz="6" w:space="1"/>
      </w:pBdr>
      <w:tabs>
        <w:tab w:val="center" w:pos="4153"/>
        <w:tab w:val="right" w:pos="8306"/>
      </w:tabs>
      <w:snapToGrid w:val="0"/>
      <w:jc w:val="center"/>
    </w:pPr>
    <w:rPr>
      <w:kern w:val="0"/>
      <w:sz w:val="18"/>
      <w:szCs w:val="20"/>
    </w:rPr>
  </w:style>
  <w:style w:type="paragraph" w:customStyle="1" w:styleId="27">
    <w:name w:val="样式5"/>
    <w:basedOn w:val="13"/>
    <w:qFormat/>
    <w:uiPriority w:val="0"/>
    <w:pPr>
      <w:spacing w:line="380" w:lineRule="exact"/>
      <w:ind w:firstLine="566" w:firstLineChars="202"/>
    </w:pPr>
    <w:rPr>
      <w:rFonts w:eastAsia="华文行楷"/>
    </w:rPr>
  </w:style>
  <w:style w:type="paragraph" w:styleId="28">
    <w:name w:val="List"/>
    <w:basedOn w:val="1"/>
    <w:qFormat/>
    <w:uiPriority w:val="0"/>
    <w:pPr>
      <w:ind w:left="200" w:hanging="200" w:hangingChars="200"/>
    </w:pPr>
  </w:style>
  <w:style w:type="paragraph" w:styleId="29">
    <w:name w:val="footnote text"/>
    <w:basedOn w:val="1"/>
    <w:unhideWhenUsed/>
    <w:qFormat/>
    <w:uiPriority w:val="0"/>
    <w:pPr>
      <w:spacing w:before="60" w:line="240" w:lineRule="auto"/>
      <w:ind w:firstLine="482" w:firstLineChars="0"/>
      <w:jc w:val="left"/>
    </w:pPr>
    <w:rPr>
      <w:rFonts w:ascii="Arial" w:hAnsi="Arial" w:eastAsia="仿宋_GB2312"/>
      <w:kern w:val="0"/>
      <w:sz w:val="18"/>
      <w:szCs w:val="18"/>
    </w:rPr>
  </w:style>
  <w:style w:type="paragraph" w:styleId="30">
    <w:name w:val="Body Text Indent 3"/>
    <w:basedOn w:val="1"/>
    <w:qFormat/>
    <w:uiPriority w:val="0"/>
    <w:pPr>
      <w:spacing w:after="120"/>
      <w:ind w:left="420" w:leftChars="200"/>
    </w:pPr>
    <w:rPr>
      <w:sz w:val="16"/>
      <w:szCs w:val="16"/>
    </w:rPr>
  </w:style>
  <w:style w:type="paragraph" w:styleId="31">
    <w:name w:val="Body Text 2"/>
    <w:basedOn w:val="1"/>
    <w:qFormat/>
    <w:uiPriority w:val="0"/>
    <w:pPr>
      <w:widowControl w:val="0"/>
      <w:jc w:val="center"/>
    </w:pPr>
    <w:rPr>
      <w:rFonts w:ascii="Times New Roman" w:hAnsi="Times New Roman" w:eastAsia="宋体" w:cs="Times New Roman"/>
      <w:kern w:val="2"/>
      <w:sz w:val="21"/>
      <w:lang w:val="en-US" w:eastAsia="zh-CN" w:bidi="ar-SA"/>
    </w:rPr>
  </w:style>
  <w:style w:type="paragraph" w:styleId="32">
    <w:name w:val="annotation subject"/>
    <w:basedOn w:val="16"/>
    <w:next w:val="16"/>
    <w:link w:val="70"/>
    <w:qFormat/>
    <w:uiPriority w:val="0"/>
    <w:rPr>
      <w:b/>
      <w:bCs/>
      <w:kern w:val="2"/>
      <w:sz w:val="21"/>
      <w:szCs w:val="24"/>
    </w:rPr>
  </w:style>
  <w:style w:type="paragraph" w:styleId="33">
    <w:name w:val="Body Text First Indent"/>
    <w:basedOn w:val="18"/>
    <w:qFormat/>
    <w:uiPriority w:val="0"/>
    <w:pPr>
      <w:ind w:firstLine="420" w:firstLineChars="100"/>
    </w:pPr>
  </w:style>
  <w:style w:type="paragraph" w:styleId="34">
    <w:name w:val="Body Text First Indent 2"/>
    <w:basedOn w:val="22"/>
    <w:next w:val="1"/>
    <w:qFormat/>
    <w:uiPriority w:val="0"/>
    <w:pPr>
      <w:ind w:left="200" w:firstLine="200" w:firstLineChars="200"/>
    </w:pPr>
    <w:rPr>
      <w:szCs w:val="24"/>
    </w:rPr>
  </w:style>
  <w:style w:type="table" w:styleId="36">
    <w:name w:val="Table Grid"/>
    <w:basedOn w:val="3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basedOn w:val="37"/>
    <w:qFormat/>
    <w:uiPriority w:val="0"/>
    <w:rPr>
      <w:b/>
    </w:rPr>
  </w:style>
  <w:style w:type="character" w:styleId="39">
    <w:name w:val="page number"/>
    <w:basedOn w:val="37"/>
    <w:qFormat/>
    <w:uiPriority w:val="0"/>
  </w:style>
  <w:style w:type="character" w:styleId="40">
    <w:name w:val="Emphasis"/>
    <w:qFormat/>
    <w:uiPriority w:val="20"/>
    <w:rPr>
      <w:i/>
      <w:iCs/>
    </w:rPr>
  </w:style>
  <w:style w:type="character" w:styleId="41">
    <w:name w:val="Hyperlink"/>
    <w:basedOn w:val="37"/>
    <w:qFormat/>
    <w:uiPriority w:val="99"/>
    <w:rPr>
      <w:color w:val="000000"/>
      <w:u w:val="none"/>
    </w:rPr>
  </w:style>
  <w:style w:type="character" w:styleId="42">
    <w:name w:val="annotation reference"/>
    <w:basedOn w:val="37"/>
    <w:qFormat/>
    <w:uiPriority w:val="0"/>
    <w:rPr>
      <w:sz w:val="21"/>
      <w:szCs w:val="21"/>
    </w:rPr>
  </w:style>
  <w:style w:type="paragraph" w:customStyle="1" w:styleId="43">
    <w:name w:val="默认段落"/>
    <w:basedOn w:val="1"/>
    <w:qFormat/>
    <w:uiPriority w:val="99"/>
  </w:style>
  <w:style w:type="paragraph" w:customStyle="1" w:styleId="44">
    <w:name w:val="正文 首行缩进:  2 字符"/>
    <w:basedOn w:val="1"/>
    <w:qFormat/>
    <w:uiPriority w:val="0"/>
    <w:pPr>
      <w:ind w:firstLine="579" w:firstLineChars="200"/>
    </w:pPr>
    <w:rPr>
      <w:rFonts w:ascii="Times New Roman" w:hAnsi="Times New Roman" w:cs="Times New Roman"/>
    </w:rPr>
  </w:style>
  <w:style w:type="paragraph" w:customStyle="1" w:styleId="45">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46">
    <w:name w:val="样式 正文首行缩进 + 首行缩进:  2 字符1"/>
    <w:basedOn w:val="33"/>
    <w:qFormat/>
    <w:uiPriority w:val="0"/>
    <w:pPr>
      <w:spacing w:after="0" w:afterLines="0" w:line="360" w:lineRule="auto"/>
      <w:ind w:firstLine="480" w:firstLineChars="200"/>
    </w:pPr>
    <w:rPr>
      <w:sz w:val="24"/>
    </w:rPr>
  </w:style>
  <w:style w:type="paragraph" w:customStyle="1" w:styleId="47">
    <w:name w:val="表格"/>
    <w:basedOn w:val="10"/>
    <w:next w:val="1"/>
    <w:qFormat/>
    <w:uiPriority w:val="0"/>
    <w:pPr>
      <w:adjustRightInd w:val="0"/>
      <w:snapToGrid w:val="0"/>
      <w:spacing w:beforeLines="10" w:afterLines="10" w:line="259" w:lineRule="auto"/>
      <w:jc w:val="center"/>
    </w:pPr>
    <w:rPr>
      <w:rFonts w:ascii="宋体"/>
      <w:kern w:val="0"/>
      <w:szCs w:val="20"/>
    </w:rPr>
  </w:style>
  <w:style w:type="paragraph" w:customStyle="1" w:styleId="48">
    <w:name w:val="0正文"/>
    <w:basedOn w:val="22"/>
    <w:qFormat/>
    <w:uiPriority w:val="0"/>
    <w:pPr>
      <w:spacing w:line="360" w:lineRule="auto"/>
      <w:ind w:firstLine="720" w:firstLineChars="200"/>
      <w:jc w:val="center"/>
    </w:pPr>
    <w:rPr>
      <w:szCs w:val="22"/>
    </w:rPr>
  </w:style>
  <w:style w:type="paragraph" w:customStyle="1" w:styleId="49">
    <w:name w:val="样式 标题 1一级标题 + 段前: 0.5 行 段后: 0.5 行"/>
    <w:basedOn w:val="2"/>
    <w:qFormat/>
    <w:uiPriority w:val="99"/>
    <w:pPr>
      <w:spacing w:line="320" w:lineRule="exact"/>
      <w:outlineLvl w:val="9"/>
    </w:pPr>
    <w:rPr>
      <w:spacing w:val="-6"/>
      <w:sz w:val="21"/>
      <w:szCs w:val="21"/>
    </w:rPr>
  </w:style>
  <w:style w:type="paragraph" w:customStyle="1" w:styleId="50">
    <w:name w:val="正文1"/>
    <w:basedOn w:val="1"/>
    <w:next w:val="1"/>
    <w:qFormat/>
    <w:uiPriority w:val="0"/>
    <w:pPr>
      <w:adjustRightInd w:val="0"/>
      <w:snapToGrid w:val="0"/>
      <w:spacing w:line="500" w:lineRule="atLeast"/>
      <w:ind w:firstLine="567"/>
    </w:pPr>
    <w:rPr>
      <w:sz w:val="28"/>
      <w:szCs w:val="20"/>
    </w:rPr>
  </w:style>
  <w:style w:type="paragraph" w:customStyle="1" w:styleId="51">
    <w:name w:val="样式1"/>
    <w:basedOn w:val="52"/>
    <w:qFormat/>
    <w:uiPriority w:val="0"/>
    <w:pPr>
      <w:spacing w:line="360" w:lineRule="auto"/>
      <w:ind w:firstLine="200" w:firstLineChars="200"/>
    </w:pPr>
  </w:style>
  <w:style w:type="paragraph" w:customStyle="1" w:styleId="52">
    <w:name w:val="a-文本缩2"/>
    <w:qFormat/>
    <w:uiPriority w:val="0"/>
    <w:pPr>
      <w:widowControl w:val="0"/>
      <w:adjustRightInd w:val="0"/>
      <w:snapToGrid w:val="0"/>
      <w:spacing w:line="360" w:lineRule="auto"/>
      <w:ind w:firstLine="480" w:firstLineChars="200"/>
      <w:jc w:val="both"/>
    </w:pPr>
    <w:rPr>
      <w:rFonts w:ascii="Times New Roman" w:hAnsi="Times New Roman" w:eastAsia="宋体" w:cs="Times New Roman"/>
      <w:kern w:val="2"/>
      <w:sz w:val="24"/>
      <w:szCs w:val="21"/>
      <w:lang w:val="en-US" w:eastAsia="zh-CN" w:bidi="ar-SA"/>
    </w:rPr>
  </w:style>
  <w:style w:type="paragraph" w:customStyle="1" w:styleId="53">
    <w:name w:val="0.5正文缩进1"/>
    <w:basedOn w:val="1"/>
    <w:qFormat/>
    <w:uiPriority w:val="0"/>
    <w:pPr>
      <w:adjustRightInd w:val="0"/>
      <w:snapToGrid w:val="0"/>
      <w:spacing w:line="360" w:lineRule="auto"/>
      <w:ind w:firstLine="200" w:firstLineChars="200"/>
      <w:jc w:val="left"/>
    </w:pPr>
    <w:rPr>
      <w:rFonts w:eastAsia="仿宋_GB2312"/>
      <w:kern w:val="0"/>
      <w:sz w:val="24"/>
      <w:lang w:val="zh-CN"/>
    </w:rPr>
  </w:style>
  <w:style w:type="paragraph" w:customStyle="1" w:styleId="54">
    <w:name w:val="表"/>
    <w:basedOn w:val="55"/>
    <w:qFormat/>
    <w:uiPriority w:val="0"/>
    <w:pPr>
      <w:snapToGrid w:val="0"/>
    </w:pPr>
    <w:rPr>
      <w:spacing w:val="2"/>
      <w:szCs w:val="20"/>
    </w:rPr>
  </w:style>
  <w:style w:type="paragraph" w:customStyle="1" w:styleId="55">
    <w:name w:val="无缩进正文"/>
    <w:basedOn w:val="1"/>
    <w:qFormat/>
    <w:uiPriority w:val="0"/>
    <w:pPr>
      <w:widowControl/>
      <w:jc w:val="center"/>
    </w:pPr>
    <w:rPr>
      <w:kern w:val="0"/>
    </w:rPr>
  </w:style>
  <w:style w:type="paragraph" w:customStyle="1" w:styleId="56">
    <w:name w:val="表内"/>
    <w:basedOn w:val="1"/>
    <w:qFormat/>
    <w:uiPriority w:val="0"/>
    <w:pPr>
      <w:widowControl/>
      <w:jc w:val="center"/>
    </w:pPr>
    <w:rPr>
      <w:bCs/>
      <w:kern w:val="24"/>
      <w:szCs w:val="21"/>
    </w:rPr>
  </w:style>
  <w:style w:type="table" w:customStyle="1" w:styleId="57">
    <w:name w:val="样式2"/>
    <w:basedOn w:val="35"/>
    <w:qFormat/>
    <w:uiPriority w:val="99"/>
    <w:pPr>
      <w:jc w:val="center"/>
    </w:pPr>
    <w:tblPr>
      <w:tblBorders>
        <w:top w:val="double" w:color="auto" w:sz="4" w:space="0"/>
        <w:bottom w:val="double" w:color="auto" w:sz="4" w:space="0"/>
        <w:insideH w:val="single" w:color="auto" w:sz="4" w:space="0"/>
        <w:insideV w:val="single" w:color="auto" w:sz="4" w:space="0"/>
      </w:tblBorders>
    </w:tblPr>
    <w:tcPr>
      <w:vAlign w:val="center"/>
    </w:tcPr>
  </w:style>
  <w:style w:type="paragraph" w:customStyle="1" w:styleId="58">
    <w:name w:val="表内文字"/>
    <w:basedOn w:val="18"/>
    <w:qFormat/>
    <w:uiPriority w:val="0"/>
    <w:pPr>
      <w:spacing w:after="0" w:line="240" w:lineRule="auto"/>
      <w:jc w:val="center"/>
    </w:pPr>
    <w:rPr>
      <w:rFonts w:ascii="Calibri" w:hAnsi="Calibri"/>
      <w:sz w:val="21"/>
      <w:szCs w:val="22"/>
    </w:rPr>
  </w:style>
  <w:style w:type="paragraph" w:customStyle="1" w:styleId="59">
    <w:name w:val="样式 标题 1 + 段后: 1 行"/>
    <w:basedOn w:val="2"/>
    <w:qFormat/>
    <w:uiPriority w:val="0"/>
    <w:pPr>
      <w:spacing w:after="240"/>
    </w:pPr>
    <w:rPr>
      <w:rFonts w:cs="宋体"/>
      <w:szCs w:val="20"/>
    </w:rPr>
  </w:style>
  <w:style w:type="paragraph" w:customStyle="1" w:styleId="60">
    <w:name w:val="英瑞正文"/>
    <w:basedOn w:val="1"/>
    <w:qFormat/>
    <w:uiPriority w:val="0"/>
    <w:pPr>
      <w:spacing w:before="50" w:beforeLines="50" w:line="360" w:lineRule="auto"/>
      <w:ind w:firstLine="420" w:firstLineChars="200"/>
    </w:pPr>
    <w:rPr>
      <w:sz w:val="24"/>
      <w:szCs w:val="32"/>
    </w:rPr>
  </w:style>
  <w:style w:type="paragraph" w:customStyle="1" w:styleId="61">
    <w:name w:val="表格 宋体 小四"/>
    <w:basedOn w:val="62"/>
    <w:qFormat/>
    <w:uiPriority w:val="0"/>
    <w:rPr>
      <w:rFonts w:ascii="宋体"/>
    </w:rPr>
  </w:style>
  <w:style w:type="paragraph" w:customStyle="1" w:styleId="62">
    <w:name w:val="样式 仿宋_GB2312 居中"/>
    <w:basedOn w:val="1"/>
    <w:qFormat/>
    <w:uiPriority w:val="0"/>
    <w:pPr>
      <w:jc w:val="center"/>
    </w:pPr>
    <w:rPr>
      <w:rFonts w:ascii="仿宋_GB2312"/>
    </w:rPr>
  </w:style>
  <w:style w:type="paragraph" w:customStyle="1" w:styleId="63">
    <w:name w:val="Other|1"/>
    <w:basedOn w:val="1"/>
    <w:qFormat/>
    <w:uiPriority w:val="0"/>
    <w:pPr>
      <w:spacing w:line="408" w:lineRule="auto"/>
      <w:ind w:firstLine="400"/>
    </w:pPr>
    <w:rPr>
      <w:rFonts w:ascii="宋体" w:hAnsi="宋体" w:cs="宋体"/>
      <w:lang w:val="zh-TW" w:eastAsia="zh-TW" w:bidi="zh-TW"/>
    </w:rPr>
  </w:style>
  <w:style w:type="paragraph" w:customStyle="1" w:styleId="64">
    <w:name w:val="L-报告正文"/>
    <w:basedOn w:val="1"/>
    <w:qFormat/>
    <w:uiPriority w:val="0"/>
    <w:pPr>
      <w:widowControl/>
      <w:adjustRightInd w:val="0"/>
      <w:spacing w:line="360" w:lineRule="auto"/>
      <w:ind w:firstLine="200" w:firstLineChars="200"/>
    </w:pPr>
    <w:rPr>
      <w:kern w:val="0"/>
      <w:sz w:val="24"/>
    </w:rPr>
  </w:style>
  <w:style w:type="paragraph" w:customStyle="1" w:styleId="65">
    <w:name w:val="表内字"/>
    <w:qFormat/>
    <w:uiPriority w:val="0"/>
    <w:pPr>
      <w:jc w:val="center"/>
    </w:pPr>
    <w:rPr>
      <w:rFonts w:ascii="Times New Roman" w:hAnsi="Times New Roman" w:eastAsia="仿宋_GB2312" w:cs="Times New Roman"/>
      <w:color w:val="000000"/>
      <w:sz w:val="21"/>
      <w:szCs w:val="22"/>
      <w:lang w:val="en-US" w:eastAsia="zh-CN" w:bidi="ar-SA"/>
    </w:rPr>
  </w:style>
  <w:style w:type="paragraph" w:customStyle="1" w:styleId="66">
    <w:name w:val="敏感表"/>
    <w:basedOn w:val="1"/>
    <w:next w:val="1"/>
    <w:qFormat/>
    <w:uiPriority w:val="0"/>
    <w:pPr>
      <w:topLinePunct/>
      <w:adjustRightInd w:val="0"/>
      <w:spacing w:line="240" w:lineRule="atLeast"/>
      <w:jc w:val="center"/>
      <w:textAlignment w:val="bottom"/>
    </w:pPr>
    <w:rPr>
      <w:kern w:val="0"/>
    </w:rPr>
  </w:style>
  <w:style w:type="paragraph" w:customStyle="1" w:styleId="67">
    <w:name w:val="表内 字体"/>
    <w:basedOn w:val="18"/>
    <w:next w:val="1"/>
    <w:qFormat/>
    <w:uiPriority w:val="0"/>
    <w:pPr>
      <w:spacing w:line="240" w:lineRule="auto"/>
      <w:jc w:val="center"/>
    </w:pPr>
    <w:rPr>
      <w:sz w:val="21"/>
      <w:szCs w:val="21"/>
    </w:rPr>
  </w:style>
  <w:style w:type="paragraph" w:customStyle="1" w:styleId="68">
    <w:name w:val="Table Paragraph"/>
    <w:basedOn w:val="1"/>
    <w:qFormat/>
    <w:uiPriority w:val="1"/>
    <w:rPr>
      <w:rFonts w:ascii="宋体" w:hAnsi="宋体" w:cs="宋体"/>
      <w:lang w:val="zh-CN" w:bidi="zh-CN"/>
    </w:rPr>
  </w:style>
  <w:style w:type="character" w:customStyle="1" w:styleId="69">
    <w:name w:val="批注文字 字符"/>
    <w:basedOn w:val="37"/>
    <w:link w:val="16"/>
    <w:semiHidden/>
    <w:qFormat/>
    <w:uiPriority w:val="0"/>
    <w:rPr>
      <w:sz w:val="24"/>
    </w:rPr>
  </w:style>
  <w:style w:type="character" w:customStyle="1" w:styleId="70">
    <w:name w:val="批注主题 字符"/>
    <w:basedOn w:val="69"/>
    <w:link w:val="32"/>
    <w:qFormat/>
    <w:uiPriority w:val="0"/>
    <w:rPr>
      <w:b/>
      <w:bCs/>
      <w:kern w:val="2"/>
      <w:sz w:val="21"/>
      <w:szCs w:val="24"/>
    </w:rPr>
  </w:style>
  <w:style w:type="paragraph" w:customStyle="1" w:styleId="71">
    <w:name w:val="_Style 4"/>
    <w:basedOn w:val="1"/>
    <w:next w:val="1"/>
    <w:qFormat/>
    <w:uiPriority w:val="0"/>
    <w:rPr>
      <w:rFonts w:ascii="Tahoma" w:hAnsi="Tahoma" w:eastAsia="仿宋_GB2312"/>
      <w:b/>
      <w:szCs w:val="20"/>
    </w:rPr>
  </w:style>
  <w:style w:type="paragraph" w:customStyle="1" w:styleId="72">
    <w:name w:val="图示"/>
    <w:basedOn w:val="1"/>
    <w:qFormat/>
    <w:uiPriority w:val="0"/>
    <w:pPr>
      <w:jc w:val="center"/>
    </w:pPr>
    <w:rPr>
      <w:b/>
    </w:rPr>
  </w:style>
  <w:style w:type="paragraph" w:customStyle="1" w:styleId="73">
    <w:name w:val="环评正文"/>
    <w:basedOn w:val="13"/>
    <w:qFormat/>
    <w:uiPriority w:val="0"/>
    <w:pPr>
      <w:wordWrap w:val="0"/>
      <w:spacing w:line="360" w:lineRule="auto"/>
      <w:ind w:left="44" w:leftChars="20" w:right="33" w:rightChars="15" w:firstLine="480"/>
    </w:pPr>
    <w:rPr>
      <w:sz w:val="24"/>
    </w:rPr>
  </w:style>
  <w:style w:type="character" w:customStyle="1" w:styleId="74">
    <w:name w:val="font01"/>
    <w:basedOn w:val="37"/>
    <w:qFormat/>
    <w:uiPriority w:val="0"/>
    <w:rPr>
      <w:rFonts w:hint="eastAsia" w:ascii="宋体" w:hAnsi="宋体" w:eastAsia="宋体" w:cs="宋体"/>
      <w:color w:val="000000"/>
      <w:sz w:val="18"/>
      <w:szCs w:val="18"/>
      <w:u w:val="none"/>
    </w:rPr>
  </w:style>
  <w:style w:type="character" w:customStyle="1" w:styleId="75">
    <w:name w:val="font21"/>
    <w:basedOn w:val="37"/>
    <w:qFormat/>
    <w:uiPriority w:val="0"/>
    <w:rPr>
      <w:rFonts w:hint="default" w:ascii="Times New Roman" w:hAnsi="Times New Roman" w:cs="Times New Roman"/>
      <w:color w:val="000000"/>
      <w:sz w:val="18"/>
      <w:szCs w:val="18"/>
      <w:u w:val="none"/>
    </w:rPr>
  </w:style>
  <w:style w:type="table" w:customStyle="1" w:styleId="76">
    <w:name w:val="Table Normal"/>
    <w:semiHidden/>
    <w:unhideWhenUsed/>
    <w:qFormat/>
    <w:uiPriority w:val="0"/>
    <w:tblPr>
      <w:tblCellMar>
        <w:top w:w="0" w:type="dxa"/>
        <w:left w:w="0" w:type="dxa"/>
        <w:bottom w:w="0" w:type="dxa"/>
        <w:right w:w="0" w:type="dxa"/>
      </w:tblCellMar>
    </w:tblPr>
  </w:style>
  <w:style w:type="paragraph" w:customStyle="1" w:styleId="77">
    <w:name w:val="4"/>
    <w:basedOn w:val="1"/>
    <w:qFormat/>
    <w:uiPriority w:val="0"/>
    <w:rPr>
      <w:sz w:val="24"/>
      <w:szCs w:val="24"/>
    </w:rPr>
  </w:style>
  <w:style w:type="paragraph" w:customStyle="1" w:styleId="78">
    <w:name w:val="班正文"/>
    <w:basedOn w:val="1"/>
    <w:qFormat/>
    <w:uiPriority w:val="0"/>
    <w:pPr>
      <w:spacing w:line="360" w:lineRule="auto"/>
      <w:ind w:firstLine="1440" w:firstLineChars="200"/>
    </w:pPr>
    <w:rPr>
      <w:rFonts w:ascii="Times New Roman" w:hAnsi="Times New Roman"/>
      <w:sz w:val="24"/>
    </w:rPr>
  </w:style>
  <w:style w:type="paragraph" w:customStyle="1" w:styleId="79">
    <w:name w:val="表名"/>
    <w:basedOn w:val="1"/>
    <w:next w:val="80"/>
    <w:qFormat/>
    <w:uiPriority w:val="0"/>
    <w:pPr>
      <w:widowControl/>
      <w:adjustRightInd w:val="0"/>
      <w:snapToGrid w:val="0"/>
      <w:jc w:val="center"/>
    </w:pPr>
    <w:rPr>
      <w:rFonts w:eastAsia="黑体"/>
      <w:kern w:val="0"/>
      <w:szCs w:val="22"/>
    </w:rPr>
  </w:style>
  <w:style w:type="paragraph" w:customStyle="1" w:styleId="80">
    <w:name w:val="表格1"/>
    <w:basedOn w:val="79"/>
    <w:next w:val="1"/>
    <w:qFormat/>
    <w:uiPriority w:val="0"/>
    <w:pPr>
      <w:snapToGrid w:val="0"/>
    </w:pPr>
    <w:rPr>
      <w:b/>
      <w:color w:val="000000"/>
      <w:szCs w:val="32"/>
    </w:rPr>
  </w:style>
  <w:style w:type="paragraph" w:customStyle="1" w:styleId="81">
    <w:name w:val="表格（窄）"/>
    <w:basedOn w:val="1"/>
    <w:qFormat/>
    <w:uiPriority w:val="0"/>
    <w:pPr>
      <w:jc w:val="center"/>
    </w:pPr>
    <w:rPr>
      <w:kern w:val="0"/>
    </w:rPr>
  </w:style>
  <w:style w:type="paragraph" w:customStyle="1" w:styleId="82">
    <w:name w:val="1正文"/>
    <w:basedOn w:val="1"/>
    <w:qFormat/>
    <w:uiPriority w:val="0"/>
    <w:pPr>
      <w:spacing w:after="50" w:afterLines="50" w:line="360" w:lineRule="auto"/>
      <w:ind w:firstLine="200" w:firstLineChars="200"/>
    </w:pPr>
    <w:rPr>
      <w:kern w:val="0"/>
    </w:rPr>
  </w:style>
  <w:style w:type="paragraph" w:customStyle="1" w:styleId="83">
    <w:name w:val="xl27"/>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新宋体-18030" w:hAnsi="新宋体-18030" w:eastAsia="新宋体-18030" w:cs="新宋体-18030"/>
      <w:kern w:val="0"/>
    </w:rPr>
  </w:style>
  <w:style w:type="paragraph" w:customStyle="1" w:styleId="84">
    <w:name w:val="样式 样式 样式 样式 样式 小四 黑色 行距: 1.5 倍行距 + 宋体 + 首行缩进:  1.5 字符 + 首行缩进:  2..."/>
    <w:basedOn w:val="1"/>
    <w:qFormat/>
    <w:uiPriority w:val="0"/>
    <w:pPr>
      <w:spacing w:line="500" w:lineRule="exact"/>
      <w:ind w:firstLine="480" w:firstLineChars="200"/>
    </w:pPr>
    <w:rPr>
      <w:rFonts w:ascii="宋体" w:hAnsi="宋体" w:cs="宋体"/>
      <w:color w:val="000000"/>
      <w:kern w:val="0"/>
      <w:szCs w:val="20"/>
    </w:rPr>
  </w:style>
  <w:style w:type="paragraph" w:customStyle="1" w:styleId="85">
    <w:name w:val="表格标题"/>
    <w:basedOn w:val="1"/>
    <w:next w:val="1"/>
    <w:qFormat/>
    <w:uiPriority w:val="0"/>
    <w:pPr>
      <w:spacing w:line="360" w:lineRule="auto"/>
      <w:jc w:val="center"/>
    </w:pPr>
    <w:rPr>
      <w:rFonts w:ascii="Times New Roman" w:hAnsi="Times New Roman" w:eastAsia="宋体"/>
      <w:b/>
      <w:bCs/>
      <w:sz w:val="21"/>
      <w:szCs w:val="21"/>
    </w:rPr>
  </w:style>
  <w:style w:type="character" w:customStyle="1" w:styleId="86">
    <w:name w:val="font11"/>
    <w:basedOn w:val="37"/>
    <w:qFormat/>
    <w:uiPriority w:val="0"/>
    <w:rPr>
      <w:rFonts w:hint="eastAsia" w:ascii="宋体" w:hAnsi="宋体" w:eastAsia="宋体" w:cs="宋体"/>
      <w:color w:val="000000"/>
      <w:sz w:val="24"/>
      <w:szCs w:val="24"/>
      <w:u w:val="none"/>
    </w:rPr>
  </w:style>
  <w:style w:type="paragraph" w:customStyle="1" w:styleId="87">
    <w:name w:val="1博创正文"/>
    <w:basedOn w:val="1"/>
    <w:qFormat/>
    <w:uiPriority w:val="0"/>
    <w:pPr>
      <w:spacing w:line="360" w:lineRule="auto"/>
      <w:ind w:firstLine="420" w:firstLineChars="200"/>
    </w:pPr>
    <w:rPr>
      <w:rFonts w:ascii="Garamond" w:hAnsi="Garamond" w:eastAsia="等线"/>
      <w:kern w:val="0"/>
      <w:sz w:val="20"/>
      <w:szCs w:val="20"/>
    </w:rPr>
  </w:style>
  <w:style w:type="paragraph" w:customStyle="1" w:styleId="88">
    <w:name w:val="3博创正文"/>
    <w:basedOn w:val="1"/>
    <w:unhideWhenUsed/>
    <w:qFormat/>
    <w:uiPriority w:val="0"/>
  </w:style>
  <w:style w:type="paragraph" w:customStyle="1" w:styleId="89">
    <w:name w:val="法库正文"/>
    <w:basedOn w:val="8"/>
    <w:qFormat/>
    <w:uiPriority w:val="0"/>
    <w:pPr>
      <w:widowControl w:val="0"/>
      <w:spacing w:before="0" w:beforeAutospacing="0" w:after="0" w:afterAutospacing="0" w:line="600" w:lineRule="atLeast"/>
      <w:ind w:firstLine="640" w:firstLineChars="200"/>
      <w:jc w:val="both"/>
    </w:pPr>
    <w:rPr>
      <w:rFonts w:ascii="仿宋_GB2312" w:hAnsi="仿宋_GB2312" w:eastAsia="仿宋_GB2312" w:cs="仿宋_GB2312"/>
      <w:color w:val="222222"/>
      <w:sz w:val="32"/>
      <w:szCs w:val="32"/>
      <w:shd w:val="clear" w:color="auto" w:fill="FFFFFF"/>
    </w:rPr>
  </w:style>
  <w:style w:type="character" w:customStyle="1" w:styleId="90">
    <w:name w:val="正文样式 字符"/>
    <w:basedOn w:val="91"/>
    <w:link w:val="7"/>
    <w:qFormat/>
    <w:uiPriority w:val="0"/>
    <w:rPr>
      <w:rFonts w:eastAsia="仿宋_GB2312" w:asciiTheme="majorHAnsi" w:hAnsiTheme="majorHAnsi" w:cstheme="majorBidi"/>
      <w:sz w:val="32"/>
      <w:szCs w:val="32"/>
    </w:rPr>
  </w:style>
  <w:style w:type="character" w:customStyle="1" w:styleId="91">
    <w:name w:val="标题 2 字符"/>
    <w:basedOn w:val="37"/>
    <w:link w:val="3"/>
    <w:qFormat/>
    <w:uiPriority w:val="9"/>
    <w:rPr>
      <w:rFonts w:ascii="Arial Unicode MS" w:hAnsi="Arial Unicode MS" w:eastAsia="Courier New" w:cs="Arial Unicode MS"/>
      <w:b/>
      <w:sz w:val="28"/>
    </w:rPr>
  </w:style>
  <w:style w:type="paragraph" w:customStyle="1" w:styleId="92">
    <w:name w:val="style4"/>
    <w:basedOn w:val="1"/>
    <w:next w:val="93"/>
    <w:qFormat/>
    <w:uiPriority w:val="0"/>
    <w:pPr>
      <w:widowControl/>
      <w:spacing w:before="280" w:after="280"/>
    </w:pPr>
    <w:rPr>
      <w:rFonts w:ascii="宋体"/>
      <w:sz w:val="18"/>
    </w:rPr>
  </w:style>
  <w:style w:type="paragraph" w:customStyle="1" w:styleId="93">
    <w:name w:val="2"/>
    <w:basedOn w:val="1"/>
    <w:next w:val="1"/>
    <w:qFormat/>
    <w:uiPriority w:val="0"/>
    <w:pPr>
      <w:snapToGrid w:val="0"/>
      <w:spacing w:line="360" w:lineRule="auto"/>
      <w:ind w:firstLine="529" w:firstLineChars="200"/>
    </w:pPr>
    <w:rPr>
      <w:kern w:val="2"/>
      <w:sz w:val="21"/>
    </w:rPr>
  </w:style>
  <w:style w:type="paragraph" w:customStyle="1" w:styleId="94">
    <w:name w:val="5 正文 博创"/>
    <w:basedOn w:val="1"/>
    <w:unhideWhenUsed/>
    <w:qFormat/>
    <w:uiPriority w:val="0"/>
    <w:pPr>
      <w:autoSpaceDE w:val="0"/>
      <w:autoSpaceDN w:val="0"/>
      <w:spacing w:line="360" w:lineRule="auto"/>
      <w:ind w:firstLine="480" w:firstLineChars="200"/>
    </w:pPr>
    <w:rPr>
      <w:kern w:val="0"/>
      <w:sz w:val="20"/>
      <w:szCs w:val="20"/>
    </w:rPr>
  </w:style>
  <w:style w:type="paragraph" w:customStyle="1" w:styleId="95">
    <w:name w:val="【表头】"/>
    <w:basedOn w:val="1"/>
    <w:qFormat/>
    <w:uiPriority w:val="0"/>
    <w:pPr>
      <w:spacing w:before="30" w:beforeLines="30" w:line="240" w:lineRule="auto"/>
      <w:ind w:firstLine="0" w:firstLineChars="0"/>
      <w:jc w:val="center"/>
    </w:pPr>
    <w:rPr>
      <w:rFonts w:ascii="Times New Roman" w:hAnsi="Times New Roman" w:eastAsia="宋体" w:cs="Times New Roman"/>
      <w:b/>
      <w:sz w:val="21"/>
    </w:rPr>
  </w:style>
  <w:style w:type="paragraph" w:customStyle="1" w:styleId="96">
    <w:name w:val="表格2"/>
    <w:basedOn w:val="1"/>
    <w:next w:val="31"/>
    <w:qFormat/>
    <w:uiPriority w:val="0"/>
    <w:pPr>
      <w:widowControl/>
      <w:topLinePunct/>
      <w:autoSpaceDE w:val="0"/>
      <w:autoSpaceDN w:val="0"/>
      <w:adjustRightInd w:val="0"/>
      <w:jc w:val="center"/>
      <w:textAlignment w:val="baseline"/>
    </w:pPr>
    <w:rPr>
      <w:rFonts w:ascii="Times New Roman" w:hAnsi="Times New Roman" w:eastAsia="宋体" w:cs="Times New Roman"/>
      <w:kern w:val="24"/>
      <w:position w:val="-27"/>
      <w:szCs w:val="21"/>
    </w:rPr>
  </w:style>
  <w:style w:type="paragraph" w:customStyle="1" w:styleId="97">
    <w:name w:val="000正文abing(新)"/>
    <w:qFormat/>
    <w:uiPriority w:val="0"/>
    <w:pPr>
      <w:widowControl/>
      <w:spacing w:line="440" w:lineRule="exact"/>
      <w:ind w:firstLine="480" w:firstLineChars="200"/>
      <w:jc w:val="left"/>
    </w:pPr>
    <w:rPr>
      <w:rFonts w:ascii="Times New Roman" w:hAnsi="Times New Roman" w:eastAsia="宋体" w:cs="Times New Roman"/>
      <w:kern w:val="2"/>
      <w:sz w:val="24"/>
      <w:szCs w:val="24"/>
      <w:lang w:val="en-US" w:eastAsia="zh-CN" w:bidi="ar-SA"/>
    </w:rPr>
  </w:style>
  <w:style w:type="character" w:customStyle="1" w:styleId="98">
    <w:name w:val="font31"/>
    <w:basedOn w:val="37"/>
    <w:qFormat/>
    <w:uiPriority w:val="0"/>
    <w:rPr>
      <w:rFonts w:hint="default" w:ascii="Times New Roman" w:hAnsi="Times New Roman" w:cs="Times New Roman"/>
      <w:color w:val="000000"/>
      <w:sz w:val="21"/>
      <w:szCs w:val="21"/>
      <w:u w:val="none"/>
      <w:vertAlign w:val="superscript"/>
    </w:rPr>
  </w:style>
  <w:style w:type="paragraph" w:customStyle="1" w:styleId="99">
    <w:name w:val="样式 样式 样式 样式 小四 左 首行缩进:  2 字符 + 首行缩进:  2 字符 Char + 右  0 字符1 + 首行缩...3"/>
    <w:basedOn w:val="1"/>
    <w:qFormat/>
    <w:uiPriority w:val="99"/>
    <w:pPr>
      <w:adjustRightInd w:val="0"/>
      <w:ind w:firstLine="480" w:firstLineChars="200"/>
      <w:jc w:val="left"/>
      <w:textAlignment w:val="baseline"/>
    </w:pPr>
    <w:rPr>
      <w:rFonts w:cs="宋体"/>
      <w:szCs w:val="20"/>
    </w:rPr>
  </w:style>
  <w:style w:type="paragraph" w:customStyle="1" w:styleId="100">
    <w:name w:val="样式 标题 2"/>
    <w:basedOn w:val="3"/>
    <w:qFormat/>
    <w:uiPriority w:val="0"/>
    <w:pPr>
      <w:spacing w:before="50" w:after="50"/>
    </w:pPr>
    <w:rPr>
      <w:szCs w:val="28"/>
    </w:rPr>
  </w:style>
  <w:style w:type="paragraph" w:customStyle="1" w:styleId="101">
    <w:name w:val="样式 小四 行距: 1.5 倍行距"/>
    <w:basedOn w:val="1"/>
    <w:qFormat/>
    <w:uiPriority w:val="0"/>
    <w:pPr>
      <w:ind w:firstLine="480" w:firstLineChars="200"/>
    </w:pPr>
    <w:rPr>
      <w:rFonts w:cs="宋体"/>
    </w:rPr>
  </w:style>
  <w:style w:type="paragraph" w:customStyle="1" w:styleId="102">
    <w:name w:val="HP正文"/>
    <w:basedOn w:val="1"/>
    <w:qFormat/>
    <w:uiPriority w:val="0"/>
  </w:style>
  <w:style w:type="paragraph" w:customStyle="1" w:styleId="103">
    <w:name w:val="图表头"/>
    <w:basedOn w:val="1"/>
    <w:qFormat/>
    <w:uiPriority w:val="0"/>
    <w:pPr>
      <w:adjustRightInd/>
      <w:spacing w:line="480" w:lineRule="exact"/>
      <w:ind w:firstLine="0" w:firstLineChars="0"/>
      <w:jc w:val="center"/>
      <w:textAlignment w:val="baseline"/>
    </w:pPr>
    <w:rPr>
      <w:b/>
      <w:bCs/>
      <w:szCs w:val="24"/>
    </w:rPr>
  </w:style>
  <w:style w:type="paragraph" w:customStyle="1" w:styleId="104">
    <w:name w:val="正文001"/>
    <w:basedOn w:val="1"/>
    <w:qFormat/>
    <w:uiPriority w:val="0"/>
    <w:pPr>
      <w:spacing w:line="480" w:lineRule="exact"/>
      <w:ind w:firstLine="482"/>
    </w:pPr>
    <w:rPr>
      <w:rFonts w:ascii="宋体" w:hAnsi="宋体" w:eastAsia="Times New Roman"/>
      <w:sz w:val="24"/>
    </w:rPr>
  </w:style>
  <w:style w:type="paragraph" w:customStyle="1" w:styleId="105">
    <w:name w:val="样式 首行缩进"/>
    <w:basedOn w:val="1"/>
    <w:qFormat/>
    <w:uiPriority w:val="0"/>
    <w:pPr>
      <w:spacing w:before="60" w:after="60"/>
      <w:ind w:firstLine="480"/>
    </w:pPr>
    <w:rPr>
      <w:rFonts w:cs="宋体"/>
    </w:rPr>
  </w:style>
  <w:style w:type="paragraph" w:customStyle="1" w:styleId="106">
    <w:name w:val="B正文"/>
    <w:basedOn w:val="1"/>
    <w:qFormat/>
    <w:uiPriority w:val="0"/>
    <w:pPr>
      <w:spacing w:line="360" w:lineRule="auto"/>
      <w:ind w:firstLine="200" w:firstLineChars="200"/>
    </w:pPr>
    <w:rPr>
      <w:rFonts w:ascii="Times New Roman" w:hAnsi="Times New Roman" w:eastAsia="宋体" w:cs="Times New Roman"/>
      <w:kern w:val="0"/>
      <w:sz w:val="24"/>
      <w:szCs w:val="24"/>
    </w:rPr>
  </w:style>
  <w:style w:type="paragraph" w:customStyle="1" w:styleId="107">
    <w:name w:val="B表头"/>
    <w:basedOn w:val="1"/>
    <w:qFormat/>
    <w:uiPriority w:val="0"/>
    <w:pPr>
      <w:spacing w:beforeLines="50"/>
      <w:jc w:val="center"/>
    </w:pPr>
    <w:rPr>
      <w:rFonts w:ascii="Times New Roman" w:hAnsi="Times New Roman" w:eastAsia="黑体" w:cs="Times New Roman"/>
      <w:kern w:val="0"/>
      <w:sz w:val="24"/>
      <w:szCs w:val="24"/>
    </w:rPr>
  </w:style>
  <w:style w:type="paragraph" w:customStyle="1" w:styleId="108">
    <w:name w:val="B表内"/>
    <w:basedOn w:val="1"/>
    <w:qFormat/>
    <w:uiPriority w:val="0"/>
    <w:pPr>
      <w:spacing w:line="0" w:lineRule="atLeast"/>
      <w:jc w:val="center"/>
    </w:pPr>
    <w:rPr>
      <w:rFonts w:ascii="Times New Roman" w:hAnsi="Times New Roman" w:eastAsia="宋体" w:cs="宋体"/>
      <w:szCs w:val="20"/>
    </w:rPr>
  </w:style>
  <w:style w:type="table" w:customStyle="1" w:styleId="109">
    <w:name w:val="表格标准格式"/>
    <w:basedOn w:val="35"/>
    <w:qFormat/>
    <w:uiPriority w:val="99"/>
    <w:pPr>
      <w:jc w:val="center"/>
    </w:pPr>
    <w:tblPr>
      <w:tblBorders>
        <w:top w:val="single" w:color="auto" w:sz="12" w:space="0"/>
        <w:bottom w:val="single" w:color="auto" w:sz="12" w:space="0"/>
        <w:insideH w:val="single" w:color="auto" w:sz="6" w:space="0"/>
        <w:insideV w:val="single" w:color="auto" w:sz="6" w:space="0"/>
      </w:tblBorders>
    </w:tblPr>
    <w:tcPr>
      <w:vAlign w:val="center"/>
    </w:tcPr>
  </w:style>
  <w:style w:type="paragraph" w:customStyle="1" w:styleId="110">
    <w:name w:val="Table Text"/>
    <w:basedOn w:val="1"/>
    <w:semiHidden/>
    <w:qFormat/>
    <w:uiPriority w:val="0"/>
    <w:rPr>
      <w:rFonts w:ascii="宋体" w:hAnsi="宋体" w:cs="宋体"/>
      <w:sz w:val="24"/>
      <w:lang w:eastAsia="en-US"/>
    </w:rPr>
  </w:style>
  <w:style w:type="paragraph" w:customStyle="1" w:styleId="111">
    <w:name w:val="表头文字"/>
    <w:basedOn w:val="1"/>
    <w:next w:val="24"/>
    <w:qFormat/>
    <w:uiPriority w:val="0"/>
    <w:pPr>
      <w:widowControl/>
      <w:spacing w:before="100" w:beforeLines="100"/>
      <w:jc w:val="left"/>
    </w:pPr>
    <w:rPr>
      <w:b/>
      <w:kern w:val="0"/>
      <w:sz w:val="21"/>
      <w:szCs w:val="24"/>
    </w:rPr>
  </w:style>
  <w:style w:type="paragraph" w:customStyle="1" w:styleId="112">
    <w:name w:val="真正文"/>
    <w:basedOn w:val="1"/>
    <w:qFormat/>
    <w:uiPriority w:val="0"/>
    <w:pPr>
      <w:adjustRightInd w:val="0"/>
      <w:snapToGrid w:val="0"/>
      <w:spacing w:line="500" w:lineRule="exact"/>
      <w:ind w:firstLine="720" w:firstLineChars="200"/>
      <w:jc w:val="both"/>
    </w:pPr>
    <w:rPr>
      <w:rFonts w:hint="default" w:ascii="Times New Roman" w:hAnsi="Times New Roman" w:cs="宋体"/>
      <w:sz w:val="24"/>
      <w:szCs w:val="21"/>
    </w:rPr>
  </w:style>
  <w:style w:type="paragraph" w:customStyle="1" w:styleId="113">
    <w:name w:val="Body text|2"/>
    <w:basedOn w:val="1"/>
    <w:qFormat/>
    <w:uiPriority w:val="0"/>
    <w:pPr>
      <w:shd w:val="clear" w:color="auto" w:fill="FFFFFF"/>
      <w:spacing w:before="560" w:line="576" w:lineRule="exact"/>
      <w:ind w:hanging="320"/>
    </w:pPr>
    <w:rPr>
      <w:rFonts w:ascii="PMingLiU" w:hAnsi="PMingLiU" w:eastAsia="PMingLiU" w:cs="PMingLiU"/>
      <w:spacing w:val="30"/>
      <w:sz w:val="30"/>
      <w:szCs w:val="30"/>
    </w:rPr>
  </w:style>
  <w:style w:type="paragraph" w:customStyle="1" w:styleId="114">
    <w:name w:val="0表格文字"/>
    <w:basedOn w:val="1"/>
    <w:next w:val="1"/>
    <w:qFormat/>
    <w:uiPriority w:val="0"/>
    <w:pPr>
      <w:tabs>
        <w:tab w:val="left" w:pos="2340"/>
      </w:tabs>
      <w:snapToGrid w:val="0"/>
      <w:spacing w:line="240" w:lineRule="auto"/>
      <w:ind w:firstLine="0" w:firstLineChars="0"/>
      <w:jc w:val="center"/>
    </w:pPr>
    <w:rPr>
      <w:rFonts w:ascii="Times New Roman" w:hAnsi="Times New Roman"/>
      <w:bCs/>
      <w:snapToGrid w:val="0"/>
      <w:color w:val="000000"/>
      <w:kern w:val="0"/>
      <w:sz w:val="21"/>
      <w:szCs w:val="21"/>
      <w:lang w:val="zh-CN"/>
    </w:rPr>
  </w:style>
  <w:style w:type="paragraph" w:customStyle="1" w:styleId="115">
    <w:name w:val="Normal"/>
    <w:basedOn w:val="1"/>
    <w:qFormat/>
    <w:uiPriority w:val="0"/>
    <w:pPr>
      <w:tabs>
        <w:tab w:val="left" w:pos="3480"/>
      </w:tabs>
      <w:adjustRightInd w:val="0"/>
      <w:spacing w:line="500" w:lineRule="atLeast"/>
      <w:textAlignment w:val="baseline"/>
    </w:pPr>
    <w:rPr>
      <w:kern w:val="0"/>
      <w:sz w:val="24"/>
      <w:szCs w:val="20"/>
    </w:rPr>
  </w:style>
  <w:style w:type="character" w:customStyle="1" w:styleId="116">
    <w:name w:val="font41"/>
    <w:basedOn w:val="37"/>
    <w:qFormat/>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99" Type="http://schemas.openxmlformats.org/officeDocument/2006/relationships/image" Target="media/image85.jpeg"/><Relationship Id="rId98" Type="http://schemas.openxmlformats.org/officeDocument/2006/relationships/image" Target="media/image84.jpeg"/><Relationship Id="rId97" Type="http://schemas.openxmlformats.org/officeDocument/2006/relationships/image" Target="media/image83.jpeg"/><Relationship Id="rId96" Type="http://schemas.openxmlformats.org/officeDocument/2006/relationships/image" Target="media/image82.jpeg"/><Relationship Id="rId95" Type="http://schemas.openxmlformats.org/officeDocument/2006/relationships/image" Target="media/image81.jpeg"/><Relationship Id="rId94" Type="http://schemas.openxmlformats.org/officeDocument/2006/relationships/image" Target="media/image80.jpeg"/><Relationship Id="rId93" Type="http://schemas.openxmlformats.org/officeDocument/2006/relationships/image" Target="media/image79.jpeg"/><Relationship Id="rId92" Type="http://schemas.openxmlformats.org/officeDocument/2006/relationships/image" Target="media/image78.jpeg"/><Relationship Id="rId91" Type="http://schemas.openxmlformats.org/officeDocument/2006/relationships/image" Target="media/image77.jpeg"/><Relationship Id="rId90" Type="http://schemas.openxmlformats.org/officeDocument/2006/relationships/image" Target="media/image76.jpeg"/><Relationship Id="rId9" Type="http://schemas.openxmlformats.org/officeDocument/2006/relationships/footer" Target="footer4.xml"/><Relationship Id="rId89" Type="http://schemas.openxmlformats.org/officeDocument/2006/relationships/image" Target="media/image75.jpeg"/><Relationship Id="rId88" Type="http://schemas.openxmlformats.org/officeDocument/2006/relationships/image" Target="media/image74.jpeg"/><Relationship Id="rId87" Type="http://schemas.openxmlformats.org/officeDocument/2006/relationships/image" Target="media/image73.jpeg"/><Relationship Id="rId86" Type="http://schemas.openxmlformats.org/officeDocument/2006/relationships/image" Target="media/image72.jpeg"/><Relationship Id="rId85" Type="http://schemas.openxmlformats.org/officeDocument/2006/relationships/image" Target="media/image71.jpeg"/><Relationship Id="rId84" Type="http://schemas.openxmlformats.org/officeDocument/2006/relationships/image" Target="media/image70.jpeg"/><Relationship Id="rId83" Type="http://schemas.openxmlformats.org/officeDocument/2006/relationships/image" Target="media/image69.jpeg"/><Relationship Id="rId82" Type="http://schemas.openxmlformats.org/officeDocument/2006/relationships/image" Target="media/image68.jpeg"/><Relationship Id="rId81" Type="http://schemas.openxmlformats.org/officeDocument/2006/relationships/image" Target="media/image67.jpeg"/><Relationship Id="rId80" Type="http://schemas.openxmlformats.org/officeDocument/2006/relationships/image" Target="media/image66.jpeg"/><Relationship Id="rId8" Type="http://schemas.openxmlformats.org/officeDocument/2006/relationships/footer" Target="footer3.xml"/><Relationship Id="rId79" Type="http://schemas.openxmlformats.org/officeDocument/2006/relationships/image" Target="media/image65.jpeg"/><Relationship Id="rId78" Type="http://schemas.openxmlformats.org/officeDocument/2006/relationships/image" Target="media/image64.jpeg"/><Relationship Id="rId77" Type="http://schemas.openxmlformats.org/officeDocument/2006/relationships/image" Target="media/image63.jpeg"/><Relationship Id="rId76" Type="http://schemas.openxmlformats.org/officeDocument/2006/relationships/image" Target="media/image62.jpeg"/><Relationship Id="rId75" Type="http://schemas.openxmlformats.org/officeDocument/2006/relationships/image" Target="media/image61.jpeg"/><Relationship Id="rId74" Type="http://schemas.openxmlformats.org/officeDocument/2006/relationships/image" Target="media/image60.jpeg"/><Relationship Id="rId73" Type="http://schemas.openxmlformats.org/officeDocument/2006/relationships/image" Target="media/image59.jpeg"/><Relationship Id="rId72" Type="http://schemas.openxmlformats.org/officeDocument/2006/relationships/image" Target="media/image58.jpeg"/><Relationship Id="rId71" Type="http://schemas.openxmlformats.org/officeDocument/2006/relationships/image" Target="media/image57.jpeg"/><Relationship Id="rId70" Type="http://schemas.openxmlformats.org/officeDocument/2006/relationships/image" Target="media/image56.jpeg"/><Relationship Id="rId7" Type="http://schemas.openxmlformats.org/officeDocument/2006/relationships/footer" Target="footer2.xml"/><Relationship Id="rId69" Type="http://schemas.openxmlformats.org/officeDocument/2006/relationships/image" Target="media/image55.jpeg"/><Relationship Id="rId68" Type="http://schemas.openxmlformats.org/officeDocument/2006/relationships/image" Target="media/image54.jpeg"/><Relationship Id="rId67" Type="http://schemas.openxmlformats.org/officeDocument/2006/relationships/image" Target="media/image53.jpeg"/><Relationship Id="rId66" Type="http://schemas.openxmlformats.org/officeDocument/2006/relationships/image" Target="media/image52.jpeg"/><Relationship Id="rId65" Type="http://schemas.openxmlformats.org/officeDocument/2006/relationships/image" Target="media/image51.jpeg"/><Relationship Id="rId64" Type="http://schemas.openxmlformats.org/officeDocument/2006/relationships/image" Target="media/image50.jpeg"/><Relationship Id="rId63" Type="http://schemas.openxmlformats.org/officeDocument/2006/relationships/image" Target="media/image49.jpeg"/><Relationship Id="rId62" Type="http://schemas.openxmlformats.org/officeDocument/2006/relationships/image" Target="media/image48.jpeg"/><Relationship Id="rId61" Type="http://schemas.openxmlformats.org/officeDocument/2006/relationships/image" Target="media/image47.jpeg"/><Relationship Id="rId60" Type="http://schemas.openxmlformats.org/officeDocument/2006/relationships/image" Target="media/image46.jpeg"/><Relationship Id="rId6" Type="http://schemas.openxmlformats.org/officeDocument/2006/relationships/footer" Target="footer1.xml"/><Relationship Id="rId59" Type="http://schemas.openxmlformats.org/officeDocument/2006/relationships/image" Target="media/image45.jpeg"/><Relationship Id="rId58" Type="http://schemas.openxmlformats.org/officeDocument/2006/relationships/image" Target="media/image44.jpeg"/><Relationship Id="rId57" Type="http://schemas.openxmlformats.org/officeDocument/2006/relationships/image" Target="media/image43.jpeg"/><Relationship Id="rId56" Type="http://schemas.openxmlformats.org/officeDocument/2006/relationships/image" Target="media/image42.jpeg"/><Relationship Id="rId55" Type="http://schemas.openxmlformats.org/officeDocument/2006/relationships/image" Target="media/image41.jpeg"/><Relationship Id="rId54" Type="http://schemas.openxmlformats.org/officeDocument/2006/relationships/image" Target="media/image40.jpeg"/><Relationship Id="rId53" Type="http://schemas.openxmlformats.org/officeDocument/2006/relationships/image" Target="media/image39.jpeg"/><Relationship Id="rId52" Type="http://schemas.openxmlformats.org/officeDocument/2006/relationships/image" Target="media/image38.jpeg"/><Relationship Id="rId51" Type="http://schemas.openxmlformats.org/officeDocument/2006/relationships/image" Target="media/image37.jpeg"/><Relationship Id="rId50" Type="http://schemas.openxmlformats.org/officeDocument/2006/relationships/image" Target="media/image36.jpeg"/><Relationship Id="rId5" Type="http://schemas.openxmlformats.org/officeDocument/2006/relationships/header" Target="header3.xml"/><Relationship Id="rId49" Type="http://schemas.openxmlformats.org/officeDocument/2006/relationships/image" Target="media/image35.png"/><Relationship Id="rId48" Type="http://schemas.openxmlformats.org/officeDocument/2006/relationships/image" Target="media/image34.jpeg"/><Relationship Id="rId47" Type="http://schemas.openxmlformats.org/officeDocument/2006/relationships/image" Target="../NULL"/><Relationship Id="rId46" Type="http://schemas.openxmlformats.org/officeDocument/2006/relationships/image" Target="media/image32.png"/><Relationship Id="rId45" Type="http://schemas.openxmlformats.org/officeDocument/2006/relationships/image" Target="media/image31.png"/><Relationship Id="rId44" Type="http://schemas.openxmlformats.org/officeDocument/2006/relationships/image" Target="media/image30.png"/><Relationship Id="rId43" Type="http://schemas.openxmlformats.org/officeDocument/2006/relationships/image" Target="media/image29.png"/><Relationship Id="rId42" Type="http://schemas.openxmlformats.org/officeDocument/2006/relationships/image" Target="media/image28.png"/><Relationship Id="rId41" Type="http://schemas.openxmlformats.org/officeDocument/2006/relationships/image" Target="media/image27.png"/><Relationship Id="rId40" Type="http://schemas.openxmlformats.org/officeDocument/2006/relationships/image" Target="media/image26.png"/><Relationship Id="rId4" Type="http://schemas.openxmlformats.org/officeDocument/2006/relationships/header" Target="header2.xml"/><Relationship Id="rId39" Type="http://schemas.openxmlformats.org/officeDocument/2006/relationships/image" Target="media/image25.png"/><Relationship Id="rId38" Type="http://schemas.openxmlformats.org/officeDocument/2006/relationships/image" Target="media/image24.png"/><Relationship Id="rId37" Type="http://schemas.openxmlformats.org/officeDocument/2006/relationships/image" Target="media/image23.png"/><Relationship Id="rId36" Type="http://schemas.openxmlformats.org/officeDocument/2006/relationships/image" Target="media/image22.png"/><Relationship Id="rId35" Type="http://schemas.openxmlformats.org/officeDocument/2006/relationships/image" Target="media/image21.png"/><Relationship Id="rId34" Type="http://schemas.openxmlformats.org/officeDocument/2006/relationships/image" Target="media/image20.png"/><Relationship Id="rId33" Type="http://schemas.openxmlformats.org/officeDocument/2006/relationships/image" Target="media/image19.png"/><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wmf"/><Relationship Id="rId27" Type="http://schemas.openxmlformats.org/officeDocument/2006/relationships/oleObject" Target="embeddings/oleObject1.bin"/><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3" Type="http://schemas.openxmlformats.org/officeDocument/2006/relationships/fontTable" Target="fontTable.xml"/><Relationship Id="rId172" Type="http://schemas.openxmlformats.org/officeDocument/2006/relationships/customXml" Target="../customXml/item2.xml"/><Relationship Id="rId171" Type="http://schemas.openxmlformats.org/officeDocument/2006/relationships/numbering" Target="numbering.xml"/><Relationship Id="rId170" Type="http://schemas.openxmlformats.org/officeDocument/2006/relationships/customXml" Target="../customXml/item1.xml"/><Relationship Id="rId17" Type="http://schemas.openxmlformats.org/officeDocument/2006/relationships/image" Target="media/image4.png"/><Relationship Id="rId169" Type="http://schemas.openxmlformats.org/officeDocument/2006/relationships/image" Target="media/image155.jpeg"/><Relationship Id="rId168" Type="http://schemas.openxmlformats.org/officeDocument/2006/relationships/image" Target="media/image154.jpeg"/><Relationship Id="rId167" Type="http://schemas.openxmlformats.org/officeDocument/2006/relationships/image" Target="media/image153.jpeg"/><Relationship Id="rId166" Type="http://schemas.openxmlformats.org/officeDocument/2006/relationships/image" Target="media/image152.jpeg"/><Relationship Id="rId165" Type="http://schemas.openxmlformats.org/officeDocument/2006/relationships/image" Target="media/image151.jpeg"/><Relationship Id="rId164" Type="http://schemas.openxmlformats.org/officeDocument/2006/relationships/image" Target="media/image150.jpeg"/><Relationship Id="rId163" Type="http://schemas.openxmlformats.org/officeDocument/2006/relationships/image" Target="media/image149.jpeg"/><Relationship Id="rId162" Type="http://schemas.openxmlformats.org/officeDocument/2006/relationships/image" Target="media/image148.jpeg"/><Relationship Id="rId161" Type="http://schemas.openxmlformats.org/officeDocument/2006/relationships/image" Target="media/image147.jpeg"/><Relationship Id="rId160" Type="http://schemas.openxmlformats.org/officeDocument/2006/relationships/image" Target="media/image146.jpeg"/><Relationship Id="rId16" Type="http://schemas.openxmlformats.org/officeDocument/2006/relationships/image" Target="media/image3.png"/><Relationship Id="rId159" Type="http://schemas.openxmlformats.org/officeDocument/2006/relationships/image" Target="media/image145.jpeg"/><Relationship Id="rId158" Type="http://schemas.openxmlformats.org/officeDocument/2006/relationships/image" Target="media/image144.jpeg"/><Relationship Id="rId157" Type="http://schemas.openxmlformats.org/officeDocument/2006/relationships/image" Target="media/image143.jpeg"/><Relationship Id="rId156" Type="http://schemas.openxmlformats.org/officeDocument/2006/relationships/image" Target="media/image142.jpeg"/><Relationship Id="rId155" Type="http://schemas.openxmlformats.org/officeDocument/2006/relationships/image" Target="media/image141.jpeg"/><Relationship Id="rId154" Type="http://schemas.openxmlformats.org/officeDocument/2006/relationships/image" Target="media/image140.jpeg"/><Relationship Id="rId153" Type="http://schemas.openxmlformats.org/officeDocument/2006/relationships/image" Target="media/image139.jpeg"/><Relationship Id="rId152" Type="http://schemas.openxmlformats.org/officeDocument/2006/relationships/image" Target="media/image138.jpeg"/><Relationship Id="rId151" Type="http://schemas.openxmlformats.org/officeDocument/2006/relationships/image" Target="media/image137.jpeg"/><Relationship Id="rId150" Type="http://schemas.openxmlformats.org/officeDocument/2006/relationships/image" Target="media/image136.jpeg"/><Relationship Id="rId15" Type="http://schemas.openxmlformats.org/officeDocument/2006/relationships/image" Target="media/image2.jpeg"/><Relationship Id="rId149" Type="http://schemas.openxmlformats.org/officeDocument/2006/relationships/image" Target="media/image135.jpeg"/><Relationship Id="rId148" Type="http://schemas.openxmlformats.org/officeDocument/2006/relationships/image" Target="media/image134.jpeg"/><Relationship Id="rId147" Type="http://schemas.openxmlformats.org/officeDocument/2006/relationships/image" Target="media/image133.jpeg"/><Relationship Id="rId146" Type="http://schemas.openxmlformats.org/officeDocument/2006/relationships/image" Target="media/image132.jpeg"/><Relationship Id="rId145" Type="http://schemas.openxmlformats.org/officeDocument/2006/relationships/image" Target="media/image131.jpeg"/><Relationship Id="rId144" Type="http://schemas.openxmlformats.org/officeDocument/2006/relationships/image" Target="media/image130.jpeg"/><Relationship Id="rId143" Type="http://schemas.openxmlformats.org/officeDocument/2006/relationships/image" Target="media/image129.jpeg"/><Relationship Id="rId142" Type="http://schemas.openxmlformats.org/officeDocument/2006/relationships/image" Target="media/image128.jpeg"/><Relationship Id="rId141" Type="http://schemas.openxmlformats.org/officeDocument/2006/relationships/image" Target="media/image127.jpeg"/><Relationship Id="rId140" Type="http://schemas.openxmlformats.org/officeDocument/2006/relationships/image" Target="media/image126.jpeg"/><Relationship Id="rId14" Type="http://schemas.openxmlformats.org/officeDocument/2006/relationships/image" Target="media/image1.jpeg"/><Relationship Id="rId139" Type="http://schemas.openxmlformats.org/officeDocument/2006/relationships/image" Target="media/image125.jpeg"/><Relationship Id="rId138" Type="http://schemas.openxmlformats.org/officeDocument/2006/relationships/image" Target="media/image124.jpeg"/><Relationship Id="rId137" Type="http://schemas.openxmlformats.org/officeDocument/2006/relationships/image" Target="media/image123.jpeg"/><Relationship Id="rId136" Type="http://schemas.openxmlformats.org/officeDocument/2006/relationships/image" Target="media/image122.jpeg"/><Relationship Id="rId135" Type="http://schemas.openxmlformats.org/officeDocument/2006/relationships/image" Target="media/image121.jpeg"/><Relationship Id="rId134" Type="http://schemas.openxmlformats.org/officeDocument/2006/relationships/image" Target="media/image120.jpeg"/><Relationship Id="rId133" Type="http://schemas.openxmlformats.org/officeDocument/2006/relationships/image" Target="media/image119.jpeg"/><Relationship Id="rId132" Type="http://schemas.openxmlformats.org/officeDocument/2006/relationships/image" Target="media/image118.jpeg"/><Relationship Id="rId131" Type="http://schemas.openxmlformats.org/officeDocument/2006/relationships/image" Target="media/image117.jpeg"/><Relationship Id="rId130" Type="http://schemas.openxmlformats.org/officeDocument/2006/relationships/image" Target="media/image116.jpeg"/><Relationship Id="rId13" Type="http://schemas.openxmlformats.org/officeDocument/2006/relationships/theme" Target="theme/theme1.xml"/><Relationship Id="rId129" Type="http://schemas.openxmlformats.org/officeDocument/2006/relationships/image" Target="media/image115.jpeg"/><Relationship Id="rId128" Type="http://schemas.openxmlformats.org/officeDocument/2006/relationships/image" Target="media/image114.jpeg"/><Relationship Id="rId127" Type="http://schemas.openxmlformats.org/officeDocument/2006/relationships/image" Target="media/image113.jpeg"/><Relationship Id="rId126" Type="http://schemas.openxmlformats.org/officeDocument/2006/relationships/image" Target="media/image112.jpeg"/><Relationship Id="rId125" Type="http://schemas.openxmlformats.org/officeDocument/2006/relationships/image" Target="media/image111.jpeg"/><Relationship Id="rId124" Type="http://schemas.openxmlformats.org/officeDocument/2006/relationships/image" Target="media/image110.jpeg"/><Relationship Id="rId123" Type="http://schemas.openxmlformats.org/officeDocument/2006/relationships/image" Target="media/image109.jpeg"/><Relationship Id="rId122" Type="http://schemas.openxmlformats.org/officeDocument/2006/relationships/image" Target="media/image108.jpeg"/><Relationship Id="rId121" Type="http://schemas.openxmlformats.org/officeDocument/2006/relationships/image" Target="media/image107.jpeg"/><Relationship Id="rId120" Type="http://schemas.openxmlformats.org/officeDocument/2006/relationships/image" Target="media/image106.jpeg"/><Relationship Id="rId12" Type="http://schemas.openxmlformats.org/officeDocument/2006/relationships/footer" Target="footer7.xml"/><Relationship Id="rId119" Type="http://schemas.openxmlformats.org/officeDocument/2006/relationships/image" Target="media/image105.jpeg"/><Relationship Id="rId118" Type="http://schemas.openxmlformats.org/officeDocument/2006/relationships/image" Target="media/image104.jpeg"/><Relationship Id="rId117" Type="http://schemas.openxmlformats.org/officeDocument/2006/relationships/image" Target="media/image103.jpeg"/><Relationship Id="rId116" Type="http://schemas.openxmlformats.org/officeDocument/2006/relationships/image" Target="media/image102.jpeg"/><Relationship Id="rId115" Type="http://schemas.openxmlformats.org/officeDocument/2006/relationships/image" Target="media/image101.jpeg"/><Relationship Id="rId114" Type="http://schemas.openxmlformats.org/officeDocument/2006/relationships/image" Target="media/image100.png"/><Relationship Id="rId113" Type="http://schemas.openxmlformats.org/officeDocument/2006/relationships/image" Target="media/image99.png"/><Relationship Id="rId112" Type="http://schemas.openxmlformats.org/officeDocument/2006/relationships/image" Target="media/image98.jpeg"/><Relationship Id="rId111" Type="http://schemas.openxmlformats.org/officeDocument/2006/relationships/image" Target="media/image97.jpeg"/><Relationship Id="rId110" Type="http://schemas.openxmlformats.org/officeDocument/2006/relationships/image" Target="media/image96.jpeg"/><Relationship Id="rId11" Type="http://schemas.openxmlformats.org/officeDocument/2006/relationships/footer" Target="footer6.xml"/><Relationship Id="rId109" Type="http://schemas.openxmlformats.org/officeDocument/2006/relationships/image" Target="media/image95.jpeg"/><Relationship Id="rId108" Type="http://schemas.openxmlformats.org/officeDocument/2006/relationships/image" Target="media/image94.jpeg"/><Relationship Id="rId107" Type="http://schemas.openxmlformats.org/officeDocument/2006/relationships/image" Target="media/image93.jpeg"/><Relationship Id="rId106" Type="http://schemas.openxmlformats.org/officeDocument/2006/relationships/image" Target="media/image92.jpeg"/><Relationship Id="rId105" Type="http://schemas.openxmlformats.org/officeDocument/2006/relationships/image" Target="media/image91.jpeg"/><Relationship Id="rId104" Type="http://schemas.openxmlformats.org/officeDocument/2006/relationships/image" Target="media/image90.jpeg"/><Relationship Id="rId103" Type="http://schemas.openxmlformats.org/officeDocument/2006/relationships/image" Target="media/image89.jpeg"/><Relationship Id="rId102" Type="http://schemas.openxmlformats.org/officeDocument/2006/relationships/image" Target="media/image88.jpeg"/><Relationship Id="rId101" Type="http://schemas.openxmlformats.org/officeDocument/2006/relationships/image" Target="media/image87.jpeg"/><Relationship Id="rId100" Type="http://schemas.openxmlformats.org/officeDocument/2006/relationships/image" Target="media/image86.jpeg"/><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9525" cap="flat" cmpd="sng">
          <a:solidFill>
            <a:srgbClr val="000000"/>
          </a:solidFill>
          <a:prstDash val="dash"/>
          <a:headEnd type="none" w="med" len="med"/>
          <a:tailEnd type="arrow" w="med" len="me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extobjs>
    <extobj name="E657119C-6982-421D-8BA7-E74DEB70A7D9-1">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UFJYZENjVmRQUW5kU09Ea3pNemd3SlRJeUpUZEVKVEpESlRkQ0pUSXlibUZ0WlNVeU1pVXpRU1V5TWlWRk5TVTVNQ1U0UkNWRk55VkJOeVZDTUNVeU1pVXlReVV5TW5SNWNHVWxNaklsTTBFbE1qSnpkSEpwYm1jbE1qSWxNa01sTWpKMllXeDFaU1V5TWlVelFTVXlNaVV5TWlVeVF5VXlNbU5oZEdWbmIzSjVKVEl5SlROQkpUSXlaR1ZtWVhWc2RDVXlNaVV5UXlVeU1tbGtKVEl5SlROQkpUSXlabFJpWWxoR1RrVndRVFU1T0RJMk1T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nbE4wUWxNa01sTWpKMFpYaDBRbXh2WTJzbE1qSWxNMEVsTlVJbE4wSWxNakp3YjNOcGRHbHZiaVV5TWlVelFTVTNRaVV5TW5nbE1qSWxNMEV4TUNVeVF5VXlNbmtsTWpJbE0wRXdKVEpESlRJeWR5VXlNaVV6UVNVeU1uY3RNakFsTWpJbE1rTWxNakpvSlRJeUpUTkJKVEl5YUNVeU1pVTNSQ1V5UXlVeU1uUmxlSFFsTWpJbE0wRWxNaklsUlRVbE9VTWxRa0VsUlRVbE9VTWxRakFsUlRZbFFqZ2xPRFVsUlRjbE9UQWxPRFl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ZhMUppVkV4UVYwWjBNVEE1TmpZM0pUSXlKVE5CSlRkQ0pUSXlhV1FsTWpJbE0wRWxNakpGYTFKaVZFeFFWMFowTVRBNU5qWTNKVEl5SlRKREpUSXlibUZ0WlNVeU1pVXpRU1V5TW5KbFkzUmhibWRzWlNVeU1pVXlReVV5TW5ScGRHeGxKVEl5SlROQkpUSXlKVVUzSlRsR0pVRTVKVVUxSlVKRUpVRXlKVEl5SlRKREpUSXlZMkYwWldkdmNua2xNaklsTTBFbE1qSmlZWE5wWXlVeU1pVXlReVV5TW1keWIzVndKVEl5SlROQkpUSXlhVnBWUTBwNVdsQnhVREE0TURVNE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RlJVOUpiWGRhYUdOMk5qa3pOakF3SlRJeUpUZEVKVEpESlRkQ0pUSXlibUZ0WlNVeU1pVXpRU1V5TWlWRk5TVTVNQ1U0UkNWRk55VkJOeVZDTUNVeU1pVXlReVV5TW5SNWNHVWxNaklsTTBFbE1qSnpkSEpwYm1jbE1qSWxNa01sTWpKMllXeDFaU1V5TWlVelFTVXlNaVV5TWlVeVF5VXlNbU5oZEdWbmIzSjVKVEl5SlROQkpUSXlaR1ZtWVhWc2RDVXlNaVV5UXlVeU1tbGtKVEl5SlROQkpUSXlZVXhzY2xGamVIRldhakV4T1RjME5p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nbE4wUWxNa01sTWpKMFpYaDBRbXh2WTJzbE1qSWxNMEVsTlVJbE4wSWxNakp3YjNOcGRHbHZiaVV5TWlVelFTVTNRaVV5TW5nbE1qSWxNMEV4TUNVeVF5VXlNbmtsTWpJbE0wRXdKVEpESlRJeWR5VXlNaVV6UVNVeU1uY3RNakFsTWpJbE1rTWxNakpvSlRJeUpUTkJKVEl5YUNVeU1pVTNSQ1V5UXlVeU1uUmxlSFFsTWpJbE0wRWxNaklsUlRVbE9FVWxPRElsUlRZbE9EZ2xRa1lsUlRZbE9UUWxRamtsUlRrbE9EQWxRVE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nBUbE5MVDBkWmVWbHVNVGM1T1RVMkpUSXlKVE5CSlRkQ0pUSXlhV1FsTWpJbE0wRWxNakpwVGxOTFQwZFplVmx1TVRjNU9UVTJKVEl5SlRKREpUSXlibUZ0WlNVeU1pVXpRU1V5TW5KbFkzUmhibWRzWlNVeU1pVXlReVV5TW5ScGRHeGxKVEl5SlROQkpUSXlKVVUzSlRsR0pVRTVKVVUxSlVKRUpVRXlKVEl5SlRKREpUSXlZMkYwWldkdmNua2xNaklsTTBFbE1qSmlZWE5wWXlVeU1pVXlReVV5TW1keWIzVndKVEl5SlROQkpUSXlhVnBWUTBwNVdsQnhVREE0TURVNE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VlRIQjBlRlJWVTFaWk5qY3dNemN4SlRJeUpUZEVKVEpESlRkQ0pUSXlibUZ0WlNVeU1pVXpRU1V5TWlWRk5TVTVNQ1U0UkNWRk55VkJOeVZDTUNVeU1pVXlReVV5TW5SNWNHVWxNaklsTTBFbE1qSnpkSEpwYm1jbE1qSWxNa01sTWpKMllXeDFaU1V5TWlVelFTVXlNaVV5TWlVeVF5VXlNbU5oZEdWbmIzSjVKVEl5SlROQkpUSXlaR1ZtWVhWc2RDVXlNaVV5UXlVeU1tbGtKVEl5SlROQkpUSXliRlpxYkdGTVlYVjJaekkzTVRFNU1p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nbE4wUWxNa01sTWpKMFpYaDBRbXh2WTJzbE1qSWxNMEVsTlVJbE4wSWxNakp3YjNOcGRHbHZiaVV5TWlVelFTVTNRaVV5TW5nbE1qSWxNMEV4TUNVeVF5VXlNbmtsTWpJbE0wRXdKVEpESlRJeWR5VXlNaVV6UVNVeU1uY3RNakFsTWpJbE1rTWxNakpvSlRJeUpUTkJKVEl5YUNVeU1pVTNSQ1V5UXlVeU1uUmxlSFFsTWpJbE0wRWxNaklsUlRnbFFVVWxRa1VsUlRVbFFUUWxPRGNsUlRVbFFVVWxPRGtsUlRnbFFUTWxPRFV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5jVXRVYTNoVlEzSk9OakF4T0Rnd0pUSXlKVE5CSlRkQ0pUSXlhV1FsTWpJbE0wRWxNakpOY1V0VWEzaFZRM0pPTmpBeE9EZ3dKVEl5SlRKREpUSXlibUZ0WlNVeU1pVXpRU1V5TW5KbFkzUmhibWRzWlNVeU1pVXlReVV5TW5ScGRHeGxKVEl5SlROQkpUSXlKVVUzSlRsR0pVRTVKVVUxSlVKRUpVRXlKVEl5SlRKREpUSXlZMkYwWldkdmNua2xNaklsTTBFbE1qSmlZWE5wWXlVeU1pVXlReVV5TW1keWIzVndKVEl5SlROQkpUSXlhVnBWUTBwNVdsQnhVREE0TURVNE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cWEwTlpkMnRCUlc1ak5UQTFNelUxSlRJeUpUZEVKVEpESlRkQ0pUSXlibUZ0WlNVeU1pVXpRU1V5TWlWRk5TVTVNQ1U0UkNWRk55VkJOeVZDTUNVeU1pVXlReVV5TW5SNWNHVWxNaklsTTBFbE1qSnpkSEpwYm1jbE1qSWxNa01sTWpKMllXeDFaU1V5TWlVelFTVXlNaVV5TWlVeVF5VXlNbU5oZEdWbmIzSjVKVEl5SlROQkpUSXlaR1ZtWVhWc2RDVXlNaVV5UXlVeU1tbGtKVEl5SlROQkpUSXlkMk5UU0VkR2NFbFRUelEzTXprM01T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nbE4wUWxNa01sTWpKMFpYaDBRbXh2WTJzbE1qSWxNMEVsTlVJbE4wSWxNakp3YjNOcGRHbHZiaVV5TWlVelFTVTNRaVV5TW5nbE1qSWxNMEV4TUNVeVF5VXlNbmtsTWpJbE0wRXdKVEpESlRJeWR5VXlNaVV6UVNVeU1uY3RNakFsTWpJbE1rTWxNakpvSlRJeUpUTkJKVEl5YUNVeU1pVTNSQ1V5UXlVeU1uUmxlSFFsTWpJbE0wRWxNaklsUlRnbFFqQWxPRE1sUlRnbFFVWWxPVFVsUlRZbE9FRWxPVFVsUlRRbFFrRWxRVGN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jFRMlJXU1VSaVVVUjJNekl3TmpnNEpUSXlKVE5CSlRkQ0pUSXlhV1FsTWpJbE0wRWxNakoxUTJSV1NVUmlVVVIyTXpJd05qZzRKVEl5SlRKREpUSXlibUZ0WlNVeU1pVXpRU1V5TW5KbFkzUmhibWRzWlNVeU1pVXlReVV5TW5ScGRHeGxKVEl5SlROQkpUSXlKVVUzSlRsR0pVRTVKVVUxSlVKRUpVRXlKVEl5SlRKREpUSXlZMkYwWldkdmNua2xNaklsTTBFbE1qSmlZWE5wWXlVeU1pVXlReVV5TW1keWIzVndKVEl5SlROQkpUSXlhVnBWUTBwNVdsQnhVREE0TURVNE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TWFHRnFkbGxvZFZoVU9UUXlNVEl6SlRJeUpUZEVKVEpESlRkQ0pUSXlibUZ0WlNVeU1pVXpRU1V5TWlWRk5TVTVNQ1U0UkNWRk55VkJOeVZDTUNVeU1pVXlReVV5TW5SNWNHVWxNaklsTTBFbE1qSnpkSEpwYm1jbE1qSWxNa01sTWpKMllXeDFaU1V5TWlVelFTVXlNaVV5TWlVeVF5VXlNbU5oZEdWbmIzSjVKVEl5SlROQkpUSXlaR1ZtWVhWc2RDVXlNaVV5UXlVeU1tbGtKVEl5SlROQkpUSXlXa2x2VjFwblRYUnNhekU0TlRVM015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nbE4wUWxNa01sTWpKMFpYaDBRbXh2WTJzbE1qSWxNMEVsTlVJbE4wSWxNakp3YjNOcGRHbHZiaVV5TWlVelFTVTNRaVV5TW5nbE1qSWxNMEV4TUNVeVF5VXlNbmtsTWpJbE0wRXdKVEpESlRJeWR5VXlNaVV6UVNVeU1uY3RNakFsTWpJbE1rTWxNakpvSlRJeUpUTkJKVEl5YUNVeU1pVTNSQ1V5UXlVeU1uUmxlSFFsTWpJbE0wRWxNaklsUlRVbE9VTWxRa0VsUlRVbE9VTWxRakFsUlRVbFFqa2xRak1sUlRZbE9UVWxRal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1Wa0poVUV0amNVVnJOek00T0RrNEpUSXlKVE5CSlRkQ0pUSXlhV1FsTWpJbE0wRWxNakpNVmtKaFVFdGpjVVZyTnpNNE9EazRKVEl5SlRKREpUSXlibUZ0WlNVeU1pVXpRU1V5TW5KbFkzUmhibWRzWlNVeU1pVXlReVV5TW5ScGRHeGxKVEl5SlROQkpUSXlKVVUzSlRsR0pVRTVKVVUxSlVKRUpVRXlKVEl5SlRKREpUSXlZMkYwWldkdmNua2xNaklsTTBFbE1qSmlZWE5wWXlVeU1pVXlReVV5TW1keWIzVndKVEl5SlROQkpUSXlhVnBWUTBwNVdsQnhVREE0TURVNE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UVlXUnlVbHBrU21WSE9ETTVORFV6SlRJeUpUZEVKVEpESlRkQ0pUSXlibUZ0WlNVeU1pVXpRU1V5TWlWRk5TVTVNQ1U0UkNWRk55VkJOeVZDTUNVeU1pVXlReVV5TW5SNWNHVWxNaklsTTBFbE1qSnpkSEpwYm1jbE1qSWxNa01sTWpKMllXeDFaU1V5TWlVelFTVXlNaVV5TWlVeVF5VXlNbU5oZEdWbmIzSjVKVEl5SlROQkpUSXlaR1ZtWVhWc2RDVXlNaVV5UXlVeU1tbGtKVEl5SlROQkpUSXlZWFIzWW5OSlVHMVJlVFUwT0RBeU1D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nbE4wUWxNa01sTWpKMFpYaDBRbXh2WTJzbE1qSWxNMEVsTlVJbE4wSWxNakp3YjNOcGRHbHZiaVV5TWlVelFTVTNRaVV5TW5nbE1qSWxNMEV4TUNVeVF5VXlNbmtsTWpJbE0wRXdKVEpESlRJeWR5VXlNaVV6UVNVeU1uY3RNakFsTWpJbE1rTWxNakpvSlRJeUpUTkJKVEl5YUNVeU1pVTNSQ1V5UXlVeU1uUmxlSFFsTWpJbE0wRWxNaklsUlRVbE9VWWxRa0VsUlRjbFFURWxPREFsUlRVbFFrSWxRa0VsUlRnbFFVVWxRa1V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nNWMjlQV0VwQ1MxUkZPRFEwTXpZekpUSXlKVE5CSlRkQ0pUSXlhV1FsTWpJbE0wRWxNakpzVjI5UFdFcENTMVJGT0RRME16WXpKVEl5SlRKREpUSXlibUZ0WlNVeU1pVXpRU1V5TW5KbFkzUmhibWRzWlNVeU1pVXlReVV5TW5ScGRHeGxKVEl5SlROQkpUSXlKVVUzSlRsR0pVRTVKVVUxSlVKRUpVRXlKVEl5SlRKREpUSXlZMkYwWldkdmNua2xNaklsTTBFbE1qSmlZWE5wWXlVeU1pVXlReVV5TW1keWIzVndKVEl5SlROQkpUSXlhVnBWUTBwNVdsQnhVREE0TURVNE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Q1VrbFdhbE5NY1UxRU16RXlPREUwSlRJeUpUZEVKVEpESlRkQ0pUSXlibUZ0WlNVeU1pVXpRU1V5TWlWRk5TVTVNQ1U0UkNWRk55VkJOeVZDTUNVeU1pVXlReVV5TW5SNWNHVWxNaklsTTBFbE1qSnpkSEpwYm1jbE1qSWxNa01sTWpKMllXeDFaU1V5TWlVelFTVXlNaVV5TWlVeVF5VXlNbU5oZEdWbmIzSjVKVEl5SlROQkpUSXlaR1ZtWVhWc2RDVXlNaVV5UXlVeU1tbGtKVEl5SlROQkpUSXlkM2xrVGtsRGNGZDJSekl4TWpjeU1p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NEpUZEVKVEpESlRJeWRHVjRkRUpzYjJOckpUSXlKVE5CSlRWQ0pUZENKVEl5Y0c5emFYUnBiMjRsTWpJbE0wRWxOMElsTWpKNEpUSXlKVE5CTVRBbE1rTWxNako1SlRJeUpUTkJNQ1V5UXlVeU1uY2xNaklsTTBFbE1qSjNMVEl3SlRJeUpUSkRKVEl5YUNVeU1pVXpRU1V5TW1nbE1qSWxOMFFsTWtNbE1qSjBaWGgwSlRJeUpUTkJKVEl5SlVVMUpUaEZKVGd5SlVVMkpUZzRKVUpHSlVVMUpVSkNKVUpCSlVVNUpUZ3dKVUV3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TMFo1VVd0RlIwOTRlREF6T1RJMU1pVXlNaVV6UVNVM1FpVXlNbWxrSlRJeUpUTkJKVEl5UzBaNVVXdEZSMDk0ZURBek9USTFNaVV5TWlVeVF5VXlNbTVoYldVbE1qSWxNMEVsTWpKMFpYaDBKVEl5SlRKREpUSXlkR2wwYkdVbE1qSWxNMEVsTWpJbFJUWWxPVFlsT0RjbFJUWWxPVU1sUVVN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Vm5wbVdrSnVURTVQVlRNek1ETXlOeVV5TWlVM1JDVXlReVUzUWlVeU1tNWhiV1VsTWpJbE0wRWxNaklsUlRVbE9UQWxPRVFsUlRjbFFUY2xRakFsTWpJbE1rTWxNakowZVhCbEpUSXlKVE5CSlRJeWMzUnlhVzVuSlRJeUpUSkRKVEl5ZG1Gc2RXVWxNaklsTTBFbE1qSWxNaklsTWtNbE1qSmpZWFJsWjI5eWVTVXlNaVV6UVNVeU1tUmxabUYxYkhRbE1qSWxNa01sTWpKcFpDVXlNaVV6UVNVeU1sQkRVRTFJWlhWNFMyazFPVE0zTnpr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5OcGVtVWxNaklsTTBFeE9DVTNSQ1V5UXlVeU1uUmxlSFJDYkc5amF5VXlNaVV6UVNVMVFpVTNRaVV5TW5CdmMybDBhVzl1SlRJeUpUTkJKVGRDSlRJeWVDVXlNaVV6UVRBbE1rTWxNako1SlRJeUpUTkJNQ1V5UXlVeU1uY2xNaklsTTBFbE1qSjNKVEl5SlRKREpUSXlhQ1V5TWlVelFTVXlNbWdsTWpJbE4wUWxNa01sTWpKMFpYaDBKVEl5SlROQkpUSXlKVVUzSlRrMEpUbEdKVVUwSlVKQkpVRTNKVVU0SlVKRUpVRTJKVVU1SlRrM0pVSTBKVVZHSlVKREpUbEJ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NYcFBkR1ZPYjFKU1VEa3hOemd4T1NVeU1pVXpRU1UzUWlVeU1tbGtKVEl5SlROQkpUSXljWHBQZEdWT2IxSlNVRGt4TnpneE9T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iWGREVGtkaFJtdGFhekExTXpFek1TVXlNaVUzUkNVeVF5VTNRaVV5TW01aGJXVWxNaklsTTBFbE1qSWxSVFVsT1RBbE9FUWxSVGNsUVRjbFFqQWxNaklsTWtNbE1qSjBlWEJsSlRJeUpUTkJKVEl5YzNSeWFXNW5KVEl5SlRKREpUSXlkbUZzZFdVbE1qSWxNMEVsTWpJbE1qSWxNa01sTWpKallYUmxaMjl5ZVNVeU1pVXpRU1V5TW1SbFptRjFiSFFsTWpJbE1rTWxNakpwWkNVeU1pVXpRU1V5TWxGT1luSkhhVzVCWlV3NE5UWXdPVEF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zYVc1bFUzUjViR1VsTWpJbE0wRWxOMElsTWpKc2FXNWxWMmxrZEdnbE1qSWxNMEV3SlRkRUpUSkRKVEl5Wm1sc2JGTjBlV3hsSlRJeUpUTkJKVGRDSlRJeWRIbHdaU1V5TWlVelFTVXlNbTV2Ym1VbE1qSWxOMFFsTWtN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0NVM1JDVXlReVV5TW5SbGVIUkNiRzlqYXlVeU1pVXpRU1UxUWlVM1FpVXlNbkJ2YzJsMGFXOXVKVEl5SlROQkpUZENKVEl5ZUNVeU1pVXpRVEFsTWtNbE1qSjVKVEl5SlROQk1DVXlReVV5TW5jbE1qSWxNMEVsTWpKM0pUSXlKVEpESlRJeWFDVXlNaVV6UVNVeU1tZ2xNaklsTjBRbE1rTWxNakowWlhoMEpUSXlKVE5CSlRJeUpVVTJKVGc0SlRrd0pVVTFKVGt6SlRneEpVVTFKVUpCSlRrekpVVkdKVUpESlRsQk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UjBGVlJuaEthMHhUV2pJM05qTXpOQ1V5TWlVelFTVTNRaVV5TW1sa0pUSXlKVE5CSlRJeVIwRlZSbmhLYTB4VFdqSTNOak16TkN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EV0cxQ1JsSjJibkJuTURjMk56a3pKVEl5SlRkRUpUSkRKVGRDSlRJeWJtRnRaU1V5TWlVelFTVXlNaVZGTlNVNU1DVTRSQ1ZGTnlWQk55VkNNQ1V5TWlVeVF5VXlNblI1Y0dVbE1qSWxNMEVsTWpKemRISnBibWNsTWpJbE1rTWxNakoyWVd4MVpTVXlNaVV6UVNVeU1pVXlNaVV5UXlVeU1tTmhkR1ZuYjNKNUpUSXlKVE5CSlRJeVpHVm1ZWFZzZENVeU1pVXlReVV5TW1sa0pUSXlKVE5CSlRJeWVIZHljbnA1ZVhwWFVESTRNelEzTV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PQ1UzUkNVeVF5VXlNblJsZUhSQ2JHOWpheVV5TWlVelFTVTFRaVUzUWlVeU1uQnZjMmwwYVc5dUpUSXlKVE5CSlRkQ0pUSXllQ1V5TWlVelFURXdKVEpESlRJeWVTVXlNaVV6UVRBbE1rTWxNakozSlRJeUpUTkJKVEl5ZHkweU1DVXlNaVV5UXlVeU1tZ2xNaklsTTBFbE1qSm9KVEl5SlRkRUpUSkRKVEl5ZEdWNGRDVXlNaVV6UVNVeU1pVkZOaVU0UVNVNU5TVkZOU1U0TlNWQk5TVkZOQ1ZDUkNWQ1JpVkZOeVU1TkNWQk9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"/>
    </extobj>
  </extobjs>
</s:customData>
</file>

<file path=customXml/item2.xml><?xml version="1.0" encoding="utf-8"?>
<contractReview xmlns="http://schemas.wps.cn/vas-ai-hub/contract-review">
  <reviewItems>
    <reviewItem>
      <errorID>a4544415-8463-49d3-9628-bcf1071545d0</errorID>
      <errorWord>，</errorWord>
      <group>L1_Format</group>
      <groupName>格式问题</groupName>
      <ability>L2_HalfPunc</ability>
      <abilityName>全半角检查</abilityName>
      <candidateList>
        <item>,</item>
      </candidateList>
      <explain>文本全半角错误。</explain>
      <paraID>543BD193</paraID>
      <start>14</start>
      <end>15</end>
      <status>unmodified</status>
      <modifiedWord/>
      <trackRevisions>false</trackRevisions>
    </reviewItem>
    <reviewItem>
      <errorID>130db13a-d126-42b2-a2bd-be84a8434eff</errorID>
      <errorWord>(</errorWord>
      <group>L1_Format</group>
      <groupName>格式问题</groupName>
      <ability>L2_HalfPunc</ability>
      <abilityName>全半角检查</abilityName>
      <candidateList>
        <item>（</item>
      </candidateList>
      <explain>文本全半角错误。</explain>
      <paraID>44C1E7B9</paraID>
      <start>80</start>
      <end>81</end>
      <status>unmodified</status>
      <modifiedWord/>
      <trackRevisions>false</trackRevisions>
    </reviewItem>
    <reviewItem>
      <errorID>5b89cd44-0712-4156-b466-508f0ee1672a</errorID>
      <errorWord>)</errorWord>
      <group>L1_Format</group>
      <groupName>格式问题</groupName>
      <ability>L2_HalfPunc</ability>
      <abilityName>全半角检查</abilityName>
      <candidateList>
        <item>）</item>
      </candidateList>
      <explain>文本全半角错误。</explain>
      <paraID>44C1E7B9</paraID>
      <start>89</start>
      <end>90</end>
      <status>unmodified</status>
      <modifiedWord/>
      <trackRevisions>false</trackRevisions>
    </reviewItem>
    <reviewItem>
      <errorID>32252c0e-d8f9-4d21-9c79-5118b6be75ec</errorID>
      <errorWord>(</errorWord>
      <group>L1_Format</group>
      <groupName>格式问题</groupName>
      <ability>L2_HalfPunc</ability>
      <abilityName>全半角检查</abilityName>
      <candidateList>
        <item>（</item>
      </candidateList>
      <explain>文本全半角错误。</explain>
      <paraID>2E1DDC00</paraID>
      <start>17</start>
      <end>18</end>
      <status>unmodified</status>
      <modifiedWord/>
      <trackRevisions>false</trackRevisions>
    </reviewItem>
    <reviewItem>
      <errorID>357a19dd-3cde-4685-b5ab-011e343b73f3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2E1DDC00</paraID>
      <start>22</start>
      <end>23</end>
      <status>unmodified</status>
      <modifiedWord/>
      <trackRevisions>false</trackRevisions>
    </reviewItem>
    <reviewItem>
      <errorID>049e3b15-062e-4c1b-aad6-0e9b2ee28986</errorID>
      <errorWord>)</errorWord>
      <group>L1_Format</group>
      <groupName>格式问题</groupName>
      <ability>L2_HalfPunc</ability>
      <abilityName>全半角检查</abilityName>
      <candidateList>
        <item>）</item>
      </candidateList>
      <explain>文本全半角错误。</explain>
      <paraID>2E1DDC00</paraID>
      <start>28</start>
      <end>29</end>
      <status>unmodified</status>
      <modifiedWord/>
      <trackRevisions>false</trackRevisions>
    </reviewItem>
    <reviewItem>
      <errorID>260f2fbd-d826-43bf-8704-f0eb421b3847</errorID>
      <errorWord>(</errorWord>
      <group>L1_Format</group>
      <groupName>格式问题</groupName>
      <ability>L2_HalfPunc</ability>
      <abilityName>全半角检查</abilityName>
      <candidateList>
        <item>（</item>
      </candidateList>
      <explain>文本全半角错误。</explain>
      <paraID>7A40CC08</paraID>
      <start>39</start>
      <end>40</end>
      <status>unmodified</status>
      <modifiedWord/>
      <trackRevisions>false</trackRevisions>
    </reviewItem>
    <reviewItem>
      <errorID>cf01bae9-3681-4bca-84de-8f19bd6695b1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7A40CC08</paraID>
      <start>44</start>
      <end>45</end>
      <status>unmodified</status>
      <modifiedWord/>
      <trackRevisions>false</trackRevisions>
    </reviewItem>
    <reviewItem>
      <errorID>78976c67-3b5b-4cc5-ad94-46cc1f007e7d</errorID>
      <errorWord>)</errorWord>
      <group>L1_Format</group>
      <groupName>格式问题</groupName>
      <ability>L2_HalfPunc</ability>
      <abilityName>全半角检查</abilityName>
      <candidateList>
        <item>）</item>
      </candidateList>
      <explain>文本全半角错误。</explain>
      <paraID>7A40CC08</paraID>
      <start>50</start>
      <end>51</end>
      <status>unmodified</status>
      <modifiedWord/>
      <trackRevisions>false</trackRevisions>
    </reviewItem>
    <reviewItem>
      <errorID>21aa8fd3-f229-42e6-92d4-d6e1d89ecc95</errorID>
      <errorWord>[2024]122号</errorWord>
      <group>L1_Knowledge</group>
      <groupName>知识性问题</groupName>
      <ability>L2_Knowledge</ability>
      <abilityName>其他知识</abilityName>
      <candidateList>
        <item>〔2024〕122号</item>
      </candidateList>
      <explain>发文字号格式错误。</explain>
      <paraID> 793E984</paraID>
      <start>9</start>
      <end>19</end>
      <status>modified</status>
      <modifiedWord>〔2024〕122号</modifiedWord>
      <trackRevisions>false</trackRevisions>
    </reviewItem>
    <reviewItem>
      <errorID>21cd5710-0f24-4ac5-a367-e93e24427531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5D1F8DFB</paraID>
      <start>0</start>
      <end>2</end>
      <status>unmodified</status>
      <modifiedWord/>
      <trackRevisions>false</trackRevisions>
    </reviewItem>
    <reviewItem>
      <errorID>936b236d-a0af-439c-9cf5-cf6964d93ccf</errorID>
      <errorWord>(</errorWord>
      <group>L1_Format</group>
      <groupName>格式问题</groupName>
      <ability>L2_HalfPunc</ability>
      <abilityName>全半角检查</abilityName>
      <candidateList>
        <item>（</item>
      </candidateList>
      <explain>文本全半角错误。</explain>
      <paraID>5D1F8DFB</paraID>
      <start>18</start>
      <end>19</end>
      <status>unmodified</status>
      <modifiedWord/>
      <trackRevisions>false</trackRevisions>
    </reviewItem>
    <reviewItem>
      <errorID>50b1d231-e8b5-442b-b22f-c7ea6825e2d2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5D1F8DFB</paraID>
      <start>23</start>
      <end>24</end>
      <status>unmodified</status>
      <modifiedWord/>
      <trackRevisions>false</trackRevisions>
    </reviewItem>
    <reviewItem>
      <errorID>2be79744-a594-4c85-9874-04b799ea2aab</errorID>
      <errorWord>)</errorWord>
      <group>L1_Format</group>
      <groupName>格式问题</groupName>
      <ability>L2_HalfPunc</ability>
      <abilityName>全半角检查</abilityName>
      <candidateList>
        <item>）</item>
      </candidateList>
      <explain>文本全半角错误。</explain>
      <paraID>5D1F8DFB</paraID>
      <start>29</start>
      <end>30</end>
      <status>unmodified</status>
      <modifiedWord/>
      <trackRevisions>false</trackRevisions>
    </reviewItem>
    <reviewItem>
      <errorID>05fb22a2-dd8f-4aa6-b051-9ea01e43a5a7</errorID>
      <errorWord>(</errorWord>
      <group>L1_Format</group>
      <groupName>格式问题</groupName>
      <ability>L2_HalfPunc</ability>
      <abilityName>全半角检查</abilityName>
      <candidateList>
        <item>（</item>
      </candidateList>
      <explain>文本全半角错误。</explain>
      <paraID>5B362140</paraID>
      <start>22</start>
      <end>23</end>
      <status>unmodified</status>
      <modifiedWord/>
      <trackRevisions>false</trackRevisions>
    </reviewItem>
    <reviewItem>
      <errorID>1c5662fa-b78f-4edb-bc9d-e8c6452c849b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5B362140</paraID>
      <start>27</start>
      <end>28</end>
      <status>unmodified</status>
      <modifiedWord/>
      <trackRevisions>false</trackRevisions>
    </reviewItem>
    <reviewItem>
      <errorID>4a2b56d6-878d-457e-a7f1-9ead53f9dbec</errorID>
      <errorWord>)</errorWord>
      <group>L1_Format</group>
      <groupName>格式问题</groupName>
      <ability>L2_HalfPunc</ability>
      <abilityName>全半角检查</abilityName>
      <candidateList>
        <item>）</item>
      </candidateList>
      <explain>文本全半角错误。</explain>
      <paraID>5B362140</paraID>
      <start>33</start>
      <end>34</end>
      <status>unmodified</status>
      <modifiedWord/>
      <trackRevisions>false</trackRevisions>
    </reviewItem>
    <reviewItem>
      <errorID>8c3cc384-6e9b-4209-89b5-dcfa7ce38b25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7CBAD085</paraID>
      <start>20</start>
      <end>21</end>
      <status>unmodified</status>
      <modifiedWord/>
      <trackRevisions>false</trackRevisions>
    </reviewItem>
    <reviewItem>
      <errorID>eb628ba0-c427-4b9f-9d72-b9177e4e30ab</errorID>
      <errorWord>新型工业化、信息化、城镇化、农业现代化基本实现</errorWord>
      <group>L1_Political</group>
      <groupName>政治性问题</groupName>
      <ability>L2_Keyword</ability>
      <abilityName>固定表述</abilityName>
      <candidateList>
        <item>基本实现新型工业化、信息化、城镇化、农业现代化</item>
      </candidateList>
      <explain>词汇“基本实现新型工业化、信息化、城镇化、农业现代化”在特定场景下为固定表述形式，请确认此处的“新型工业化、信息化、城镇化、农业现代化基本实现”是否存在不当。</explain>
      <paraID> 541BD8E</paraID>
      <start>63</start>
      <end>86</end>
      <status>unmodified</status>
      <modifiedWord/>
      <trackRevisions>false</trackRevisions>
    </reviewItem>
    <reviewItem>
      <errorID>e4b485c0-45fe-4174-84be-eba11a1d8f17</errorID>
      <errorWord>生物多样性维护</errorWord>
      <group>L1_Political</group>
      <groupName>政治性问题</groupName>
      <ability>L2_Keyword</ability>
      <abilityName>固定表述</abilityName>
      <candidateList>
        <item>生物多样性保护</item>
      </candidateList>
      <explain>词汇“生物多样性保护”在特定场景下为固定表述形式，请确认此处的“生物多样性维护”是否存在不当。</explain>
      <paraID>306DC0D8</paraID>
      <start>54</start>
      <end>61</end>
      <status>unmodified</status>
      <modifiedWord/>
      <trackRevisions>false</trackRevisions>
    </reviewItem>
    <reviewItem>
      <errorID>7881cbaa-b508-4216-86b7-322acb2a28ac</errorID>
      <errorWord>分</errorWord>
      <group>L1_Grammar</group>
      <groupName>语法问题</groupName>
      <ability>L2_Collocation</ability>
      <abilityName>搭配不当</abilityName>
      <candidateList>
        <item>生态保护红线分</item>
      </candidateList>
      <explain>句子中可能存在主谓、动宾、定语中心语、状语中心语、补语中心语、关联词搭配不当等问题。</explain>
      <paraID>306DC0D8</paraID>
      <start>151</start>
      <end>152</end>
      <status>unmodified</status>
      <modifiedWord/>
      <trackRevisions>false</trackRevisions>
    </reviewItem>
    <reviewItem>
      <errorID>34831601-c649-46d0-b3aa-d3e1c992271d</errorID>
      <errorWord>(</errorWord>
      <group>L1_Format</group>
      <groupName>格式问题</groupName>
      <ability>L2_HalfPunc</ability>
      <abilityName>全半角检查</abilityName>
      <candidateList>
        <item>（</item>
      </candidateList>
      <explain>文本全半角错误。</explain>
      <paraID>1F39448F</paraID>
      <start>22</start>
      <end>23</end>
      <status>unmodified</status>
      <modifiedWord/>
      <trackRevisions>false</trackRevisions>
    </reviewItem>
    <reviewItem>
      <errorID>0073645e-d5fe-4154-9fd1-0c48fc0b8904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1F39448F</paraID>
      <start>27</start>
      <end>28</end>
      <status>unmodified</status>
      <modifiedWord/>
      <trackRevisions>false</trackRevisions>
    </reviewItem>
    <reviewItem>
      <errorID>6254ed81-b6d0-4f5f-a1b4-2f9efd2299e7</errorID>
      <errorWord>)</errorWord>
      <group>L1_Format</group>
      <groupName>格式问题</groupName>
      <ability>L2_HalfPunc</ability>
      <abilityName>全半角检查</abilityName>
      <candidateList>
        <item>）</item>
      </candidateList>
      <explain>文本全半角错误。</explain>
      <paraID>1F39448F</paraID>
      <start>33</start>
      <end>34</end>
      <status>unmodified</status>
      <modifiedWord/>
      <trackRevisions>false</trackRevisions>
    </reviewItem>
    <reviewItem>
      <errorID>7838d872-5dcf-4869-a0fe-27116f21ab51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2FC70595</paraID>
      <start>0</start>
      <end>2</end>
      <status>unmodified</status>
      <modifiedWord/>
      <trackRevisions>false</trackRevisions>
    </reviewItem>
    <reviewItem>
      <errorID>0dd35773-c8aa-47f1-9505-661f281b2b02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1023022</paraID>
      <start>0</start>
      <end>2</end>
      <status>unmodified</status>
      <modifiedWord/>
      <trackRevisions>false</trackRevisions>
    </reviewItem>
    <reviewItem>
      <errorID>75826402-c22a-4867-b6f6-1abca8a72c21</errorID>
      <errorWord>（2007）第0047号</errorWord>
      <group>L1_Knowledge</group>
      <groupName>知识性问题</groupName>
      <ability>L2_Knowledge</ability>
      <abilityName>其他知识</abilityName>
      <candidateList>
        <item>〔2007〕47号</item>
      </candidateList>
      <explain>发文字号格式错误。</explain>
      <paraID>28596E49</paraID>
      <start>118</start>
      <end>127</end>
      <status>modified</status>
      <modifiedWord>〔2007〕47号</modifiedWord>
      <trackRevisions>false</trackRevisions>
    </reviewItem>
    <reviewItem>
      <errorID>08c59689-5c8d-4010-b7a3-b3e8d4f00295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254EBB98</paraID>
      <start>0</start>
      <end>2</end>
      <status>unmodified</status>
      <modifiedWord/>
      <trackRevisions>false</trackRevisions>
    </reviewItem>
    <reviewItem>
      <errorID>c9bde03a-aa41-4b27-9582-88a56043da5a</errorID>
      <errorWord>或者</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4E4785F2</paraID>
      <start>71</start>
      <end>73</end>
      <status>unmodified</status>
      <modifiedWord/>
      <trackRevisions>false</trackRevisions>
    </reviewItem>
    <reviewItem>
      <errorID>7b989bd3-e9b9-44a6-ba72-929fd883f35a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4B7634A9</paraID>
      <start>0</start>
      <end>3</end>
      <status>unmodified</status>
      <modifiedWord/>
      <trackRevisions>false</trackRevisions>
    </reviewItem>
    <reviewItem>
      <errorID>6c12cc74-aa11-405c-87f6-9ffe2db12e3e</errorID>
      <errorWord>(</errorWord>
      <group>L1_Format</group>
      <groupName>格式问题</groupName>
      <ability>L2_HalfPunc</ability>
      <abilityName>全半角检查</abilityName>
      <candidateList>
        <item>（</item>
      </candidateList>
      <explain>文本全半角错误。</explain>
      <paraID>4B7634A9</paraID>
      <start>41</start>
      <end>42</end>
      <status>unmodified</status>
      <modifiedWord/>
      <trackRevisions>false</trackRevisions>
    </reviewItem>
    <reviewItem>
      <errorID>56a573be-7cdd-46bb-b148-8baaeb6d8f34</errorID>
      <errorWord>)</errorWord>
      <group>L1_Format</group>
      <groupName>格式问题</groupName>
      <ability>L2_HalfPunc</ability>
      <abilityName>全半角检查</abilityName>
      <candidateList>
        <item>）</item>
      </candidateList>
      <explain>文本全半角错误。</explain>
      <paraID>4B7634A9</paraID>
      <start>48</start>
      <end>49</end>
      <status>unmodified</status>
      <modifiedWord/>
      <trackRevisions>false</trackRevisions>
    </reviewItem>
    <reviewItem>
      <errorID>5845387f-a14c-4165-a0a9-205854051883</errorID>
      <errorWord>难入</errorWord>
      <group>L1_Word</group>
      <groupName>字词问题</groupName>
      <ability>L2_Typo</ability>
      <abilityName>字词错误</abilityName>
      <candidateList>
        <item>纳入</item>
      </candidateList>
      <explain>存在发音相近字词的误用。</explain>
      <paraID>4B7634A9</paraID>
      <start>67</start>
      <end>69</end>
      <status>unmodified</status>
      <modifiedWord/>
      <trackRevisions>false</trackRevisions>
    </reviewItem>
    <reviewItem>
      <errorID>bac2d6a8-0c4e-4dde-9b30-3cd3aeead2aa</errorID>
      <errorWord>(</errorWord>
      <group>L1_Format</group>
      <groupName>格式问题</groupName>
      <ability>L2_HalfPunc</ability>
      <abilityName>全半角检查</abilityName>
      <candidateList>
        <item>（</item>
      </candidateList>
      <explain>文本全半角错误。</explain>
      <paraID>4B7634A9</paraID>
      <start>71</start>
      <end>72</end>
      <status>unmodified</status>
      <modifiedWord/>
      <trackRevisions>false</trackRevisions>
    </reviewItem>
    <reviewItem>
      <errorID>a4aef127-f55d-4a7b-b509-b3b40ca81723</errorID>
      <errorWord>)</errorWord>
      <group>L1_Format</group>
      <groupName>格式问题</groupName>
      <ability>L2_HalfPunc</ability>
      <abilityName>全半角检查</abilityName>
      <candidateList>
        <item>）</item>
      </candidateList>
      <explain>文本全半角错误。</explain>
      <paraID>4B7634A9</paraID>
      <start>73</start>
      <end>74</end>
      <status>unmodified</status>
      <modifiedWord/>
      <trackRevisions>false</trackRevisions>
    </reviewItem>
    <reviewItem>
      <errorID>95b36992-3fdf-4ee6-b62c-cef0a5763fa7</errorID>
      <errorWord>城市建民</errorWord>
      <group>L1_Word</group>
      <groupName>字词问题</groupName>
      <ability>L2_Typo</ability>
      <abilityName>字词错误</abilityName>
      <candidateList>
        <item>城市建设</item>
      </candidateList>
      <explain/>
      <paraID>4B7634A9</paraID>
      <start>78</start>
      <end>82</end>
      <status>unmodified</status>
      <modifiedWord/>
      <trackRevisions>false</trackRevisions>
    </reviewItem>
    <reviewItem>
      <errorID>851e8d88-7006-426e-adc3-e438ddaa5fa3</errorID>
      <errorWord>(</errorWord>
      <group>L1_Format</group>
      <groupName>格式问题</groupName>
      <ability>L2_HalfPunc</ability>
      <abilityName>全半角检查</abilityName>
      <candidateList>
        <item>（</item>
      </candidateList>
      <explain>文本全半角错误。</explain>
      <paraID>4B7634A9</paraID>
      <start>143</start>
      <end>144</end>
      <status>unmodified</status>
      <modifiedWord/>
      <trackRevisions>false</trackRevisions>
    </reviewItem>
    <reviewItem>
      <errorID>b6fd6c3c-cbea-41b6-9879-3d702cce8b3f</errorID>
      <errorWord>)</errorWord>
      <group>L1_Format</group>
      <groupName>格式问题</groupName>
      <ability>L2_HalfPunc</ability>
      <abilityName>全半角检查</abilityName>
      <candidateList>
        <item>）</item>
      </candidateList>
      <explain>文本全半角错误。</explain>
      <paraID>4B7634A9</paraID>
      <start>145</start>
      <end>146</end>
      <status>unmodified</status>
      <modifiedWord/>
      <trackRevisions>false</trackRevisions>
    </reviewItem>
    <reviewItem>
      <errorID>8911d252-00c2-4434-8ee1-8a013a6e7476</errorID>
      <errorWord>(</errorWord>
      <group>L1_Format</group>
      <groupName>格式问题</groupName>
      <ability>L2_HalfPunc</ability>
      <abilityName>全半角检查</abilityName>
      <candidateList>
        <item>（</item>
      </candidateList>
      <explain>文本全半角错误。</explain>
      <paraID>4B7634A9</paraID>
      <start>194</start>
      <end>195</end>
      <status>unmodified</status>
      <modifiedWord/>
      <trackRevisions>false</trackRevisions>
    </reviewItem>
    <reviewItem>
      <errorID>7cb00ff7-6084-4d65-8785-eaf0ce07a016</errorID>
      <errorWord>)</errorWord>
      <group>L1_Format</group>
      <groupName>格式问题</groupName>
      <ability>L2_HalfPunc</ability>
      <abilityName>全半角检查</abilityName>
      <candidateList>
        <item>）</item>
      </candidateList>
      <explain>文本全半角错误。</explain>
      <paraID>4B7634A9</paraID>
      <start>196</start>
      <end>197</end>
      <status>unmodified</status>
      <modifiedWord/>
      <trackRevisions>false</trackRevisions>
    </reviewItem>
    <reviewItem>
      <errorID>466334fe-3b07-472d-bb87-f63f5b1db7e1</errorID>
      <errorWord>(</errorWord>
      <group>L1_Format</group>
      <groupName>格式问题</groupName>
      <ability>L2_HalfPunc</ability>
      <abilityName>全半角检查</abilityName>
      <candidateList>
        <item>（</item>
      </candidateList>
      <explain>文本全半角错误。</explain>
      <paraID>4B7634A9</paraID>
      <start>253</start>
      <end>254</end>
      <status>unmodified</status>
      <modifiedWord/>
      <trackRevisions>false</trackRevisions>
    </reviewItem>
    <reviewItem>
      <errorID>885a216a-cbf0-4d30-873f-c059f5cf43ab</errorID>
      <errorWord>)</errorWord>
      <group>L1_Format</group>
      <groupName>格式问题</groupName>
      <ability>L2_HalfPunc</ability>
      <abilityName>全半角检查</abilityName>
      <candidateList>
        <item>）</item>
      </candidateList>
      <explain>文本全半角错误。</explain>
      <paraID>4B7634A9</paraID>
      <start>255</start>
      <end>256</end>
      <status>unmodified</status>
      <modifiedWord/>
      <trackRevisions>false</trackRevisions>
    </reviewItem>
    <reviewItem>
      <errorID>0e54941d-9c7a-4895-9f5b-5c6d6e43e379</errorID>
      <errorWord>(</errorWord>
      <group>L1_Format</group>
      <groupName>格式问题</groupName>
      <ability>L2_HalfPunc</ability>
      <abilityName>全半角检查</abilityName>
      <candidateList>
        <item>（</item>
      </candidateList>
      <explain>文本全半角错误。</explain>
      <paraID>4B7634A9</paraID>
      <start>286</start>
      <end>287</end>
      <status>unmodified</status>
      <modifiedWord/>
      <trackRevisions>false</trackRevisions>
    </reviewItem>
    <reviewItem>
      <errorID>07c3285f-ae8a-4cc0-8292-02721550976f</errorID>
      <errorWord>)</errorWord>
      <group>L1_Format</group>
      <groupName>格式问题</groupName>
      <ability>L2_HalfPunc</ability>
      <abilityName>全半角检查</abilityName>
      <candidateList>
        <item>）</item>
      </candidateList>
      <explain>文本全半角错误。</explain>
      <paraID>4B7634A9</paraID>
      <start>288</start>
      <end>289</end>
      <status>unmodified</status>
      <modifiedWord/>
      <trackRevisions>false</trackRevisions>
    </reviewItem>
    <reviewItem>
      <errorID>947f010f-c48c-4ef3-9c01-10ba8bb661d5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33799A5F</paraID>
      <start>0</start>
      <end>3</end>
      <status>unmodified</status>
      <modifiedWord/>
      <trackRevisions>false</trackRevisions>
    </reviewItem>
    <reviewItem>
      <errorID>d74b50c9-2899-4a43-88f6-f830c0db2820</errorID>
      <errorWord>(</errorWord>
      <group>L1_Format</group>
      <groupName>格式问题</groupName>
      <ability>L2_HalfPunc</ability>
      <abilityName>全半角检查</abilityName>
      <candidateList>
        <item>（</item>
      </candidateList>
      <explain>文本全半角错误。</explain>
      <paraID>33799A5F</paraID>
      <start>32</start>
      <end>33</end>
      <status>unmodified</status>
      <modifiedWord/>
      <trackRevisions>false</trackRevisions>
    </reviewItem>
    <reviewItem>
      <errorID>061fb972-7dfd-4cbf-bd29-71250a3b83d7</errorID>
      <errorWord>)</errorWord>
      <group>L1_Format</group>
      <groupName>格式问题</groupName>
      <ability>L2_HalfPunc</ability>
      <abilityName>全半角检查</abilityName>
      <candidateList>
        <item>）</item>
      </candidateList>
      <explain>文本全半角错误。</explain>
      <paraID>33799A5F</paraID>
      <start>34</start>
      <end>35</end>
      <status>unmodified</status>
      <modifiedWord/>
      <trackRevisions>false</trackRevisions>
    </reviewItem>
    <reviewItem>
      <errorID>48b28134-ca74-40cc-a7f3-9c530c944715</errorID>
      <errorWord>(</errorWord>
      <group>L1_Format</group>
      <groupName>格式问题</groupName>
      <ability>L2_HalfPunc</ability>
      <abilityName>全半角检查</abilityName>
      <candidateList>
        <item>（</item>
      </candidateList>
      <explain>文本全半角错误。</explain>
      <paraID>33799A5F</paraID>
      <start>48</start>
      <end>49</end>
      <status>unmodified</status>
      <modifiedWord/>
      <trackRevisions>false</trackRevisions>
    </reviewItem>
    <reviewItem>
      <errorID>aa31e903-3cb8-4e91-8699-6ac6a042ad5c</errorID>
      <errorWord>)</errorWord>
      <group>L1_Format</group>
      <groupName>格式问题</groupName>
      <ability>L2_HalfPunc</ability>
      <abilityName>全半角检查</abilityName>
      <candidateList>
        <item>）</item>
      </candidateList>
      <explain>文本全半角错误。</explain>
      <paraID>33799A5F</paraID>
      <start>50</start>
      <end>51</end>
      <status>unmodified</status>
      <modifiedWord/>
      <trackRevisions>false</trackRevisions>
    </reviewItem>
    <reviewItem>
      <errorID>f03c6c07-9b32-4672-9512-4ee86633d5a3</errorID>
      <errorWord>(</errorWord>
      <group>L1_Format</group>
      <groupName>格式问题</groupName>
      <ability>L2_HalfPunc</ability>
      <abilityName>全半角检查</abilityName>
      <candidateList>
        <item>（</item>
      </candidateList>
      <explain>文本全半角错误。</explain>
      <paraID>33799A5F</paraID>
      <start>73</start>
      <end>74</end>
      <status>unmodified</status>
      <modifiedWord/>
      <trackRevisions>false</trackRevisions>
    </reviewItem>
    <reviewItem>
      <errorID>d6bff047-1062-4fe3-a761-9efd19148fb5</errorID>
      <errorWord>)</errorWord>
      <group>L1_Format</group>
      <groupName>格式问题</groupName>
      <ability>L2_HalfPunc</ability>
      <abilityName>全半角检查</abilityName>
      <candidateList>
        <item>）</item>
      </candidateList>
      <explain>文本全半角错误。</explain>
      <paraID>33799A5F</paraID>
      <start>82</start>
      <end>83</end>
      <status>unmodified</status>
      <modifiedWord/>
      <trackRevisions>false</trackRevisions>
    </reviewItem>
    <reviewItem>
      <errorID>50142e1e-4bda-44aa-b1b3-0023013f3ee9</errorID>
      <errorWord>(</errorWord>
      <group>L1_Format</group>
      <groupName>格式问题</groupName>
      <ability>L2_HalfPunc</ability>
      <abilityName>全半角检查</abilityName>
      <candidateList>
        <item>（</item>
      </candidateList>
      <explain>文本全半角错误。</explain>
      <paraID>33799A5F</paraID>
      <start>136</start>
      <end>137</end>
      <status>unmodified</status>
      <modifiedWord/>
      <trackRevisions>false</trackRevisions>
    </reviewItem>
    <reviewItem>
      <errorID>9bdd1593-2121-4f6b-94ea-7cbd59da32c1</errorID>
      <errorWord>)</errorWord>
      <group>L1_Format</group>
      <groupName>格式问题</groupName>
      <ability>L2_HalfPunc</ability>
      <abilityName>全半角检查</abilityName>
      <candidateList>
        <item>）</item>
      </candidateList>
      <explain>文本全半角错误。</explain>
      <paraID>33799A5F</paraID>
      <start>138</start>
      <end>139</end>
      <status>unmodified</status>
      <modifiedWord/>
      <trackRevisions>false</trackRevisions>
    </reviewItem>
    <reviewItem>
      <errorID>1e62a998-4c8b-445b-8791-ec5c31e37204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607DF880</paraID>
      <start>0</start>
      <end>3</end>
      <status>unmodified</status>
      <modifiedWord/>
      <trackRevisions>false</trackRevisions>
    </reviewItem>
    <reviewItem>
      <errorID>05af189c-a8f7-4780-8b42-32b12a02b6bd</errorID>
      <errorWord>(</errorWord>
      <group>L1_Format</group>
      <groupName>格式问题</groupName>
      <ability>L2_HalfPunc</ability>
      <abilityName>全半角检查</abilityName>
      <candidateList>
        <item>（</item>
      </candidateList>
      <explain>文本全半角错误。</explain>
      <paraID>607DF880</paraID>
      <start>21</start>
      <end>22</end>
      <status>unmodified</status>
      <modifiedWord/>
      <trackRevisions>false</trackRevisions>
    </reviewItem>
    <reviewItem>
      <errorID>03b4a94a-8d72-4b30-9125-49ff8e255c86</errorID>
      <errorWord>)</errorWord>
      <group>L1_Format</group>
      <groupName>格式问题</groupName>
      <ability>L2_HalfPunc</ability>
      <abilityName>全半角检查</abilityName>
      <candidateList>
        <item>）</item>
      </candidateList>
      <explain>文本全半角错误。</explain>
      <paraID>607DF880</paraID>
      <start>24</start>
      <end>25</end>
      <status>unmodified</status>
      <modifiedWord/>
      <trackRevisions>false</trackRevisions>
    </reviewItem>
    <reviewItem>
      <errorID>4103de86-3dfd-4947-8709-299ed85e957c</errorID>
      <errorWord>(</errorWord>
      <group>L1_Format</group>
      <groupName>格式问题</groupName>
      <ability>L2_HalfPunc</ability>
      <abilityName>全半角检查</abilityName>
      <candidateList>
        <item>（</item>
      </candidateList>
      <explain>文本全半角错误。</explain>
      <paraID>607DF880</paraID>
      <start>28</start>
      <end>29</end>
      <status>unmodified</status>
      <modifiedWord/>
      <trackRevisions>false</trackRevisions>
    </reviewItem>
    <reviewItem>
      <errorID>3c500d67-2444-4e19-8f52-362bb734ca68</errorID>
      <errorWord>)</errorWord>
      <group>L1_Format</group>
      <groupName>格式问题</groupName>
      <ability>L2_HalfPunc</ability>
      <abilityName>全半角检查</abilityName>
      <candidateList>
        <item>）</item>
      </candidateList>
      <explain>文本全半角错误。</explain>
      <paraID>607DF880</paraID>
      <start>31</start>
      <end>32</end>
      <status>unmodified</status>
      <modifiedWord/>
      <trackRevisions>false</trackRevisions>
    </reviewItem>
    <reviewItem>
      <errorID>d8ad6f7a-7b4b-48be-ad22-a53e6a4c2056</errorID>
      <errorWord>(</errorWord>
      <group>L1_Format</group>
      <groupName>格式问题</groupName>
      <ability>L2_HalfPunc</ability>
      <abilityName>全半角检查</abilityName>
      <candidateList>
        <item>（</item>
      </candidateList>
      <explain>文本全半角错误。</explain>
      <paraID>607DF880</paraID>
      <start>35</start>
      <end>36</end>
      <status>unmodified</status>
      <modifiedWord/>
      <trackRevisions>false</trackRevisions>
    </reviewItem>
    <reviewItem>
      <errorID>d33120f1-c92f-4202-b3b2-c680ed31bd88</errorID>
      <errorWord>)</errorWord>
      <group>L1_Format</group>
      <groupName>格式问题</groupName>
      <ability>L2_HalfPunc</ability>
      <abilityName>全半角检查</abilityName>
      <candidateList>
        <item>）</item>
      </candidateList>
      <explain>文本全半角错误。</explain>
      <paraID>607DF880</paraID>
      <start>38</start>
      <end>39</end>
      <status>unmodified</status>
      <modifiedWord/>
      <trackRevisions>false</trackRevisions>
    </reviewItem>
    <reviewItem>
      <errorID>df32eb65-a38d-48b2-81c2-ade2eaa465dc</errorID>
      <errorWord>(</errorWord>
      <group>L1_Format</group>
      <groupName>格式问题</groupName>
      <ability>L2_HalfPunc</ability>
      <abilityName>全半角检查</abilityName>
      <candidateList>
        <item>（</item>
      </candidateList>
      <explain>文本全半角错误。</explain>
      <paraID>607DF880</paraID>
      <start>42</start>
      <end>43</end>
      <status>unmodified</status>
      <modifiedWord/>
      <trackRevisions>false</trackRevisions>
    </reviewItem>
    <reviewItem>
      <errorID>bb202d69-00fd-43aa-8413-374c3845c2a3</errorID>
      <errorWord>)</errorWord>
      <group>L1_Format</group>
      <groupName>格式问题</groupName>
      <ability>L2_HalfPunc</ability>
      <abilityName>全半角检查</abilityName>
      <candidateList>
        <item>）</item>
      </candidateList>
      <explain>文本全半角错误。</explain>
      <paraID>607DF880</paraID>
      <start>45</start>
      <end>46</end>
      <status>unmodified</status>
      <modifiedWord/>
      <trackRevisions>false</trackRevisions>
    </reviewItem>
    <reviewItem>
      <errorID>80832fb6-7316-41f2-baf4-a83208d59683</errorID>
      <errorWord>(</errorWord>
      <group>L1_Format</group>
      <groupName>格式问题</groupName>
      <ability>L2_HalfPunc</ability>
      <abilityName>全半角检查</abilityName>
      <candidateList>
        <item>（</item>
      </candidateList>
      <explain>文本全半角错误。</explain>
      <paraID>607DF880</paraID>
      <start>107</start>
      <end>108</end>
      <status>unmodified</status>
      <modifiedWord/>
      <trackRevisions>false</trackRevisions>
    </reviewItem>
    <reviewItem>
      <errorID>16cec08d-1020-4eff-9339-9635b4169bd3</errorID>
      <errorWord>)</errorWord>
      <group>L1_Format</group>
      <groupName>格式问题</groupName>
      <ability>L2_HalfPunc</ability>
      <abilityName>全半角检查</abilityName>
      <candidateList>
        <item>）</item>
      </candidateList>
      <explain>文本全半角错误。</explain>
      <paraID>607DF880</paraID>
      <start>110</start>
      <end>111</end>
      <status>unmodified</status>
      <modifiedWord/>
      <trackRevisions>false</trackRevisions>
    </reviewItem>
    <reviewItem>
      <errorID>0fe658c6-7ee5-4091-9d94-85de8c8cecaf</errorID>
      <errorWord>(</errorWord>
      <group>L1_Format</group>
      <groupName>格式问题</groupName>
      <ability>L2_HalfPunc</ability>
      <abilityName>全半角检查</abilityName>
      <candidateList>
        <item>（</item>
      </candidateList>
      <explain>文本全半角错误。</explain>
      <paraID>607DF880</paraID>
      <start>190</start>
      <end>191</end>
      <status>unmodified</status>
      <modifiedWord/>
      <trackRevisions>false</trackRevisions>
    </reviewItem>
    <reviewItem>
      <errorID>566d3092-4488-4bee-994f-7e5d922d932e</errorID>
      <errorWord>)</errorWord>
      <group>L1_Format</group>
      <groupName>格式问题</groupName>
      <ability>L2_HalfPunc</ability>
      <abilityName>全半角检查</abilityName>
      <candidateList>
        <item>）</item>
      </candidateList>
      <explain>文本全半角错误。</explain>
      <paraID>607DF880</paraID>
      <start>192</start>
      <end>193</end>
      <status>unmodified</status>
      <modifiedWord/>
      <trackRevisions>false</trackRevisions>
    </reviewItem>
    <reviewItem>
      <errorID>a91c3600-f749-4b18-901c-d895e555a47c</errorID>
      <errorWord>影响的</errorWord>
      <group>L1_Word</group>
      <groupName>字词问题</groupName>
      <ability>L2_Typo</ability>
      <abilityName>字词错误</abilityName>
      <candidateList>
        <item>影响</item>
      </candidateList>
      <explain>❶〈动〉对别人的思想或行动起作用（如影之随形，响之应声）：父母应该用自己的模范行动去～孩子。❷〈名〉对人或事物所起的作用：这件事造成很大的～。❸〈书〉〈形〉传闻的；无根据的：模糊～之谈。</explain>
      <paraID>607DF880</paraID>
      <start>342</start>
      <end>345</end>
      <status>unmodified</status>
      <modifiedWord/>
      <trackRevisions>false</trackRevisions>
    </reviewItem>
    <reviewItem>
      <errorID>6f3be4f7-870d-4cbf-88a0-08a00be5dd14</errorID>
      <errorWord>(</errorWord>
      <group>L1_Format</group>
      <groupName>格式问题</groupName>
      <ability>L2_HalfPunc</ability>
      <abilityName>全半角检查</abilityName>
      <candidateList>
        <item>（</item>
      </candidateList>
      <explain>文本全半角错误。</explain>
      <paraID> CA7C015</paraID>
      <start>40</start>
      <end>41</end>
      <status>unmodified</status>
      <modifiedWord/>
      <trackRevisions>false</trackRevisions>
    </reviewItem>
    <reviewItem>
      <errorID>e4f18535-485e-4645-b8d5-1d85f621bd9a</errorID>
      <errorWord>[2021]10号</errorWord>
      <group>L1_Knowledge</group>
      <groupName>知识性问题</groupName>
      <ability>L2_Knowledge</ability>
      <abilityName>其他知识</abilityName>
      <candidateList>
        <item>〔2021〕10号</item>
      </candidateList>
      <explain>发文字号格式错误。</explain>
      <paraID> CA7C015</paraID>
      <start>44</start>
      <end>53</end>
      <status>modified</status>
      <modifiedWord>〔2021〕10号</modifiedWord>
      <trackRevisions>false</trackRevisions>
    </reviewItem>
    <reviewItem>
      <errorID>779a73d2-f634-4da1-9770-c7d8130a81ef</errorID>
      <errorWord>)</errorWord>
      <group>L1_Format</group>
      <groupName>格式问题</groupName>
      <ability>L2_HalfPunc</ability>
      <abilityName>全半角检查</abilityName>
      <candidateList>
        <item>）</item>
      </candidateList>
      <explain>文本全半角错误。</explain>
      <paraID> CA7C015</paraID>
      <start>53</start>
      <end>54</end>
      <status>unmodified</status>
      <modifiedWord/>
      <trackRevisions>false</trackRevisions>
    </reviewItem>
    <reviewItem>
      <errorID>cda4df04-0952-4113-bca8-20253f561a36</errorID>
      <errorWord>(</errorWord>
      <group>L1_Format</group>
      <groupName>格式问题</groupName>
      <ability>L2_HalfPunc</ability>
      <abilityName>全半角检查</abilityName>
      <candidateList>
        <item>（</item>
      </candidateList>
      <explain>文本全半角错误。</explain>
      <paraID> CA7C015</paraID>
      <start>73</start>
      <end>74</end>
      <status>unmodified</status>
      <modifiedWord/>
      <trackRevisions>false</trackRevisions>
    </reviewItem>
    <reviewItem>
      <errorID>f2ef40f6-f96f-4177-a8e4-49d3983862df</errorID>
      <errorWord>)</errorWord>
      <group>L1_Format</group>
      <groupName>格式问题</groupName>
      <ability>L2_HalfPunc</ability>
      <abilityName>全半角检查</abilityName>
      <candidateList>
        <item>）</item>
      </candidateList>
      <explain>文本全半角错误。</explain>
      <paraID> CA7C015</paraID>
      <start>81</start>
      <end>82</end>
      <status>unmodified</status>
      <modifiedWord/>
      <trackRevisions>false</trackRevisions>
    </reviewItem>
    <reviewItem>
      <errorID>f97e10fe-4fe9-453b-be76-e4417f50cae7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6185B0A7</paraID>
      <start>0</start>
      <end>2</end>
      <status>unmodified</status>
      <modifiedWord/>
      <trackRevisions>false</trackRevisions>
    </reviewItem>
    <reviewItem>
      <errorID>ee14b59d-f75e-44ff-914f-c1a50482522c</errorID>
      <errorWord>》中</errorWord>
      <group>L1_Word</group>
      <groupName>字词问题</groupName>
      <ability>L2_Typo</ability>
      <abilityName>字词错误</abilityName>
      <candidateList>
        <item>》</item>
      </candidateList>
      <explain/>
      <paraID>1C3655AC</paraID>
      <start>22</start>
      <end>24</end>
      <status>unmodified</status>
      <modifiedWord/>
      <trackRevisions>false</trackRevisions>
    </reviewItem>
    <reviewItem>
      <errorID>1c8c590a-12d9-4e44-8a97-6a310818cba6</errorID>
      <errorWord>》中</errorWord>
      <group>L1_Word</group>
      <groupName>字词问题</groupName>
      <ability>L2_Typo</ability>
      <abilityName>字词错误</abilityName>
      <candidateList>
        <item>》</item>
      </candidateList>
      <explain/>
      <paraID>4836A2CA</paraID>
      <start>21</start>
      <end>23</end>
      <status>unmodified</status>
      <modifiedWord/>
      <trackRevisions>false</trackRevisions>
    </reviewItem>
    <reviewItem>
      <errorID>f38dbecb-ed3a-48f0-b24d-ebe7af33ffeb</errorID>
      <errorWord>城乡结合部</errorWord>
      <group>L1_Knowledge</group>
      <groupName>知识性问题</groupName>
      <ability>L2_Knowledge</ability>
      <abilityName>其他知识</abilityName>
      <candidateList>
        <item>城乡接合部</item>
      </candidateList>
      <explain/>
      <paraID>3B0C47EB</paraID>
      <start>118</start>
      <end>123</end>
      <status>unmodified</status>
      <modifiedWord/>
      <trackRevisions>false</trackRevisions>
    </reviewItem>
    <reviewItem>
      <errorID>641819be-4264-4eed-bbb6-f92d79f1be53</errorID>
      <errorWord>[2022]8号</errorWord>
      <group>L1_Knowledge</group>
      <groupName>知识性问题</groupName>
      <ability>L2_Knowledge</ability>
      <abilityName>其他知识</abilityName>
      <candidateList>
        <item>〔2022〕8号</item>
      </candidateList>
      <explain>发文字号格式错误。</explain>
      <paraID>261E854F</paraID>
      <start>29</start>
      <end>37</end>
      <status>modified</status>
      <modifiedWord>〔2022〕8号</modifiedWord>
      <trackRevisions>false</trackRevisions>
    </reviewItem>
    <reviewItem>
      <errorID>46664958-1239-4b3b-bbb2-7d1b5501b2a2</errorID>
      <errorWord>进</errorWord>
      <group>L1_Word</group>
      <groupName>字词问题</groupName>
      <ability>L2_Typo</ability>
      <abilityName>字词错误</abilityName>
      <candidateList>
        <item>进具</item>
      </candidateList>
      <explain/>
      <paraID>5BDBBCF7</paraID>
      <start>146</start>
      <end>147</end>
      <status>unmodified</status>
      <modifiedWord/>
      <trackRevisions>false</trackRevisions>
    </reviewItem>
    <reviewItem>
      <errorID>8f206946-7e7d-4b69-917c-47aa083b20cd</errorID>
      <errorWord>(</errorWord>
      <group>L1_Format</group>
      <groupName>格式问题</groupName>
      <ability>L2_HalfPunc</ability>
      <abilityName>全半角检查</abilityName>
      <candidateList>
        <item>（</item>
      </candidateList>
      <explain>文本全半角错误。</explain>
      <paraID>5FB976CA</paraID>
      <start>156</start>
      <end>157</end>
      <status>unmodified</status>
      <modifiedWord/>
      <trackRevisions>false</trackRevisions>
    </reviewItem>
    <reviewItem>
      <errorID>516aeaf8-db9a-4a1a-889c-a62a2a022c43</errorID>
      <errorWord>)</errorWord>
      <group>L1_Format</group>
      <groupName>格式问题</groupName>
      <ability>L2_HalfPunc</ability>
      <abilityName>全半角检查</abilityName>
      <candidateList>
        <item>）</item>
      </candidateList>
      <explain>文本全半角错误。</explain>
      <paraID>5FB976CA</paraID>
      <start>186</start>
      <end>187</end>
      <status>unmodified</status>
      <modifiedWord/>
      <trackRevisions>false</trackRevisions>
    </reviewItem>
    <reviewItem>
      <errorID>32805a62-94be-4510-ae8e-24afcf0b2cab</errorID>
      <errorWord>(</errorWord>
      <group>L1_Format</group>
      <groupName>格式问题</groupName>
      <ability>L2_HalfPunc</ability>
      <abilityName>全半角检查</abilityName>
      <candidateList>
        <item>（</item>
      </candidateList>
      <explain>文本全半角错误。</explain>
      <paraID>78F7B577</paraID>
      <start>81</start>
      <end>82</end>
      <status>unmodified</status>
      <modifiedWord/>
      <trackRevisions>false</trackRevisions>
    </reviewItem>
    <reviewItem>
      <errorID>4de20ac4-e017-43bf-b0e3-0e1e4dbf7d64</errorID>
      <errorWord>)</errorWord>
      <group>L1_Format</group>
      <groupName>格式问题</groupName>
      <ability>L2_HalfPunc</ability>
      <abilityName>全半角检查</abilityName>
      <candidateList>
        <item>）</item>
      </candidateList>
      <explain>文本全半角错误。</explain>
      <paraID>78F7B577</paraID>
      <start>88</start>
      <end>89</end>
      <status>unmodified</status>
      <modifiedWord/>
      <trackRevisions>false</trackRevisions>
    </reviewItem>
    <reviewItem>
      <errorID>87311009-1c73-4c8f-8af4-055c2c90e469</errorID>
      <errorWord>城乡结合部</errorWord>
      <group>L1_Knowledge</group>
      <groupName>知识性问题</groupName>
      <ability>L2_Knowledge</ability>
      <abilityName>其他知识</abilityName>
      <candidateList>
        <item>城乡接合部</item>
      </candidateList>
      <explain/>
      <paraID>70CC705C</paraID>
      <start>99</start>
      <end>104</end>
      <status>unmodified</status>
      <modifiedWord/>
      <trackRevisions>false</trackRevisions>
    </reviewItem>
    <reviewItem>
      <errorID>4b9f607d-68e6-495b-8f9d-e4c4d127c803</errorID>
      <errorWord>“</errorWord>
      <group>L1_Punc</group>
      <groupName>标点问题</groupName>
      <ability>L2_Punc</ability>
      <abilityName>标点符号检查</abilityName>
      <candidateList>
        <item>‘</item>
      </candidateList>
      <explain>当引号中还需要使用引号时，外面一层用双引号，里面一层用单引号。</explain>
      <paraID>7BA40F77</paraID>
      <start>15</start>
      <end>16</end>
      <status>unmodified</status>
      <modifiedWord/>
      <trackRevisions>false</trackRevisions>
    </reviewItem>
    <reviewItem>
      <errorID>2583be56-7e14-4fd8-b907-70d52c69ec15</errorID>
      <errorWord>”</errorWord>
      <group>L1_Punc</group>
      <groupName>标点问题</groupName>
      <ability>L2_Punc</ability>
      <abilityName>标点符号检查</abilityName>
      <candidateList>
        <item>’</item>
      </candidateList>
      <explain>当引号中还需要使用引号时，外面一层用双引号，里面一层用单引号。</explain>
      <paraID>7BA40F77</paraID>
      <start>19</start>
      <end>20</end>
      <status>unmodified</status>
      <modifiedWord/>
      <trackRevisions>false</trackRevisions>
    </reviewItem>
    <reviewItem>
      <errorID>81b0c554-9b1b-4a26-94a8-2c9f5a3df8ae</errorID>
      <errorWord>(八)</errorWord>
      <group>L1_Format</group>
      <groupName>格式问题</groupName>
      <ability>L2_Ordinal</ability>
      <abilityName>序号格式</abilityName>
      <candidateList>
        <item>（八）</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93EFB47</paraID>
      <start>0</start>
      <end>3</end>
      <status>unmodified</status>
      <modifiedWord/>
      <trackRevisions>false</trackRevisions>
    </reviewItem>
    <reviewItem>
      <errorID>3af13655-7c70-4a7c-b5fa-0a5d68052e7f</errorID>
      <errorWord>(九)</errorWord>
      <group>L1_Format</group>
      <groupName>格式问题</groupName>
      <ability>L2_Ordinal</ability>
      <abilityName>序号格式</abilityName>
      <candidateList>
        <item>（九）</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66CD511A</paraID>
      <start>0</start>
      <end>3</end>
      <status>unmodified</status>
      <modifiedWord/>
      <trackRevisions>false</trackRevisions>
    </reviewItem>
    <reviewItem>
      <errorID>10eff9c8-0d3a-4b01-839f-d85e0c201baa</errorID>
      <errorWord>(十)</errorWord>
      <group>L1_Format</group>
      <groupName>格式问题</groupName>
      <ability>L2_Ordinal</ability>
      <abilityName>序号格式</abilityName>
      <candidateList>
        <item>（十）</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336BAF95</paraID>
      <start>0</start>
      <end>3</end>
      <status>unmodified</status>
      <modifiedWord/>
      <trackRevisions>false</trackRevisions>
    </reviewItem>
    <reviewItem>
      <errorID>347c7fb3-c180-4b7f-a61d-3902028ec814</errorID>
      <errorWord>)</errorWord>
      <group>L1_Format</group>
      <groupName>格式问题</groupName>
      <ability>L2_HalfPunc</ability>
      <abilityName>全半角检查</abilityName>
      <candidateList>
        <item>）</item>
      </candidateList>
      <explain>文本全半角错误。</explain>
      <paraID>1A894C5E</paraID>
      <start>3</start>
      <end>4</end>
      <status>unmodified</status>
      <modifiedWord/>
      <trackRevisions>false</trackRevisions>
    </reviewItem>
    <reviewItem>
      <errorID>5126fa06-4e39-477d-8ead-ad56aea253ec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6C291AC</paraID>
      <start>0</start>
      <end>2</end>
      <status>unmodified</status>
      <modifiedWord/>
      <trackRevisions>false</trackRevisions>
    </reviewItem>
    <reviewItem>
      <errorID>ed9c34c9-158b-46f7-8920-66daa5a06946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7E7F3A2D</paraID>
      <start>0</start>
      <end>2</end>
      <status>unmodified</status>
      <modifiedWord/>
      <trackRevisions>false</trackRevisions>
    </reviewItem>
    <reviewItem>
      <errorID>935660ab-0b7d-4729-9272-98ae97b942d0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162F889D</paraID>
      <start>0</start>
      <end>2</end>
      <status>unmodified</status>
      <modifiedWord/>
      <trackRevisions>false</trackRevisions>
    </reviewItem>
    <reviewItem>
      <errorID>49d83cc0-9869-49dd-9efa-ad765c2e0f85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553B2F1B</paraID>
      <start>0</start>
      <end>2</end>
      <status>unmodified</status>
      <modifiedWord/>
      <trackRevisions>false</trackRevisions>
    </reviewItem>
    <reviewItem>
      <errorID>8df17aae-88b8-4631-a1f9-96b73f847335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10BC2ADC</paraID>
      <start>0</start>
      <end>2</end>
      <status>unmodified</status>
      <modifiedWord/>
      <trackRevisions>false</trackRevisions>
    </reviewItem>
    <reviewItem>
      <errorID>74853aa0-6c45-4f4d-8bc2-1a9f56230f2d</errorID>
      <errorWord>(</errorWord>
      <group>L1_Format</group>
      <groupName>格式问题</groupName>
      <ability>L2_HalfPunc</ability>
      <abilityName>全半角检查</abilityName>
      <candidateList>
        <item>（</item>
      </candidateList>
      <explain>文本全半角错误。</explain>
      <paraID>65BC07CC</paraID>
      <start>74</start>
      <end>75</end>
      <status>unmodified</status>
      <modifiedWord/>
      <trackRevisions>false</trackRevisions>
    </reviewItem>
    <reviewItem>
      <errorID>782325da-0581-4ee1-9a70-8e5fca199ead</errorID>
      <errorWord>)</errorWord>
      <group>L1_Format</group>
      <groupName>格式问题</groupName>
      <ability>L2_HalfPunc</ability>
      <abilityName>全半角检查</abilityName>
      <candidateList>
        <item>）</item>
      </candidateList>
      <explain>文本全半角错误。</explain>
      <paraID>65BC07CC</paraID>
      <start>83</start>
      <end>84</end>
      <status>unmodified</status>
      <modifiedWord/>
      <trackRevisions>false</trackRevisions>
    </reviewItem>
    <reviewItem>
      <errorID>08e07e51-3ed2-4ff3-8024-2a29ee62cfc0</errorID>
      <errorWord>[2006]45号</errorWord>
      <group>L1_Knowledge</group>
      <groupName>知识性问题</groupName>
      <ability>L2_Knowledge</ability>
      <abilityName>其他知识</abilityName>
      <candidateList>
        <item>〔2006〕45号</item>
      </candidateList>
      <explain>发文字号格式错误。</explain>
      <paraID>65EF794D</paraID>
      <start>45</start>
      <end>54</end>
      <status>unmodified</status>
      <modifiedWord/>
      <trackRevisions>false</trackRevisions>
    </reviewItem>
    <reviewItem>
      <errorID>3d6281ff-86a2-49fb-9b4c-558edc229b98</errorID>
      <errorWord>本次为</errorWord>
      <group>L1_Word</group>
      <groupName>字词问题</groupName>
      <ability>L2_Typo</ability>
      <abilityName>字词错误</abilityName>
      <candidateList>
        <item>本次</item>
      </candidateList>
      <explain/>
      <paraID>492AA93D</paraID>
      <start>88</start>
      <end>90</end>
      <status>modified</status>
      <modifiedWord>本次</modifiedWord>
      <trackRevisions>false</trackRevisions>
    </reviewItem>
    <reviewItem>
      <errorID>7b7824a3-e486-4dde-84f1-6f5b1a885d16</errorID>
      <errorWord>(</errorWord>
      <group>L1_Format</group>
      <groupName>格式问题</groupName>
      <ability>L2_HalfPunc</ability>
      <abilityName>全半角检查</abilityName>
      <candidateList>
        <item>（</item>
      </candidateList>
      <explain>文本全半角错误。</explain>
      <paraID>78BA266A</paraID>
      <start>189</start>
      <end>190</end>
      <status>unmodified</status>
      <modifiedWord/>
      <trackRevisions>false</trackRevisions>
    </reviewItem>
    <reviewItem>
      <errorID>87577142-45af-4ea4-8571-027c67f737ee</errorID>
      <errorWord>干粉砂浆</errorWord>
      <group>L1_Knowledge</group>
      <groupName>知识性问题</groupName>
      <ability>L2_Term</ability>
      <abilityName>专业术语</abilityName>
      <candidateList>
        <item>干混砂浆</item>
      </candidateList>
      <explain/>
      <paraID>78BA266A</paraID>
      <start>191</start>
      <end>195</end>
      <status>unmodified</status>
      <modifiedWord/>
      <trackRevisions>false</trackRevisions>
    </reviewItem>
    <reviewItem>
      <errorID>1a795670-959c-477f-a36e-5008750182a0</errorID>
      <errorWord>)</errorWord>
      <group>L1_Format</group>
      <groupName>格式问题</groupName>
      <ability>L2_HalfPunc</ability>
      <abilityName>全半角检查</abilityName>
      <candidateList>
        <item>）</item>
      </candidateList>
      <explain>文本全半角错误。</explain>
      <paraID>78BA266A</paraID>
      <start>198</start>
      <end>199</end>
      <status>unmodified</status>
      <modifiedWord/>
      <trackRevisions>false</trackRevisions>
    </reviewItem>
    <reviewItem>
      <errorID>fdda9957-fa70-4056-93cb-7161d25c9336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D89623F</paraID>
      <start>0</start>
      <end>2</end>
      <status>unmodified</status>
      <modifiedWord/>
      <trackRevisions>false</trackRevisions>
    </reviewItem>
    <reviewItem>
      <errorID>be912eda-b0c2-49e4-af4e-52df4e414b20</errorID>
      <errorWord>现有现有</errorWord>
      <group>L1_Word</group>
      <groupName>字词问题</groupName>
      <ability>L2_Typo</ability>
      <abilityName>字词错误</abilityName>
      <candidateList>
        <item>现有</item>
      </candidateList>
      <explain/>
      <paraID>54D9F6C4</paraID>
      <start>5</start>
      <end>7</end>
      <status>modified</status>
      <modifiedWord>现有</modifiedWord>
      <trackRevisions>false</trackRevisions>
    </reviewItem>
    <reviewItem>
      <errorID>eb97df86-7058-4f78-baed-8a9c8ca6c6b3</errorID>
      <errorWord>产品产品</errorWord>
      <group>L1_Word</group>
      <groupName>字词问题</groupName>
      <ability>L2_Typo</ability>
      <abilityName>字词错误</abilityName>
      <candidateList>
        <item>产品</item>
      </candidateList>
      <explain>〈名〉生产出来的物品：农～｜畜～｜～出厂都要经过检验。</explain>
      <paraID>5BE28130</paraID>
      <start>2</start>
      <end>4</end>
      <status>modified</status>
      <modifiedWord>产品</modifiedWord>
      <trackRevisions>false</trackRevisions>
    </reviewItem>
    <reviewItem>
      <errorID>2798c331-99ff-4d0e-9d91-a61d83b61d78</errorID>
      <errorWord>产品产品</errorWord>
      <group>L1_Word</group>
      <groupName>字词问题</groupName>
      <ability>L2_Typo</ability>
      <abilityName>字词错误</abilityName>
      <candidateList>
        <item>产品</item>
      </candidateList>
      <explain>〈名〉生产出来的物品：农～｜畜～｜～出厂都要经过检验。</explain>
      <paraID>326F4289</paraID>
      <start>4</start>
      <end>6</end>
      <status>modified</status>
      <modifiedWord>产品</modifiedWord>
      <trackRevisions>false</trackRevisions>
    </reviewItem>
    <reviewItem>
      <errorID>ff07d4a4-ac83-493b-8ba9-f83c769c4487</errorID>
      <errorWord>设</errorWord>
      <group>L1_Word</group>
      <groupName>字词问题</groupName>
      <ability>L2_Typo</ability>
      <abilityName>字词错误</abilityName>
      <candidateList>
        <item>设置</item>
      </candidateList>
      <explain>〈动〉❶设立：这座剧院是为儿童～的。❷安放；安装：～障碍。</explain>
      <paraID>1AC80D09</paraID>
      <start>35</start>
      <end>36</end>
      <status>unmodified</status>
      <modifiedWord/>
      <trackRevisions>false</trackRevisions>
    </reviewItem>
    <reviewItem>
      <errorID>b19e2c19-3789-4c8c-aea1-e74a5266d0ba</errorID>
      <errorWord>，</errorWord>
      <group>L1_Format</group>
      <groupName>格式问题</groupName>
      <ability>L2_HalfPunc</ability>
      <abilityName>全半角检查</abilityName>
      <candidateList>
        <item>,</item>
      </candidateList>
      <explain>文本全半角错误。</explain>
      <paraID>53294D25</paraID>
      <start>8</start>
      <end>9</end>
      <status>unmodified</status>
      <modifiedWord/>
      <trackRevisions>false</trackRevisions>
    </reviewItem>
    <reviewItem>
      <errorID>dc93ac75-baba-4540-8bf6-9de9801d160c</errorID>
      <errorWord>kw</errorWord>
      <group>L1_Word</group>
      <groupName>字词问题</groupName>
      <ability>L2_Typo</ability>
      <abilityName>字词错误</abilityName>
      <candidateList>
        <item>kW</item>
      </candidateList>
      <explain/>
      <paraID>53294D25</paraID>
      <start>12</start>
      <end>14</end>
      <status>unmodified</status>
      <modifiedWord/>
      <trackRevisions>false</trackRevisions>
    </reviewItem>
    <reviewItem>
      <errorID>a47740a4-dc66-4c42-909f-6e211a3ced22</errorID>
      <errorWord>-</errorWord>
      <group>L1_Format</group>
      <groupName>格式问题</groupName>
      <ability>L2_HalfPunc</ability>
      <abilityName>全半角检查</abilityName>
      <candidateList>
        <item>－</item>
      </candidateList>
      <explain>文本全半角错误。</explain>
      <paraID> A4809B3</paraID>
      <start>102</start>
      <end>103</end>
      <status>unmodified</status>
      <modifiedWord/>
      <trackRevisions>false</trackRevisions>
    </reviewItem>
    <reviewItem>
      <errorID>ff4ae010-16cf-48fd-ab2c-98415a5f758e</errorID>
      <errorWord>项目为</errorWord>
      <group>L1_Word</group>
      <groupName>字词问题</groupName>
      <ability>L2_Typo</ability>
      <abilityName>字词错误</abilityName>
      <candidateList>
        <item>项目</item>
      </candidateList>
      <explain>〈名〉事物分成的门类：服务～｜体育～｜建设～。</explain>
      <paraID>31BB8EC6</paraID>
      <start>1</start>
      <end>4</end>
      <status>unmodified</status>
      <modifiedWord/>
      <trackRevisions>false</trackRevisions>
    </reviewItem>
    <reviewItem>
      <errorID>ee47ebdd-ca51-4733-8a29-6024ba64bbb5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31BB8EC6</paraID>
      <start>21</start>
      <end>22</end>
      <status>unmodified</status>
      <modifiedWord/>
      <trackRevisions>false</trackRevisions>
    </reviewItem>
    <reviewItem>
      <errorID>27f5cab0-6155-4edc-86d6-f08cc260e308</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260B7180</paraID>
      <start>0</start>
      <end>3</end>
      <status>unmodified</status>
      <modifiedWord/>
      <trackRevisions>false</trackRevisions>
    </reviewItem>
    <reviewItem>
      <errorID>9cf1ffff-3569-4066-be65-a942cbb9d701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2E24CC44</paraID>
      <start>0</start>
      <end>2</end>
      <status>unmodified</status>
      <modifiedWord/>
      <trackRevisions>false</trackRevisions>
    </reviewItem>
    <reviewItem>
      <errorID>555f98c5-1045-4afc-b286-4e053c4e5d10</errorID>
      <errorWord>.：</errorWord>
      <group>L1_Punc</group>
      <groupName>标点问题</groupName>
      <ability>L2_Punc</ability>
      <abilityName>标点符号检查</abilityName>
      <candidateList>
        <item>.</item>
      </candidateList>
      <explain/>
      <paraID>51F422D3</paraID>
      <start>1</start>
      <end>3</end>
      <status>unmodified</status>
      <modifiedWord/>
      <trackRevisions>false</trackRevisions>
    </reviewItem>
    <reviewItem>
      <errorID>23664223-69ff-40ae-afe1-fe8cbbf7c08c</errorID>
      <errorWord>作</errorWord>
      <group>L1_Word</group>
      <groupName>字词问题</groupName>
      <ability>L2_Typo</ability>
      <abilityName>字词错误</abilityName>
      <candidateList>
        <item>做</item>
      </candidateList>
      <explain>存在发音相同字词的误用。</explain>
      <paraID> 7F885C9</paraID>
      <start>135</start>
      <end>136</end>
      <status>unmodified</status>
      <modifiedWord/>
      <trackRevisions>false</trackRevisions>
    </reviewItem>
    <reviewItem>
      <errorID>da116fc1-1568-4733-9e84-cdbd8db22b8b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1A1E2BC0</paraID>
      <start>1</start>
      <end>3</end>
      <status>unmodified</status>
      <modifiedWord/>
      <trackRevisions>false</trackRevisions>
    </reviewItem>
    <reviewItem>
      <errorID>f68be470-8ddb-46d5-ae24-a0c3399dc95d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7693711F</paraID>
      <start>0</start>
      <end>2</end>
      <status>unmodified</status>
      <modifiedWord/>
      <trackRevisions>false</trackRevisions>
    </reviewItem>
    <reviewItem>
      <errorID>ae695a7f-7c46-400d-8bd4-4214b054bef4</errorID>
      <errorWord>[2006]45号</errorWord>
      <group>L1_Knowledge</group>
      <groupName>知识性问题</groupName>
      <ability>L2_Knowledge</ability>
      <abilityName>其他知识</abilityName>
      <candidateList>
        <item>〔2006〕45号</item>
      </candidateList>
      <explain>发文字号格式错误。</explain>
      <paraID> E8972FF</paraID>
      <start>3</start>
      <end>12</end>
      <status>unmodified</status>
      <modifiedWord/>
      <trackRevisions>false</trackRevisions>
    </reviewItem>
    <reviewItem>
      <errorID>6afdae06-94c3-4c6e-872b-7c8f4b447fd6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4BE42CA3</paraID>
      <start>0</start>
      <end>2</end>
      <status>unmodified</status>
      <modifiedWord/>
      <trackRevisions>false</trackRevisions>
    </reviewItem>
    <reviewItem>
      <errorID>7dd35a4e-f527-46ba-b6d8-da3fc3b7f141</errorID>
      <errorWord>~</errorWord>
      <group>L1_Format</group>
      <groupName>格式问题</groupName>
      <ability>L2_HalfPunc</ability>
      <abilityName>全半角检查</abilityName>
      <candidateList>
        <item>～</item>
      </candidateList>
      <explain>文本全半角错误。</explain>
      <paraID>3DE2719D</paraID>
      <start>69</start>
      <end>70</end>
      <status>unmodified</status>
      <modifiedWord/>
      <trackRevisions>false</trackRevisions>
    </reviewItem>
    <reviewItem>
      <errorID>5c344b02-e678-4561-a390-b4ff3862f2ff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1A2E7DA</paraID>
      <start>0</start>
      <end>2</end>
      <status>unmodified</status>
      <modifiedWord/>
      <trackRevisions>false</trackRevisions>
    </reviewItem>
    <reviewItem>
      <errorID>643151fe-a3ad-4a80-9f33-48ac4013edf8</errorID>
      <errorWord>废为</errorWord>
      <group>L1_Word</group>
      <groupName>字词问题</groupName>
      <ability>L2_Typo</ability>
      <abilityName>字词错误</abilityName>
      <candidateList>
        <item>废</item>
      </candidateList>
      <explain/>
      <paraID>54317042</paraID>
      <start>5</start>
      <end>6</end>
      <status>modified</status>
      <modifiedWord>废</modifiedWord>
      <trackRevisions>false</trackRevisions>
    </reviewItem>
    <reviewItem>
      <errorID>d50336a8-f76b-45bd-ba4e-22c9b67db53d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6B183F64</paraID>
      <start>0</start>
      <end>2</end>
      <status>unmodified</status>
      <modifiedWord/>
      <trackRevisions>false</trackRevisions>
    </reviewItem>
    <reviewItem>
      <errorID>662a1c4d-7b8b-4b15-9eb5-ad77c91c1d51</errorID>
      <errorWord>年</errorWord>
      <group>L1_Word</group>
      <groupName>字词问题</groupName>
      <ability>L2_Typo</ability>
      <abilityName>字词错误</abilityName>
      <candidateList>
        <item>年度</item>
      </candidateList>
      <explain/>
      <paraID>338FD7A3</paraID>
      <start>0</start>
      <end>1</end>
      <status>unmodified</status>
      <modifiedWord/>
      <trackRevisions>false</trackRevisions>
    </reviewItem>
    <reviewItem>
      <errorID>6fcabc47-5ab2-44ac-ab59-c9798127a7f4</errorID>
      <errorWord>（</errorWord>
      <group>L1_Format</group>
      <groupName>格式问题</groupName>
      <ability>L2_HalfPunc</ability>
      <abilityName>全半角检查</abilityName>
      <candidateList>
        <item>(</item>
      </candidateList>
      <explain>文本全半角错误。</explain>
      <paraID>4ABA9D61</paraID>
      <start>0</start>
      <end>1</end>
      <status>unmodified</status>
      <modifiedWord/>
      <trackRevisions>false</trackRevisions>
    </reviewItem>
    <reviewItem>
      <errorID>f88c4d2c-434e-4819-af79-c53b595d2e6c</errorID>
      <errorWord>）</errorWord>
      <group>L1_Format</group>
      <groupName>格式问题</groupName>
      <ability>L2_HalfPunc</ability>
      <abilityName>全半角检查</abilityName>
      <candidateList>
        <item>)</item>
      </candidateList>
      <explain>文本全半角错误。</explain>
      <paraID>4ABA9D61</paraID>
      <start>6</start>
      <end>7</end>
      <status>unmodified</status>
      <modifiedWord/>
      <trackRevisions>false</trackRevisions>
    </reviewItem>
    <reviewItem>
      <errorID>e6fdbf03-f0d5-43d4-9e8f-0e42611e209e</errorID>
      <errorWord>（</errorWord>
      <group>L1_Format</group>
      <groupName>格式问题</groupName>
      <ability>L2_HalfPunc</ability>
      <abilityName>全半角检查</abilityName>
      <candidateList>
        <item>(</item>
      </candidateList>
      <explain>文本全半角错误。</explain>
      <paraID>2ED7F70B</paraID>
      <start>0</start>
      <end>1</end>
      <status>unmodified</status>
      <modifiedWord/>
      <trackRevisions>false</trackRevisions>
    </reviewItem>
    <reviewItem>
      <errorID>cf03b3d2-4229-41cb-9421-4aff96a634af</errorID>
      <errorWord>）</errorWord>
      <group>L1_Format</group>
      <groupName>格式问题</groupName>
      <ability>L2_HalfPunc</ability>
      <abilityName>全半角检查</abilityName>
      <candidateList>
        <item>)</item>
      </candidateList>
      <explain>文本全半角错误。</explain>
      <paraID>2ED7F70B</paraID>
      <start>6</start>
      <end>7</end>
      <status>unmodified</status>
      <modifiedWord/>
      <trackRevisions>false</trackRevisions>
    </reviewItem>
    <reviewItem>
      <errorID>77520d4d-3917-4677-af5a-6837912923d6</errorID>
      <errorWord>监测报告</errorWord>
      <group>L1_Word</group>
      <groupName>字词问题</groupName>
      <ability>L2_Typo</ability>
      <abilityName>字词错误</abilityName>
      <candidateList>
        <item>检测报告</item>
      </candidateList>
      <explain/>
      <paraID>71E8C7EA</paraID>
      <start>61</start>
      <end>65</end>
      <status>unmodified</status>
      <modifiedWord/>
      <trackRevisions>false</trackRevisions>
    </reviewItem>
    <reviewItem>
      <errorID>5782e022-07dc-4f61-af3b-86d50b13872f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23486D8A</paraID>
      <start>0</start>
      <end>2</end>
      <status>unmodified</status>
      <modifiedWord/>
      <trackRevisions>false</trackRevisions>
    </reviewItem>
    <reviewItem>
      <errorID>8e7702e5-65fd-416e-bfbf-00d8dda6b687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54A74257</paraID>
      <start>0</start>
      <end>2</end>
      <status>unmodified</status>
      <modifiedWord/>
      <trackRevisions>false</trackRevisions>
    </reviewItem>
    <reviewItem>
      <errorID>9bc59322-29cc-4d95-ae27-14bb06c837be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4A2A18FC</paraID>
      <start>0</start>
      <end>2</end>
      <status>unmodified</status>
      <modifiedWord/>
      <trackRevisions>false</trackRevisions>
    </reviewItem>
    <reviewItem>
      <errorID>7e256651-148f-49d9-acc4-5ec44f989f19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8189F1F</paraID>
      <start>0</start>
      <end>2</end>
      <status>unmodified</status>
      <modifiedWord/>
      <trackRevisions>false</trackRevisions>
    </reviewItem>
    <reviewItem>
      <errorID>6e78a41a-a114-4095-9807-1aeb25cc7d33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1489A051</paraID>
      <start>0</start>
      <end>2</end>
      <status>unmodified</status>
      <modifiedWord/>
      <trackRevisions>false</trackRevisions>
    </reviewItem>
    <reviewItem>
      <errorID>1f7a960d-d08a-4404-bdc4-7f0e2690bc15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43C1FAB5</paraID>
      <start>0</start>
      <end>2</end>
      <status>unmodified</status>
      <modifiedWord/>
      <trackRevisions>false</trackRevisions>
    </reviewItem>
    <reviewItem>
      <errorID>47809a1b-bee6-4a34-b0f7-eb7e7ef250b0</errorID>
      <errorWord>《</errorWord>
      <group>L1_Punc</group>
      <groupName>标点问题</groupName>
      <ability>L2_Punc</ability>
      <abilityName>标点符号检查</abilityName>
      <candidateList/>
      <explain/>
      <paraID>538A4906</paraID>
      <start>0</start>
      <end>1</end>
      <status>unmodified</status>
      <modifiedWord/>
      <trackRevisions>false</trackRevisions>
    </reviewItem>
    <reviewItem>
      <errorID>1c6d4dc8-424a-46d3-84bc-ddfc65cca038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47E11B4C</paraID>
      <start>0</start>
      <end>2</end>
      <status>unmodified</status>
      <modifiedWord/>
      <trackRevisions>false</trackRevisions>
    </reviewItem>
    <reviewItem>
      <errorID>939d39dc-f621-487e-aeaa-cc9a0f573154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52A043A5</paraID>
      <start>0</start>
      <end>2</end>
      <status>unmodified</status>
      <modifiedWord/>
      <trackRevisions>false</trackRevisions>
    </reviewItem>
    <reviewItem>
      <errorID>10634e09-27bf-44df-b5e5-9eb9aabb8163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7F142465</paraID>
      <start>0</start>
      <end>2</end>
      <status>unmodified</status>
      <modifiedWord/>
      <trackRevisions>false</trackRevisions>
    </reviewItem>
    <reviewItem>
      <errorID>621fa888-71c1-4792-b5ca-4694a90dd8bd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7129CE4E</paraID>
      <start>0</start>
      <end>2</end>
      <status>unmodified</status>
      <modifiedWord/>
      <trackRevisions>false</trackRevisions>
    </reviewItem>
    <reviewItem>
      <errorID>dda94498-0071-4390-b728-d8fc82e326dc</errorID>
      <errorWord>固体废物污染环境防治法</errorWord>
      <group>L1_Knowledge</group>
      <groupName>知识性问题</groupName>
      <ability>L2_Knowledge</ability>
      <abilityName>其他知识</abilityName>
      <candidateList>
        <item>中华人民共和国固体废物污染环境防治法</item>
      </candidateList>
      <explain>当前法律法规名称使用简称，请注意是否应当使用全称。</explain>
      <paraID>1ED9D34B</paraID>
      <start>22</start>
      <end>33</end>
      <status>unmodified</status>
      <modifiedWord/>
      <trackRevisions>false</trackRevisions>
    </reviewItem>
    <reviewItem>
      <errorID>0f31b066-8d79-4822-a03d-48e60df21cd6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38B45059</paraID>
      <start>0</start>
      <end>2</end>
      <status>unmodified</status>
      <modifiedWord/>
      <trackRevisions>false</trackRevisions>
    </reviewItem>
    <reviewItem>
      <errorID>ae67370b-f2f1-4b17-b693-89ef7cd57996</errorID>
      <errorWord>(</errorWord>
      <group>L1_Format</group>
      <groupName>格式问题</groupName>
      <ability>L2_HalfPunc</ability>
      <abilityName>全半角检查</abilityName>
      <candidateList>
        <item>（</item>
      </candidateList>
      <explain>文本全半角错误。</explain>
      <paraID>6319ABBB</paraID>
      <start>11</start>
      <end>12</end>
      <status>unmodified</status>
      <modifiedWord/>
      <trackRevisions>false</trackRevisions>
    </reviewItem>
    <reviewItem>
      <errorID>d9a2df5b-c3d7-4804-b0ab-4c456dfe5bd9</errorID>
      <errorWord>)</errorWord>
      <group>L1_Format</group>
      <groupName>格式问题</groupName>
      <ability>L2_HalfPunc</ability>
      <abilityName>全半角检查</abilityName>
      <candidateList>
        <item>）</item>
      </candidateList>
      <explain>文本全半角错误。</explain>
      <paraID>6319ABBB</paraID>
      <start>18</start>
      <end>19</end>
      <status>unmodified</status>
      <modifiedWord/>
      <trackRevisions>false</trackRevisions>
    </reviewItem>
    <reviewItem>
      <errorID>cc95e039-6679-422e-85f3-b5cbb9beebcb</errorID>
      <errorWord>(</errorWord>
      <group>L1_Format</group>
      <groupName>格式问题</groupName>
      <ability>L2_HalfPunc</ability>
      <abilityName>全半角检查</abilityName>
      <candidateList>
        <item>（</item>
      </candidateList>
      <explain>文本全半角错误。</explain>
      <paraID>4FFBED05</paraID>
      <start>60</start>
      <end>61</end>
      <status>unmodified</status>
      <modifiedWord/>
      <trackRevisions>false</trackRevisions>
    </reviewItem>
    <reviewItem>
      <errorID>bee4460a-6c4e-4ff5-a0f7-e960dfd4f800</errorID>
      <errorWord>)</errorWord>
      <group>L1_Format</group>
      <groupName>格式问题</groupName>
      <ability>L2_HalfPunc</ability>
      <abilityName>全半角检查</abilityName>
      <candidateList>
        <item>）</item>
      </candidateList>
      <explain>文本全半角错误。</explain>
      <paraID>4FFBED05</paraID>
      <start>72</start>
      <end>73</end>
      <status>unmodified</status>
      <modifiedWord/>
      <trackRevisions>false</trackRevisions>
    </reviewItem>
    <reviewItem>
      <errorID>5df34279-5428-4124-af66-4f07bf3d784e</errorID>
      <errorWord>)</errorWord>
      <group>L1_Format</group>
      <groupName>格式问题</groupName>
      <ability>L2_HalfPunc</ability>
      <abilityName>全半角检查</abilityName>
      <candidateList>
        <item>）</item>
      </candidateList>
      <explain>文本全半角错误。</explain>
      <paraID>4FFBED05</paraID>
      <start>90</start>
      <end>91</end>
      <status>unmodified</status>
      <modifiedWord/>
      <trackRevisions>false</trackRevisions>
    </reviewItem>
    <reviewItem>
      <errorID>f247c088-08c9-44bc-9e8f-c16e3530956d</errorID>
      <errorWord>(</errorWord>
      <group>L1_Format</group>
      <groupName>格式问题</groupName>
      <ability>L2_HalfPunc</ability>
      <abilityName>全半角检查</abilityName>
      <candidateList>
        <item>（</item>
      </candidateList>
      <explain>文本全半角错误。</explain>
      <paraID>4FFBED05</paraID>
      <start>130</start>
      <end>131</end>
      <status>unmodified</status>
      <modifiedWord/>
      <trackRevisions>false</trackRevisions>
    </reviewItem>
    <reviewItem>
      <errorID>82b3615c-b702-4fd6-a9c9-d1852a7433f3</errorID>
      <errorWord>)</errorWord>
      <group>L1_Format</group>
      <groupName>格式问题</groupName>
      <ability>L2_HalfPunc</ability>
      <abilityName>全半角检查</abilityName>
      <candidateList>
        <item>）</item>
      </candidateList>
      <explain>文本全半角错误。</explain>
      <paraID>4FFBED05</paraID>
      <start>149</start>
      <end>150</end>
      <status>unmodified</status>
      <modifiedWord/>
      <trackRevisions>false</trackRevisions>
    </reviewItem>
    <reviewItem>
      <errorID>828f0071-a9ee-4c47-abed-dad30ce90a4b</errorID>
      <errorWord>沈阳市生活垃圾管理规定</errorWord>
      <group>L1_Knowledge</group>
      <groupName>知识性问题</groupName>
      <ability>L2_Knowledge</ability>
      <abilityName>其他知识</abilityName>
      <candidateList>
        <item>沈阳市生活垃圾管理条例</item>
      </candidateList>
      <explain>当前法律法规未收录或尚未生效，注意核查是否正确。</explain>
      <paraID>35F0F3F0</paraID>
      <start>3</start>
      <end>14</end>
      <status>unmodified</status>
      <modifiedWord/>
      <trackRevisions>false</trackRevisions>
    </reviewItem>
    <reviewItem>
      <errorID>8439a0c7-fbcc-48e6-9640-4b496c0fd50e</errorID>
      <errorWord>1）、</errorWord>
      <group>L1_Punc</group>
      <groupName>标点问题</groupName>
      <ability>L2_Punc</ability>
      <abilityName>标点符号检查</abilityName>
      <candidateList>
        <item>1）</item>
      </candidateList>
      <explain>根据国标GB/T 15834-2011《标点符号用法》中的4.5.3.3节，带括号的汉字数字或阿拉伯数字表次序时，后面通常不加顿号。如“（一）指导思想”“（二）行动指南”。</explain>
      <paraID>35F0F3F0</paraID>
      <start>23</start>
      <end>26</end>
      <status>unmodified</status>
      <modifiedWord/>
      <trackRevisions>false</trackRevisions>
    </reviewItem>
    <reviewItem>
      <errorID>c568802d-5a17-43b5-8535-93e74f5ecf95</errorID>
      <errorWord>[2014]197号</errorWord>
      <group>L1_Knowledge</group>
      <groupName>知识性问题</groupName>
      <ability>L2_Knowledge</ability>
      <abilityName>其他知识</abilityName>
      <candidateList>
        <item>〔2014〕197号</item>
      </candidateList>
      <explain>发文字号格式错误。</explain>
      <paraID> 29C4C68</paraID>
      <start>31</start>
      <end>41</end>
      <status>unmodified</status>
      <modifiedWord/>
      <trackRevisions>false</trackRevisions>
    </reviewItem>
    <reviewItem>
      <errorID>6519522d-3848-4686-b4dc-ea70c588a60a</errorID>
      <errorWord>[2015]17号</errorWord>
      <group>L1_Knowledge</group>
      <groupName>知识性问题</groupName>
      <ability>L2_Knowledge</ability>
      <abilityName>其他知识</abilityName>
      <candidateList>
        <item>〔2015〕17号</item>
      </candidateList>
      <explain>发文字号格式错误。</explain>
      <paraID> 29C4C68</paraID>
      <start>93</start>
      <end>102</end>
      <status>unmodified</status>
      <modifiedWord/>
      <trackRevisions>false</trackRevisions>
    </reviewItem>
    <reviewItem>
      <errorID>176f4c3a-cf07-4bf5-81a0-e1c455db3f1a</errorID>
      <errorWord>[2020]380号</errorWord>
      <group>L1_Knowledge</group>
      <groupName>知识性问题</groupName>
      <ability>L2_Knowledge</ability>
      <abilityName>其他知识</abilityName>
      <candidateList>
        <item>〔2020〕380号</item>
      </candidateList>
      <explain>发文字号格式错误。</explain>
      <paraID> 29C4C68</paraID>
      <start>149</start>
      <end>159</end>
      <status>unmodified</status>
      <modifiedWord/>
      <trackRevisions>false</trackRevisions>
    </reviewItem>
    <reviewItem>
      <errorID>edb10d68-1e0a-4168-855f-5f6152b698d5</errorID>
      <errorWord>程</errorWord>
      <group>L1_Word</group>
      <groupName>字词问题</groupName>
      <ability>L2_Typo</ability>
      <abilityName>字词错误</abilityName>
      <candidateList>
        <item>程中</item>
      </candidateList>
      <explain/>
      <paraID>1363F0E7</paraID>
      <start>21</start>
      <end>22</end>
      <status>unmodified</status>
      <modifiedWord/>
      <trackRevisions>false</trackRevisions>
    </reviewItem>
    <reviewItem>
      <errorID>8c52dd88-6b82-4d35-91f7-5617b0606393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63C95E5B</paraID>
      <start>0</start>
      <end>2</end>
      <status>unmodified</status>
      <modifiedWord/>
      <trackRevisions>false</trackRevisions>
    </reviewItem>
    <reviewItem>
      <errorID>5b78ee20-572d-42da-aafc-2fa3a0db078c</errorID>
      <errorWord>程</errorWord>
      <group>L1_Word</group>
      <groupName>字词问题</groupName>
      <ability>L2_Typo</ability>
      <abilityName>字词错误</abilityName>
      <candidateList>
        <item>程中</item>
      </candidateList>
      <explain/>
      <paraID>2E6E7A7B</paraID>
      <start>13</start>
      <end>14</end>
      <status>unmodified</status>
      <modifiedWord/>
      <trackRevisions>false</trackRevisions>
    </reviewItem>
    <reviewItem>
      <errorID>453a89fd-b3a0-4dd0-91e4-7ab847b8797b</errorID>
      <errorWord>破碎及</errorWord>
      <group>L1_Word</group>
      <groupName>字词问题</groupName>
      <ability>L2_Typo</ability>
      <abilityName>字词错误</abilityName>
      <candidateList>
        <item>破碎机</item>
      </candidateList>
      <explain/>
      <paraID>502DDA75</paraID>
      <start>44</start>
      <end>47</end>
      <status>unmodified</status>
      <modifiedWord/>
      <trackRevisions>false</trackRevisions>
    </reviewItem>
    <reviewItem>
      <errorID>49cfa163-9fc2-4d40-be5a-283b2c61fe3f</errorID>
      <errorWord>破碎及</errorWord>
      <group>L1_Word</group>
      <groupName>字词问题</groupName>
      <ability>L2_Typo</ability>
      <abilityName>字词错误</abilityName>
      <candidateList>
        <item>破碎机</item>
      </candidateList>
      <explain/>
      <paraID>502DDA75</paraID>
      <start>84</start>
      <end>87</end>
      <status>modified</status>
      <modifiedWord>破碎机</modifiedWord>
      <trackRevisions>false</trackRevisions>
    </reviewItem>
    <reviewItem>
      <errorID>8ebc7046-e448-481e-a8ef-04cf362f5d08</errorID>
      <errorWord>（</errorWord>
      <group>L1_Punc</group>
      <groupName>标点问题</groupName>
      <ability>L2_Punc</ability>
      <abilityName>标点符号检查</abilityName>
      <candidateList>
        <item/>
      </candidateList>
      <explain>同一形式括号套用。</explain>
      <paraID>70203816</paraID>
      <start>36</start>
      <end>37</end>
      <status>unmodified</status>
      <modifiedWord/>
      <trackRevisions>false</trackRevisions>
    </reviewItem>
    <reviewItem>
      <errorID>a3a2aee3-d329-48d0-87b2-9daa379863d7</errorID>
      <errorWord>(</errorWord>
      <group>L1_Punc</group>
      <groupName>标点问题</groupName>
      <ability>L2_Punc</ability>
      <abilityName>标点符号检查</abilityName>
      <candidateList/>
      <explain>同一形式括号套用。</explain>
      <paraID>70203816</paraID>
      <start>57</start>
      <end>58</end>
      <status>unmodified</status>
      <modifiedWord/>
      <trackRevisions>false</trackRevisions>
    </reviewItem>
    <reviewItem>
      <errorID>426b99c0-afe1-4d42-80d7-243860ba9616</errorID>
      <errorWord>)</errorWord>
      <group>L1_Punc</group>
      <groupName>标点问题</groupName>
      <ability>L2_Punc</ability>
      <abilityName>标点符号检查</abilityName>
      <candidateList/>
      <explain>同一形式括号套用。</explain>
      <paraID>70203816</paraID>
      <start>65</start>
      <end>66</end>
      <status>unmodified</status>
      <modifiedWord/>
      <trackRevisions>false</trackRevisions>
    </reviewItem>
    <reviewItem>
      <errorID>667c1073-f595-4c39-8e2f-82b9f03456b1</errorID>
      <errorWord>）</errorWord>
      <group>L1_Punc</group>
      <groupName>标点问题</groupName>
      <ability>L2_Punc</ability>
      <abilityName>标点符号检查</abilityName>
      <candidateList/>
      <explain>同一形式括号套用。</explain>
      <paraID>70203816</paraID>
      <start>70</start>
      <end>71</end>
      <status>unmodified</status>
      <modifiedWord/>
      <trackRevisions>false</trackRevisions>
    </reviewItem>
    <reviewItem>
      <errorID>5f54d4f9-9521-4048-9d62-1698a5ec82b4</errorID>
      <errorWord>-</errorWord>
      <group>L1_Format</group>
      <groupName>格式问题</groupName>
      <ability>L2_HalfPunc</ability>
      <abilityName>全半角检查</abilityName>
      <candidateList>
        <item>－</item>
      </candidateList>
      <explain>文本全半角错误。</explain>
      <paraID>15D65866</paraID>
      <start>84</start>
      <end>85</end>
      <status>unmodified</status>
      <modifiedWord/>
      <trackRevisions>false</trackRevisions>
    </reviewItem>
    <reviewItem>
      <errorID>7d6aa798-44ec-4f52-b43d-eabd59a193f9</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54EBA588</paraID>
      <start>0</start>
      <end>2</end>
      <status>unmodified</status>
      <modifiedWord/>
      <trackRevisions>false</trackRevisions>
    </reviewItem>
    <reviewItem>
      <errorID>e9a3a95b-a9eb-4eb3-8960-a066a3ef2e63</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3F8B7627</paraID>
      <start>0</start>
      <end>2</end>
      <status>unmodified</status>
      <modifiedWord/>
      <trackRevisions>false</trackRevisions>
    </reviewItem>
    <reviewItem>
      <errorID>bc198daa-a5a5-4b96-b0db-c51b1ab08dbc</errorID>
      <errorWord>程</errorWord>
      <group>L1_Word</group>
      <groupName>字词问题</groupName>
      <ability>L2_Typo</ability>
      <abilityName>字词错误</abilityName>
      <candidateList>
        <item>程中</item>
      </candidateList>
      <explain/>
      <paraID>25867547</paraID>
      <start>17</start>
      <end>18</end>
      <status>unmodified</status>
      <modifiedWord/>
      <trackRevisions>false</trackRevisions>
    </reviewItem>
    <reviewItem>
      <errorID>bf4fe76a-9224-40bb-8540-3eb27c95d78e</errorID>
      <errorWord>，</errorWord>
      <group>L1_Word</group>
      <groupName>字词问题</groupName>
      <ability>L2_Typo</ability>
      <abilityName>字词错误</abilityName>
      <candidateList>
        <item>，采</item>
      </candidateList>
      <explain/>
      <paraID>3CAEC6C9</paraID>
      <start>128</start>
      <end>129</end>
      <status>unmodified</status>
      <modifiedWord/>
      <trackRevisions>false</trackRevisions>
    </reviewItem>
    <reviewItem>
      <errorID>5adc17de-da55-49a7-9c20-ac370e4f55c4</errorID>
      <errorWord>（</errorWord>
      <group>L1_Format</group>
      <groupName>格式问题</groupName>
      <ability>L2_HalfPunc</ability>
      <abilityName>全半角检查</abilityName>
      <candidateList>
        <item>(</item>
      </candidateList>
      <explain>文本全半角错误。</explain>
      <paraID> 217E8A6</paraID>
      <start>0</start>
      <end>1</end>
      <status>unmodified</status>
      <modifiedWord/>
      <trackRevisions>false</trackRevisions>
    </reviewItem>
    <reviewItem>
      <errorID>1a3cfb86-9acf-432b-b76a-a1c6b494e1b1</errorID>
      <errorWord>）</errorWord>
      <group>L1_Format</group>
      <groupName>格式问题</groupName>
      <ability>L2_HalfPunc</ability>
      <abilityName>全半角检查</abilityName>
      <candidateList>
        <item>)</item>
      </candidateList>
      <explain>文本全半角错误。</explain>
      <paraID> 217E8A6</paraID>
      <start>6</start>
      <end>7</end>
      <status>unmodified</status>
      <modifiedWord/>
      <trackRevisions>false</trackRevisions>
    </reviewItem>
    <reviewItem>
      <errorID>b9f403e7-ae12-42e9-a705-7f56365ddafd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332D3F33</paraID>
      <start>0</start>
      <end>2</end>
      <status>unmodified</status>
      <modifiedWord/>
      <trackRevisions>false</trackRevisions>
    </reviewItem>
    <reviewItem>
      <errorID>cc43a632-f188-4462-a2b0-b665265e5e08</errorID>
      <errorWord>晒水</errorWord>
      <group>L1_Word</group>
      <groupName>字词问题</groupName>
      <ability>L2_Typo</ability>
      <abilityName>字词错误</abilityName>
      <candidateList>
        <item>洒水</item>
      </candidateList>
      <explain>存在字形相近字词的误用。</explain>
      <paraID>1A7BD2D5</paraID>
      <start>63</start>
      <end>65</end>
      <status>modified</status>
      <modifiedWord>洒水</modifiedWord>
      <trackRevisions>false</trackRevisions>
    </reviewItem>
    <reviewItem>
      <errorID>a1a8e108-5bb1-4dc1-b70f-a5548fd177b5</errorID>
      <errorWord>，，</errorWord>
      <group>L1_Punc</group>
      <groupName>标点问题</groupName>
      <ability>L2_Punc</ability>
      <abilityName>标点符号检查</abilityName>
      <candidateList>
        <item>，</item>
      </candidateList>
      <explain/>
      <paraID>1A7BD2D5</paraID>
      <start>114</start>
      <end>116</end>
      <status>unmodified</status>
      <modifiedWord/>
      <trackRevisions>false</trackRevisions>
    </reviewItem>
    <reviewItem>
      <errorID>9ffbd3e7-7d9f-409e-ab42-42f7103b5284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718B1937</paraID>
      <start>0</start>
      <end>2</end>
      <status>unmodified</status>
      <modifiedWord/>
      <trackRevisions>false</trackRevisions>
    </reviewItem>
    <reviewItem>
      <errorID>5cf8ec20-3a6c-4fa7-a1f1-c6730879726e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4AC00D02</paraID>
      <start>0</start>
      <end>2</end>
      <status>unmodified</status>
      <modifiedWord/>
      <trackRevisions>false</trackRevisions>
    </reviewItem>
    <reviewItem>
      <errorID>5c02513e-3557-456d-ae47-d3d805aa7b66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2A6677A5</paraID>
      <start>0</start>
      <end>2</end>
      <status>unmodified</status>
      <modifiedWord/>
      <trackRevisions>false</trackRevisions>
    </reviewItem>
    <reviewItem>
      <errorID>e93807a8-7f18-46ca-9ac6-c59c670a9d7b</errorID>
      <errorWord>设</errorWord>
      <group>L1_Word</group>
      <groupName>字词问题</groupName>
      <ability>L2_Typo</ability>
      <abilityName>字词错误</abilityName>
      <candidateList>
        <item>设置</item>
      </candidateList>
      <explain>〈动〉❶设立：这座剧院是为儿童～的。❷安放；安装：～障碍。</explain>
      <paraID> 80D834C</paraID>
      <start>49</start>
      <end>50</end>
      <status>unmodified</status>
      <modifiedWord/>
      <trackRevisions>false</trackRevisions>
    </reviewItem>
    <reviewItem>
      <errorID>e4d4f626-bb0d-4ba5-b894-ffbeca6d3094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7F26BAB3</paraID>
      <start>0</start>
      <end>2</end>
      <status>unmodified</status>
      <modifiedWord/>
      <trackRevisions>false</trackRevisions>
    </reviewItem>
    <reviewItem>
      <errorID>aff9c6d9-c970-4193-b966-d3f8884c3654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2041ED4C</paraID>
      <start>0</start>
      <end>2</end>
      <status>unmodified</status>
      <modifiedWord/>
      <trackRevisions>false</trackRevisions>
    </reviewItem>
    <reviewItem>
      <errorID>e1549a9f-eaef-4626-8b4c-eb7fe63a2a02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75EDFE5B</paraID>
      <start>0</start>
      <end>2</end>
      <status>unmodified</status>
      <modifiedWord/>
      <trackRevisions>false</trackRevisions>
    </reviewItem>
    <reviewItem>
      <errorID>20c2f11e-22f5-4e27-aec5-b61849585e19</errorID>
      <errorWord>)</errorWord>
      <group>L1_Format</group>
      <groupName>格式问题</groupName>
      <ability>L2_HalfPunc</ability>
      <abilityName>全半角检查</abilityName>
      <candidateList>
        <item>）</item>
      </candidateList>
      <explain>文本全半角错误。</explain>
      <paraID>63176BB8</paraID>
      <start>64</start>
      <end>65</end>
      <status>unmodified</status>
      <modifiedWord/>
      <trackRevisions>false</trackRevisions>
    </reviewItem>
    <reviewItem>
      <errorID>82c76853-38db-4341-a51c-c684025b092d</errorID>
      <errorWord>源源</errorWord>
      <group>L1_Word</group>
      <groupName>字词问题</groupName>
      <ability>L2_Typo</ability>
      <abilityName>字词错误</abilityName>
      <candidateList>
        <item>源</item>
      </candidateList>
      <explain/>
      <paraID>547BFD85</paraID>
      <start>1</start>
      <end>3</end>
      <status>unmodified</status>
      <modifiedWord/>
      <trackRevisions>false</trackRevisions>
    </reviewItem>
    <reviewItem>
      <errorID>257c2e0a-4be7-47cc-bb87-a9133bedc5a8</errorID>
      <errorWord>）</errorWord>
      <group>L1_Format</group>
      <groupName>格式问题</groupName>
      <ability>L2_HalfPunc</ability>
      <abilityName>全半角检查</abilityName>
      <candidateList>
        <item>)</item>
      </candidateList>
      <explain>文本全半角错误。</explain>
      <paraID>17198FC5</paraID>
      <start>10</start>
      <end>11</end>
      <status>unmodified</status>
      <modifiedWord/>
      <trackRevisions>false</trackRevisions>
    </reviewItem>
    <reviewItem>
      <errorID>90bcf0f5-2f32-479c-9b20-b80d7409d7b4</errorID>
      <errorWord>）</errorWord>
      <group>L1_Format</group>
      <groupName>格式问题</groupName>
      <ability>L2_HalfPunc</ability>
      <abilityName>全半角检查</abilityName>
      <candidateList>
        <item>)</item>
      </candidateList>
      <explain>文本全半角错误。</explain>
      <paraID>31C791B8</paraID>
      <start>10</start>
      <end>11</end>
      <status>unmodified</status>
      <modifiedWord/>
      <trackRevisions>false</trackRevisions>
    </reviewItem>
    <reviewItem>
      <errorID>443cb134-a15c-46bd-bc5f-ac872f6792e1</errorID>
      <errorWord>、</errorWord>
      <group>L1_Punc</group>
      <groupName>标点问题</groupName>
      <ability>L2_Punc</ability>
      <abilityName>标点符号检查</abilityName>
      <candidateList>
        <item>.</item>
      </candidateList>
      <explain/>
      <paraID>23ADE1A9</paraID>
      <start>1</start>
      <end>2</end>
      <status>unmodified</status>
      <modifiedWord/>
      <trackRevisions>false</trackRevisions>
    </reviewItem>
    <reviewItem>
      <errorID>4588f5d4-4696-4ee0-a1c0-f3ef96c56cb1</errorID>
      <errorWord>作</errorWord>
      <group>L1_Word</group>
      <groupName>字词问题</groupName>
      <ability>L2_Typo</ability>
      <abilityName>字词错误</abilityName>
      <candidateList>
        <item>做</item>
      </candidateList>
      <explain>存在发音相同字词的误用。</explain>
      <paraID> 192EF0C</paraID>
      <start>27</start>
      <end>28</end>
      <status>unmodified</status>
      <modifiedWord/>
      <trackRevisions>false</trackRevisions>
    </reviewItem>
    <reviewItem>
      <errorID>1f9f85de-c10f-44a7-8510-5656b6e03b48</errorID>
      <errorWord>（</errorWord>
      <group>L1_Format</group>
      <groupName>格式问题</groupName>
      <ability>L2_HalfPunc</ability>
      <abilityName>全半角检查</abilityName>
      <candidateList>
        <item>(</item>
      </candidateList>
      <explain>文本全半角错误。</explain>
      <paraID>7ACCD136</paraID>
      <start>3</start>
      <end>4</end>
      <status>unmodified</status>
      <modifiedWord/>
      <trackRevisions>false</trackRevisions>
    </reviewItem>
    <reviewItem>
      <errorID>df940043-7c4c-41ea-ab3b-534c16bb2bef</errorID>
      <errorWord>）</errorWord>
      <group>L1_Format</group>
      <groupName>格式问题</groupName>
      <ability>L2_HalfPunc</ability>
      <abilityName>全半角检查</abilityName>
      <candidateList>
        <item>)</item>
      </candidateList>
      <explain>文本全半角错误。</explain>
      <paraID>7ACCD136</paraID>
      <start>5</start>
      <end>6</end>
      <status>unmodified</status>
      <modifiedWord/>
      <trackRevisions>false</trackRevisions>
    </reviewItem>
    <reviewItem>
      <errorID>d06ecaf4-4d5b-4cc7-a91a-c74845c56f3d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90E9E3E</paraID>
      <start>0</start>
      <end>2</end>
      <status>unmodified</status>
      <modifiedWord/>
      <trackRevisions>false</trackRevisions>
    </reviewItem>
    <reviewItem>
      <errorID>e48706fc-3f67-47dc-a020-894b3e051562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743E69F0</paraID>
      <start>0</start>
      <end>2</end>
      <status>unmodified</status>
      <modifiedWord/>
      <trackRevisions>false</trackRevisions>
    </reviewItem>
    <reviewItem>
      <errorID>6a38cd1d-4ed2-4399-b890-fc3d7530225e</errorID>
      <errorWord>（</errorWord>
      <group>L1_Format</group>
      <groupName>格式问题</groupName>
      <ability>L2_HalfPunc</ability>
      <abilityName>全半角检查</abilityName>
      <candidateList>
        <item>(</item>
      </candidateList>
      <explain>文本全半角错误。</explain>
      <paraID> 363D9F4</paraID>
      <start>0</start>
      <end>1</end>
      <status>unmodified</status>
      <modifiedWord/>
      <trackRevisions>false</trackRevisions>
    </reviewItem>
    <reviewItem>
      <errorID>72077fe6-575e-407c-86b0-aebf22aa799c</errorID>
      <errorWord>）</errorWord>
      <group>L1_Format</group>
      <groupName>格式问题</groupName>
      <ability>L2_HalfPunc</ability>
      <abilityName>全半角检查</abilityName>
      <candidateList>
        <item>)</item>
      </candidateList>
      <explain>文本全半角错误。</explain>
      <paraID> 363D9F4</paraID>
      <start>4</start>
      <end>5</end>
      <status>unmodified</status>
      <modifiedWord/>
      <trackRevisions>false</trackRevisions>
    </reviewItem>
    <reviewItem>
      <errorID>7bd8c416-388c-4aa0-aa51-963d19bdb436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409C3725</paraID>
      <start>0</start>
      <end>2</end>
      <status>unmodified</status>
      <modifiedWord/>
      <trackRevisions>false</trackRevisions>
    </reviewItem>
    <reviewItem>
      <errorID>a386add7-560c-47ec-b261-cf92542cc1c9</errorID>
      <errorWord>，</errorWord>
      <group>L1_Format</group>
      <groupName>格式问题</groupName>
      <ability>L2_HalfPunc</ability>
      <abilityName>全半角检查</abilityName>
      <candidateList>
        <item>, </item>
      </candidateList>
      <explain>文本全半角错误。</explain>
      <paraID>17372D17</paraID>
      <start>1</start>
      <end>2</end>
      <status>unmodified</status>
      <modifiedWord/>
      <trackRevisions>false</trackRevisions>
    </reviewItem>
    <reviewItem>
      <errorID>75a7cccc-60a9-4658-8270-ba2df637a18a</errorID>
      <errorWord>，</errorWord>
      <group>L1_Format</group>
      <groupName>格式问题</groupName>
      <ability>L2_HalfPunc</ability>
      <abilityName>全半角检查</abilityName>
      <candidateList>
        <item>, </item>
      </candidateList>
      <explain>文本全半角错误。</explain>
      <paraID>6676FF25</paraID>
      <start>1</start>
      <end>2</end>
      <status>unmodified</status>
      <modifiedWord/>
      <trackRevisions>false</trackRevisions>
    </reviewItem>
    <reviewItem>
      <errorID>89e1b694-0c76-4306-a6a8-7764f4205c2e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6AF60A0A</paraID>
      <start>0</start>
      <end>2</end>
      <status>unmodified</status>
      <modifiedWord/>
      <trackRevisions>false</trackRevisions>
    </reviewItem>
    <reviewItem>
      <errorID>40350263-e4a0-4157-9daa-f9ae1ad47803</errorID>
      <errorWord>。。</errorWord>
      <group>L1_Punc</group>
      <groupName>标点问题</groupName>
      <ability>L2_Punc</ability>
      <abilityName>标点符号检查</abilityName>
      <candidateList>
        <item>。</item>
      </candidateList>
      <explain/>
      <paraID>1B008220</paraID>
      <start>139</start>
      <end>141</end>
      <status>unmodified</status>
      <modifiedWord/>
      <trackRevisions>false</trackRevisions>
    </reviewItem>
    <reviewItem>
      <errorID>8c331ee7-63e8-48c1-af16-9b4c78a9fda7</errorID>
      <errorWord>，…，</errorWord>
      <group>L1_Punc</group>
      <groupName>标点问题</groupName>
      <ability>L2_Punc</ability>
      <abilityName>标点符号检查</abilityName>
      <candidateList>
        <item>，</item>
      </candidateList>
      <explain/>
      <paraID>5FE19DB3</paraID>
      <start>8</start>
      <end>11</end>
      <status>unmodified</status>
      <modifiedWord/>
      <trackRevisions>false</trackRevisions>
    </reviewItem>
    <reviewItem>
      <errorID>fd7c3ef6-ca1c-4f21-b589-428f4e6f9bdd</errorID>
      <errorWord>，…，</errorWord>
      <group>L1_Punc</group>
      <groupName>标点问题</groupName>
      <ability>L2_Punc</ability>
      <abilityName>标点符号检查</abilityName>
      <candidateList>
        <item>，</item>
      </candidateList>
      <explain/>
      <paraID>517B077E</paraID>
      <start>5</start>
      <end>8</end>
      <status>unmodified</status>
      <modifiedWord/>
      <trackRevisions>false</trackRevisions>
    </reviewItem>
    <reviewItem>
      <errorID>a6d60103-854f-40c3-b10c-66cf488680e6</errorID>
      <errorWord>（</errorWord>
      <group>L1_Format</group>
      <groupName>格式问题</groupName>
      <ability>L2_HalfPunc</ability>
      <abilityName>全半角检查</abilityName>
      <candidateList>
        <item>(</item>
      </candidateList>
      <explain>文本全半角错误。</explain>
      <paraID> A480A01</paraID>
      <start>0</start>
      <end>1</end>
      <status>unmodified</status>
      <modifiedWord/>
      <trackRevisions>false</trackRevisions>
    </reviewItem>
    <reviewItem>
      <errorID>078b19b8-72b1-4c45-ae42-f35d833d3a54</errorID>
      <errorWord>）</errorWord>
      <group>L1_Format</group>
      <groupName>格式问题</groupName>
      <ability>L2_HalfPunc</ability>
      <abilityName>全半角检查</abilityName>
      <candidateList>
        <item>)</item>
      </candidateList>
      <explain>文本全半角错误。</explain>
      <paraID> A480A01</paraID>
      <start>4</start>
      <end>5</end>
      <status>unmodified</status>
      <modifiedWord/>
      <trackRevisions>false</trackRevisions>
    </reviewItem>
    <reviewItem>
      <errorID>4e231cb0-b781-4178-b440-0515bfe4c933</errorID>
      <errorWord>（</errorWord>
      <group>L1_Format</group>
      <groupName>格式问题</groupName>
      <ability>L2_HalfPunc</ability>
      <abilityName>全半角检查</abilityName>
      <candidateList>
        <item>(</item>
      </candidateList>
      <explain>文本全半角错误。</explain>
      <paraID>42B154AD</paraID>
      <start>0</start>
      <end>1</end>
      <status>unmodified</status>
      <modifiedWord/>
      <trackRevisions>false</trackRevisions>
    </reviewItem>
    <reviewItem>
      <errorID>ec9d51ac-a5ce-496a-9319-9076b2706c6b</errorID>
      <errorWord>）</errorWord>
      <group>L1_Format</group>
      <groupName>格式问题</groupName>
      <ability>L2_HalfPunc</ability>
      <abilityName>全半角检查</abilityName>
      <candidateList>
        <item>)</item>
      </candidateList>
      <explain>文本全半角错误。</explain>
      <paraID>42B154AD</paraID>
      <start>4</start>
      <end>5</end>
      <status>unmodified</status>
      <modifiedWord/>
      <trackRevisions>false</trackRevisions>
    </reviewItem>
    <reviewItem>
      <errorID>873e9f75-eb7c-4d7a-9b57-018a02ded88a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3095C61B</paraID>
      <start>0</start>
      <end>2</end>
      <status>unmodified</status>
      <modifiedWord/>
      <trackRevisions>false</trackRevisions>
    </reviewItem>
    <reviewItem>
      <errorID>e929b313-0599-4fee-8970-f20fc20f1fc0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68FDF787</paraID>
      <start>0</start>
      <end>2</end>
      <status>unmodified</status>
      <modifiedWord/>
      <trackRevisions>false</trackRevisions>
    </reviewItem>
    <reviewItem>
      <errorID>1d42d8b3-1386-4428-adec-fd4b148ebb9d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242B0D2D</paraID>
      <start>0</start>
      <end>2</end>
      <status>unmodified</status>
      <modifiedWord/>
      <trackRevisions>false</trackRevisions>
    </reviewItem>
    <reviewItem>
      <errorID>313733da-dae0-4289-86e9-c3596e9fb893</errorID>
      <errorWord>减小</errorWord>
      <group>L1_Word</group>
      <groupName>字词问题</groupName>
      <ability>L2_Typo</ability>
      <abilityName>字词错误</abilityName>
      <candidateList>
        <item>减少</item>
      </candidateList>
      <explain>〈动〉减去一部分：～人员｜～麻烦｜工作中的缺点～了。</explain>
      <paraID>62919419</paraID>
      <start>4</start>
      <end>6</end>
      <status>unmodified</status>
      <modifiedWord/>
      <trackRevisions>false</trackRevisions>
    </reviewItem>
    <reviewItem>
      <errorID>55552393-ea4e-4af1-8b81-b1a1c0377e57</errorID>
      <errorWord>（</errorWord>
      <group>L1_Punc</group>
      <groupName>标点问题</groupName>
      <ability>L2_Punc</ability>
      <abilityName>标点符号检查</abilityName>
      <candidateList/>
      <explain>同一形式括号套用。</explain>
      <paraID>34E39B82</paraID>
      <start>142</start>
      <end>143</end>
      <status>unmodified</status>
      <modifiedWord/>
      <trackRevisions>false</trackRevisions>
    </reviewItem>
    <reviewItem>
      <errorID>5555f39b-22d8-47bd-9971-65e9a5d2c05c</errorID>
      <errorWord>）</errorWord>
      <group>L1_Punc</group>
      <groupName>标点问题</groupName>
      <ability>L2_Punc</ability>
      <abilityName>标点符号检查</abilityName>
      <candidateList/>
      <explain>同一形式括号套用。</explain>
      <paraID>34E39B82</paraID>
      <start>145</start>
      <end>146</end>
      <status>unmodified</status>
      <modifiedWord/>
      <trackRevisions>false</trackRevisions>
    </reviewItem>
    <reviewItem>
      <errorID>840cea14-7c16-48b4-9457-8f847df1814f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C020183</paraID>
      <start>0</start>
      <end>2</end>
      <status>unmodified</status>
      <modifiedWord/>
      <trackRevisions>false</trackRevisions>
    </reviewItem>
    <reviewItem>
      <errorID>1087a431-b4e4-4661-af15-59381eb28bf5</errorID>
      <errorWord>，</errorWord>
      <group>L1_Word</group>
      <groupName>字词问题</groupName>
      <ability>L2_Typo</ability>
      <abilityName>字词错误</abilityName>
      <candidateList>
        <item>，在</item>
      </candidateList>
      <explain/>
      <paraID>1628D4B8</paraID>
      <start>20</start>
      <end>22</end>
      <status>modified</status>
      <modifiedWord>，在</modifiedWord>
      <trackRevisions>false</trackRevisions>
    </reviewItem>
    <reviewItem>
      <errorID>6f6c2924-e7c0-449c-850b-077b21be1371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2012AC27</paraID>
      <start>0</start>
      <end>2</end>
      <status>unmodified</status>
      <modifiedWord/>
      <trackRevisions>false</trackRevisions>
    </reviewItem>
    <reviewItem>
      <errorID>3e17a2ee-39d1-48c2-87da-4e99e81612d2</errorID>
      <errorWord>法律、法规</errorWord>
      <group>L1_Word</group>
      <groupName>字词问题</groupName>
      <ability>L2_Typo</ability>
      <abilityName>字词错误</abilityName>
      <candidateList>
        <item>法律法规</item>
      </candidateList>
      <explain/>
      <paraID>1FF14A13</paraID>
      <start>25</start>
      <end>30</end>
      <status>unmodified</status>
      <modifiedWord/>
      <trackRevisions>false</trackRevisions>
    </reviewItem>
    <reviewItem>
      <errorID>66664538-81ff-4959-8ada-fa5cf67a4713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76882C39</paraID>
      <start>0</start>
      <end>2</end>
      <status>unmodified</status>
      <modifiedWord/>
      <trackRevisions>false</trackRevisions>
    </reviewItem>
    <reviewItem>
      <errorID>a1b30d60-e446-4051-8357-34e8686fb881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6C048927</paraID>
      <start>0</start>
      <end>2</end>
      <status>unmodified</status>
      <modifiedWord/>
      <trackRevisions>false</trackRevisions>
    </reviewItem>
    <reviewItem>
      <errorID>db3137b9-fb7d-4d87-aaff-db72a4442faa</errorID>
      <errorWord>化都</errorWord>
      <group>L1_Word</group>
      <groupName>字词问题</groupName>
      <ability>L2_Typo</ability>
      <abilityName>字词错误</abilityName>
      <candidateList>
        <item>化具</item>
      </candidateList>
      <explain/>
      <paraID>43F5793B</paraID>
      <start>87</start>
      <end>89</end>
      <status>unmodified</status>
      <modifiedWord/>
      <trackRevisions>false</trackRevisions>
    </reviewItem>
    <reviewItem>
      <errorID>3757e2d8-2205-4d11-b00a-152dffae8e2f</errorID>
      <errorWord>[1996]</errorWord>
      <group>L1_Punc</group>
      <groupName>标点问题</groupName>
      <ability>L2_Punc</ability>
      <abilityName>标点符号检查</abilityName>
      <candidateList>
        <item>〔1996〕</item>
      </candidateList>
      <explain/>
      <paraID>2A1CD47C</paraID>
      <start>25</start>
      <end>31</end>
      <status>modified</status>
      <modifiedWord>〔1996〕</modifiedWord>
      <trackRevisions>false</trackRevisions>
    </reviewItem>
    <reviewItem>
      <errorID>cb198305-b4ae-4692-b967-9750c3ed6acc</errorID>
      <errorWord>“</errorWord>
      <group>L1_Punc</group>
      <groupName>标点问题</groupName>
      <ability>L2_Punc</ability>
      <abilityName>标点符号检查</abilityName>
      <candidateList/>
      <explain/>
      <paraID>2A1CD47C</paraID>
      <start>145</start>
      <end>146</end>
      <status>unmodified</status>
      <modifiedWord/>
      <trackRevisions>false</trackRevisions>
    </reviewItem>
    <reviewItem>
      <errorID>3cea421e-efb6-444a-901c-ccda6b1f2979</errorID>
      <errorWord>设置</errorWord>
      <group>L1_Word</group>
      <groupName>字词问题</groupName>
      <ability>L2_Typo</ability>
      <abilityName>字词错误</abilityName>
      <candidateList>
        <item>设施</item>
      </candidateList>
      <explain/>
      <paraID>447187E4</paraID>
      <start>9</start>
      <end>11</end>
      <status>unmodified</status>
      <modifiedWord/>
      <trackRevisions>false</trackRevisions>
    </reviewItem>
    <reviewItem>
      <errorID>532d82c3-953b-4458-949b-18f97967f367</errorID>
      <errorWord>(</errorWord>
      <group>L1_Format</group>
      <groupName>格式问题</groupName>
      <ability>L2_HalfPunc</ability>
      <abilityName>全半角检查</abilityName>
      <candidateList>
        <item>（</item>
      </candidateList>
      <explain>文本全半角错误。</explain>
      <paraID>3918B246</paraID>
      <start>3</start>
      <end>4</end>
      <status>unmodified</status>
      <modifiedWord/>
      <trackRevisions>false</trackRevisions>
    </reviewItem>
    <reviewItem>
      <errorID>d6520785-b63d-4123-abc8-00462a79c063</errorID>
      <errorWord>)</errorWord>
      <group>L1_Format</group>
      <groupName>格式问题</groupName>
      <ability>L2_HalfPunc</ability>
      <abilityName>全半角检查</abilityName>
      <candidateList>
        <item>）</item>
      </candidateList>
      <explain>文本全半角错误。</explain>
      <paraID>1DC9E3B6</paraID>
      <start>2</start>
      <end>3</end>
      <status>unmodified</status>
      <modifiedWord/>
      <trackRevisions>false</trackRevisions>
    </reviewItem>
    <reviewItem>
      <errorID>ff2738e9-fa0d-437a-94f6-f57720143409</errorID>
      <errorWord>；；</errorWord>
      <group>L1_Punc</group>
      <groupName>标点问题</groupName>
      <ability>L2_Punc</ability>
      <abilityName>标点符号检查</abilityName>
      <candidateList>
        <item>；</item>
      </candidateList>
      <explain/>
      <paraID> DD24674</paraID>
      <start>47</start>
      <end>49</end>
      <status>unmodified</status>
      <modifiedWord/>
      <trackRevisions>false</trackRevisions>
    </reviewItem>
    <reviewItem>
      <errorID>e0820f70-5b4c-4e55-833c-1df312414310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A07B0E6</paraID>
      <start>0</start>
      <end>2</end>
      <status>unmodified</status>
      <modifiedWord/>
      <trackRevisions>false</trackRevisions>
    </reviewItem>
    <reviewItem>
      <errorID>a087e917-0d81-493e-90e4-3ac0f071ebc6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7506848E</paraID>
      <start>0</start>
      <end>2</end>
      <status>unmodified</status>
      <modifiedWord/>
      <trackRevisions>false</trackRevisions>
    </reviewItem>
    <reviewItem>
      <errorID>9f88bb22-3d9b-4e5b-88d3-4e9bda53bd4b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265059E5</paraID>
      <start>0</start>
      <end>2</end>
      <status>unmodified</status>
      <modifiedWord/>
      <trackRevisions>false</trackRevisions>
    </reviewItem>
    <reviewItem>
      <errorID>dbd8a223-2f32-461c-9abe-5cc6fc8464ac</errorID>
      <errorWord>[2017]4号</errorWord>
      <group>L1_Knowledge</group>
      <groupName>知识性问题</groupName>
      <ability>L2_Knowledge</ability>
      <abilityName>其他知识</abilityName>
      <candidateList>
        <item>〔2017〕4号</item>
      </candidateList>
      <explain>发文字号格式错误。</explain>
      <paraID>42C38C4A</paraID>
      <start>27</start>
      <end>35</end>
      <status>unmodified</status>
      <modifiedWord/>
      <trackRevisions>false</trackRevisions>
    </reviewItem>
    <reviewItem>
      <errorID>e82dfbd6-e9d3-497f-8111-58a068eb0ef8</errorID>
      <errorWord>法律、法规</errorWord>
      <group>L1_Word</group>
      <groupName>字词问题</groupName>
      <ability>L2_Typo</ability>
      <abilityName>字词错误</abilityName>
      <candidateList>
        <item>法律法规</item>
      </candidateList>
      <explain/>
      <paraID>50ACD50C</paraID>
      <start>11</start>
      <end>16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81135be-df3f-4af3-a886-fbda1fe1b413}">
  <ds:schemaRefs/>
</ds:datastoreItem>
</file>

<file path=docProps/app.xml><?xml version="1.0" encoding="utf-8"?>
<Properties xmlns="http://schemas.openxmlformats.org/officeDocument/2006/extended-properties" xmlns:vt="http://schemas.openxmlformats.org/officeDocument/2006/docPropsVTypes">
  <Template>Normal</Template>
  <Pages>280</Pages>
  <Words>24335</Words>
  <Characters>25136</Characters>
  <Lines>1</Lines>
  <Paragraphs>1</Paragraphs>
  <TotalTime>1</TotalTime>
  <ScaleCrop>false</ScaleCrop>
  <LinksUpToDate>false</LinksUpToDate>
  <CharactersWithSpaces>25249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2022-01-13T06:09:00Z</dcterms:created>
  <dc:creator>修宏佳.</dc:creator>
  <cp:lastModifiedBy>闫思安^_^</cp:lastModifiedBy>
  <cp:lastPrinted>2026-09-21T02:44:00Z</cp:lastPrinted>
  <dcterms:modified xsi:type="dcterms:W3CDTF">2026-10-26T01:16:48Z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F3897B1363C540ACB14A3C4A178CE186</vt:lpwstr>
  </property>
  <property fmtid="{D5CDD505-2E9C-101B-9397-08002B2CF9AE}" pid="4" name="KSOTemplateDocerSaveRecord">
    <vt:lpwstr>eyJoZGlkIjoiN2MxNmQ4NDg5YWM1ZTQ1YTc2YmU3YjY5NTQ3ZjBjMDgiLCJ1c2VySWQiOiIxMDYyNDg2NzY4In0=</vt:lpwstr>
  </property>
  <property fmtid="{D5CDD505-2E9C-101B-9397-08002B2CF9AE}" pid="5" name="OfficeAIDocId">
    <vt:lpwstr>DOC_c8e1c391f3184d239d92eb39623f4c89</vt:lpwstr>
  </property>
</Properties>
</file>