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335704F">
      <w:pPr>
        <w:keepNext w:val="0"/>
        <w:keepLines w:val="0"/>
        <w:pageBreakBefore w:val="0"/>
        <w:widowControl/>
        <w:kinsoku/>
        <w:wordWrap/>
        <w:overflowPunct/>
        <w:topLinePunct w:val="0"/>
        <w:autoSpaceDE/>
        <w:autoSpaceDN/>
        <w:bidi w:val="0"/>
        <w:spacing w:line="600" w:lineRule="exact"/>
        <w:ind w:left="0" w:leftChars="0"/>
        <w:jc w:val="right"/>
        <w:textAlignment w:val="auto"/>
        <w:rPr>
          <w:rFonts w:hint="eastAsia" w:ascii="国标仿宋-GB/T 2312" w:hAnsi="国标仿宋-GB/T 2312" w:eastAsia="国标仿宋-GB/T 2312" w:cs="国标仿宋-GB/T 2312"/>
          <w:color w:val="auto"/>
          <w:sz w:val="32"/>
          <w:szCs w:val="32"/>
          <w:highlight w:val="none"/>
        </w:rPr>
      </w:pPr>
    </w:p>
    <w:p w14:paraId="3CFB6732">
      <w:pPr>
        <w:keepNext w:val="0"/>
        <w:keepLines w:val="0"/>
        <w:pageBreakBefore w:val="0"/>
        <w:widowControl/>
        <w:kinsoku/>
        <w:wordWrap/>
        <w:overflowPunct/>
        <w:topLinePunct w:val="0"/>
        <w:autoSpaceDE/>
        <w:autoSpaceDN/>
        <w:bidi w:val="0"/>
        <w:spacing w:line="600" w:lineRule="exact"/>
        <w:ind w:left="0" w:leftChars="0"/>
        <w:jc w:val="right"/>
        <w:textAlignment w:val="auto"/>
        <w:rPr>
          <w:rFonts w:hint="eastAsia" w:ascii="国标仿宋-GB/T 2312" w:hAnsi="国标仿宋-GB/T 2312" w:eastAsia="国标仿宋-GB/T 2312" w:cs="国标仿宋-GB/T 2312"/>
          <w:color w:val="auto"/>
          <w:sz w:val="32"/>
          <w:szCs w:val="32"/>
          <w:highlight w:val="none"/>
        </w:rPr>
      </w:pPr>
    </w:p>
    <w:p w14:paraId="21535F84">
      <w:pPr>
        <w:pStyle w:val="9"/>
        <w:keepNext w:val="0"/>
        <w:keepLines w:val="0"/>
        <w:pageBreakBefore w:val="0"/>
        <w:kinsoku/>
        <w:wordWrap/>
        <w:overflowPunct/>
        <w:topLinePunct w:val="0"/>
        <w:autoSpaceDE/>
        <w:autoSpaceDN/>
        <w:bidi w:val="0"/>
        <w:spacing w:line="600" w:lineRule="exact"/>
        <w:ind w:left="102" w:leftChars="0" w:hanging="78"/>
        <w:textAlignment w:val="auto"/>
        <w:rPr>
          <w:rFonts w:hint="eastAsia" w:ascii="国标仿宋-GB/T 2312" w:hAnsi="国标仿宋-GB/T 2312" w:eastAsia="国标仿宋-GB/T 2312" w:cs="国标仿宋-GB/T 2312"/>
          <w:color w:val="auto"/>
          <w:sz w:val="32"/>
          <w:szCs w:val="32"/>
          <w:highlight w:val="none"/>
        </w:rPr>
      </w:pPr>
    </w:p>
    <w:p w14:paraId="2574D015">
      <w:pPr>
        <w:keepNext w:val="0"/>
        <w:keepLines w:val="0"/>
        <w:pageBreakBefore w:val="0"/>
        <w:widowControl/>
        <w:kinsoku/>
        <w:wordWrap/>
        <w:overflowPunct/>
        <w:topLinePunct w:val="0"/>
        <w:autoSpaceDE/>
        <w:autoSpaceDN/>
        <w:bidi w:val="0"/>
        <w:spacing w:line="600" w:lineRule="exact"/>
        <w:ind w:left="0" w:leftChars="0"/>
        <w:jc w:val="right"/>
        <w:textAlignment w:val="auto"/>
        <w:rPr>
          <w:rFonts w:hint="eastAsia" w:ascii="国标仿宋-GB/T 2312" w:hAnsi="国标仿宋-GB/T 2312" w:eastAsia="国标仿宋-GB/T 2312" w:cs="国标仿宋-GB/T 2312"/>
          <w:color w:val="auto"/>
          <w:sz w:val="32"/>
          <w:szCs w:val="32"/>
          <w:highlight w:val="none"/>
        </w:rPr>
      </w:pPr>
    </w:p>
    <w:p w14:paraId="7557E199">
      <w:pPr>
        <w:pStyle w:val="29"/>
        <w:keepNext w:val="0"/>
        <w:keepLines w:val="0"/>
        <w:pageBreakBefore w:val="0"/>
        <w:kinsoku/>
        <w:wordWrap/>
        <w:overflowPunct/>
        <w:topLinePunct w:val="0"/>
        <w:autoSpaceDE/>
        <w:autoSpaceDN/>
        <w:bidi w:val="0"/>
        <w:spacing w:line="600" w:lineRule="exact"/>
        <w:ind w:left="0" w:leftChars="0"/>
        <w:jc w:val="right"/>
        <w:textAlignment w:val="auto"/>
        <w:rPr>
          <w:rFonts w:hint="eastAsia" w:ascii="国标仿宋-GB/T 2312" w:hAnsi="国标仿宋-GB/T 2312" w:eastAsia="国标仿宋-GB/T 2312" w:cs="国标仿宋-GB/T 2312"/>
          <w:color w:val="auto"/>
          <w:sz w:val="32"/>
          <w:szCs w:val="32"/>
          <w:highlight w:val="yellow"/>
          <w:shd w:val="clear" w:color="auto" w:fill="auto"/>
          <w:lang w:eastAsia="zh-CN"/>
        </w:rPr>
      </w:pPr>
      <w:r>
        <w:rPr>
          <w:rFonts w:hint="eastAsia" w:ascii="国标仿宋-GB/T 2312" w:hAnsi="国标仿宋-GB/T 2312" w:eastAsia="国标仿宋-GB/T 2312" w:cs="国标仿宋-GB/T 2312"/>
          <w:color w:val="auto"/>
          <w:sz w:val="32"/>
          <w:szCs w:val="32"/>
          <w:highlight w:val="yellow"/>
          <w:shd w:val="clear" w:color="auto" w:fill="auto"/>
        </w:rPr>
        <w:t>本环建表字</w:t>
      </w:r>
      <w:r>
        <w:rPr>
          <w:rFonts w:hint="eastAsia" w:ascii="国标仿宋-GB/T 2312" w:hAnsi="国标仿宋-GB/T 2312" w:eastAsia="国标仿宋-GB/T 2312" w:cs="国标仿宋-GB/T 2312"/>
          <w:color w:val="auto"/>
          <w:sz w:val="32"/>
          <w:szCs w:val="32"/>
          <w:highlight w:val="yellow"/>
          <w:shd w:val="clear" w:color="auto" w:fill="auto"/>
          <w:lang w:eastAsia="zh-CN"/>
        </w:rPr>
        <w:t>〔202</w:t>
      </w:r>
      <w:r>
        <w:rPr>
          <w:rFonts w:hint="eastAsia" w:ascii="国标仿宋-GB/T 2312" w:hAnsi="国标仿宋-GB/T 2312" w:eastAsia="国标仿宋-GB/T 2312" w:cs="国标仿宋-GB/T 2312"/>
          <w:color w:val="auto"/>
          <w:sz w:val="32"/>
          <w:szCs w:val="32"/>
          <w:highlight w:val="yellow"/>
          <w:shd w:val="clear" w:color="auto" w:fill="auto"/>
          <w:lang w:val="en-US" w:eastAsia="zh-CN"/>
        </w:rPr>
        <w:t>6</w:t>
      </w:r>
      <w:r>
        <w:rPr>
          <w:rFonts w:hint="eastAsia" w:ascii="国标仿宋-GB/T 2312" w:hAnsi="国标仿宋-GB/T 2312" w:eastAsia="国标仿宋-GB/T 2312" w:cs="国标仿宋-GB/T 2312"/>
          <w:color w:val="auto"/>
          <w:sz w:val="32"/>
          <w:szCs w:val="32"/>
          <w:highlight w:val="yellow"/>
          <w:shd w:val="clear" w:color="auto" w:fill="auto"/>
          <w:lang w:eastAsia="zh-CN"/>
        </w:rPr>
        <w:t>〕</w:t>
      </w:r>
      <w:r>
        <w:rPr>
          <w:rFonts w:hint="eastAsia" w:ascii="国标仿宋-GB/T 2312" w:hAnsi="国标仿宋-GB/T 2312" w:eastAsia="国标仿宋-GB/T 2312" w:cs="国标仿宋-GB/T 2312"/>
          <w:color w:val="auto"/>
          <w:sz w:val="32"/>
          <w:szCs w:val="32"/>
          <w:highlight w:val="yellow"/>
          <w:shd w:val="clear" w:color="auto" w:fill="auto"/>
          <w:lang w:val="en-US" w:eastAsia="zh-CN"/>
        </w:rPr>
        <w:t>46</w:t>
      </w:r>
      <w:r>
        <w:rPr>
          <w:rFonts w:hint="eastAsia" w:ascii="国标仿宋-GB/T 2312" w:hAnsi="国标仿宋-GB/T 2312" w:eastAsia="国标仿宋-GB/T 2312" w:cs="国标仿宋-GB/T 2312"/>
          <w:color w:val="auto"/>
          <w:sz w:val="32"/>
          <w:szCs w:val="32"/>
          <w:highlight w:val="yellow"/>
          <w:shd w:val="clear" w:color="auto" w:fill="auto"/>
          <w:lang w:eastAsia="zh-CN"/>
        </w:rPr>
        <w:t>号</w:t>
      </w:r>
    </w:p>
    <w:p w14:paraId="74F8CDEB">
      <w:pPr>
        <w:keepNext w:val="0"/>
        <w:keepLines w:val="0"/>
        <w:pageBreakBefore w:val="0"/>
        <w:kinsoku/>
        <w:wordWrap/>
        <w:overflowPunct/>
        <w:topLinePunct w:val="0"/>
        <w:autoSpaceDE/>
        <w:autoSpaceDN/>
        <w:bidi w:val="0"/>
        <w:spacing w:line="600" w:lineRule="exact"/>
        <w:ind w:left="0"/>
        <w:jc w:val="center"/>
        <w:textAlignment w:val="auto"/>
        <w:rPr>
          <w:rFonts w:hint="eastAsia" w:ascii="国标宋体-GB/T 2312" w:hAnsi="国标宋体-GB/T 2312" w:eastAsia="国标宋体-GB/T 2312" w:cs="国标宋体-GB/T 2312"/>
          <w:b/>
          <w:snapToGrid/>
          <w:color w:val="auto"/>
          <w:spacing w:val="0"/>
          <w:kern w:val="2"/>
          <w:sz w:val="44"/>
          <w:szCs w:val="44"/>
          <w:highlight w:val="none"/>
        </w:rPr>
      </w:pPr>
      <w:r>
        <w:rPr>
          <w:rFonts w:hint="eastAsia" w:ascii="国标宋体-GB/T 2312" w:hAnsi="国标宋体-GB/T 2312" w:eastAsia="国标宋体-GB/T 2312" w:cs="国标宋体-GB/T 2312"/>
          <w:b/>
          <w:snapToGrid/>
          <w:color w:val="auto"/>
          <w:spacing w:val="0"/>
          <w:kern w:val="2"/>
          <w:sz w:val="44"/>
          <w:szCs w:val="44"/>
          <w:highlight w:val="none"/>
        </w:rPr>
        <w:t>关于《</w:t>
      </w:r>
      <w:r>
        <w:rPr>
          <w:rFonts w:hint="eastAsia" w:ascii="国标宋体-GB/T 2312" w:hAnsi="国标宋体-GB/T 2312" w:eastAsia="国标宋体-GB/T 2312" w:cs="国标宋体-GB/T 2312"/>
          <w:b/>
          <w:bCs/>
          <w:color w:val="000000"/>
          <w:sz w:val="44"/>
          <w:szCs w:val="44"/>
          <w:highlight w:val="none"/>
          <w:lang w:val="en-US" w:eastAsia="zh-CN"/>
        </w:rPr>
        <w:t>本溪大唐100兆瓦共享储能220千伏送出工程</w:t>
      </w:r>
      <w:r>
        <w:rPr>
          <w:rFonts w:hint="eastAsia" w:ascii="国标宋体-GB/T 2312" w:hAnsi="国标宋体-GB/T 2312" w:eastAsia="国标宋体-GB/T 2312" w:cs="国标宋体-GB/T 2312"/>
          <w:b/>
          <w:color w:val="auto"/>
          <w:spacing w:val="11"/>
          <w:sz w:val="44"/>
          <w:szCs w:val="44"/>
          <w:highlight w:val="none"/>
          <w:lang w:val="en-US" w:eastAsia="zh-CN"/>
        </w:rPr>
        <w:t>环境</w:t>
      </w:r>
      <w:r>
        <w:rPr>
          <w:rFonts w:hint="eastAsia" w:ascii="国标宋体-GB/T 2312" w:hAnsi="国标宋体-GB/T 2312" w:eastAsia="国标宋体-GB/T 2312" w:cs="国标宋体-GB/T 2312"/>
          <w:b/>
          <w:color w:val="auto"/>
          <w:spacing w:val="11"/>
          <w:sz w:val="44"/>
          <w:szCs w:val="44"/>
          <w:highlight w:val="none"/>
          <w:lang w:eastAsia="zh-CN"/>
        </w:rPr>
        <w:t>影响报告表</w:t>
      </w:r>
      <w:r>
        <w:rPr>
          <w:rFonts w:hint="eastAsia" w:ascii="国标宋体-GB/T 2312" w:hAnsi="国标宋体-GB/T 2312" w:eastAsia="国标宋体-GB/T 2312" w:cs="国标宋体-GB/T 2312"/>
          <w:b/>
          <w:snapToGrid/>
          <w:color w:val="auto"/>
          <w:spacing w:val="0"/>
          <w:kern w:val="2"/>
          <w:sz w:val="44"/>
          <w:szCs w:val="44"/>
          <w:highlight w:val="none"/>
        </w:rPr>
        <w:t>》的批复</w:t>
      </w:r>
    </w:p>
    <w:p w14:paraId="59B77020">
      <w:pPr>
        <w:keepNext w:val="0"/>
        <w:keepLines w:val="0"/>
        <w:pageBreakBefore w:val="0"/>
        <w:widowControl w:val="0"/>
        <w:kinsoku/>
        <w:wordWrap/>
        <w:overflowPunct/>
        <w:topLinePunct w:val="0"/>
        <w:autoSpaceDE/>
        <w:autoSpaceDN/>
        <w:bidi w:val="0"/>
        <w:adjustRightInd w:val="0"/>
        <w:snapToGrid w:val="0"/>
        <w:spacing w:line="600" w:lineRule="exact"/>
        <w:ind w:left="0"/>
        <w:textAlignment w:val="auto"/>
        <w:rPr>
          <w:rFonts w:hint="eastAsia" w:ascii="国标仿宋-GB/T 2312" w:hAnsi="国标仿宋-GB/T 2312" w:eastAsia="国标仿宋-GB/T 2312" w:cs="国标仿宋-GB/T 2312"/>
          <w:bCs/>
          <w:color w:val="auto"/>
          <w:sz w:val="32"/>
          <w:szCs w:val="32"/>
          <w:highlight w:val="none"/>
          <w:lang w:val="en-US" w:eastAsia="zh-CN"/>
        </w:rPr>
      </w:pPr>
    </w:p>
    <w:p w14:paraId="2709D82D">
      <w:pPr>
        <w:keepNext w:val="0"/>
        <w:keepLines w:val="0"/>
        <w:pageBreakBefore w:val="0"/>
        <w:widowControl w:val="0"/>
        <w:kinsoku/>
        <w:wordWrap/>
        <w:overflowPunct/>
        <w:topLinePunct w:val="0"/>
        <w:autoSpaceDE/>
        <w:autoSpaceDN/>
        <w:bidi w:val="0"/>
        <w:adjustRightInd w:val="0"/>
        <w:snapToGrid w:val="0"/>
        <w:spacing w:line="600" w:lineRule="exact"/>
        <w:ind w:left="0"/>
        <w:textAlignment w:val="auto"/>
        <w:rPr>
          <w:rFonts w:hint="eastAsia" w:ascii="国标仿宋-GB/T 2312" w:hAnsi="国标仿宋-GB/T 2312" w:eastAsia="国标仿宋-GB/T 2312" w:cs="国标仿宋-GB/T 2312"/>
          <w:color w:val="auto"/>
          <w:sz w:val="32"/>
          <w:szCs w:val="32"/>
          <w:highlight w:val="none"/>
          <w:lang w:val="en-US" w:eastAsia="zh-CN"/>
        </w:rPr>
      </w:pPr>
      <w:r>
        <w:rPr>
          <w:rFonts w:hint="eastAsia" w:ascii="国标仿宋-GB/T 2312" w:hAnsi="国标仿宋-GB/T 2312" w:eastAsia="国标仿宋-GB/T 2312" w:cs="国标仿宋-GB/T 2312"/>
          <w:bCs/>
          <w:color w:val="auto"/>
          <w:sz w:val="32"/>
          <w:szCs w:val="32"/>
          <w:highlight w:val="none"/>
          <w:lang w:val="en-US" w:eastAsia="zh-CN"/>
        </w:rPr>
        <w:t>国网辽宁省电力有限公司本溪供电公司</w:t>
      </w:r>
      <w:r>
        <w:rPr>
          <w:rFonts w:hint="eastAsia" w:ascii="国标仿宋-GB/T 2312" w:hAnsi="国标仿宋-GB/T 2312" w:eastAsia="国标仿宋-GB/T 2312" w:cs="国标仿宋-GB/T 2312"/>
          <w:color w:val="auto"/>
          <w:sz w:val="32"/>
          <w:szCs w:val="32"/>
          <w:highlight w:val="none"/>
          <w:lang w:val="en-US" w:eastAsia="zh-CN"/>
        </w:rPr>
        <w:t>：</w:t>
      </w:r>
    </w:p>
    <w:p w14:paraId="68FCF9ED">
      <w:pPr>
        <w:keepNext w:val="0"/>
        <w:keepLines w:val="0"/>
        <w:pageBreakBefore w:val="0"/>
        <w:widowControl w:val="0"/>
        <w:kinsoku/>
        <w:wordWrap/>
        <w:overflowPunct/>
        <w:topLinePunct w:val="0"/>
        <w:autoSpaceDE/>
        <w:autoSpaceDN/>
        <w:bidi w:val="0"/>
        <w:adjustRightInd w:val="0"/>
        <w:snapToGrid w:val="0"/>
        <w:spacing w:line="600" w:lineRule="exact"/>
        <w:ind w:left="0" w:firstLine="680" w:firstLineChars="200"/>
        <w:textAlignment w:val="auto"/>
        <w:rPr>
          <w:rFonts w:hint="eastAsia" w:ascii="国标仿宋-GB/T 2312" w:hAnsi="国标仿宋-GB/T 2312" w:eastAsia="国标仿宋-GB/T 2312" w:cs="国标仿宋-GB/T 2312"/>
          <w:bCs/>
          <w:color w:val="auto"/>
          <w:sz w:val="32"/>
          <w:szCs w:val="32"/>
          <w:highlight w:val="none"/>
          <w:lang w:val="en-US" w:eastAsia="zh-CN"/>
        </w:rPr>
      </w:pPr>
      <w:r>
        <w:rPr>
          <w:rFonts w:hint="eastAsia" w:ascii="国标仿宋-GB/T 2312" w:hAnsi="国标仿宋-GB/T 2312" w:eastAsia="国标仿宋-GB/T 2312" w:cs="国标仿宋-GB/T 2312"/>
          <w:bCs/>
          <w:color w:val="auto"/>
          <w:sz w:val="32"/>
          <w:szCs w:val="32"/>
          <w:highlight w:val="none"/>
          <w:lang w:val="en-US" w:eastAsia="zh-CN"/>
        </w:rPr>
        <w:t>你公司报送的《</w:t>
      </w:r>
      <w:r>
        <w:rPr>
          <w:rFonts w:hint="default" w:ascii="国标仿宋-GB/T 2312" w:hAnsi="国标仿宋-GB/T 2312" w:eastAsia="国标仿宋-GB/T 2312" w:cs="国标仿宋-GB/T 2312"/>
          <w:bCs/>
          <w:color w:val="auto"/>
          <w:sz w:val="32"/>
          <w:szCs w:val="32"/>
          <w:highlight w:val="none"/>
          <w:lang w:val="en-US" w:eastAsia="zh-CN"/>
        </w:rPr>
        <w:t>本溪大唐100兆瓦共享储能220千伏送出工程</w:t>
      </w:r>
      <w:r>
        <w:rPr>
          <w:rFonts w:hint="eastAsia" w:ascii="国标仿宋-GB/T 2312" w:hAnsi="国标仿宋-GB/T 2312" w:eastAsia="国标仿宋-GB/T 2312" w:cs="国标仿宋-GB/T 2312"/>
          <w:bCs/>
          <w:color w:val="auto"/>
          <w:sz w:val="32"/>
          <w:szCs w:val="32"/>
          <w:highlight w:val="none"/>
          <w:lang w:val="en-US" w:eastAsia="zh-CN"/>
        </w:rPr>
        <w:t>环境影响报告表》（以下简称“报告表”）已收悉。根据环评专家评审意见及技术评估报告结论，经我局2026年建设项目审查委员会</w:t>
      </w:r>
      <w:r>
        <w:rPr>
          <w:rFonts w:hint="eastAsia" w:ascii="国标仿宋-GB/T 2312" w:hAnsi="国标仿宋-GB/T 2312" w:eastAsia="国标仿宋-GB/T 2312" w:cs="国标仿宋-GB/T 2312"/>
          <w:bCs/>
          <w:color w:val="auto"/>
          <w:sz w:val="32"/>
          <w:szCs w:val="32"/>
          <w:highlight w:val="yellow"/>
          <w:lang w:val="en-US" w:eastAsia="zh-CN"/>
        </w:rPr>
        <w:t>第六次</w:t>
      </w:r>
      <w:r>
        <w:rPr>
          <w:rFonts w:hint="eastAsia" w:ascii="国标仿宋-GB/T 2312" w:hAnsi="国标仿宋-GB/T 2312" w:eastAsia="国标仿宋-GB/T 2312" w:cs="国标仿宋-GB/T 2312"/>
          <w:bCs/>
          <w:color w:val="auto"/>
          <w:sz w:val="32"/>
          <w:szCs w:val="32"/>
          <w:highlight w:val="none"/>
          <w:lang w:val="en-US" w:eastAsia="zh-CN"/>
        </w:rPr>
        <w:t>会议讨论同意，现批复如下：</w:t>
      </w:r>
    </w:p>
    <w:p w14:paraId="2C136DE3">
      <w:pPr>
        <w:keepNext w:val="0"/>
        <w:keepLines w:val="0"/>
        <w:pageBreakBefore w:val="0"/>
        <w:widowControl w:val="0"/>
        <w:kinsoku/>
        <w:wordWrap/>
        <w:overflowPunct/>
        <w:topLinePunct w:val="0"/>
        <w:autoSpaceDE/>
        <w:autoSpaceDN/>
        <w:bidi w:val="0"/>
        <w:adjustRightInd w:val="0"/>
        <w:snapToGrid w:val="0"/>
        <w:spacing w:line="600" w:lineRule="exact"/>
        <w:ind w:left="0" w:firstLine="680" w:firstLineChars="200"/>
        <w:textAlignment w:val="auto"/>
        <w:rPr>
          <w:rFonts w:hint="default" w:ascii="国标仿宋-GB/T 2312" w:hAnsi="国标仿宋-GB/T 2312" w:eastAsia="国标仿宋-GB/T 2312" w:cs="国标仿宋-GB/T 2312"/>
          <w:bCs/>
          <w:color w:val="auto"/>
          <w:sz w:val="32"/>
          <w:szCs w:val="32"/>
          <w:highlight w:val="cyan"/>
          <w:lang w:val="en-US" w:eastAsia="zh-CN"/>
        </w:rPr>
      </w:pPr>
      <w:r>
        <w:rPr>
          <w:rFonts w:hint="eastAsia" w:ascii="国标仿宋-GB/T 2312" w:hAnsi="国标仿宋-GB/T 2312" w:eastAsia="国标仿宋-GB/T 2312" w:cs="国标仿宋-GB/T 2312"/>
          <w:bCs/>
          <w:color w:val="auto"/>
          <w:sz w:val="32"/>
          <w:szCs w:val="32"/>
          <w:highlight w:val="none"/>
          <w:lang w:val="en-US" w:eastAsia="zh-CN"/>
        </w:rPr>
        <w:t>一、工程位于</w:t>
      </w:r>
      <w:r>
        <w:rPr>
          <w:rFonts w:hint="default" w:ascii="国标仿宋-GB/T 2312" w:hAnsi="国标仿宋-GB/T 2312" w:eastAsia="国标仿宋-GB/T 2312" w:cs="国标仿宋-GB/T 2312"/>
          <w:bCs/>
          <w:color w:val="auto"/>
          <w:sz w:val="32"/>
          <w:szCs w:val="32"/>
          <w:highlight w:val="none"/>
          <w:lang w:val="en-US" w:eastAsia="zh-CN"/>
        </w:rPr>
        <w:t>本溪市溪湖区</w:t>
      </w:r>
      <w:r>
        <w:rPr>
          <w:rFonts w:hint="eastAsia" w:ascii="国标仿宋-GB/T 2312" w:hAnsi="国标仿宋-GB/T 2312" w:eastAsia="国标仿宋-GB/T 2312" w:cs="国标仿宋-GB/T 2312"/>
          <w:bCs/>
          <w:color w:val="auto"/>
          <w:sz w:val="32"/>
          <w:szCs w:val="32"/>
          <w:highlight w:val="none"/>
          <w:lang w:val="en-US" w:eastAsia="zh-CN"/>
        </w:rPr>
        <w:t>，</w:t>
      </w:r>
      <w:r>
        <w:rPr>
          <w:rFonts w:hint="default" w:ascii="国标仿宋-GB/T 2312" w:hAnsi="国标仿宋-GB/T 2312" w:eastAsia="国标仿宋-GB/T 2312" w:cs="国标仿宋-GB/T 2312"/>
          <w:bCs/>
          <w:color w:val="auto"/>
          <w:sz w:val="32"/>
          <w:szCs w:val="32"/>
          <w:highlight w:val="none"/>
          <w:lang w:val="en-US" w:eastAsia="zh-CN"/>
        </w:rPr>
        <w:t>线路自大唐储能220千伏升压站起，新建1回220千伏线路接至石桥子220千伏变电站</w:t>
      </w:r>
      <w:r>
        <w:rPr>
          <w:rFonts w:hint="eastAsia" w:ascii="国标仿宋-GB/T 2312" w:hAnsi="国标仿宋-GB/T 2312" w:eastAsia="国标仿宋-GB/T 2312" w:cs="国标仿宋-GB/T 2312"/>
          <w:bCs/>
          <w:color w:val="auto"/>
          <w:sz w:val="32"/>
          <w:szCs w:val="32"/>
          <w:highlight w:val="none"/>
          <w:lang w:val="en-US" w:eastAsia="zh-CN"/>
        </w:rPr>
        <w:t>。</w:t>
      </w:r>
      <w:r>
        <w:rPr>
          <w:rFonts w:hint="default" w:ascii="国标仿宋-GB/T 2312" w:hAnsi="国标仿宋-GB/T 2312" w:eastAsia="国标仿宋-GB/T 2312" w:cs="国标仿宋-GB/T 2312"/>
          <w:bCs/>
          <w:color w:val="auto"/>
          <w:sz w:val="32"/>
          <w:szCs w:val="32"/>
          <w:highlight w:val="none"/>
          <w:lang w:val="en-US" w:eastAsia="zh-CN"/>
        </w:rPr>
        <w:t>项目总投资2716万元，环保投资46万元，占总投资的1.7%。</w:t>
      </w:r>
      <w:r>
        <w:rPr>
          <w:rFonts w:hint="eastAsia" w:ascii="国标仿宋-GB/T 2312" w:hAnsi="国标仿宋-GB/T 2312" w:eastAsia="国标仿宋-GB/T 2312" w:cs="国标仿宋-GB/T 2312"/>
          <w:bCs/>
          <w:color w:val="auto"/>
          <w:sz w:val="32"/>
          <w:szCs w:val="32"/>
          <w:highlight w:val="none"/>
          <w:lang w:val="en-US" w:eastAsia="zh-CN"/>
        </w:rPr>
        <w:t>工程</w:t>
      </w:r>
      <w:r>
        <w:rPr>
          <w:rFonts w:hint="default" w:ascii="国标仿宋-GB/T 2312" w:hAnsi="国标仿宋-GB/T 2312" w:eastAsia="国标仿宋-GB/T 2312" w:cs="国标仿宋-GB/T 2312"/>
          <w:bCs/>
          <w:color w:val="auto"/>
          <w:sz w:val="32"/>
          <w:szCs w:val="32"/>
          <w:highlight w:val="none"/>
          <w:lang w:val="en-US" w:eastAsia="zh-CN"/>
        </w:rPr>
        <w:t>新建架空线路折单长度5.7千米。石桥子220千伏变电站扩建220千伏出线间隔1个；即新增户外GIS组合电器1组，避雷器3支。根据一次设备需要，配置相应二次设备。利用本工程新建的大唐储能升压站石桥子变220千伏线路架设2根48芯OPGW光缆，光缆路径长度为2</w:t>
      </w:r>
      <w:r>
        <w:rPr>
          <w:rFonts w:hint="default" w:ascii="Arial" w:hAnsi="Arial" w:eastAsia="国标仿宋-GB/T 2312" w:cs="Arial"/>
          <w:bCs/>
          <w:color w:val="auto"/>
          <w:sz w:val="32"/>
          <w:szCs w:val="32"/>
          <w:highlight w:val="none"/>
          <w:lang w:val="en-US" w:eastAsia="zh-CN"/>
        </w:rPr>
        <w:t>×</w:t>
      </w:r>
      <w:r>
        <w:rPr>
          <w:rFonts w:hint="default" w:ascii="国标仿宋-GB/T 2312" w:hAnsi="国标仿宋-GB/T 2312" w:eastAsia="国标仿宋-GB/T 2312" w:cs="国标仿宋-GB/T 2312"/>
          <w:bCs/>
          <w:color w:val="auto"/>
          <w:sz w:val="32"/>
          <w:szCs w:val="32"/>
          <w:highlight w:val="none"/>
          <w:lang w:val="en-US" w:eastAsia="zh-CN"/>
        </w:rPr>
        <w:t>5.7千米</w:t>
      </w:r>
      <w:r>
        <w:rPr>
          <w:rFonts w:hint="eastAsia" w:ascii="国标仿宋-GB/T 2312" w:hAnsi="国标仿宋-GB/T 2312" w:eastAsia="国标仿宋-GB/T 2312" w:cs="国标仿宋-GB/T 2312"/>
          <w:bCs/>
          <w:color w:val="auto"/>
          <w:sz w:val="32"/>
          <w:szCs w:val="32"/>
          <w:highlight w:val="none"/>
          <w:lang w:val="en-US" w:eastAsia="zh-CN"/>
        </w:rPr>
        <w:t>。</w:t>
      </w:r>
      <w:r>
        <w:rPr>
          <w:rFonts w:hint="default" w:ascii="国标仿宋-GB/T 2312" w:hAnsi="国标仿宋-GB/T 2312" w:eastAsia="国标仿宋-GB/T 2312" w:cs="国标仿宋-GB/T 2312"/>
          <w:bCs/>
          <w:color w:val="auto"/>
          <w:sz w:val="32"/>
          <w:szCs w:val="32"/>
          <w:highlight w:val="cyan"/>
          <w:lang w:val="en-US" w:eastAsia="zh-CN"/>
        </w:rPr>
        <w:t>本项目临时占地33811.3m</w:t>
      </w:r>
      <w:r>
        <w:rPr>
          <w:rFonts w:hint="default" w:ascii="国标仿宋-GB/T 2312" w:hAnsi="国标仿宋-GB/T 2312" w:eastAsia="国标仿宋-GB/T 2312" w:cs="国标仿宋-GB/T 2312"/>
          <w:bCs/>
          <w:color w:val="auto"/>
          <w:sz w:val="32"/>
          <w:szCs w:val="32"/>
          <w:highlight w:val="cyan"/>
          <w:vertAlign w:val="superscript"/>
          <w:lang w:val="en-US" w:eastAsia="zh-CN"/>
        </w:rPr>
        <w:t>2</w:t>
      </w:r>
      <w:r>
        <w:rPr>
          <w:rFonts w:hint="default" w:ascii="国标仿宋-GB/T 2312" w:hAnsi="国标仿宋-GB/T 2312" w:eastAsia="国标仿宋-GB/T 2312" w:cs="国标仿宋-GB/T 2312"/>
          <w:bCs/>
          <w:color w:val="auto"/>
          <w:sz w:val="32"/>
          <w:szCs w:val="32"/>
          <w:highlight w:val="cyan"/>
          <w:lang w:val="en-US" w:eastAsia="zh-CN"/>
        </w:rPr>
        <w:t>，永久占地4048.7m</w:t>
      </w:r>
      <w:r>
        <w:rPr>
          <w:rFonts w:hint="default" w:ascii="国标仿宋-GB/T 2312" w:hAnsi="国标仿宋-GB/T 2312" w:eastAsia="国标仿宋-GB/T 2312" w:cs="国标仿宋-GB/T 2312"/>
          <w:bCs/>
          <w:color w:val="auto"/>
          <w:sz w:val="32"/>
          <w:szCs w:val="32"/>
          <w:highlight w:val="cyan"/>
          <w:vertAlign w:val="superscript"/>
          <w:lang w:val="en-US" w:eastAsia="zh-CN"/>
        </w:rPr>
        <w:t>2</w:t>
      </w:r>
      <w:r>
        <w:rPr>
          <w:rFonts w:hint="default" w:ascii="国标仿宋-GB/T 2312" w:hAnsi="国标仿宋-GB/T 2312" w:eastAsia="国标仿宋-GB/T 2312" w:cs="国标仿宋-GB/T 2312"/>
          <w:bCs/>
          <w:color w:val="auto"/>
          <w:sz w:val="32"/>
          <w:szCs w:val="32"/>
          <w:highlight w:val="cyan"/>
          <w:lang w:val="en-US" w:eastAsia="zh-CN"/>
        </w:rPr>
        <w:t>。</w:t>
      </w:r>
    </w:p>
    <w:p w14:paraId="4B681D79">
      <w:pPr>
        <w:keepNext w:val="0"/>
        <w:keepLines w:val="0"/>
        <w:pageBreakBefore w:val="0"/>
        <w:kinsoku/>
        <w:wordWrap/>
        <w:overflowPunct/>
        <w:topLinePunct w:val="0"/>
        <w:autoSpaceDE/>
        <w:autoSpaceDN/>
        <w:bidi w:val="0"/>
        <w:adjustRightInd/>
        <w:spacing w:line="600" w:lineRule="exact"/>
        <w:ind w:firstLine="640" w:firstLineChars="200"/>
        <w:textAlignment w:val="auto"/>
        <w:rPr>
          <w:rFonts w:hint="eastAsia" w:ascii="国标仿宋-GB/T 2312" w:hAnsi="国标仿宋-GB/T 2312" w:eastAsia="国标仿宋-GB/T 2312" w:cs="国标仿宋-GB/T 2312"/>
          <w:bCs w:val="0"/>
          <w:snapToGrid/>
          <w:spacing w:val="0"/>
          <w:kern w:val="2"/>
          <w:sz w:val="32"/>
          <w:szCs w:val="32"/>
          <w:highlight w:val="none"/>
          <w:lang w:val="en-US" w:eastAsia="zh-CN"/>
        </w:rPr>
      </w:pPr>
      <w:r>
        <w:rPr>
          <w:rFonts w:hint="eastAsia" w:ascii="国标仿宋-GB/T 2312" w:hAnsi="国标仿宋-GB/T 2312" w:eastAsia="国标仿宋-GB/T 2312" w:cs="国标仿宋-GB/T 2312"/>
          <w:bCs w:val="0"/>
          <w:snapToGrid/>
          <w:spacing w:val="0"/>
          <w:kern w:val="2"/>
          <w:sz w:val="32"/>
          <w:szCs w:val="32"/>
          <w:highlight w:val="none"/>
          <w:lang w:val="en-US" w:eastAsia="zh-CN"/>
        </w:rPr>
        <w:t>根据《产业结构调整指导目录（2024年本）》，本项目属于</w:t>
      </w:r>
      <w:r>
        <w:rPr>
          <w:rFonts w:hint="eastAsia" w:ascii="国标仿宋-GB/T 2312" w:hAnsi="国标仿宋-GB/T 2312" w:eastAsia="国标仿宋-GB/T 2312" w:cs="国标仿宋-GB/T 2312"/>
          <w:bCs w:val="0"/>
          <w:snapToGrid/>
          <w:spacing w:val="0"/>
          <w:kern w:val="2"/>
          <w:sz w:val="32"/>
          <w:szCs w:val="32"/>
          <w:highlight w:val="yellow"/>
          <w:lang w:val="en-US" w:eastAsia="zh-CN"/>
        </w:rPr>
        <w:t>“鼓励类</w:t>
      </w:r>
      <w:r>
        <w:rPr>
          <w:rFonts w:hint="eastAsia" w:ascii="国标仿宋-GB/T 2312" w:hAnsi="国标仿宋-GB/T 2312" w:eastAsia="国标仿宋-GB/T 2312" w:cs="国标仿宋-GB/T 2312"/>
          <w:bCs w:val="0"/>
          <w:snapToGrid/>
          <w:spacing w:val="0"/>
          <w:kern w:val="2"/>
          <w:sz w:val="32"/>
          <w:szCs w:val="32"/>
          <w:highlight w:val="none"/>
          <w:lang w:val="en-US" w:eastAsia="zh-CN"/>
        </w:rPr>
        <w:t>”，符合国家产业政策。</w:t>
      </w:r>
      <w:r>
        <w:rPr>
          <w:rFonts w:hint="eastAsia" w:ascii="国标仿宋-GB/T 2312" w:hAnsi="国标仿宋-GB/T 2312" w:eastAsia="国标仿宋-GB/T 2312" w:cs="国标仿宋-GB/T 2312"/>
          <w:bCs w:val="0"/>
          <w:snapToGrid/>
          <w:spacing w:val="0"/>
          <w:kern w:val="2"/>
          <w:sz w:val="32"/>
          <w:szCs w:val="32"/>
          <w:highlight w:val="red"/>
          <w:lang w:val="en-US" w:eastAsia="zh-CN"/>
        </w:rPr>
        <w:t>项目在依法办理自然资源、林草、交通、水利等相关部门手续，并依法完成拆迁工作后，</w:t>
      </w:r>
      <w:r>
        <w:rPr>
          <w:rFonts w:hint="eastAsia" w:ascii="国标仿宋-GB/T 2312" w:hAnsi="国标仿宋-GB/T 2312" w:eastAsia="国标仿宋-GB/T 2312" w:cs="国标仿宋-GB/T 2312"/>
          <w:bCs w:val="0"/>
          <w:snapToGrid/>
          <w:spacing w:val="0"/>
          <w:kern w:val="2"/>
          <w:sz w:val="32"/>
          <w:szCs w:val="32"/>
          <w:highlight w:val="none"/>
          <w:lang w:val="en-US" w:eastAsia="zh-CN"/>
        </w:rPr>
        <w:t>在严格落实报告表和本批复提出的各项生态环境保护措施和环境风险防控措施后，从生态环境角度，同意环境影响报告表中所列建设项目地点、生产规模和环境保护措施进行建设。</w:t>
      </w:r>
    </w:p>
    <w:p w14:paraId="0FDF1F3C">
      <w:pPr>
        <w:keepNext w:val="0"/>
        <w:keepLines w:val="0"/>
        <w:pageBreakBefore w:val="0"/>
        <w:kinsoku/>
        <w:wordWrap/>
        <w:overflowPunct/>
        <w:topLinePunct w:val="0"/>
        <w:autoSpaceDE/>
        <w:autoSpaceDN/>
        <w:bidi w:val="0"/>
        <w:adjustRightInd/>
        <w:spacing w:line="600" w:lineRule="exact"/>
        <w:ind w:firstLine="640" w:firstLineChars="200"/>
        <w:textAlignment w:val="auto"/>
        <w:rPr>
          <w:rFonts w:hint="eastAsia" w:ascii="国标仿宋-GB/T 2312" w:hAnsi="国标仿宋-GB/T 2312" w:eastAsia="国标仿宋-GB/T 2312" w:cs="国标仿宋-GB/T 2312"/>
          <w:bCs w:val="0"/>
          <w:snapToGrid/>
          <w:spacing w:val="0"/>
          <w:kern w:val="2"/>
          <w:sz w:val="32"/>
          <w:szCs w:val="32"/>
          <w:highlight w:val="none"/>
        </w:rPr>
      </w:pPr>
      <w:r>
        <w:rPr>
          <w:rFonts w:hint="eastAsia" w:ascii="国标仿宋-GB/T 2312" w:hAnsi="国标仿宋-GB/T 2312" w:eastAsia="国标仿宋-GB/T 2312" w:cs="国标仿宋-GB/T 2312"/>
          <w:bCs w:val="0"/>
          <w:snapToGrid/>
          <w:spacing w:val="0"/>
          <w:kern w:val="2"/>
          <w:sz w:val="32"/>
          <w:szCs w:val="32"/>
          <w:highlight w:val="none"/>
        </w:rPr>
        <w:t>二、项目建设应严格落实《报告表》提出的各项环境保护措施和风险防控措施，重点做好以下工作：</w:t>
      </w:r>
    </w:p>
    <w:p w14:paraId="2954371E">
      <w:pPr>
        <w:keepNext w:val="0"/>
        <w:keepLines w:val="0"/>
        <w:pageBreakBefore w:val="0"/>
        <w:kinsoku/>
        <w:wordWrap/>
        <w:overflowPunct/>
        <w:topLinePunct w:val="0"/>
        <w:autoSpaceDE/>
        <w:autoSpaceDN/>
        <w:bidi w:val="0"/>
        <w:adjustRightInd/>
        <w:spacing w:line="600" w:lineRule="exact"/>
        <w:ind w:firstLine="640" w:firstLineChars="200"/>
        <w:textAlignment w:val="auto"/>
        <w:rPr>
          <w:rFonts w:hint="eastAsia" w:ascii="国标仿宋-GB/T 2312" w:hAnsi="国标仿宋-GB/T 2312" w:eastAsia="国标仿宋-GB/T 2312" w:cs="国标仿宋-GB/T 2312"/>
          <w:bCs w:val="0"/>
          <w:snapToGrid/>
          <w:spacing w:val="0"/>
          <w:kern w:val="2"/>
          <w:sz w:val="32"/>
          <w:szCs w:val="32"/>
          <w:highlight w:val="none"/>
          <w:lang w:val="en-US" w:eastAsia="zh-CN"/>
        </w:rPr>
      </w:pPr>
      <w:r>
        <w:rPr>
          <w:rFonts w:hint="eastAsia" w:ascii="国标仿宋-GB/T 2312" w:hAnsi="国标仿宋-GB/T 2312" w:eastAsia="国标仿宋-GB/T 2312" w:cs="国标仿宋-GB/T 2312"/>
          <w:bCs w:val="0"/>
          <w:snapToGrid/>
          <w:color w:val="auto"/>
          <w:spacing w:val="0"/>
          <w:kern w:val="2"/>
          <w:sz w:val="32"/>
          <w:szCs w:val="32"/>
          <w:highlight w:val="none"/>
          <w:lang w:val="en-US" w:eastAsia="zh-CN" w:bidi="ar-SA"/>
        </w:rPr>
        <w:t>（一）</w:t>
      </w:r>
      <w:r>
        <w:rPr>
          <w:rFonts w:hint="eastAsia" w:ascii="国标仿宋-GB/T 2312" w:hAnsi="国标仿宋-GB/T 2312" w:eastAsia="国标仿宋-GB/T 2312" w:cs="国标仿宋-GB/T 2312"/>
          <w:bCs w:val="0"/>
          <w:snapToGrid/>
          <w:spacing w:val="0"/>
          <w:kern w:val="2"/>
          <w:sz w:val="32"/>
          <w:szCs w:val="32"/>
          <w:highlight w:val="none"/>
        </w:rPr>
        <w:t>严格落实施工期污染防治措施。</w:t>
      </w:r>
      <w:r>
        <w:rPr>
          <w:rFonts w:hint="eastAsia" w:ascii="国标仿宋-GB/T 2312" w:hAnsi="国标仿宋-GB/T 2312" w:eastAsia="国标仿宋-GB/T 2312" w:cs="国标仿宋-GB/T 2312"/>
          <w:bCs/>
          <w:snapToGrid w:val="0"/>
          <w:spacing w:val="10"/>
          <w:sz w:val="32"/>
          <w:szCs w:val="32"/>
          <w:highlight w:val="none"/>
          <w:lang w:val="en-US" w:eastAsia="zh-CN" w:bidi="ar-SA"/>
        </w:rPr>
        <w:t>施工过程采取施工围挡100%标准、物料堆放100%覆盖、施工现场100%湿法作业、施工道路100%硬化、施工现场出入车辆100%冲洗、渣土运输车辆100%密闭运输等</w:t>
      </w:r>
      <w:r>
        <w:rPr>
          <w:rFonts w:hint="eastAsia" w:ascii="国标仿宋-GB/T 2312" w:hAnsi="国标仿宋-GB/T 2312" w:eastAsia="国标仿宋-GB/T 2312" w:cs="国标仿宋-GB/T 2312"/>
          <w:bCs w:val="0"/>
          <w:snapToGrid/>
          <w:spacing w:val="0"/>
          <w:kern w:val="2"/>
          <w:sz w:val="32"/>
          <w:szCs w:val="32"/>
          <w:highlight w:val="none"/>
          <w:lang w:val="en-US" w:eastAsia="zh-CN"/>
        </w:rPr>
        <w:t>“六个百分之百”后，</w:t>
      </w:r>
      <w:r>
        <w:rPr>
          <w:rFonts w:hint="eastAsia" w:ascii="国标仿宋-GB/T 2312" w:hAnsi="国标仿宋-GB/T 2312" w:eastAsia="国标仿宋-GB/T 2312" w:cs="国标仿宋-GB/T 2312"/>
          <w:bCs w:val="0"/>
          <w:snapToGrid/>
          <w:spacing w:val="0"/>
          <w:kern w:val="2"/>
          <w:sz w:val="32"/>
          <w:szCs w:val="32"/>
          <w:highlight w:val="none"/>
        </w:rPr>
        <w:t>施工期扬尘</w:t>
      </w:r>
      <w:r>
        <w:rPr>
          <w:rFonts w:hint="eastAsia" w:ascii="国标仿宋-GB/T 2312" w:hAnsi="国标仿宋-GB/T 2312" w:eastAsia="国标仿宋-GB/T 2312" w:cs="国标仿宋-GB/T 2312"/>
          <w:bCs w:val="0"/>
          <w:snapToGrid/>
          <w:spacing w:val="0"/>
          <w:kern w:val="2"/>
          <w:sz w:val="32"/>
          <w:szCs w:val="32"/>
          <w:highlight w:val="none"/>
          <w:lang w:val="en-US" w:eastAsia="zh-CN"/>
        </w:rPr>
        <w:t>排放浓度</w:t>
      </w:r>
      <w:r>
        <w:rPr>
          <w:rFonts w:hint="eastAsia" w:ascii="国标仿宋-GB/T 2312" w:hAnsi="国标仿宋-GB/T 2312" w:eastAsia="国标仿宋-GB/T 2312" w:cs="国标仿宋-GB/T 2312"/>
          <w:bCs w:val="0"/>
          <w:snapToGrid/>
          <w:spacing w:val="0"/>
          <w:kern w:val="2"/>
          <w:sz w:val="32"/>
          <w:szCs w:val="32"/>
          <w:highlight w:val="none"/>
        </w:rPr>
        <w:t>应满足《施工及堆料场地扬尘排放标准》（DB21/2642-2016）</w:t>
      </w:r>
      <w:r>
        <w:rPr>
          <w:rFonts w:hint="eastAsia" w:ascii="国标仿宋-GB/T 2312" w:hAnsi="国标仿宋-GB/T 2312" w:eastAsia="国标仿宋-GB/T 2312" w:cs="国标仿宋-GB/T 2312"/>
          <w:bCs w:val="0"/>
          <w:snapToGrid/>
          <w:spacing w:val="0"/>
          <w:kern w:val="2"/>
          <w:sz w:val="32"/>
          <w:szCs w:val="32"/>
          <w:highlight w:val="cyan"/>
        </w:rPr>
        <w:t>浓度限值</w:t>
      </w:r>
      <w:r>
        <w:rPr>
          <w:rFonts w:hint="eastAsia" w:ascii="国标仿宋-GB/T 2312" w:hAnsi="国标仿宋-GB/T 2312" w:eastAsia="国标仿宋-GB/T 2312" w:cs="国标仿宋-GB/T 2312"/>
          <w:bCs w:val="0"/>
          <w:snapToGrid/>
          <w:spacing w:val="0"/>
          <w:kern w:val="2"/>
          <w:sz w:val="32"/>
          <w:szCs w:val="32"/>
          <w:highlight w:val="cyan"/>
          <w:lang w:val="en-US" w:eastAsia="zh-CN"/>
        </w:rPr>
        <w:t>要求</w:t>
      </w:r>
      <w:r>
        <w:rPr>
          <w:rFonts w:hint="eastAsia" w:ascii="国标仿宋-GB/T 2312" w:hAnsi="国标仿宋-GB/T 2312" w:eastAsia="国标仿宋-GB/T 2312" w:cs="国标仿宋-GB/T 2312"/>
          <w:bCs w:val="0"/>
          <w:snapToGrid/>
          <w:spacing w:val="0"/>
          <w:kern w:val="2"/>
          <w:sz w:val="32"/>
          <w:szCs w:val="32"/>
          <w:highlight w:val="none"/>
          <w:lang w:val="en-US" w:eastAsia="zh-CN"/>
        </w:rPr>
        <w:t>；</w:t>
      </w:r>
      <w:r>
        <w:rPr>
          <w:rFonts w:hint="eastAsia" w:ascii="国标仿宋-GB/T 2312" w:hAnsi="国标仿宋-GB/T 2312" w:eastAsia="国标仿宋-GB/T 2312" w:cs="国标仿宋-GB/T 2312"/>
          <w:bCs w:val="0"/>
          <w:snapToGrid/>
          <w:spacing w:val="0"/>
          <w:kern w:val="2"/>
          <w:sz w:val="32"/>
          <w:szCs w:val="32"/>
          <w:highlight w:val="cyan"/>
          <w:lang w:val="en-US" w:eastAsia="zh-CN"/>
        </w:rPr>
        <w:t>施工期线路跨越水体时采用一档跨越方式，</w:t>
      </w:r>
      <w:r>
        <w:rPr>
          <w:rFonts w:hint="eastAsia" w:ascii="国标仿宋-GB/T 2312" w:hAnsi="国标仿宋-GB/T 2312" w:eastAsia="国标仿宋-GB/T 2312" w:cs="国标仿宋-GB/T 2312"/>
          <w:bCs w:val="0"/>
          <w:snapToGrid/>
          <w:spacing w:val="0"/>
          <w:kern w:val="2"/>
          <w:sz w:val="32"/>
          <w:szCs w:val="32"/>
          <w:highlight w:val="none"/>
          <w:lang w:val="en-US" w:eastAsia="zh-CN"/>
        </w:rPr>
        <w:t>施工场地远离水体，施工人员生活污水依托附件居民点旱厕处理，定期清掏。施工废水经临时沉淀池（5m</w:t>
      </w:r>
      <w:r>
        <w:rPr>
          <w:rFonts w:hint="eastAsia" w:ascii="国标仿宋-GB/T 2312" w:hAnsi="国标仿宋-GB/T 2312" w:eastAsia="国标仿宋-GB/T 2312" w:cs="国标仿宋-GB/T 2312"/>
          <w:bCs w:val="0"/>
          <w:snapToGrid/>
          <w:spacing w:val="0"/>
          <w:kern w:val="2"/>
          <w:sz w:val="32"/>
          <w:szCs w:val="32"/>
          <w:highlight w:val="none"/>
          <w:vertAlign w:val="superscript"/>
          <w:lang w:val="en-US" w:eastAsia="zh-CN"/>
        </w:rPr>
        <w:t>3</w:t>
      </w:r>
      <w:r>
        <w:rPr>
          <w:rFonts w:hint="eastAsia" w:ascii="国标仿宋-GB/T 2312" w:hAnsi="国标仿宋-GB/T 2312" w:eastAsia="国标仿宋-GB/T 2312" w:cs="国标仿宋-GB/T 2312"/>
          <w:bCs w:val="0"/>
          <w:snapToGrid/>
          <w:spacing w:val="0"/>
          <w:kern w:val="2"/>
          <w:sz w:val="32"/>
          <w:szCs w:val="32"/>
          <w:highlight w:val="none"/>
          <w:lang w:val="en-US" w:eastAsia="zh-CN"/>
        </w:rPr>
        <w:t>）沉淀后回用于洒水抑尘，</w:t>
      </w:r>
      <w:r>
        <w:rPr>
          <w:rFonts w:hint="eastAsia" w:ascii="Times New Roman" w:hAnsi="Times New Roman" w:eastAsia="仿宋" w:cs="Times New Roman"/>
          <w:bCs/>
          <w:color w:val="auto"/>
          <w:sz w:val="32"/>
          <w:szCs w:val="32"/>
          <w:lang w:val="en-US" w:eastAsia="zh-CN"/>
        </w:rPr>
        <w:t>不外排</w:t>
      </w:r>
      <w:r>
        <w:rPr>
          <w:rFonts w:hint="eastAsia" w:ascii="国标仿宋-GB/T 2312" w:hAnsi="国标仿宋-GB/T 2312" w:eastAsia="国标仿宋-GB/T 2312" w:cs="国标仿宋-GB/T 2312"/>
          <w:bCs w:val="0"/>
          <w:snapToGrid/>
          <w:spacing w:val="0"/>
          <w:kern w:val="2"/>
          <w:sz w:val="32"/>
          <w:szCs w:val="32"/>
          <w:highlight w:val="none"/>
          <w:lang w:val="en-US" w:eastAsia="zh-CN"/>
        </w:rPr>
        <w:t>；施工期噪声通过选用低噪声设备、合理安排施工进度、合理布局，</w:t>
      </w:r>
      <w:r>
        <w:rPr>
          <w:rFonts w:hint="eastAsia" w:ascii="国标仿宋-GB/T 2312" w:hAnsi="国标仿宋-GB/T 2312" w:eastAsia="国标仿宋-GB/T 2312" w:cs="国标仿宋-GB/T 2312"/>
          <w:bCs w:val="0"/>
          <w:snapToGrid/>
          <w:spacing w:val="0"/>
          <w:kern w:val="2"/>
          <w:sz w:val="32"/>
          <w:szCs w:val="32"/>
          <w:highlight w:val="cyan"/>
          <w:lang w:val="en-US" w:eastAsia="zh-CN"/>
        </w:rPr>
        <w:t>设置隔声围挡、</w:t>
      </w:r>
      <w:r>
        <w:rPr>
          <w:rFonts w:hint="eastAsia" w:ascii="国标仿宋-GB/T 2312" w:hAnsi="国标仿宋-GB/T 2312" w:eastAsia="国标仿宋-GB/T 2312" w:cs="国标仿宋-GB/T 2312"/>
          <w:bCs w:val="0"/>
          <w:snapToGrid/>
          <w:spacing w:val="0"/>
          <w:kern w:val="2"/>
          <w:sz w:val="32"/>
          <w:szCs w:val="32"/>
          <w:highlight w:val="none"/>
          <w:lang w:val="en-US" w:eastAsia="zh-CN"/>
        </w:rPr>
        <w:t>夜间禁止施工后，施工厂界噪声应满足《建筑施工场界环境噪声排放标准》</w:t>
      </w:r>
      <w:r>
        <w:rPr>
          <w:rFonts w:hint="eastAsia" w:ascii="国标仿宋-GB/T 2312" w:hAnsi="国标仿宋-GB/T 2312" w:eastAsia="国标仿宋-GB/T 2312" w:cs="国标仿宋-GB/T 2312"/>
          <w:bCs w:val="0"/>
          <w:snapToGrid/>
          <w:spacing w:val="0"/>
          <w:kern w:val="2"/>
          <w:sz w:val="32"/>
          <w:szCs w:val="32"/>
          <w:highlight w:val="yellow"/>
          <w:lang w:val="en-US" w:eastAsia="zh-CN"/>
        </w:rPr>
        <w:t>(GB12523-2025)</w:t>
      </w:r>
      <w:r>
        <w:rPr>
          <w:rFonts w:hint="eastAsia" w:ascii="国标仿宋-GB/T 2312" w:hAnsi="国标仿宋-GB/T 2312" w:eastAsia="国标仿宋-GB/T 2312" w:cs="国标仿宋-GB/T 2312"/>
          <w:bCs w:val="0"/>
          <w:snapToGrid/>
          <w:spacing w:val="0"/>
          <w:kern w:val="2"/>
          <w:sz w:val="32"/>
          <w:szCs w:val="32"/>
          <w:highlight w:val="none"/>
          <w:lang w:val="en-US" w:eastAsia="zh-CN"/>
        </w:rPr>
        <w:t>相关限值要求；施工期产生的建筑垃圾送至市政部门指定地点处理，生活垃圾收集后交由环卫部门统一处理。</w:t>
      </w:r>
    </w:p>
    <w:p w14:paraId="34C86B45">
      <w:pPr>
        <w:keepNext w:val="0"/>
        <w:keepLines w:val="0"/>
        <w:pageBreakBefore w:val="0"/>
        <w:kinsoku/>
        <w:wordWrap/>
        <w:overflowPunct/>
        <w:topLinePunct w:val="0"/>
        <w:autoSpaceDE/>
        <w:autoSpaceDN/>
        <w:bidi w:val="0"/>
        <w:adjustRightInd/>
        <w:spacing w:line="600" w:lineRule="exact"/>
        <w:ind w:firstLine="640" w:firstLineChars="200"/>
        <w:textAlignment w:val="auto"/>
        <w:rPr>
          <w:rFonts w:hint="eastAsia" w:ascii="国标仿宋-GB/T 2312" w:hAnsi="国标仿宋-GB/T 2312" w:eastAsia="国标仿宋-GB/T 2312" w:cs="国标仿宋-GB/T 2312"/>
          <w:bCs w:val="0"/>
          <w:snapToGrid/>
          <w:spacing w:val="0"/>
          <w:kern w:val="2"/>
          <w:sz w:val="32"/>
          <w:szCs w:val="32"/>
          <w:highlight w:val="none"/>
          <w:lang w:val="en-US" w:eastAsia="zh-CN"/>
        </w:rPr>
      </w:pPr>
      <w:r>
        <w:rPr>
          <w:rFonts w:hint="eastAsia" w:ascii="国标仿宋-GB/T 2312" w:hAnsi="国标仿宋-GB/T 2312" w:eastAsia="国标仿宋-GB/T 2312" w:cs="国标仿宋-GB/T 2312"/>
          <w:bCs w:val="0"/>
          <w:snapToGrid/>
          <w:color w:val="auto"/>
          <w:spacing w:val="0"/>
          <w:kern w:val="2"/>
          <w:sz w:val="32"/>
          <w:szCs w:val="32"/>
          <w:highlight w:val="none"/>
          <w:lang w:val="en-US" w:eastAsia="zh-CN" w:bidi="ar-SA"/>
        </w:rPr>
        <w:t>（二）</w:t>
      </w:r>
      <w:r>
        <w:rPr>
          <w:rFonts w:hint="eastAsia" w:ascii="国标仿宋-GB/T 2312" w:hAnsi="国标仿宋-GB/T 2312" w:eastAsia="国标仿宋-GB/T 2312" w:cs="国标仿宋-GB/T 2312"/>
          <w:bCs w:val="0"/>
          <w:snapToGrid/>
          <w:spacing w:val="0"/>
          <w:kern w:val="2"/>
          <w:sz w:val="32"/>
          <w:szCs w:val="32"/>
          <w:highlight w:val="none"/>
          <w:lang w:val="en-US" w:eastAsia="zh-CN"/>
        </w:rPr>
        <w:t>严格执行施工期生态保护措施。施工期合理规划、设计施工便道，材料运输过程中应充分利用现有公路，禁止随意砍伐树木等行为，对临时占用林地等表土进行剥离、分类存放和回填利用。施工完成后，对塔基施工区</w:t>
      </w:r>
      <w:r>
        <w:rPr>
          <w:rFonts w:hint="eastAsia" w:ascii="国标仿宋-GB/T 2312" w:hAnsi="国标仿宋-GB/T 2312" w:eastAsia="国标仿宋-GB/T 2312" w:cs="国标仿宋-GB/T 2312"/>
          <w:bCs w:val="0"/>
          <w:snapToGrid/>
          <w:spacing w:val="0"/>
          <w:kern w:val="2"/>
          <w:sz w:val="32"/>
          <w:szCs w:val="32"/>
          <w:highlight w:val="cyan"/>
          <w:lang w:val="en-US" w:eastAsia="zh-CN"/>
        </w:rPr>
        <w:t>、牵张场地、</w:t>
      </w:r>
      <w:r>
        <w:rPr>
          <w:rFonts w:hint="eastAsia" w:ascii="国标仿宋-GB/T 2312" w:hAnsi="国标仿宋-GB/T 2312" w:eastAsia="国标仿宋-GB/T 2312" w:cs="国标仿宋-GB/T 2312"/>
          <w:bCs w:val="0"/>
          <w:snapToGrid/>
          <w:spacing w:val="0"/>
          <w:kern w:val="2"/>
          <w:sz w:val="32"/>
          <w:szCs w:val="32"/>
          <w:highlight w:val="none"/>
          <w:lang w:val="en-US" w:eastAsia="zh-CN"/>
        </w:rPr>
        <w:t>施工道路等临时占地应尽快实施植被生态恢复，并加强抚育管理，对其他临时占地施工结束后恢复其原有占地类型。</w:t>
      </w:r>
    </w:p>
    <w:p w14:paraId="5CC855FF">
      <w:pPr>
        <w:pStyle w:val="23"/>
        <w:keepNext w:val="0"/>
        <w:keepLines w:val="0"/>
        <w:pageBreakBefore w:val="0"/>
        <w:kinsoku/>
        <w:wordWrap/>
        <w:overflowPunct/>
        <w:topLinePunct w:val="0"/>
        <w:autoSpaceDE/>
        <w:autoSpaceDN/>
        <w:bidi w:val="0"/>
        <w:spacing w:line="600" w:lineRule="exact"/>
        <w:textAlignment w:val="auto"/>
        <w:rPr>
          <w:rFonts w:hint="default" w:ascii="国标仿宋-GB/T 2312" w:hAnsi="国标仿宋-GB/T 2312" w:eastAsia="国标仿宋-GB/T 2312" w:cs="国标仿宋-GB/T 2312"/>
          <w:b w:val="0"/>
          <w:bCs/>
          <w:iCs w:val="0"/>
          <w:snapToGrid w:val="0"/>
          <w:spacing w:val="10"/>
          <w:sz w:val="32"/>
          <w:szCs w:val="32"/>
          <w:highlight w:val="cyan"/>
          <w:lang w:val="en-US" w:eastAsia="zh-CN" w:bidi="ar-SA"/>
        </w:rPr>
      </w:pPr>
      <w:r>
        <w:rPr>
          <w:rFonts w:hint="eastAsia" w:ascii="国标仿宋-GB/T 2312" w:hAnsi="国标仿宋-GB/T 2312" w:eastAsia="国标仿宋-GB/T 2312" w:cs="国标仿宋-GB/T 2312"/>
          <w:bCs w:val="0"/>
          <w:snapToGrid/>
          <w:color w:val="auto"/>
          <w:spacing w:val="0"/>
          <w:kern w:val="2"/>
          <w:sz w:val="32"/>
          <w:szCs w:val="32"/>
          <w:highlight w:val="none"/>
          <w:lang w:val="zh-TW" w:eastAsia="zh-CN" w:bidi="ar-SA"/>
        </w:rPr>
        <w:t>（</w:t>
      </w:r>
      <w:r>
        <w:rPr>
          <w:rFonts w:hint="eastAsia" w:ascii="国标仿宋-GB/T 2312" w:hAnsi="国标仿宋-GB/T 2312" w:eastAsia="国标仿宋-GB/T 2312" w:cs="国标仿宋-GB/T 2312"/>
          <w:bCs w:val="0"/>
          <w:snapToGrid/>
          <w:color w:val="auto"/>
          <w:spacing w:val="0"/>
          <w:kern w:val="2"/>
          <w:sz w:val="32"/>
          <w:szCs w:val="32"/>
          <w:highlight w:val="none"/>
          <w:lang w:val="en-US" w:eastAsia="zh-CN" w:bidi="ar-SA"/>
        </w:rPr>
        <w:t>三</w:t>
      </w:r>
      <w:r>
        <w:rPr>
          <w:rFonts w:hint="eastAsia" w:ascii="国标仿宋-GB/T 2312" w:hAnsi="国标仿宋-GB/T 2312" w:eastAsia="国标仿宋-GB/T 2312" w:cs="国标仿宋-GB/T 2312"/>
          <w:bCs w:val="0"/>
          <w:snapToGrid/>
          <w:color w:val="auto"/>
          <w:spacing w:val="0"/>
          <w:kern w:val="2"/>
          <w:sz w:val="32"/>
          <w:szCs w:val="32"/>
          <w:highlight w:val="none"/>
          <w:lang w:val="zh-TW" w:eastAsia="zh-CN" w:bidi="ar-SA"/>
        </w:rPr>
        <w:t>）</w:t>
      </w:r>
      <w:r>
        <w:rPr>
          <w:rFonts w:hint="eastAsia" w:ascii="国标仿宋-GB/T 2312" w:hAnsi="国标仿宋-GB/T 2312" w:eastAsia="国标仿宋-GB/T 2312" w:cs="国标仿宋-GB/T 2312"/>
          <w:b w:val="0"/>
          <w:bCs/>
          <w:iCs w:val="0"/>
          <w:snapToGrid w:val="0"/>
          <w:spacing w:val="10"/>
          <w:sz w:val="32"/>
          <w:szCs w:val="32"/>
          <w:highlight w:val="none"/>
          <w:lang w:val="zh-TW" w:eastAsia="zh-CN" w:bidi="ar-SA"/>
        </w:rPr>
        <w:t>严格落实噪声污染防治措施</w:t>
      </w:r>
      <w:r>
        <w:rPr>
          <w:rFonts w:hint="eastAsia" w:ascii="国标仿宋-GB/T 2312" w:hAnsi="国标仿宋-GB/T 2312" w:eastAsia="国标仿宋-GB/T 2312" w:cs="国标仿宋-GB/T 2312"/>
          <w:b w:val="0"/>
          <w:bCs/>
          <w:iCs w:val="0"/>
          <w:snapToGrid w:val="0"/>
          <w:spacing w:val="10"/>
          <w:sz w:val="32"/>
          <w:szCs w:val="32"/>
          <w:highlight w:val="none"/>
          <w:lang w:val="en-US" w:eastAsia="zh-CN" w:bidi="ar-SA"/>
        </w:rPr>
        <w:t>。</w:t>
      </w:r>
      <w:r>
        <w:rPr>
          <w:rFonts w:hint="eastAsia" w:ascii="国标仿宋-GB/T 2312" w:hAnsi="国标仿宋-GB/T 2312" w:eastAsia="国标仿宋-GB/T 2312" w:cs="国标仿宋-GB/T 2312"/>
          <w:bCs/>
          <w:sz w:val="32"/>
          <w:szCs w:val="32"/>
          <w:highlight w:val="none"/>
          <w:lang w:val="en-US" w:eastAsia="zh-CN" w:bidi="ar"/>
        </w:rPr>
        <w:t>运营期</w:t>
      </w:r>
      <w:r>
        <w:rPr>
          <w:rFonts w:hint="eastAsia" w:ascii="国标仿宋-GB/T 2312" w:hAnsi="国标仿宋-GB/T 2312" w:eastAsia="国标仿宋-GB/T 2312" w:cs="国标仿宋-GB/T 2312"/>
          <w:bCs/>
          <w:sz w:val="32"/>
          <w:szCs w:val="32"/>
          <w:highlight w:val="none"/>
          <w:lang w:val="zh-CN" w:eastAsia="zh-CN" w:bidi="ar"/>
        </w:rPr>
        <w:t>噪声</w:t>
      </w:r>
      <w:r>
        <w:rPr>
          <w:rFonts w:hint="eastAsia" w:ascii="国标仿宋-GB/T 2312" w:hAnsi="国标仿宋-GB/T 2312" w:eastAsia="国标仿宋-GB/T 2312" w:cs="国标仿宋-GB/T 2312"/>
          <w:bCs/>
          <w:sz w:val="32"/>
          <w:szCs w:val="32"/>
          <w:highlight w:val="none"/>
          <w:lang w:val="en-US" w:eastAsia="zh-CN" w:bidi="ar"/>
        </w:rPr>
        <w:t>通过选用低噪声设备、</w:t>
      </w:r>
      <w:r>
        <w:rPr>
          <w:rFonts w:hint="eastAsia" w:ascii="国标仿宋-GB/T 2312" w:hAnsi="国标仿宋-GB/T 2312" w:eastAsia="国标仿宋-GB/T 2312" w:cs="国标仿宋-GB/T 2312"/>
          <w:sz w:val="32"/>
          <w:szCs w:val="32"/>
          <w:highlight w:val="none"/>
          <w:lang w:val="en-US" w:eastAsia="zh-CN" w:bidi="ar"/>
        </w:rPr>
        <w:t>吸声墙体、消声百叶窗、消声隔音门</w:t>
      </w:r>
      <w:r>
        <w:rPr>
          <w:rFonts w:hint="eastAsia" w:ascii="国标仿宋-GB/T 2312" w:hAnsi="国标仿宋-GB/T 2312" w:eastAsia="国标仿宋-GB/T 2312" w:cs="国标仿宋-GB/T 2312"/>
          <w:sz w:val="32"/>
          <w:szCs w:val="32"/>
          <w:highlight w:val="none"/>
          <w:lang w:eastAsia="zh-CN" w:bidi="ar"/>
        </w:rPr>
        <w:t>、</w:t>
      </w:r>
      <w:r>
        <w:rPr>
          <w:rFonts w:hint="eastAsia" w:ascii="国标仿宋-GB/T 2312" w:hAnsi="国标仿宋-GB/T 2312" w:eastAsia="国标仿宋-GB/T 2312" w:cs="国标仿宋-GB/T 2312"/>
          <w:sz w:val="32"/>
          <w:szCs w:val="32"/>
          <w:highlight w:val="none"/>
          <w:lang w:val="en-US" w:eastAsia="zh-CN" w:bidi="ar"/>
        </w:rPr>
        <w:t>厂房隔声</w:t>
      </w:r>
      <w:r>
        <w:rPr>
          <w:rFonts w:hint="eastAsia" w:ascii="国标仿宋-GB/T 2312" w:hAnsi="国标仿宋-GB/T 2312" w:eastAsia="国标仿宋-GB/T 2312" w:cs="国标仿宋-GB/T 2312"/>
          <w:sz w:val="32"/>
          <w:szCs w:val="32"/>
          <w:highlight w:val="none"/>
          <w:lang w:bidi="ar"/>
        </w:rPr>
        <w:t>等降噪措施后</w:t>
      </w:r>
      <w:r>
        <w:rPr>
          <w:rFonts w:hint="eastAsia" w:ascii="国标仿宋-GB/T 2312" w:hAnsi="国标仿宋-GB/T 2312" w:eastAsia="国标仿宋-GB/T 2312" w:cs="国标仿宋-GB/T 2312"/>
          <w:bCs/>
          <w:sz w:val="32"/>
          <w:szCs w:val="32"/>
          <w:highlight w:val="none"/>
          <w:lang w:val="zh-CN" w:eastAsia="zh-CN" w:bidi="ar"/>
        </w:rPr>
        <w:t>，石桥子</w:t>
      </w:r>
      <w:r>
        <w:rPr>
          <w:rFonts w:hint="eastAsia" w:ascii="国标仿宋-GB/T 2312" w:hAnsi="国标仿宋-GB/T 2312" w:eastAsia="国标仿宋-GB/T 2312" w:cs="国标仿宋-GB/T 2312"/>
          <w:sz w:val="32"/>
          <w:szCs w:val="32"/>
          <w:highlight w:val="cyan"/>
          <w:lang w:bidi="ar"/>
        </w:rPr>
        <w:t>变电</w:t>
      </w:r>
      <w:r>
        <w:rPr>
          <w:rFonts w:hint="eastAsia" w:ascii="国标仿宋-GB/T 2312" w:hAnsi="国标仿宋-GB/T 2312" w:eastAsia="国标仿宋-GB/T 2312" w:cs="国标仿宋-GB/T 2312"/>
          <w:sz w:val="32"/>
          <w:szCs w:val="32"/>
          <w:highlight w:val="cyan"/>
          <w:lang w:eastAsia="zh-CN" w:bidi="ar"/>
        </w:rPr>
        <w:t>站</w:t>
      </w:r>
      <w:r>
        <w:rPr>
          <w:rFonts w:hint="eastAsia" w:ascii="国标仿宋-GB/T 2312" w:hAnsi="国标仿宋-GB/T 2312" w:eastAsia="国标仿宋-GB/T 2312" w:cs="国标仿宋-GB/T 2312"/>
          <w:sz w:val="32"/>
          <w:szCs w:val="32"/>
          <w:highlight w:val="cyan"/>
          <w:lang w:val="en-US" w:eastAsia="zh-CN" w:bidi="ar"/>
        </w:rPr>
        <w:t>四周</w:t>
      </w:r>
      <w:r>
        <w:rPr>
          <w:rFonts w:hint="eastAsia" w:ascii="国标仿宋-GB/T 2312" w:hAnsi="国标仿宋-GB/T 2312" w:eastAsia="国标仿宋-GB/T 2312" w:cs="国标仿宋-GB/T 2312"/>
          <w:sz w:val="32"/>
          <w:szCs w:val="32"/>
          <w:highlight w:val="cyan"/>
          <w:lang w:bidi="ar"/>
        </w:rPr>
        <w:t>厂界</w:t>
      </w:r>
      <w:r>
        <w:rPr>
          <w:rFonts w:hint="eastAsia" w:ascii="国标仿宋-GB/T 2312" w:hAnsi="国标仿宋-GB/T 2312" w:eastAsia="国标仿宋-GB/T 2312" w:cs="国标仿宋-GB/T 2312"/>
          <w:sz w:val="32"/>
          <w:szCs w:val="32"/>
          <w:highlight w:val="cyan"/>
          <w:lang w:val="en-US" w:eastAsia="zh-CN" w:bidi="ar"/>
        </w:rPr>
        <w:t>应满足</w:t>
      </w:r>
      <w:r>
        <w:rPr>
          <w:rFonts w:hint="eastAsia" w:ascii="国标仿宋-GB/T 2312" w:hAnsi="国标仿宋-GB/T 2312" w:eastAsia="国标仿宋-GB/T 2312" w:cs="国标仿宋-GB/T 2312"/>
          <w:sz w:val="32"/>
          <w:szCs w:val="32"/>
          <w:highlight w:val="cyan"/>
          <w:lang w:bidi="ar"/>
        </w:rPr>
        <w:t>《工业企业厂界环境噪声排放标准》（GB12348-2008）中</w:t>
      </w:r>
      <w:r>
        <w:rPr>
          <w:rFonts w:hint="eastAsia" w:ascii="国标仿宋-GB/T 2312" w:hAnsi="国标仿宋-GB/T 2312" w:eastAsia="国标仿宋-GB/T 2312" w:cs="国标仿宋-GB/T 2312"/>
          <w:sz w:val="32"/>
          <w:szCs w:val="32"/>
          <w:highlight w:val="cyan"/>
          <w:lang w:val="en-US" w:eastAsia="zh-CN" w:bidi="ar"/>
        </w:rPr>
        <w:t>1</w:t>
      </w:r>
      <w:r>
        <w:rPr>
          <w:rFonts w:hint="eastAsia" w:ascii="国标仿宋-GB/T 2312" w:hAnsi="国标仿宋-GB/T 2312" w:eastAsia="国标仿宋-GB/T 2312" w:cs="国标仿宋-GB/T 2312"/>
          <w:sz w:val="32"/>
          <w:szCs w:val="32"/>
          <w:highlight w:val="cyan"/>
          <w:lang w:bidi="ar"/>
        </w:rPr>
        <w:t>类标准限值</w:t>
      </w:r>
      <w:r>
        <w:rPr>
          <w:rFonts w:hint="eastAsia" w:ascii="国标仿宋-GB/T 2312" w:hAnsi="国标仿宋-GB/T 2312" w:eastAsia="国标仿宋-GB/T 2312" w:cs="国标仿宋-GB/T 2312"/>
          <w:sz w:val="32"/>
          <w:szCs w:val="32"/>
          <w:highlight w:val="cyan"/>
          <w:lang w:val="en-US" w:eastAsia="zh-CN" w:bidi="ar"/>
        </w:rPr>
        <w:t>要求</w:t>
      </w:r>
      <w:r>
        <w:rPr>
          <w:rFonts w:hint="eastAsia" w:ascii="国标仿宋-GB/T 2312" w:hAnsi="国标仿宋-GB/T 2312" w:eastAsia="国标仿宋-GB/T 2312" w:cs="国标仿宋-GB/T 2312"/>
          <w:bCs/>
          <w:sz w:val="32"/>
          <w:szCs w:val="32"/>
          <w:highlight w:val="cyan"/>
          <w:lang w:val="zh-CN" w:eastAsia="zh-CN" w:bidi="ar"/>
        </w:rPr>
        <w:t>。</w:t>
      </w:r>
      <w:r>
        <w:rPr>
          <w:rFonts w:hint="eastAsia" w:ascii="国标仿宋-GB/T 2312" w:hAnsi="国标仿宋-GB/T 2312" w:eastAsia="国标仿宋-GB/T 2312" w:cs="国标仿宋-GB/T 2312"/>
          <w:sz w:val="32"/>
          <w:szCs w:val="32"/>
          <w:highlight w:val="cyan"/>
          <w:lang w:bidi="ar"/>
        </w:rPr>
        <w:t>新建线路周边噪声</w:t>
      </w:r>
      <w:r>
        <w:rPr>
          <w:rFonts w:hint="eastAsia" w:ascii="国标仿宋-GB/T 2312" w:hAnsi="国标仿宋-GB/T 2312" w:eastAsia="国标仿宋-GB/T 2312" w:cs="国标仿宋-GB/T 2312"/>
          <w:sz w:val="32"/>
          <w:szCs w:val="32"/>
          <w:highlight w:val="cyan"/>
          <w:lang w:val="en-US" w:eastAsia="zh-CN" w:bidi="ar"/>
        </w:rPr>
        <w:t>应满足《</w:t>
      </w:r>
      <w:r>
        <w:rPr>
          <w:rFonts w:hint="eastAsia" w:ascii="国标仿宋-GB/T 2312" w:hAnsi="国标仿宋-GB/T 2312" w:eastAsia="国标仿宋-GB/T 2312" w:cs="国标仿宋-GB/T 2312"/>
          <w:b w:val="0"/>
          <w:bCs/>
          <w:iCs w:val="0"/>
          <w:snapToGrid w:val="0"/>
          <w:spacing w:val="10"/>
          <w:sz w:val="32"/>
          <w:szCs w:val="32"/>
          <w:highlight w:val="cyan"/>
          <w:lang w:val="en-US" w:eastAsia="zh-CN" w:bidi="ar-SA"/>
        </w:rPr>
        <w:t>声环境质量标准》（GB3096-2008）中</w:t>
      </w:r>
      <w:r>
        <w:rPr>
          <w:rFonts w:hint="default" w:ascii="国标仿宋-GB/T 2312" w:hAnsi="国标仿宋-GB/T 2312" w:eastAsia="国标仿宋-GB/T 2312" w:cs="国标仿宋-GB/T 2312"/>
          <w:b w:val="0"/>
          <w:bCs/>
          <w:iCs w:val="0"/>
          <w:snapToGrid w:val="0"/>
          <w:spacing w:val="10"/>
          <w:sz w:val="32"/>
          <w:szCs w:val="32"/>
          <w:highlight w:val="cyan"/>
          <w:lang w:val="zh-TW" w:eastAsia="ja-JP" w:bidi="ar-SA"/>
        </w:rPr>
        <w:t>1类标准要求</w:t>
      </w:r>
      <w:r>
        <w:rPr>
          <w:rFonts w:hint="eastAsia" w:ascii="国标仿宋-GB/T 2312" w:hAnsi="国标仿宋-GB/T 2312" w:eastAsia="国标仿宋-GB/T 2312" w:cs="国标仿宋-GB/T 2312"/>
          <w:b w:val="0"/>
          <w:bCs/>
          <w:iCs w:val="0"/>
          <w:snapToGrid w:val="0"/>
          <w:spacing w:val="10"/>
          <w:sz w:val="32"/>
          <w:szCs w:val="32"/>
          <w:highlight w:val="cyan"/>
          <w:lang w:val="en-US" w:eastAsia="zh-CN" w:bidi="ar-SA"/>
        </w:rPr>
        <w:t>。</w:t>
      </w:r>
    </w:p>
    <w:p w14:paraId="7B45F395">
      <w:pPr>
        <w:pStyle w:val="11"/>
        <w:keepNext w:val="0"/>
        <w:keepLines w:val="0"/>
        <w:pageBreakBefore w:val="0"/>
        <w:widowControl w:val="0"/>
        <w:kinsoku/>
        <w:wordWrap/>
        <w:overflowPunct/>
        <w:topLinePunct w:val="0"/>
        <w:autoSpaceDE/>
        <w:autoSpaceDN/>
        <w:bidi w:val="0"/>
        <w:spacing w:line="600" w:lineRule="exact"/>
        <w:ind w:left="0" w:leftChars="0" w:firstLine="680" w:firstLineChars="200"/>
        <w:jc w:val="both"/>
        <w:textAlignment w:val="auto"/>
        <w:rPr>
          <w:rFonts w:hint="eastAsia" w:ascii="国标仿宋-GB/T 2312" w:hAnsi="国标仿宋-GB/T 2312" w:eastAsia="国标仿宋-GB/T 2312" w:cs="国标仿宋-GB/T 2312"/>
          <w:i w:val="0"/>
          <w:iCs w:val="0"/>
          <w:caps w:val="0"/>
          <w:color w:val="000000"/>
          <w:spacing w:val="0"/>
          <w:sz w:val="32"/>
          <w:szCs w:val="32"/>
          <w:highlight w:val="none"/>
          <w:shd w:val="clear" w:fill="FFFFFF"/>
        </w:rPr>
      </w:pPr>
      <w:r>
        <w:rPr>
          <w:rFonts w:hint="eastAsia" w:ascii="国标仿宋-GB/T 2312" w:hAnsi="国标仿宋-GB/T 2312" w:eastAsia="国标仿宋-GB/T 2312" w:cs="国标仿宋-GB/T 2312"/>
          <w:b w:val="0"/>
          <w:bCs/>
          <w:iCs w:val="0"/>
          <w:snapToGrid w:val="0"/>
          <w:spacing w:val="10"/>
          <w:sz w:val="32"/>
          <w:szCs w:val="32"/>
          <w:highlight w:val="none"/>
          <w:lang w:val="en-US" w:eastAsia="zh-CN" w:bidi="ar-SA"/>
        </w:rPr>
        <w:t>（四）严格落实电磁环境防控措施。</w:t>
      </w:r>
      <w:r>
        <w:rPr>
          <w:rFonts w:hint="eastAsia" w:ascii="国标仿宋-GB/T 2312" w:hAnsi="国标仿宋-GB/T 2312" w:eastAsia="国标仿宋-GB/T 2312" w:cs="国标仿宋-GB/T 2312"/>
          <w:b w:val="0"/>
          <w:bCs/>
          <w:iCs w:val="0"/>
          <w:snapToGrid w:val="0"/>
          <w:spacing w:val="10"/>
          <w:sz w:val="32"/>
          <w:szCs w:val="32"/>
          <w:highlight w:val="cyan"/>
          <w:lang w:val="en-US" w:eastAsia="zh-CN" w:bidi="ar-SA"/>
        </w:rPr>
        <w:t>石桥子</w:t>
      </w:r>
      <w:r>
        <w:rPr>
          <w:rFonts w:hint="default" w:ascii="国标仿宋-GB/T 2312" w:hAnsi="国标仿宋-GB/T 2312" w:eastAsia="国标仿宋-GB/T 2312" w:cs="国标仿宋-GB/T 2312"/>
          <w:b w:val="0"/>
          <w:bCs/>
          <w:iCs w:val="0"/>
          <w:snapToGrid w:val="0"/>
          <w:spacing w:val="10"/>
          <w:sz w:val="32"/>
          <w:szCs w:val="32"/>
          <w:highlight w:val="cyan"/>
          <w:lang w:val="en-US" w:eastAsia="zh-CN" w:bidi="ar-SA"/>
        </w:rPr>
        <w:t>变电站220kV间隔扩建</w:t>
      </w:r>
      <w:r>
        <w:rPr>
          <w:rFonts w:hint="eastAsia" w:ascii="国标仿宋-GB/T 2312" w:hAnsi="国标仿宋-GB/T 2312" w:eastAsia="国标仿宋-GB/T 2312" w:cs="国标仿宋-GB/T 2312"/>
          <w:b w:val="0"/>
          <w:bCs/>
          <w:iCs w:val="0"/>
          <w:snapToGrid w:val="0"/>
          <w:spacing w:val="10"/>
          <w:sz w:val="32"/>
          <w:szCs w:val="32"/>
          <w:highlight w:val="cyan"/>
          <w:lang w:val="en-US" w:eastAsia="zh-CN" w:bidi="ar-SA"/>
        </w:rPr>
        <w:t>应</w:t>
      </w:r>
      <w:r>
        <w:rPr>
          <w:rFonts w:hint="default" w:ascii="国标仿宋-GB/T 2312" w:hAnsi="国标仿宋-GB/T 2312" w:eastAsia="国标仿宋-GB/T 2312" w:cs="国标仿宋-GB/T 2312"/>
          <w:b w:val="0"/>
          <w:bCs/>
          <w:iCs w:val="0"/>
          <w:snapToGrid w:val="0"/>
          <w:spacing w:val="10"/>
          <w:sz w:val="32"/>
          <w:szCs w:val="32"/>
          <w:highlight w:val="cyan"/>
          <w:lang w:val="en-US" w:eastAsia="zh-CN" w:bidi="ar-SA"/>
        </w:rPr>
        <w:t>在变电站内</w:t>
      </w:r>
      <w:r>
        <w:rPr>
          <w:rFonts w:hint="eastAsia" w:ascii="国标仿宋-GB/T 2312" w:hAnsi="国标仿宋-GB/T 2312" w:eastAsia="国标仿宋-GB/T 2312" w:cs="国标仿宋-GB/T 2312"/>
          <w:b w:val="0"/>
          <w:bCs/>
          <w:iCs w:val="0"/>
          <w:snapToGrid w:val="0"/>
          <w:spacing w:val="10"/>
          <w:sz w:val="32"/>
          <w:szCs w:val="32"/>
          <w:highlight w:val="cyan"/>
          <w:lang w:val="en-US" w:eastAsia="zh-CN" w:bidi="ar-SA"/>
        </w:rPr>
        <w:t>预留区域</w:t>
      </w:r>
      <w:r>
        <w:rPr>
          <w:rFonts w:hint="default" w:ascii="国标仿宋-GB/T 2312" w:hAnsi="国标仿宋-GB/T 2312" w:eastAsia="国标仿宋-GB/T 2312" w:cs="国标仿宋-GB/T 2312"/>
          <w:b w:val="0"/>
          <w:bCs/>
          <w:iCs w:val="0"/>
          <w:snapToGrid w:val="0"/>
          <w:spacing w:val="10"/>
          <w:sz w:val="32"/>
          <w:szCs w:val="32"/>
          <w:highlight w:val="cyan"/>
          <w:lang w:val="en-US" w:eastAsia="zh-CN" w:bidi="ar-SA"/>
        </w:rPr>
        <w:t>进行，不</w:t>
      </w:r>
      <w:r>
        <w:rPr>
          <w:rFonts w:hint="eastAsia" w:ascii="国标仿宋-GB/T 2312" w:hAnsi="国标仿宋-GB/T 2312" w:eastAsia="国标仿宋-GB/T 2312" w:cs="国标仿宋-GB/T 2312"/>
          <w:b w:val="0"/>
          <w:bCs/>
          <w:iCs w:val="0"/>
          <w:snapToGrid w:val="0"/>
          <w:spacing w:val="10"/>
          <w:sz w:val="32"/>
          <w:szCs w:val="32"/>
          <w:highlight w:val="cyan"/>
          <w:lang w:val="en-US" w:eastAsia="zh-CN" w:bidi="ar-SA"/>
        </w:rPr>
        <w:t>得</w:t>
      </w:r>
      <w:r>
        <w:rPr>
          <w:rFonts w:hint="default" w:ascii="国标仿宋-GB/T 2312" w:hAnsi="国标仿宋-GB/T 2312" w:eastAsia="国标仿宋-GB/T 2312" w:cs="国标仿宋-GB/T 2312"/>
          <w:b w:val="0"/>
          <w:bCs/>
          <w:iCs w:val="0"/>
          <w:snapToGrid w:val="0"/>
          <w:spacing w:val="10"/>
          <w:sz w:val="32"/>
          <w:szCs w:val="32"/>
          <w:highlight w:val="cyan"/>
          <w:lang w:val="en-US" w:eastAsia="zh-CN" w:bidi="ar-SA"/>
        </w:rPr>
        <w:t>新增主变压器等电磁环境污染源</w:t>
      </w:r>
      <w:r>
        <w:rPr>
          <w:rFonts w:hint="eastAsia" w:ascii="国标仿宋-GB/T 2312" w:hAnsi="国标仿宋-GB/T 2312" w:eastAsia="国标仿宋-GB/T 2312" w:cs="国标仿宋-GB/T 2312"/>
          <w:b w:val="0"/>
          <w:bCs/>
          <w:iCs w:val="0"/>
          <w:snapToGrid w:val="0"/>
          <w:spacing w:val="10"/>
          <w:sz w:val="32"/>
          <w:szCs w:val="32"/>
          <w:highlight w:val="cyan"/>
          <w:lang w:val="en-US" w:eastAsia="zh-CN" w:bidi="ar-SA"/>
        </w:rPr>
        <w:t>，</w:t>
      </w:r>
      <w:r>
        <w:rPr>
          <w:rFonts w:hint="eastAsia" w:ascii="国标仿宋-GB/T 2312" w:hAnsi="国标仿宋-GB/T 2312" w:eastAsia="国标仿宋-GB/T 2312" w:cs="国标仿宋-GB/T 2312"/>
          <w:b w:val="0"/>
          <w:bCs/>
          <w:iCs w:val="0"/>
          <w:snapToGrid w:val="0"/>
          <w:spacing w:val="10"/>
          <w:sz w:val="32"/>
          <w:szCs w:val="32"/>
          <w:highlight w:val="none"/>
          <w:lang w:val="en-US" w:eastAsia="zh-CN" w:bidi="ar-SA"/>
        </w:rPr>
        <w:t>应选用工频电场、工频磁场水平低的设备和附件，选用具有</w:t>
      </w:r>
      <w:r>
        <w:rPr>
          <w:rFonts w:hint="eastAsia" w:ascii="国标仿宋-GB/T 2312" w:hAnsi="国标仿宋-GB/T 2312" w:eastAsia="国标仿宋-GB/T 2312" w:cs="国标仿宋-GB/T 2312"/>
          <w:color w:val="auto"/>
          <w:sz w:val="32"/>
          <w:szCs w:val="32"/>
          <w:highlight w:val="none"/>
          <w:lang w:val="en-US" w:eastAsia="zh-CN"/>
        </w:rPr>
        <w:t>抗干扰能力的设备。</w:t>
      </w:r>
      <w:r>
        <w:rPr>
          <w:rFonts w:hint="eastAsia" w:ascii="国标仿宋-GB/T 2312" w:hAnsi="国标仿宋-GB/T 2312" w:eastAsia="国标仿宋-GB/T 2312" w:cs="国标仿宋-GB/T 2312"/>
          <w:i w:val="0"/>
          <w:iCs w:val="0"/>
          <w:caps w:val="0"/>
          <w:color w:val="000000"/>
          <w:spacing w:val="0"/>
          <w:sz w:val="32"/>
          <w:szCs w:val="32"/>
          <w:highlight w:val="none"/>
          <w:shd w:val="clear" w:fill="FFFFFF"/>
        </w:rPr>
        <w:t>项目投运后变电站厂界、输电线路沿线电场强度和磁感应强度应满足《电磁环境控制限值》</w:t>
      </w:r>
      <w:r>
        <w:rPr>
          <w:rFonts w:hint="eastAsia" w:ascii="国标仿宋-GB/T 2312" w:hAnsi="国标仿宋-GB/T 2312" w:eastAsia="国标仿宋-GB/T 2312" w:cs="国标仿宋-GB/T 2312"/>
          <w:color w:val="auto"/>
          <w:sz w:val="32"/>
          <w:szCs w:val="32"/>
          <w:highlight w:val="none"/>
          <w:lang w:val="en-US" w:eastAsia="zh-CN"/>
        </w:rPr>
        <w:t>（GB8702-2014）</w:t>
      </w:r>
      <w:r>
        <w:rPr>
          <w:rFonts w:hint="eastAsia" w:ascii="国标仿宋-GB/T 2312" w:hAnsi="国标仿宋-GB/T 2312" w:eastAsia="国标仿宋-GB/T 2312" w:cs="国标仿宋-GB/T 2312"/>
          <w:i w:val="0"/>
          <w:iCs w:val="0"/>
          <w:caps w:val="0"/>
          <w:color w:val="000000"/>
          <w:spacing w:val="0"/>
          <w:sz w:val="32"/>
          <w:szCs w:val="32"/>
          <w:highlight w:val="none"/>
          <w:shd w:val="clear" w:fill="FFFFFF"/>
        </w:rPr>
        <w:t>相关要求。</w:t>
      </w:r>
    </w:p>
    <w:p w14:paraId="56A47D97">
      <w:pPr>
        <w:keepNext w:val="0"/>
        <w:keepLines w:val="0"/>
        <w:pageBreakBefore w:val="0"/>
        <w:kinsoku/>
        <w:wordWrap/>
        <w:overflowPunct/>
        <w:topLinePunct w:val="0"/>
        <w:autoSpaceDE/>
        <w:autoSpaceDN/>
        <w:bidi w:val="0"/>
        <w:spacing w:line="600" w:lineRule="exact"/>
        <w:ind w:firstLine="640" w:firstLineChars="200"/>
        <w:textAlignment w:val="auto"/>
        <w:rPr>
          <w:rFonts w:hint="eastAsia" w:ascii="国标仿宋-GB/T 2312" w:hAnsi="国标仿宋-GB/T 2312" w:eastAsia="国标仿宋-GB/T 2312" w:cs="国标仿宋-GB/T 2312"/>
          <w:i w:val="0"/>
          <w:iCs w:val="0"/>
          <w:caps w:val="0"/>
          <w:color w:val="000000"/>
          <w:spacing w:val="0"/>
          <w:sz w:val="32"/>
          <w:szCs w:val="32"/>
          <w:highlight w:val="red"/>
          <w:shd w:val="clear" w:fill="FFFFFF"/>
          <w:lang w:eastAsia="zh-CN"/>
        </w:rPr>
      </w:pPr>
      <w:r>
        <w:rPr>
          <w:rFonts w:hint="eastAsia" w:ascii="国标仿宋-GB/T 2312" w:hAnsi="国标仿宋-GB/T 2312" w:eastAsia="国标仿宋-GB/T 2312" w:cs="国标仿宋-GB/T 2312"/>
          <w:i w:val="0"/>
          <w:iCs w:val="0"/>
          <w:caps w:val="0"/>
          <w:color w:val="000000"/>
          <w:spacing w:val="0"/>
          <w:sz w:val="32"/>
          <w:szCs w:val="32"/>
          <w:highlight w:val="red"/>
          <w:shd w:val="clear" w:fill="FFFFFF"/>
          <w:lang w:eastAsia="zh-CN"/>
        </w:rPr>
        <w:t>（五）</w:t>
      </w:r>
      <w:r>
        <w:rPr>
          <w:rFonts w:hint="eastAsia" w:ascii="国标仿宋-GB/T 2312" w:hAnsi="国标仿宋-GB/T 2312" w:eastAsia="国标仿宋-GB/T 2312" w:cs="国标仿宋-GB/T 2312"/>
          <w:bCs w:val="0"/>
          <w:strike w:val="0"/>
          <w:dstrike w:val="0"/>
          <w:snapToGrid/>
          <w:color w:val="auto"/>
          <w:spacing w:val="0"/>
          <w:kern w:val="2"/>
          <w:sz w:val="32"/>
          <w:szCs w:val="32"/>
          <w:highlight w:val="red"/>
          <w:shd w:val="clear" w:color="auto" w:fill="auto"/>
          <w:lang w:val="en-US" w:eastAsia="zh-CN" w:bidi="ar-SA"/>
        </w:rPr>
        <w:t>严格落实环境风险防控措施。</w:t>
      </w:r>
    </w:p>
    <w:p w14:paraId="49ED179D">
      <w:pPr>
        <w:keepNext w:val="0"/>
        <w:keepLines w:val="0"/>
        <w:pageBreakBefore w:val="0"/>
        <w:kinsoku/>
        <w:wordWrap/>
        <w:overflowPunct/>
        <w:topLinePunct w:val="0"/>
        <w:autoSpaceDE/>
        <w:autoSpaceDN/>
        <w:bidi w:val="0"/>
        <w:spacing w:line="600" w:lineRule="exact"/>
        <w:ind w:firstLine="640" w:firstLineChars="200"/>
        <w:jc w:val="both"/>
        <w:textAlignment w:val="auto"/>
        <w:rPr>
          <w:rFonts w:hint="eastAsia" w:ascii="国标仿宋-GB/T 2312" w:hAnsi="国标仿宋-GB/T 2312" w:eastAsia="国标仿宋-GB/T 2312" w:cs="国标仿宋-GB/T 2312"/>
          <w:i w:val="0"/>
          <w:iCs w:val="0"/>
          <w:caps w:val="0"/>
          <w:color w:val="000000"/>
          <w:spacing w:val="0"/>
          <w:sz w:val="32"/>
          <w:szCs w:val="32"/>
          <w:highlight w:val="red"/>
          <w:shd w:val="clear" w:fill="FFFFFF"/>
          <w:lang w:eastAsia="zh-CN"/>
        </w:rPr>
      </w:pPr>
      <w:r>
        <w:rPr>
          <w:rFonts w:hint="eastAsia" w:ascii="国标仿宋-GB/T 2312" w:hAnsi="国标仿宋-GB/T 2312" w:eastAsia="国标仿宋-GB/T 2312" w:cs="国标仿宋-GB/T 2312"/>
          <w:i w:val="0"/>
          <w:iCs w:val="0"/>
          <w:caps w:val="0"/>
          <w:color w:val="000000"/>
          <w:spacing w:val="0"/>
          <w:sz w:val="32"/>
          <w:szCs w:val="32"/>
          <w:highlight w:val="red"/>
          <w:shd w:val="clear" w:fill="FFFFFF"/>
          <w:lang w:eastAsia="zh-CN"/>
        </w:rPr>
        <w:t>本项目输电线路环境影响评价范围内分布有居民住宅及养殖场等环境敏感目标，应在科学论证的基础上，优先采取充分避让或拆迁环境敏感目标、线缆局部地埋等施工方式，在充分开展公众参与、有效规避</w:t>
      </w:r>
      <w:bookmarkStart w:id="0" w:name="_GoBack"/>
      <w:bookmarkEnd w:id="0"/>
      <w:r>
        <w:rPr>
          <w:rFonts w:hint="eastAsia" w:ascii="国标仿宋-GB/T 2312" w:hAnsi="国标仿宋-GB/T 2312" w:eastAsia="国标仿宋-GB/T 2312" w:cs="国标仿宋-GB/T 2312"/>
          <w:i w:val="0"/>
          <w:iCs w:val="0"/>
          <w:caps w:val="0"/>
          <w:color w:val="000000"/>
          <w:spacing w:val="0"/>
          <w:sz w:val="32"/>
          <w:szCs w:val="32"/>
          <w:highlight w:val="red"/>
          <w:shd w:val="clear" w:fill="FFFFFF"/>
          <w:lang w:eastAsia="zh-CN"/>
        </w:rPr>
        <w:t>环境风险的前提下开展建设。</w:t>
      </w:r>
    </w:p>
    <w:p w14:paraId="6FD40811">
      <w:pPr>
        <w:keepNext w:val="0"/>
        <w:keepLines w:val="0"/>
        <w:pageBreakBefore w:val="0"/>
        <w:kinsoku/>
        <w:wordWrap/>
        <w:overflowPunct/>
        <w:topLinePunct w:val="0"/>
        <w:autoSpaceDE/>
        <w:autoSpaceDN/>
        <w:bidi w:val="0"/>
        <w:spacing w:line="600" w:lineRule="exact"/>
        <w:ind w:firstLine="680" w:firstLineChars="200"/>
        <w:jc w:val="both"/>
        <w:textAlignment w:val="auto"/>
        <w:rPr>
          <w:rFonts w:hint="eastAsia" w:ascii="国标仿宋-GB/T 2312" w:hAnsi="国标仿宋-GB/T 2312" w:eastAsia="国标仿宋-GB/T 2312" w:cs="国标仿宋-GB/T 2312"/>
          <w:color w:val="auto"/>
          <w:sz w:val="32"/>
          <w:szCs w:val="32"/>
          <w:highlight w:val="none"/>
          <w:shd w:val="clear" w:color="auto" w:fill="auto"/>
        </w:rPr>
      </w:pPr>
      <w:r>
        <w:rPr>
          <w:rFonts w:hint="eastAsia" w:ascii="国标仿宋-GB/T 2312" w:hAnsi="国标仿宋-GB/T 2312" w:eastAsia="国标仿宋-GB/T 2312" w:cs="国标仿宋-GB/T 2312"/>
          <w:color w:val="auto"/>
          <w:sz w:val="32"/>
          <w:szCs w:val="32"/>
          <w:highlight w:val="none"/>
          <w:shd w:val="clear" w:color="auto" w:fill="auto"/>
          <w:lang w:val="en-US" w:eastAsia="zh-CN"/>
        </w:rPr>
        <w:t>三、你公司应落实生态环境保护主体责任，建立企业内部生态环境管理机构和体系，明确人员职责和制度，加强生态环境管理，推进各项生态环境保护措施落实</w:t>
      </w:r>
      <w:r>
        <w:rPr>
          <w:rFonts w:hint="eastAsia" w:ascii="国标仿宋-GB/T 2312" w:hAnsi="国标仿宋-GB/T 2312" w:eastAsia="国标仿宋-GB/T 2312" w:cs="国标仿宋-GB/T 2312"/>
          <w:color w:val="auto"/>
          <w:sz w:val="32"/>
          <w:szCs w:val="32"/>
          <w:highlight w:val="none"/>
          <w:shd w:val="clear" w:color="auto" w:fill="auto"/>
        </w:rPr>
        <w:t>。</w:t>
      </w:r>
      <w:r>
        <w:rPr>
          <w:rFonts w:hint="eastAsia" w:ascii="国标仿宋-GB/T 2312" w:hAnsi="国标仿宋-GB/T 2312" w:eastAsia="国标仿宋-GB/T 2312" w:cs="国标仿宋-GB/T 2312"/>
          <w:bCs/>
          <w:snapToGrid w:val="0"/>
          <w:color w:val="auto"/>
          <w:spacing w:val="10"/>
          <w:kern w:val="0"/>
          <w:sz w:val="32"/>
          <w:szCs w:val="32"/>
          <w:highlight w:val="none"/>
          <w:shd w:val="clear" w:color="auto" w:fill="auto"/>
          <w:lang w:val="en-US" w:eastAsia="zh-CN" w:bidi="ar"/>
        </w:rPr>
        <w:t>按照相关法律法规和技术标准规范要求，开展环保设备设施安全风险辨识评估和隐患排查治理，落实安全生产各项责任措施。安全生产</w:t>
      </w:r>
      <w:r>
        <w:rPr>
          <w:rFonts w:hint="eastAsia" w:ascii="国标仿宋-GB/T 2312" w:hAnsi="国标仿宋-GB/T 2312" w:eastAsia="国标仿宋-GB/T 2312" w:cs="国标仿宋-GB/T 2312"/>
          <w:color w:val="auto"/>
          <w:sz w:val="32"/>
          <w:szCs w:val="32"/>
          <w:highlight w:val="none"/>
          <w:shd w:val="clear" w:color="auto" w:fill="auto"/>
          <w:lang w:val="en-US" w:eastAsia="zh-CN"/>
        </w:rPr>
        <w:t>项目建设必须严格执行配套的环境保护设施与主体工程，同时设计、同时施工、同时投产使用的环境保护“三同时”制度，落实各项环境保护措施以及环境保护设施投资。配合当地政府及有关部门对公众进行必要的解释和说明，取得公众对工程建设的理解和支持。本项目引发的生态环境信访问题，由建设单位负责妥善解决。</w:t>
      </w:r>
    </w:p>
    <w:p w14:paraId="5B6D41B9">
      <w:pPr>
        <w:keepNext w:val="0"/>
        <w:keepLines w:val="0"/>
        <w:pageBreakBefore w:val="0"/>
        <w:kinsoku/>
        <w:wordWrap/>
        <w:overflowPunct/>
        <w:topLinePunct w:val="0"/>
        <w:autoSpaceDE/>
        <w:autoSpaceDN/>
        <w:bidi w:val="0"/>
        <w:adjustRightInd/>
        <w:spacing w:line="600" w:lineRule="exact"/>
        <w:ind w:firstLine="680" w:firstLineChars="200"/>
        <w:textAlignment w:val="auto"/>
        <w:rPr>
          <w:rFonts w:hint="eastAsia" w:ascii="国标仿宋-GB/T 2312" w:hAnsi="国标仿宋-GB/T 2312" w:eastAsia="国标仿宋-GB/T 2312" w:cs="国标仿宋-GB/T 2312"/>
          <w:bCs w:val="0"/>
          <w:snapToGrid/>
          <w:spacing w:val="0"/>
          <w:kern w:val="2"/>
          <w:sz w:val="32"/>
          <w:szCs w:val="32"/>
          <w:highlight w:val="none"/>
        </w:rPr>
      </w:pPr>
      <w:r>
        <w:rPr>
          <w:rFonts w:hint="eastAsia" w:ascii="国标仿宋-GB/T 2312" w:hAnsi="国标仿宋-GB/T 2312" w:eastAsia="国标仿宋-GB/T 2312" w:cs="国标仿宋-GB/T 2312"/>
          <w:color w:val="auto"/>
          <w:sz w:val="32"/>
          <w:szCs w:val="32"/>
          <w:highlight w:val="none"/>
          <w:shd w:val="clear" w:color="auto" w:fill="auto"/>
          <w:lang w:val="en-US" w:eastAsia="zh-CN"/>
        </w:rPr>
        <w:t>四、环境</w:t>
      </w:r>
      <w:r>
        <w:rPr>
          <w:rFonts w:hint="eastAsia" w:ascii="国标仿宋-GB/T 2312" w:hAnsi="国标仿宋-GB/T 2312" w:eastAsia="国标仿宋-GB/T 2312" w:cs="国标仿宋-GB/T 2312"/>
          <w:bCs w:val="0"/>
          <w:snapToGrid/>
          <w:spacing w:val="0"/>
          <w:kern w:val="2"/>
          <w:sz w:val="32"/>
          <w:szCs w:val="32"/>
          <w:highlight w:val="none"/>
        </w:rPr>
        <w:t>影响报告</w:t>
      </w:r>
      <w:r>
        <w:rPr>
          <w:rFonts w:hint="eastAsia" w:ascii="国标仿宋-GB/T 2312" w:hAnsi="国标仿宋-GB/T 2312" w:eastAsia="国标仿宋-GB/T 2312" w:cs="国标仿宋-GB/T 2312"/>
          <w:bCs w:val="0"/>
          <w:snapToGrid/>
          <w:spacing w:val="0"/>
          <w:kern w:val="2"/>
          <w:sz w:val="32"/>
          <w:szCs w:val="32"/>
          <w:highlight w:val="none"/>
          <w:lang w:val="en-US" w:eastAsia="zh-CN"/>
        </w:rPr>
        <w:t>表</w:t>
      </w:r>
      <w:r>
        <w:rPr>
          <w:rFonts w:hint="eastAsia" w:ascii="国标仿宋-GB/T 2312" w:hAnsi="国标仿宋-GB/T 2312" w:eastAsia="国标仿宋-GB/T 2312" w:cs="国标仿宋-GB/T 2312"/>
          <w:bCs w:val="0"/>
          <w:snapToGrid/>
          <w:spacing w:val="0"/>
          <w:kern w:val="2"/>
          <w:sz w:val="32"/>
          <w:szCs w:val="32"/>
          <w:highlight w:val="none"/>
        </w:rPr>
        <w:t>批准后，该项目的性质、规模、地点、工艺或者污染防治措施发生重大变动，且可能导致环境影响显著变化（特别是不利环境影响加重），应当重新报批该项目环境影响文件。</w:t>
      </w:r>
    </w:p>
    <w:p w14:paraId="5DB79077">
      <w:pPr>
        <w:keepNext w:val="0"/>
        <w:keepLines w:val="0"/>
        <w:pageBreakBefore w:val="0"/>
        <w:kinsoku/>
        <w:wordWrap/>
        <w:overflowPunct/>
        <w:topLinePunct w:val="0"/>
        <w:autoSpaceDE/>
        <w:autoSpaceDN/>
        <w:bidi w:val="0"/>
        <w:adjustRightInd/>
        <w:spacing w:line="600" w:lineRule="exact"/>
        <w:ind w:firstLine="680" w:firstLineChars="200"/>
        <w:textAlignment w:val="auto"/>
        <w:rPr>
          <w:rFonts w:hint="eastAsia" w:ascii="国标仿宋-GB/T 2312" w:hAnsi="国标仿宋-GB/T 2312" w:eastAsia="国标仿宋-GB/T 2312" w:cs="国标仿宋-GB/T 2312"/>
          <w:bCs w:val="0"/>
          <w:snapToGrid/>
          <w:spacing w:val="0"/>
          <w:kern w:val="2"/>
          <w:sz w:val="32"/>
          <w:szCs w:val="32"/>
          <w:highlight w:val="none"/>
        </w:rPr>
      </w:pPr>
      <w:r>
        <w:rPr>
          <w:rFonts w:hint="eastAsia" w:ascii="国标仿宋-GB/T 2312" w:hAnsi="国标仿宋-GB/T 2312" w:eastAsia="国标仿宋-GB/T 2312" w:cs="国标仿宋-GB/T 2312"/>
          <w:color w:val="auto"/>
          <w:sz w:val="32"/>
          <w:szCs w:val="32"/>
          <w:highlight w:val="none"/>
          <w:shd w:val="clear" w:color="auto" w:fill="auto"/>
          <w:lang w:val="en-US" w:eastAsia="zh-CN"/>
        </w:rPr>
        <w:t>五、本项</w:t>
      </w:r>
      <w:r>
        <w:rPr>
          <w:rFonts w:hint="eastAsia" w:ascii="国标仿宋-GB/T 2312" w:hAnsi="国标仿宋-GB/T 2312" w:eastAsia="国标仿宋-GB/T 2312" w:cs="国标仿宋-GB/T 2312"/>
          <w:bCs w:val="0"/>
          <w:snapToGrid/>
          <w:spacing w:val="0"/>
          <w:kern w:val="2"/>
          <w:sz w:val="32"/>
          <w:szCs w:val="32"/>
          <w:highlight w:val="none"/>
        </w:rPr>
        <w:t>目建设期及日常环境监督检查工作由本溪市生态环境保护综合行政执法队负责。</w:t>
      </w:r>
    </w:p>
    <w:p w14:paraId="0E7626CA">
      <w:pPr>
        <w:keepNext w:val="0"/>
        <w:keepLines w:val="0"/>
        <w:pageBreakBefore w:val="0"/>
        <w:kinsoku/>
        <w:wordWrap/>
        <w:overflowPunct/>
        <w:topLinePunct w:val="0"/>
        <w:autoSpaceDE/>
        <w:autoSpaceDN/>
        <w:bidi w:val="0"/>
        <w:adjustRightInd/>
        <w:spacing w:line="600" w:lineRule="exact"/>
        <w:textAlignment w:val="auto"/>
        <w:rPr>
          <w:rFonts w:hint="eastAsia" w:ascii="国标仿宋-GB/T 2312" w:hAnsi="国标仿宋-GB/T 2312" w:eastAsia="国标仿宋-GB/T 2312" w:cs="国标仿宋-GB/T 2312"/>
          <w:sz w:val="32"/>
          <w:szCs w:val="32"/>
          <w:highlight w:val="none"/>
        </w:rPr>
      </w:pPr>
    </w:p>
    <w:p w14:paraId="29EF92BB">
      <w:pPr>
        <w:keepNext w:val="0"/>
        <w:keepLines w:val="0"/>
        <w:pageBreakBefore w:val="0"/>
        <w:kinsoku/>
        <w:wordWrap/>
        <w:overflowPunct/>
        <w:topLinePunct w:val="0"/>
        <w:autoSpaceDE/>
        <w:autoSpaceDN/>
        <w:bidi w:val="0"/>
        <w:adjustRightInd/>
        <w:spacing w:line="600" w:lineRule="exact"/>
        <w:textAlignment w:val="auto"/>
        <w:rPr>
          <w:rFonts w:hint="eastAsia" w:ascii="国标仿宋-GB/T 2312" w:hAnsi="国标仿宋-GB/T 2312" w:eastAsia="国标仿宋-GB/T 2312" w:cs="国标仿宋-GB/T 2312"/>
          <w:sz w:val="32"/>
          <w:szCs w:val="32"/>
          <w:highlight w:val="none"/>
        </w:rPr>
      </w:pPr>
    </w:p>
    <w:p w14:paraId="66908F95">
      <w:pPr>
        <w:keepNext w:val="0"/>
        <w:keepLines w:val="0"/>
        <w:pageBreakBefore w:val="0"/>
        <w:kinsoku/>
        <w:wordWrap/>
        <w:overflowPunct/>
        <w:topLinePunct w:val="0"/>
        <w:autoSpaceDE/>
        <w:autoSpaceDN/>
        <w:bidi w:val="0"/>
        <w:adjustRightInd/>
        <w:spacing w:line="600" w:lineRule="exact"/>
        <w:ind w:left="0" w:leftChars="0" w:firstLine="2397" w:firstLineChars="705"/>
        <w:jc w:val="center"/>
        <w:textAlignment w:val="auto"/>
        <w:rPr>
          <w:rFonts w:hint="eastAsia" w:ascii="国标仿宋-GB/T 2312" w:hAnsi="国标仿宋-GB/T 2312" w:eastAsia="国标仿宋-GB/T 2312" w:cs="国标仿宋-GB/T 2312"/>
          <w:color w:val="auto"/>
          <w:sz w:val="32"/>
          <w:szCs w:val="32"/>
          <w:highlight w:val="none"/>
        </w:rPr>
      </w:pPr>
      <w:r>
        <w:rPr>
          <w:rFonts w:hint="eastAsia" w:ascii="国标仿宋-GB/T 2312" w:hAnsi="国标仿宋-GB/T 2312" w:eastAsia="国标仿宋-GB/T 2312" w:cs="国标仿宋-GB/T 2312"/>
          <w:color w:val="auto"/>
          <w:sz w:val="32"/>
          <w:szCs w:val="32"/>
          <w:highlight w:val="none"/>
        </w:rPr>
        <w:t>本溪市生态环境局</w:t>
      </w:r>
    </w:p>
    <w:p w14:paraId="7349E3EB">
      <w:pPr>
        <w:keepNext w:val="0"/>
        <w:keepLines w:val="0"/>
        <w:pageBreakBefore w:val="0"/>
        <w:kinsoku/>
        <w:wordWrap/>
        <w:overflowPunct/>
        <w:topLinePunct w:val="0"/>
        <w:autoSpaceDE/>
        <w:autoSpaceDN/>
        <w:bidi w:val="0"/>
        <w:adjustRightInd/>
        <w:spacing w:line="600" w:lineRule="exact"/>
        <w:ind w:left="0" w:leftChars="0" w:firstLine="2397" w:firstLineChars="705"/>
        <w:jc w:val="center"/>
        <w:textAlignment w:val="auto"/>
        <w:rPr>
          <w:rFonts w:hint="eastAsia" w:ascii="国标仿宋-GB/T 2312" w:hAnsi="国标仿宋-GB/T 2312" w:eastAsia="国标仿宋-GB/T 2312" w:cs="国标仿宋-GB/T 2312"/>
          <w:color w:val="auto"/>
          <w:sz w:val="32"/>
          <w:szCs w:val="32"/>
          <w:highlight w:val="none"/>
        </w:rPr>
      </w:pPr>
      <w:r>
        <w:rPr>
          <w:rFonts w:hint="eastAsia" w:ascii="国标仿宋-GB/T 2312" w:hAnsi="国标仿宋-GB/T 2312" w:eastAsia="国标仿宋-GB/T 2312" w:cs="国标仿宋-GB/T 2312"/>
          <w:color w:val="auto"/>
          <w:sz w:val="32"/>
          <w:szCs w:val="32"/>
          <w:highlight w:val="none"/>
        </w:rPr>
        <w:t>202</w:t>
      </w:r>
      <w:r>
        <w:rPr>
          <w:rFonts w:hint="eastAsia" w:ascii="国标仿宋-GB/T 2312" w:hAnsi="国标仿宋-GB/T 2312" w:eastAsia="国标仿宋-GB/T 2312" w:cs="国标仿宋-GB/T 2312"/>
          <w:color w:val="auto"/>
          <w:sz w:val="32"/>
          <w:szCs w:val="32"/>
          <w:highlight w:val="none"/>
          <w:lang w:val="en-US" w:eastAsia="zh-CN"/>
        </w:rPr>
        <w:t>6</w:t>
      </w:r>
      <w:r>
        <w:rPr>
          <w:rFonts w:hint="eastAsia" w:ascii="国标仿宋-GB/T 2312" w:hAnsi="国标仿宋-GB/T 2312" w:eastAsia="国标仿宋-GB/T 2312" w:cs="国标仿宋-GB/T 2312"/>
          <w:color w:val="auto"/>
          <w:sz w:val="32"/>
          <w:szCs w:val="32"/>
          <w:highlight w:val="none"/>
        </w:rPr>
        <w:t>年</w:t>
      </w:r>
      <w:r>
        <w:rPr>
          <w:rFonts w:hint="eastAsia" w:ascii="国标仿宋-GB/T 2312" w:hAnsi="国标仿宋-GB/T 2312" w:eastAsia="国标仿宋-GB/T 2312" w:cs="国标仿宋-GB/T 2312"/>
          <w:color w:val="auto"/>
          <w:sz w:val="32"/>
          <w:szCs w:val="32"/>
          <w:highlight w:val="none"/>
          <w:lang w:val="en-US" w:eastAsia="zh-CN"/>
        </w:rPr>
        <w:t>8</w:t>
      </w:r>
      <w:r>
        <w:rPr>
          <w:rFonts w:hint="eastAsia" w:ascii="国标仿宋-GB/T 2312" w:hAnsi="国标仿宋-GB/T 2312" w:eastAsia="国标仿宋-GB/T 2312" w:cs="国标仿宋-GB/T 2312"/>
          <w:color w:val="auto"/>
          <w:sz w:val="32"/>
          <w:szCs w:val="32"/>
          <w:highlight w:val="none"/>
        </w:rPr>
        <w:t>月</w:t>
      </w:r>
      <w:r>
        <w:rPr>
          <w:rFonts w:hint="eastAsia" w:ascii="国标仿宋-GB/T 2312" w:hAnsi="国标仿宋-GB/T 2312" w:eastAsia="国标仿宋-GB/T 2312" w:cs="国标仿宋-GB/T 2312"/>
          <w:color w:val="auto"/>
          <w:sz w:val="32"/>
          <w:szCs w:val="32"/>
          <w:highlight w:val="none"/>
          <w:lang w:val="en-US" w:eastAsia="zh-CN"/>
        </w:rPr>
        <w:t>xx</w:t>
      </w:r>
      <w:r>
        <w:rPr>
          <w:rFonts w:hint="eastAsia" w:ascii="国标仿宋-GB/T 2312" w:hAnsi="国标仿宋-GB/T 2312" w:eastAsia="国标仿宋-GB/T 2312" w:cs="国标仿宋-GB/T 2312"/>
          <w:color w:val="auto"/>
          <w:sz w:val="32"/>
          <w:szCs w:val="32"/>
          <w:highlight w:val="none"/>
        </w:rPr>
        <w:t>日</w:t>
      </w:r>
    </w:p>
    <w:p w14:paraId="11AAE647">
      <w:pPr>
        <w:keepNext w:val="0"/>
        <w:keepLines w:val="0"/>
        <w:pageBreakBefore w:val="0"/>
        <w:kinsoku/>
        <w:wordWrap/>
        <w:overflowPunct/>
        <w:topLinePunct w:val="0"/>
        <w:autoSpaceDE/>
        <w:autoSpaceDN/>
        <w:bidi w:val="0"/>
        <w:adjustRightInd/>
        <w:spacing w:line="600" w:lineRule="exact"/>
        <w:ind w:left="0" w:leftChars="0" w:firstLine="2397" w:firstLineChars="705"/>
        <w:jc w:val="center"/>
        <w:textAlignment w:val="auto"/>
        <w:rPr>
          <w:rFonts w:hint="eastAsia" w:ascii="国标仿宋-GB/T 2312" w:hAnsi="国标仿宋-GB/T 2312" w:eastAsia="国标仿宋-GB/T 2312" w:cs="国标仿宋-GB/T 2312"/>
          <w:color w:val="auto"/>
          <w:sz w:val="32"/>
          <w:szCs w:val="32"/>
          <w:highlight w:val="none"/>
        </w:rPr>
      </w:pPr>
    </w:p>
    <w:p w14:paraId="0527C24C">
      <w:pPr>
        <w:keepNext w:val="0"/>
        <w:keepLines w:val="0"/>
        <w:pageBreakBefore w:val="0"/>
        <w:kinsoku/>
        <w:wordWrap/>
        <w:overflowPunct/>
        <w:topLinePunct w:val="0"/>
        <w:autoSpaceDE/>
        <w:autoSpaceDN/>
        <w:bidi w:val="0"/>
        <w:adjustRightInd/>
        <w:spacing w:line="600" w:lineRule="exact"/>
        <w:ind w:firstLine="850" w:firstLineChars="250"/>
        <w:textAlignment w:val="auto"/>
        <w:rPr>
          <w:rFonts w:hint="eastAsia" w:ascii="国标仿宋-GB/T 2312" w:hAnsi="国标仿宋-GB/T 2312" w:eastAsia="国标仿宋-GB/T 2312" w:cs="国标仿宋-GB/T 2312"/>
          <w:color w:val="000000"/>
          <w:sz w:val="32"/>
          <w:szCs w:val="32"/>
          <w:highlight w:val="none"/>
        </w:rPr>
      </w:pPr>
      <w:r>
        <w:rPr>
          <w:rFonts w:hint="eastAsia" w:ascii="国标仿宋-GB/T 2312" w:hAnsi="国标仿宋-GB/T 2312" w:eastAsia="国标仿宋-GB/T 2312" w:cs="国标仿宋-GB/T 2312"/>
          <w:color w:val="000000"/>
          <w:sz w:val="32"/>
          <w:szCs w:val="32"/>
          <w:highlight w:val="none"/>
        </w:rPr>
        <w:t>（此件公开发布）</w:t>
      </w:r>
    </w:p>
    <w:p w14:paraId="66952C24">
      <w:pPr>
        <w:keepNext w:val="0"/>
        <w:keepLines w:val="0"/>
        <w:pageBreakBefore w:val="0"/>
        <w:kinsoku/>
        <w:wordWrap/>
        <w:overflowPunct/>
        <w:topLinePunct w:val="0"/>
        <w:autoSpaceDE/>
        <w:autoSpaceDN/>
        <w:bidi w:val="0"/>
        <w:adjustRightInd/>
        <w:spacing w:line="600" w:lineRule="exact"/>
        <w:textAlignment w:val="auto"/>
        <w:rPr>
          <w:rFonts w:hint="eastAsia" w:ascii="国标仿宋-GB/T 2312" w:hAnsi="国标仿宋-GB/T 2312" w:eastAsia="国标仿宋-GB/T 2312" w:cs="国标仿宋-GB/T 2312"/>
          <w:color w:val="000000"/>
          <w:sz w:val="32"/>
          <w:szCs w:val="32"/>
          <w:highlight w:val="none"/>
        </w:rPr>
      </w:pPr>
    </w:p>
    <w:p w14:paraId="19B17385">
      <w:pPr>
        <w:keepNext w:val="0"/>
        <w:keepLines w:val="0"/>
        <w:pageBreakBefore w:val="0"/>
        <w:kinsoku/>
        <w:wordWrap/>
        <w:overflowPunct/>
        <w:topLinePunct w:val="0"/>
        <w:autoSpaceDE/>
        <w:autoSpaceDN/>
        <w:bidi w:val="0"/>
        <w:adjustRightInd/>
        <w:spacing w:line="600" w:lineRule="exact"/>
        <w:ind w:left="1656" w:leftChars="212" w:hanging="1020" w:hangingChars="300"/>
        <w:textAlignment w:val="auto"/>
        <w:rPr>
          <w:rFonts w:hint="eastAsia" w:ascii="国标仿宋-GB/T 2312" w:hAnsi="国标仿宋-GB/T 2312" w:eastAsia="国标仿宋-GB/T 2312" w:cs="国标仿宋-GB/T 2312"/>
          <w:snapToGrid w:val="0"/>
          <w:spacing w:val="10"/>
          <w:sz w:val="32"/>
          <w:szCs w:val="32"/>
          <w:highlight w:val="none"/>
          <w:lang w:eastAsia="zh-CN" w:bidi="ar-SA"/>
        </w:rPr>
      </w:pPr>
      <w:r>
        <w:rPr>
          <w:rFonts w:hint="eastAsia" w:ascii="国标仿宋-GB/T 2312" w:hAnsi="国标仿宋-GB/T 2312" w:eastAsia="国标仿宋-GB/T 2312" w:cs="国标仿宋-GB/T 2312"/>
          <w:color w:val="000000"/>
          <w:sz w:val="32"/>
          <w:szCs w:val="32"/>
          <w:highlight w:val="none"/>
        </w:rPr>
        <w:t>抄送：本溪市生态环境保护综合行政执法队、</w:t>
      </w:r>
      <w:r>
        <w:rPr>
          <w:rFonts w:hint="eastAsia" w:ascii="国标仿宋-GB/T 2312" w:hAnsi="国标仿宋-GB/T 2312" w:eastAsia="国标仿宋-GB/T 2312" w:cs="国标仿宋-GB/T 2312"/>
          <w:color w:val="000000"/>
          <w:sz w:val="32"/>
          <w:szCs w:val="32"/>
          <w:highlight w:val="none"/>
          <w:lang w:val="en-US" w:eastAsia="zh-CN"/>
        </w:rPr>
        <w:t>本溪市生态环境服务中心、</w:t>
      </w:r>
      <w:r>
        <w:rPr>
          <w:rFonts w:hint="eastAsia" w:ascii="国标仿宋-GB/T 2312" w:hAnsi="国标仿宋-GB/T 2312" w:eastAsia="国标仿宋-GB/T 2312" w:cs="国标仿宋-GB/T 2312"/>
          <w:snapToGrid w:val="0"/>
          <w:spacing w:val="10"/>
          <w:sz w:val="32"/>
          <w:szCs w:val="32"/>
          <w:highlight w:val="none"/>
          <w:lang w:eastAsia="zh-CN" w:bidi="ar-SA"/>
        </w:rPr>
        <w:t>信驰工程顾问有限公司</w:t>
      </w:r>
    </w:p>
    <w:sectPr>
      <w:footerReference r:id="rId4" w:type="first"/>
      <w:footerReference r:id="rId3" w:type="default"/>
      <w:pgSz w:w="11907" w:h="16840"/>
      <w:pgMar w:top="1440" w:right="1797" w:bottom="1600" w:left="1797" w:header="851" w:footer="1134" w:gutter="0"/>
      <w:cols w:space="720" w:num="1"/>
      <w:titlePg/>
      <w:docGrid w:linePitch="435"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80"/>
    <w:family w:val="auto"/>
    <w:pitch w:val="default"/>
    <w:sig w:usb0="00000000" w:usb1="00000000" w:usb2="00000009" w:usb3="00000000" w:csb0="400001FF" w:csb1="FFFF0000"/>
  </w:font>
  <w:font w:name="宋体">
    <w:altName w:val="方正书宋_GBK"/>
    <w:panose1 w:val="02010600030101010101"/>
    <w:charset w:val="80"/>
    <w:family w:val="roman"/>
    <w:pitch w:val="default"/>
    <w:sig w:usb0="00000000" w:usb1="00000000" w:usb2="00000006" w:usb3="00000000" w:csb0="00040001"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仿宋_GB2312">
    <w:altName w:val="方正仿宋_GBK"/>
    <w:panose1 w:val="02010609030101010101"/>
    <w:charset w:val="86"/>
    <w:family w:val="auto"/>
    <w:pitch w:val="default"/>
    <w:sig w:usb0="00000000" w:usb1="00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华文行楷">
    <w:panose1 w:val="02010800040101010101"/>
    <w:charset w:val="86"/>
    <w:family w:val="auto"/>
    <w:pitch w:val="default"/>
    <w:sig w:usb0="00000001" w:usb1="080F0000" w:usb2="00000000" w:usb3="00000000" w:csb0="00040000" w:csb1="00000000"/>
  </w:font>
  <w:font w:name="昆仑仿宋">
    <w:altName w:val="方正仿宋_GBK"/>
    <w:panose1 w:val="00000000000000000000"/>
    <w:charset w:val="86"/>
    <w:family w:val="modern"/>
    <w:pitch w:val="default"/>
    <w:sig w:usb0="00000000" w:usb1="00000000" w:usb2="00000010" w:usb3="00000000" w:csb0="00040000" w:csb1="00000000"/>
  </w:font>
  <w:font w:name="方正黑体_GBK">
    <w:panose1 w:val="02000000000000000000"/>
    <w:charset w:val="86"/>
    <w:family w:val="auto"/>
    <w:pitch w:val="default"/>
    <w:sig w:usb0="00000001" w:usb1="08000000" w:usb2="00000000" w:usb3="00000000" w:csb0="00040000" w:csb1="00000000"/>
  </w:font>
  <w:font w:name="国标仿宋-GB/T 2312">
    <w:panose1 w:val="02000500000000000000"/>
    <w:charset w:val="86"/>
    <w:family w:val="auto"/>
    <w:pitch w:val="default"/>
    <w:sig w:usb0="800002AF" w:usb1="08476CF8" w:usb2="00000010" w:usb3="00000000" w:csb0="00040000" w:csb1="00000000"/>
  </w:font>
  <w:font w:name="国标宋体-GB/T 2312">
    <w:panose1 w:val="02000500000000000000"/>
    <w:charset w:val="86"/>
    <w:family w:val="auto"/>
    <w:pitch w:val="default"/>
    <w:sig w:usb0="00000001" w:usb1="08000000" w:usb2="00000000" w:usb3="00000000" w:csb0="00040000" w:csb1="00000000"/>
  </w:font>
  <w:font w:name="仿宋">
    <w:altName w:val="方正仿宋_GBK"/>
    <w:panose1 w:val="02010609060101010101"/>
    <w:charset w:val="00"/>
    <w:family w:val="modern"/>
    <w:pitch w:val="default"/>
    <w:sig w:usb0="00000000" w:usb1="0000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6BED20">
    <w:pPr>
      <w:pStyle w:val="11"/>
      <w:jc w:val="cente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14C34E3A">
                          <w:pPr>
                            <w:pStyle w:val="11"/>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B4HF0wAgAAYw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QxQHSzMMBESn3p0Qrtvh34&#10;7E1xBk1n+jnxlm9qlLJlPjwwh8FA+Xg64R5LKQ1SmsGipDLuy7/OYzz6BS8lDQYtpxrvihL5XqOP&#10;AAyj4UZjPxr6qO4MJhe9QS2diQsuyNEsnVGf8Z5WMQdcTHNkymkYzbvQDzveIxerVReEybMsbPXO&#10;8ggd5fF2dQyQs1M5itIrge7EDWav69PwTuJw/7nvoh7/Dcv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AAAAAGRycy9QSwECFAAUAAAACACH&#10;TuJAs0lY7tAAAAAFAQAADwAAAAAAAAABACAAAAAiAAAAZHJzL2Rvd25yZXYueG1sUEsBAhQAFAAA&#10;AAgAh07iQFB4HF0wAgAAYwQAAA4AAAAAAAAAAQAgAAAAHwEAAGRycy9lMm9Eb2MueG1sUEsFBgAA&#10;AAAGAAYAWQEAAMEFAAAAAA==&#10;">
              <v:fill on="f" focussize="0,0"/>
              <v:stroke on="f" weight="0.5pt"/>
              <v:imagedata o:title=""/>
              <o:lock v:ext="edit" aspectratio="f"/>
              <v:textbox inset="0mm,0mm,0mm,0mm" style="mso-fit-shape-to-text:t;">
                <w:txbxContent>
                  <w:p w14:paraId="14C34E3A">
                    <w:pPr>
                      <w:pStyle w:val="11"/>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10F237">
    <w:pPr>
      <w:pStyle w:val="11"/>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409AB30F">
                          <w:pPr>
                            <w:pStyle w:val="11"/>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G8Zm0MQIAAGMEAAAOAAAAAAAAAAEAIAAAAB8BAABkcnMvZTJvRG9jLnhtbFBLBQYA&#10;AAAABgAGAFkBAADCBQAAAAA=&#10;">
              <v:fill on="f" focussize="0,0"/>
              <v:stroke on="f" weight="0.5pt"/>
              <v:imagedata o:title=""/>
              <o:lock v:ext="edit" aspectratio="f"/>
              <v:textbox inset="0mm,0mm,0mm,0mm" style="mso-fit-shape-to-text:t;">
                <w:txbxContent>
                  <w:p w14:paraId="409AB30F">
                    <w:pPr>
                      <w:pStyle w:val="11"/>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3673577"/>
    <w:multiLevelType w:val="singleLevel"/>
    <w:tmpl w:val="23673577"/>
    <w:lvl w:ilvl="0" w:tentative="0">
      <w:start w:val="1"/>
      <w:numFmt w:val="decimal"/>
      <w:pStyle w:val="24"/>
      <w:suff w:val="nothing"/>
      <w:lvlText w:val="%1、"/>
      <w:lvlJc w:val="left"/>
      <w:pPr>
        <w:ind w:left="-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9"/>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QyMTIyMDUyZWEwNzhkYTlkZDNhMjM1YTkxMjQ5ZTAifQ=="/>
  </w:docVars>
  <w:rsids>
    <w:rsidRoot w:val="1796435B"/>
    <w:rsid w:val="0005596D"/>
    <w:rsid w:val="00100A44"/>
    <w:rsid w:val="00143087"/>
    <w:rsid w:val="002721FC"/>
    <w:rsid w:val="00434940"/>
    <w:rsid w:val="00490130"/>
    <w:rsid w:val="004A07F0"/>
    <w:rsid w:val="00536F00"/>
    <w:rsid w:val="005C4520"/>
    <w:rsid w:val="00693428"/>
    <w:rsid w:val="006E6370"/>
    <w:rsid w:val="008629CF"/>
    <w:rsid w:val="00932262"/>
    <w:rsid w:val="00972023"/>
    <w:rsid w:val="00A00642"/>
    <w:rsid w:val="00B5544D"/>
    <w:rsid w:val="00BF399E"/>
    <w:rsid w:val="00C212FE"/>
    <w:rsid w:val="00C27F5D"/>
    <w:rsid w:val="00C65306"/>
    <w:rsid w:val="00CE1454"/>
    <w:rsid w:val="00D04025"/>
    <w:rsid w:val="00D10361"/>
    <w:rsid w:val="00E14769"/>
    <w:rsid w:val="00EB577A"/>
    <w:rsid w:val="00ED515A"/>
    <w:rsid w:val="02112401"/>
    <w:rsid w:val="027754FB"/>
    <w:rsid w:val="03100052"/>
    <w:rsid w:val="03105072"/>
    <w:rsid w:val="033C0E47"/>
    <w:rsid w:val="03616974"/>
    <w:rsid w:val="03A8093F"/>
    <w:rsid w:val="03EF1A15"/>
    <w:rsid w:val="04611DC3"/>
    <w:rsid w:val="04BE6E3A"/>
    <w:rsid w:val="055E60C7"/>
    <w:rsid w:val="07283675"/>
    <w:rsid w:val="07DB592F"/>
    <w:rsid w:val="081C5B30"/>
    <w:rsid w:val="088618A1"/>
    <w:rsid w:val="08B17D61"/>
    <w:rsid w:val="095C4B76"/>
    <w:rsid w:val="096802A0"/>
    <w:rsid w:val="0A152B8F"/>
    <w:rsid w:val="0CA53912"/>
    <w:rsid w:val="0DED6EAB"/>
    <w:rsid w:val="0E254230"/>
    <w:rsid w:val="0E893301"/>
    <w:rsid w:val="0EE6395A"/>
    <w:rsid w:val="0F5D8F82"/>
    <w:rsid w:val="0F66535D"/>
    <w:rsid w:val="0F814977"/>
    <w:rsid w:val="104F21BA"/>
    <w:rsid w:val="106A3A7D"/>
    <w:rsid w:val="10887E32"/>
    <w:rsid w:val="10DA5FE4"/>
    <w:rsid w:val="124C312B"/>
    <w:rsid w:val="12DF6623"/>
    <w:rsid w:val="13877224"/>
    <w:rsid w:val="13E97709"/>
    <w:rsid w:val="149503B7"/>
    <w:rsid w:val="14F7BA3E"/>
    <w:rsid w:val="15187863"/>
    <w:rsid w:val="15932B49"/>
    <w:rsid w:val="15B11221"/>
    <w:rsid w:val="16FC1111"/>
    <w:rsid w:val="1796435B"/>
    <w:rsid w:val="17A3220B"/>
    <w:rsid w:val="17B151C8"/>
    <w:rsid w:val="183B5437"/>
    <w:rsid w:val="18587014"/>
    <w:rsid w:val="1876174E"/>
    <w:rsid w:val="18793266"/>
    <w:rsid w:val="1997072D"/>
    <w:rsid w:val="1B3373CE"/>
    <w:rsid w:val="1B522417"/>
    <w:rsid w:val="1BCA066A"/>
    <w:rsid w:val="1C264A09"/>
    <w:rsid w:val="1CBD979D"/>
    <w:rsid w:val="1D5F7AF9"/>
    <w:rsid w:val="1D632212"/>
    <w:rsid w:val="1E217F62"/>
    <w:rsid w:val="1E49784A"/>
    <w:rsid w:val="1E6B6E29"/>
    <w:rsid w:val="1EFF2DA6"/>
    <w:rsid w:val="1F824EB1"/>
    <w:rsid w:val="1FFA2ADA"/>
    <w:rsid w:val="20BA2A38"/>
    <w:rsid w:val="212C4FD0"/>
    <w:rsid w:val="21BF77BB"/>
    <w:rsid w:val="233521D5"/>
    <w:rsid w:val="241B24EC"/>
    <w:rsid w:val="25386401"/>
    <w:rsid w:val="25F809B8"/>
    <w:rsid w:val="273205DC"/>
    <w:rsid w:val="28616AD6"/>
    <w:rsid w:val="296DCFE4"/>
    <w:rsid w:val="29A33253"/>
    <w:rsid w:val="29BB5D72"/>
    <w:rsid w:val="2AD445A7"/>
    <w:rsid w:val="2C1029A7"/>
    <w:rsid w:val="2C2D0E8A"/>
    <w:rsid w:val="2C547628"/>
    <w:rsid w:val="2C725C4B"/>
    <w:rsid w:val="2CF0618D"/>
    <w:rsid w:val="2D273D6B"/>
    <w:rsid w:val="2D482013"/>
    <w:rsid w:val="2DBF8365"/>
    <w:rsid w:val="2DDA9CD7"/>
    <w:rsid w:val="2E284896"/>
    <w:rsid w:val="2EBF735A"/>
    <w:rsid w:val="2F2F57A8"/>
    <w:rsid w:val="2F5B0535"/>
    <w:rsid w:val="2F7B237E"/>
    <w:rsid w:val="2FA75F07"/>
    <w:rsid w:val="2FAF0FEA"/>
    <w:rsid w:val="32F43476"/>
    <w:rsid w:val="343C44DA"/>
    <w:rsid w:val="348F169C"/>
    <w:rsid w:val="35284C04"/>
    <w:rsid w:val="36C46BAE"/>
    <w:rsid w:val="36DF7929"/>
    <w:rsid w:val="36E7716E"/>
    <w:rsid w:val="37FE6CA4"/>
    <w:rsid w:val="38883C0B"/>
    <w:rsid w:val="397A79F8"/>
    <w:rsid w:val="3988370A"/>
    <w:rsid w:val="39E7009F"/>
    <w:rsid w:val="3A74523A"/>
    <w:rsid w:val="3B8C4D4F"/>
    <w:rsid w:val="3C213BF5"/>
    <w:rsid w:val="3C9F237B"/>
    <w:rsid w:val="3D65FB6F"/>
    <w:rsid w:val="3DCEE3A5"/>
    <w:rsid w:val="3DE36FFF"/>
    <w:rsid w:val="3DEE4511"/>
    <w:rsid w:val="3DFDFB4C"/>
    <w:rsid w:val="3ED540EA"/>
    <w:rsid w:val="3F5F6D72"/>
    <w:rsid w:val="3F7D0D94"/>
    <w:rsid w:val="3F980BD8"/>
    <w:rsid w:val="3FE6147C"/>
    <w:rsid w:val="3FFA8E48"/>
    <w:rsid w:val="3FFFCB6E"/>
    <w:rsid w:val="43AD0D2E"/>
    <w:rsid w:val="454676EB"/>
    <w:rsid w:val="455E1F7C"/>
    <w:rsid w:val="45DE0A0A"/>
    <w:rsid w:val="465E3CA8"/>
    <w:rsid w:val="485711CD"/>
    <w:rsid w:val="489E31E8"/>
    <w:rsid w:val="48B916DB"/>
    <w:rsid w:val="496F25DB"/>
    <w:rsid w:val="4A8F2BD7"/>
    <w:rsid w:val="4AA15E16"/>
    <w:rsid w:val="4AC705C3"/>
    <w:rsid w:val="4BD16ECB"/>
    <w:rsid w:val="4C152A89"/>
    <w:rsid w:val="4C3E1FF9"/>
    <w:rsid w:val="4CED0B60"/>
    <w:rsid w:val="4CFF4B5B"/>
    <w:rsid w:val="4D0F5D97"/>
    <w:rsid w:val="4D520082"/>
    <w:rsid w:val="4E6F6707"/>
    <w:rsid w:val="4EA81B8F"/>
    <w:rsid w:val="4F0E056F"/>
    <w:rsid w:val="4F2ECA65"/>
    <w:rsid w:val="4F580206"/>
    <w:rsid w:val="4F7E1603"/>
    <w:rsid w:val="4FFC0964"/>
    <w:rsid w:val="4FFFA1AD"/>
    <w:rsid w:val="509F3A81"/>
    <w:rsid w:val="50AD4B61"/>
    <w:rsid w:val="51493067"/>
    <w:rsid w:val="539A3B8B"/>
    <w:rsid w:val="53FA7638"/>
    <w:rsid w:val="54637930"/>
    <w:rsid w:val="550C5DD2"/>
    <w:rsid w:val="55D748FB"/>
    <w:rsid w:val="56394C94"/>
    <w:rsid w:val="564A322D"/>
    <w:rsid w:val="57E645FA"/>
    <w:rsid w:val="598F7898"/>
    <w:rsid w:val="59C96755"/>
    <w:rsid w:val="5A3D19DE"/>
    <w:rsid w:val="5A5F47D7"/>
    <w:rsid w:val="5A7D2A4C"/>
    <w:rsid w:val="5AF222AB"/>
    <w:rsid w:val="5B5EAB13"/>
    <w:rsid w:val="5B9E1556"/>
    <w:rsid w:val="5BAD274A"/>
    <w:rsid w:val="5D1728CE"/>
    <w:rsid w:val="5E176AF1"/>
    <w:rsid w:val="5E5A7197"/>
    <w:rsid w:val="5EC40C4A"/>
    <w:rsid w:val="5FEC6A3C"/>
    <w:rsid w:val="60620F77"/>
    <w:rsid w:val="61ED1E4C"/>
    <w:rsid w:val="63D368D7"/>
    <w:rsid w:val="64CC2EFF"/>
    <w:rsid w:val="65BBF0BC"/>
    <w:rsid w:val="65BF311B"/>
    <w:rsid w:val="65D32B6F"/>
    <w:rsid w:val="66B30D45"/>
    <w:rsid w:val="66FA65FC"/>
    <w:rsid w:val="67FF1790"/>
    <w:rsid w:val="699D5DCA"/>
    <w:rsid w:val="69E55B42"/>
    <w:rsid w:val="6B621CAE"/>
    <w:rsid w:val="6BAE23FA"/>
    <w:rsid w:val="6C1A6167"/>
    <w:rsid w:val="6CD2372C"/>
    <w:rsid w:val="6CE07E27"/>
    <w:rsid w:val="6CFF94C2"/>
    <w:rsid w:val="6D213148"/>
    <w:rsid w:val="6DDB1B0C"/>
    <w:rsid w:val="6F27E1F6"/>
    <w:rsid w:val="6FB67F68"/>
    <w:rsid w:val="6FFF5CC0"/>
    <w:rsid w:val="6FFFE5DC"/>
    <w:rsid w:val="71267793"/>
    <w:rsid w:val="728C9B75"/>
    <w:rsid w:val="729606F7"/>
    <w:rsid w:val="734635D6"/>
    <w:rsid w:val="736C1090"/>
    <w:rsid w:val="737B68CA"/>
    <w:rsid w:val="73F5E528"/>
    <w:rsid w:val="74155FFE"/>
    <w:rsid w:val="7460720F"/>
    <w:rsid w:val="747F3106"/>
    <w:rsid w:val="74A500F6"/>
    <w:rsid w:val="75ABB25E"/>
    <w:rsid w:val="75B74A35"/>
    <w:rsid w:val="75F30517"/>
    <w:rsid w:val="765A079C"/>
    <w:rsid w:val="77587BF9"/>
    <w:rsid w:val="779F4008"/>
    <w:rsid w:val="77A87932"/>
    <w:rsid w:val="77DE09DB"/>
    <w:rsid w:val="77FD0061"/>
    <w:rsid w:val="78020AFA"/>
    <w:rsid w:val="78F7BE10"/>
    <w:rsid w:val="79DF0DFD"/>
    <w:rsid w:val="7AA55685"/>
    <w:rsid w:val="7AAC4F5C"/>
    <w:rsid w:val="7B7FC471"/>
    <w:rsid w:val="7BA414DA"/>
    <w:rsid w:val="7BAA0603"/>
    <w:rsid w:val="7C6B6751"/>
    <w:rsid w:val="7DBD3E99"/>
    <w:rsid w:val="7DEB120E"/>
    <w:rsid w:val="7E051AD8"/>
    <w:rsid w:val="7E834226"/>
    <w:rsid w:val="7E979DCC"/>
    <w:rsid w:val="7F1C82AA"/>
    <w:rsid w:val="7F233313"/>
    <w:rsid w:val="7F6F7255"/>
    <w:rsid w:val="7FD611CA"/>
    <w:rsid w:val="7FDFC3DB"/>
    <w:rsid w:val="7FE7039B"/>
    <w:rsid w:val="7FEEB648"/>
    <w:rsid w:val="7FF7F18D"/>
    <w:rsid w:val="7FFB3C21"/>
    <w:rsid w:val="7FFF233E"/>
    <w:rsid w:val="7FFF8D6A"/>
    <w:rsid w:val="7FFFD615"/>
    <w:rsid w:val="8FBDB977"/>
    <w:rsid w:val="9FEB59E0"/>
    <w:rsid w:val="AFF6D516"/>
    <w:rsid w:val="B5CB8E43"/>
    <w:rsid w:val="B7FB7FCF"/>
    <w:rsid w:val="B7FCB322"/>
    <w:rsid w:val="BABD7858"/>
    <w:rsid w:val="BDF7C395"/>
    <w:rsid w:val="BFFB1BAC"/>
    <w:rsid w:val="C777591D"/>
    <w:rsid w:val="CD6AE352"/>
    <w:rsid w:val="D7DDB4B5"/>
    <w:rsid w:val="D7DF2DB6"/>
    <w:rsid w:val="DBEE5062"/>
    <w:rsid w:val="DF3A8546"/>
    <w:rsid w:val="E27F02CB"/>
    <w:rsid w:val="EDF753BB"/>
    <w:rsid w:val="EDFF19AD"/>
    <w:rsid w:val="EEFFCB26"/>
    <w:rsid w:val="EF75FEC9"/>
    <w:rsid w:val="F2FF7559"/>
    <w:rsid w:val="F67FD140"/>
    <w:rsid w:val="F6FE87D7"/>
    <w:rsid w:val="F7EC5D66"/>
    <w:rsid w:val="F7F3E8BC"/>
    <w:rsid w:val="F7FB5AB1"/>
    <w:rsid w:val="FAED4CBF"/>
    <w:rsid w:val="FB6B6DBC"/>
    <w:rsid w:val="FCFF3566"/>
    <w:rsid w:val="FD7F196C"/>
    <w:rsid w:val="FDEF83C6"/>
    <w:rsid w:val="FE372492"/>
    <w:rsid w:val="FEBF0432"/>
    <w:rsid w:val="FECE3BE2"/>
    <w:rsid w:val="FF5E95F1"/>
    <w:rsid w:val="FF7F25FC"/>
    <w:rsid w:val="FFA6BB81"/>
    <w:rsid w:val="FFF96055"/>
    <w:rsid w:val="FFFB6924"/>
    <w:rsid w:val="FFFF7246"/>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qFormat="1"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nhideWhenUsed="0" w:uiPriority="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qFormat="1"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bCs/>
      <w:snapToGrid w:val="0"/>
      <w:spacing w:val="10"/>
      <w:sz w:val="28"/>
      <w:szCs w:val="24"/>
      <w:lang w:val="en-US" w:eastAsia="zh-CN" w:bidi="ar-SA"/>
    </w:rPr>
  </w:style>
  <w:style w:type="character" w:default="1" w:styleId="19">
    <w:name w:val="Default Paragraph Font"/>
    <w:unhideWhenUsed/>
    <w:qFormat/>
    <w:uiPriority w:val="1"/>
  </w:style>
  <w:style w:type="table" w:default="1" w:styleId="18">
    <w:name w:val="Normal Table"/>
    <w:unhideWhenUsed/>
    <w:qFormat/>
    <w:uiPriority w:val="99"/>
    <w:tblPr>
      <w:tblCellMar>
        <w:top w:w="0" w:type="dxa"/>
        <w:left w:w="108" w:type="dxa"/>
        <w:bottom w:w="0" w:type="dxa"/>
        <w:right w:w="108" w:type="dxa"/>
      </w:tblCellMar>
    </w:tblPr>
  </w:style>
  <w:style w:type="paragraph" w:styleId="2">
    <w:name w:val="Normal Indent"/>
    <w:basedOn w:val="1"/>
    <w:next w:val="1"/>
    <w:qFormat/>
    <w:uiPriority w:val="0"/>
    <w:pPr>
      <w:ind w:firstLine="420" w:firstLineChars="200"/>
    </w:pPr>
    <w:rPr>
      <w:rFonts w:ascii="Arial" w:hAnsi="Arial" w:cs="Arial"/>
      <w:sz w:val="21"/>
    </w:rPr>
  </w:style>
  <w:style w:type="paragraph" w:styleId="3">
    <w:name w:val="index 5"/>
    <w:basedOn w:val="1"/>
    <w:next w:val="1"/>
    <w:qFormat/>
    <w:uiPriority w:val="0"/>
    <w:pPr>
      <w:ind w:left="1680"/>
    </w:pPr>
  </w:style>
  <w:style w:type="paragraph" w:styleId="4">
    <w:name w:val="annotation text"/>
    <w:basedOn w:val="1"/>
    <w:qFormat/>
    <w:uiPriority w:val="0"/>
    <w:pPr>
      <w:jc w:val="left"/>
    </w:pPr>
  </w:style>
  <w:style w:type="paragraph" w:styleId="5">
    <w:name w:val="Body Text"/>
    <w:basedOn w:val="1"/>
    <w:next w:val="3"/>
    <w:qFormat/>
    <w:uiPriority w:val="0"/>
    <w:pPr>
      <w:widowControl/>
      <w:snapToGrid w:val="0"/>
      <w:spacing w:before="60" w:after="160" w:line="259" w:lineRule="auto"/>
      <w:ind w:right="113"/>
    </w:pPr>
    <w:rPr>
      <w:sz w:val="18"/>
      <w:szCs w:val="20"/>
    </w:rPr>
  </w:style>
  <w:style w:type="paragraph" w:styleId="6">
    <w:name w:val="Body Text Indent"/>
    <w:basedOn w:val="1"/>
    <w:next w:val="7"/>
    <w:qFormat/>
    <w:uiPriority w:val="0"/>
    <w:pPr>
      <w:adjustRightInd w:val="0"/>
      <w:snapToGrid w:val="0"/>
      <w:spacing w:line="300" w:lineRule="auto"/>
      <w:ind w:firstLine="680" w:firstLineChars="200"/>
    </w:pPr>
    <w:rPr>
      <w:rFonts w:ascii="仿宋_GB2312" w:hAnsi="宋体" w:eastAsia="仿宋_GB2312"/>
      <w:sz w:val="32"/>
    </w:rPr>
  </w:style>
  <w:style w:type="paragraph" w:styleId="7">
    <w:name w:val="header"/>
    <w:basedOn w:val="1"/>
    <w:next w:val="8"/>
    <w:qFormat/>
    <w:uiPriority w:val="0"/>
    <w:pPr>
      <w:pBdr>
        <w:bottom w:val="single" w:color="auto" w:sz="6" w:space="1"/>
      </w:pBdr>
      <w:tabs>
        <w:tab w:val="center" w:pos="4153"/>
        <w:tab w:val="right" w:pos="8306"/>
      </w:tabs>
      <w:snapToGrid w:val="0"/>
      <w:jc w:val="center"/>
    </w:pPr>
    <w:rPr>
      <w:sz w:val="18"/>
      <w:szCs w:val="18"/>
    </w:rPr>
  </w:style>
  <w:style w:type="paragraph" w:customStyle="1" w:styleId="8">
    <w:name w:val="样式5"/>
    <w:basedOn w:val="2"/>
    <w:qFormat/>
    <w:uiPriority w:val="0"/>
    <w:pPr>
      <w:spacing w:line="380" w:lineRule="exact"/>
      <w:ind w:firstLine="566" w:firstLineChars="202"/>
    </w:pPr>
    <w:rPr>
      <w:rFonts w:ascii="Times New Roman" w:hAnsi="Times New Roman" w:eastAsia="华文行楷" w:cs="Times New Roman"/>
      <w:sz w:val="28"/>
    </w:rPr>
  </w:style>
  <w:style w:type="paragraph" w:styleId="9">
    <w:name w:val="Body Text Indent 2"/>
    <w:basedOn w:val="1"/>
    <w:next w:val="10"/>
    <w:qFormat/>
    <w:uiPriority w:val="0"/>
    <w:pPr>
      <w:spacing w:line="500" w:lineRule="exact"/>
      <w:ind w:left="72" w:hanging="72" w:hangingChars="30"/>
      <w:jc w:val="left"/>
    </w:pPr>
    <w:rPr>
      <w:rFonts w:ascii="宋体" w:hAnsi="宋体"/>
      <w:sz w:val="24"/>
    </w:rPr>
  </w:style>
  <w:style w:type="paragraph" w:customStyle="1" w:styleId="10">
    <w:name w:val="toc 75"/>
    <w:next w:val="1"/>
    <w:qFormat/>
    <w:uiPriority w:val="0"/>
    <w:pPr>
      <w:wordWrap w:val="0"/>
      <w:ind w:left="2550"/>
      <w:jc w:val="both"/>
    </w:pPr>
    <w:rPr>
      <w:rFonts w:ascii="Times New Roman" w:hAnsi="Times New Roman" w:eastAsia="宋体" w:cs="Times New Roman"/>
      <w:sz w:val="21"/>
      <w:lang w:val="en-US" w:eastAsia="zh-CN" w:bidi="ar-SA"/>
    </w:rPr>
  </w:style>
  <w:style w:type="paragraph" w:styleId="11">
    <w:name w:val="footer"/>
    <w:basedOn w:val="1"/>
    <w:next w:val="1"/>
    <w:qFormat/>
    <w:uiPriority w:val="99"/>
    <w:pPr>
      <w:tabs>
        <w:tab w:val="center" w:pos="4153"/>
        <w:tab w:val="right" w:pos="8306"/>
      </w:tabs>
      <w:snapToGrid w:val="0"/>
      <w:jc w:val="left"/>
    </w:pPr>
    <w:rPr>
      <w:sz w:val="18"/>
      <w:szCs w:val="18"/>
    </w:rPr>
  </w:style>
  <w:style w:type="paragraph" w:styleId="12">
    <w:name w:val="List"/>
    <w:basedOn w:val="1"/>
    <w:next w:val="1"/>
    <w:qFormat/>
    <w:uiPriority w:val="0"/>
    <w:pPr>
      <w:adjustRightInd w:val="0"/>
      <w:spacing w:before="60" w:after="60" w:line="360" w:lineRule="auto"/>
      <w:ind w:firstLine="567"/>
      <w:textAlignment w:val="baseline"/>
    </w:pPr>
    <w:rPr>
      <w:bCs w:val="0"/>
      <w:snapToGrid/>
      <w:spacing w:val="0"/>
      <w:sz w:val="24"/>
      <w:szCs w:val="20"/>
    </w:rPr>
  </w:style>
  <w:style w:type="paragraph" w:styleId="13">
    <w:name w:val="Body Text Indent 3"/>
    <w:basedOn w:val="1"/>
    <w:qFormat/>
    <w:uiPriority w:val="0"/>
    <w:pPr>
      <w:ind w:firstLine="560" w:firstLineChars="200"/>
    </w:pPr>
    <w:rPr>
      <w:rFonts w:ascii="仿宋_GB2312" w:eastAsia="仿宋_GB2312"/>
      <w:sz w:val="28"/>
    </w:rPr>
  </w:style>
  <w:style w:type="paragraph" w:styleId="14">
    <w:name w:val="toc 2"/>
    <w:basedOn w:val="1"/>
    <w:next w:val="1"/>
    <w:semiHidden/>
    <w:qFormat/>
    <w:uiPriority w:val="0"/>
    <w:pPr>
      <w:ind w:left="210"/>
      <w:jc w:val="left"/>
    </w:pPr>
    <w:rPr>
      <w:smallCaps/>
      <w:sz w:val="20"/>
      <w:szCs w:val="20"/>
    </w:rPr>
  </w:style>
  <w:style w:type="paragraph" w:styleId="15">
    <w:name w:val="Normal (Web)"/>
    <w:basedOn w:val="1"/>
    <w:qFormat/>
    <w:uiPriority w:val="0"/>
    <w:rPr>
      <w:sz w:val="24"/>
    </w:rPr>
  </w:style>
  <w:style w:type="paragraph" w:styleId="16">
    <w:name w:val="Body Text First Indent"/>
    <w:basedOn w:val="5"/>
    <w:next w:val="17"/>
    <w:qFormat/>
    <w:uiPriority w:val="0"/>
    <w:pPr>
      <w:overflowPunct w:val="0"/>
      <w:autoSpaceDE w:val="0"/>
      <w:autoSpaceDN w:val="0"/>
      <w:adjustRightInd w:val="0"/>
      <w:spacing w:line="360" w:lineRule="auto"/>
      <w:ind w:firstLine="539" w:firstLineChars="200"/>
      <w:textAlignment w:val="baseline"/>
    </w:pPr>
    <w:rPr>
      <w:sz w:val="28"/>
    </w:rPr>
  </w:style>
  <w:style w:type="paragraph" w:customStyle="1" w:styleId="17">
    <w:name w:val="样式 正文首行缩进 + 首行缩进:  2 字符1"/>
    <w:basedOn w:val="16"/>
    <w:qFormat/>
    <w:uiPriority w:val="0"/>
    <w:pPr>
      <w:spacing w:after="0" w:line="360" w:lineRule="auto"/>
      <w:ind w:firstLine="480" w:firstLineChars="200"/>
    </w:pPr>
    <w:rPr>
      <w:sz w:val="24"/>
    </w:rPr>
  </w:style>
  <w:style w:type="paragraph" w:customStyle="1" w:styleId="20">
    <w:name w:val="Default"/>
    <w:basedOn w:val="21"/>
    <w:next w:val="12"/>
    <w:unhideWhenUsed/>
    <w:qFormat/>
    <w:uiPriority w:val="99"/>
    <w:pPr>
      <w:widowControl w:val="0"/>
      <w:autoSpaceDE w:val="0"/>
      <w:autoSpaceDN w:val="0"/>
      <w:adjustRightInd w:val="0"/>
    </w:pPr>
    <w:rPr>
      <w:rFonts w:hint="eastAsia" w:ascii="宋体" w:hAnsi="宋体" w:eastAsia="宋体" w:cs="Times New Roman"/>
      <w:color w:val="000000"/>
      <w:sz w:val="24"/>
      <w:lang w:val="en-US" w:eastAsia="zh-CN" w:bidi="ar-SA"/>
    </w:rPr>
  </w:style>
  <w:style w:type="paragraph" w:customStyle="1" w:styleId="21">
    <w:name w:val="纯文本1"/>
    <w:basedOn w:val="1"/>
    <w:qFormat/>
    <w:uiPriority w:val="0"/>
    <w:pPr>
      <w:adjustRightInd w:val="0"/>
    </w:pPr>
    <w:rPr>
      <w:rFonts w:ascii="宋体" w:hAnsi="Courier New"/>
      <w:szCs w:val="20"/>
    </w:rPr>
  </w:style>
  <w:style w:type="paragraph" w:customStyle="1" w:styleId="22">
    <w:name w:val="_Style 4"/>
    <w:next w:val="1"/>
    <w:qFormat/>
    <w:uiPriority w:val="1"/>
    <w:pPr>
      <w:widowControl w:val="0"/>
      <w:jc w:val="both"/>
    </w:pPr>
    <w:rPr>
      <w:rFonts w:ascii="Times New Roman" w:hAnsi="Times New Roman" w:eastAsia="仿宋_GB2312" w:cs="Times New Roman"/>
      <w:kern w:val="2"/>
      <w:sz w:val="24"/>
      <w:szCs w:val="22"/>
      <w:lang w:val="en-US" w:eastAsia="zh-CN" w:bidi="ar-SA"/>
    </w:rPr>
  </w:style>
  <w:style w:type="paragraph" w:customStyle="1" w:styleId="23">
    <w:name w:val="正本文字"/>
    <w:basedOn w:val="1"/>
    <w:qFormat/>
    <w:uiPriority w:val="0"/>
    <w:pPr>
      <w:adjustRightInd w:val="0"/>
      <w:snapToGrid w:val="0"/>
      <w:spacing w:line="360" w:lineRule="auto"/>
      <w:ind w:firstLine="200" w:firstLineChars="200"/>
      <w:jc w:val="left"/>
    </w:pPr>
    <w:rPr>
      <w:rFonts w:cs="宋体"/>
      <w:kern w:val="18"/>
      <w:sz w:val="24"/>
      <w:szCs w:val="20"/>
    </w:rPr>
  </w:style>
  <w:style w:type="paragraph" w:customStyle="1" w:styleId="24">
    <w:name w:val="报告正文"/>
    <w:basedOn w:val="1"/>
    <w:next w:val="1"/>
    <w:qFormat/>
    <w:uiPriority w:val="0"/>
    <w:pPr>
      <w:numPr>
        <w:ilvl w:val="0"/>
        <w:numId w:val="1"/>
      </w:numPr>
      <w:spacing w:line="360" w:lineRule="auto"/>
      <w:ind w:firstLine="720" w:firstLineChars="200"/>
    </w:pPr>
  </w:style>
  <w:style w:type="paragraph" w:customStyle="1" w:styleId="25">
    <w:name w:val="段"/>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26">
    <w:name w:val="表格"/>
    <w:basedOn w:val="12"/>
    <w:next w:val="1"/>
    <w:qFormat/>
    <w:uiPriority w:val="0"/>
    <w:pPr>
      <w:adjustRightInd w:val="0"/>
      <w:spacing w:before="40" w:after="40"/>
      <w:jc w:val="center"/>
      <w:textAlignment w:val="baseline"/>
    </w:pPr>
    <w:rPr>
      <w:rFonts w:ascii="昆仑仿宋" w:eastAsia="昆仑仿宋"/>
      <w:bCs/>
      <w:snapToGrid/>
      <w:spacing w:val="0"/>
      <w:sz w:val="24"/>
      <w:szCs w:val="20"/>
    </w:rPr>
  </w:style>
  <w:style w:type="paragraph" w:customStyle="1" w:styleId="27">
    <w:name w:val="0正文"/>
    <w:basedOn w:val="6"/>
    <w:qFormat/>
    <w:uiPriority w:val="0"/>
    <w:pPr>
      <w:spacing w:line="360" w:lineRule="auto"/>
      <w:ind w:firstLine="720" w:firstLineChars="200"/>
    </w:pPr>
    <w:rPr>
      <w:szCs w:val="22"/>
    </w:rPr>
  </w:style>
  <w:style w:type="character" w:customStyle="1" w:styleId="28">
    <w:name w:val="fontstyle01"/>
    <w:qFormat/>
    <w:uiPriority w:val="0"/>
    <w:rPr>
      <w:rFonts w:hint="eastAsia" w:ascii="黑体" w:hAnsi="宋体" w:eastAsia="黑体" w:cs="黑体"/>
      <w:color w:val="000000"/>
      <w:sz w:val="22"/>
      <w:szCs w:val="22"/>
    </w:rPr>
  </w:style>
  <w:style w:type="paragraph" w:customStyle="1" w:styleId="29">
    <w:name w:val="p0"/>
    <w:basedOn w:val="1"/>
    <w:qFormat/>
    <w:uiPriority w:val="0"/>
    <w:pPr>
      <w:widowControl/>
    </w:pPr>
    <w:rPr>
      <w:szCs w:val="21"/>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5</Pages>
  <Words>2108</Words>
  <Characters>2328</Characters>
  <Lines>13</Lines>
  <Paragraphs>3</Paragraphs>
  <TotalTime>2</TotalTime>
  <ScaleCrop>false</ScaleCrop>
  <LinksUpToDate>false</LinksUpToDate>
  <CharactersWithSpaces>2328</CharactersWithSpaces>
  <Application>WPS Office_12.8.2.21176_F1E327BC-269C-435d-A152-05C5408002CA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2021-11-14T03:57:00Z</dcterms:created>
  <dc:creator>海霞</dc:creator>
  <cp:lastModifiedBy>xiashumao</cp:lastModifiedBy>
  <cp:lastPrinted>2025-06-13T23:02:00Z</cp:lastPrinted>
  <dcterms:modified xsi:type="dcterms:W3CDTF">2026-09-07T14:19:38Z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2052-12.8.2.21176</vt:lpwstr>
  </property>
  <property fmtid="{D5CDD505-2E9C-101B-9397-08002B2CF9AE}" pid="3" name="ICV">
    <vt:lpwstr>B7A25BCBB75D95477A579E6AB8ABFC27_43</vt:lpwstr>
  </property>
  <property fmtid="{D5CDD505-2E9C-101B-9397-08002B2CF9AE}" pid="4" name="KSOTemplateDocerSaveRecord">
    <vt:lpwstr>eyJoZGlkIjoiZThiMDYxMWRhZWM2MTUzZjFhYTI5MTE2MDI0Y2MxYjUiLCJ1c2VySWQiOiIzNDA2OTIyOTkifQ==</vt:lpwstr>
  </property>
</Properties>
</file>