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53F73">
      <w:pPr>
        <w:keepNext w:val="0"/>
        <w:keepLines w:val="0"/>
        <w:pageBreakBefore w:val="0"/>
        <w:widowControl/>
        <w:kinsoku/>
        <w:wordWrap/>
        <w:overflowPunct/>
        <w:topLinePunct w:val="0"/>
        <w:bidi w:val="0"/>
        <w:spacing w:line="600" w:lineRule="exact"/>
        <w:ind w:left="0" w:leftChars="0"/>
        <w:jc w:val="right"/>
        <w:textAlignment w:val="auto"/>
        <w:rPr>
          <w:rFonts w:hint="default" w:ascii="Times New Roman" w:hAnsi="Times New Roman" w:eastAsia="仿宋_GB2312" w:cs="Times New Roman"/>
          <w:color w:val="0000FF"/>
          <w:sz w:val="32"/>
          <w:szCs w:val="32"/>
          <w:highlight w:val="none"/>
          <w:lang w:val="en-US" w:eastAsia="zh-CN"/>
        </w:rPr>
      </w:pPr>
    </w:p>
    <w:p w14:paraId="7A68D6EF">
      <w:pPr>
        <w:keepNext w:val="0"/>
        <w:keepLines w:val="0"/>
        <w:pageBreakBefore w:val="0"/>
        <w:widowControl/>
        <w:kinsoku/>
        <w:wordWrap/>
        <w:overflowPunct/>
        <w:topLinePunct w:val="0"/>
        <w:bidi w:val="0"/>
        <w:spacing w:line="600" w:lineRule="exact"/>
        <w:ind w:left="0" w:leftChars="0"/>
        <w:jc w:val="right"/>
        <w:textAlignment w:val="auto"/>
        <w:rPr>
          <w:rFonts w:hint="default" w:ascii="Times New Roman" w:hAnsi="Times New Roman" w:eastAsia="仿宋_GB2312" w:cs="Times New Roman"/>
          <w:color w:val="0000FF"/>
          <w:sz w:val="32"/>
          <w:szCs w:val="32"/>
          <w:highlight w:val="none"/>
        </w:rPr>
      </w:pPr>
    </w:p>
    <w:p w14:paraId="3431241F">
      <w:pPr>
        <w:pStyle w:val="13"/>
        <w:keepNext w:val="0"/>
        <w:keepLines w:val="0"/>
        <w:pageBreakBefore w:val="0"/>
        <w:kinsoku/>
        <w:wordWrap/>
        <w:overflowPunct/>
        <w:topLinePunct w:val="0"/>
        <w:bidi w:val="0"/>
        <w:spacing w:line="600" w:lineRule="exact"/>
        <w:ind w:left="102" w:leftChars="0" w:hanging="78"/>
        <w:textAlignment w:val="auto"/>
        <w:rPr>
          <w:rFonts w:hint="default" w:ascii="Times New Roman" w:hAnsi="Times New Roman" w:eastAsia="仿宋_GB2312" w:cs="Times New Roman"/>
          <w:color w:val="auto"/>
          <w:sz w:val="32"/>
          <w:szCs w:val="32"/>
          <w:highlight w:val="none"/>
        </w:rPr>
      </w:pPr>
    </w:p>
    <w:p w14:paraId="0D2B06E3">
      <w:pPr>
        <w:keepNext w:val="0"/>
        <w:keepLines w:val="0"/>
        <w:pageBreakBefore w:val="0"/>
        <w:widowControl/>
        <w:kinsoku/>
        <w:wordWrap/>
        <w:overflowPunct/>
        <w:topLinePunct w:val="0"/>
        <w:bidi w:val="0"/>
        <w:spacing w:line="600" w:lineRule="exact"/>
        <w:ind w:left="0" w:leftChars="0"/>
        <w:jc w:val="right"/>
        <w:textAlignment w:val="auto"/>
        <w:rPr>
          <w:rFonts w:hint="default" w:ascii="Times New Roman" w:hAnsi="Times New Roman" w:eastAsia="仿宋_GB2312" w:cs="Times New Roman"/>
          <w:color w:val="auto"/>
          <w:sz w:val="32"/>
          <w:szCs w:val="32"/>
          <w:highlight w:val="none"/>
        </w:rPr>
      </w:pPr>
    </w:p>
    <w:p w14:paraId="20F960D5">
      <w:pPr>
        <w:pStyle w:val="44"/>
        <w:keepNext w:val="0"/>
        <w:keepLines w:val="0"/>
        <w:pageBreakBefore w:val="0"/>
        <w:kinsoku/>
        <w:wordWrap/>
        <w:overflowPunct/>
        <w:topLinePunct w:val="0"/>
        <w:bidi w:val="0"/>
        <w:spacing w:line="600" w:lineRule="exact"/>
        <w:ind w:left="0" w:leftChars="0"/>
        <w:jc w:val="right"/>
        <w:textAlignment w:val="auto"/>
        <w:rPr>
          <w:rFonts w:hint="default" w:ascii="Times New Roman" w:hAnsi="Times New Roman" w:eastAsia="仿宋_GB2312" w:cs="Times New Roman"/>
          <w:color w:val="auto"/>
          <w:sz w:val="32"/>
          <w:szCs w:val="32"/>
          <w:highlight w:val="none"/>
          <w:shd w:val="pct10" w:color="auto" w:fill="FFFFFF"/>
          <w:lang w:eastAsia="zh-CN"/>
        </w:rPr>
      </w:pPr>
      <w:r>
        <w:rPr>
          <w:rFonts w:hint="default" w:ascii="Times New Roman" w:hAnsi="Times New Roman" w:eastAsia="仿宋_GB2312" w:cs="Times New Roman"/>
          <w:color w:val="auto"/>
          <w:sz w:val="32"/>
          <w:szCs w:val="32"/>
          <w:highlight w:val="none"/>
          <w:shd w:val="clear" w:color="auto" w:fill="auto"/>
        </w:rPr>
        <w:t>本环建表字</w:t>
      </w:r>
      <w:r>
        <w:rPr>
          <w:rFonts w:hint="default" w:ascii="Times New Roman" w:hAnsi="Times New Roman" w:eastAsia="仿宋_GB2312" w:cs="Times New Roman"/>
          <w:color w:val="auto"/>
          <w:sz w:val="32"/>
          <w:szCs w:val="32"/>
          <w:highlight w:val="none"/>
          <w:shd w:val="clear" w:color="auto" w:fill="auto"/>
          <w:lang w:eastAsia="zh-CN"/>
        </w:rPr>
        <w:t>〔202</w:t>
      </w:r>
      <w:r>
        <w:rPr>
          <w:rFonts w:hint="default" w:ascii="Times New Roman" w:hAnsi="Times New Roman" w:eastAsia="仿宋_GB2312" w:cs="Times New Roman"/>
          <w:color w:val="auto"/>
          <w:sz w:val="32"/>
          <w:szCs w:val="32"/>
          <w:highlight w:val="none"/>
          <w:shd w:val="clear" w:color="auto" w:fill="auto"/>
          <w:lang w:val="en-US" w:eastAsia="zh-CN"/>
        </w:rPr>
        <w:t>6</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lang w:val="en-US" w:eastAsia="zh-CN"/>
        </w:rPr>
        <w:t>xx</w:t>
      </w:r>
      <w:r>
        <w:rPr>
          <w:rFonts w:hint="default" w:ascii="Times New Roman" w:hAnsi="Times New Roman" w:eastAsia="仿宋_GB2312" w:cs="Times New Roman"/>
          <w:color w:val="auto"/>
          <w:sz w:val="32"/>
          <w:szCs w:val="32"/>
          <w:highlight w:val="none"/>
          <w:shd w:val="clear" w:color="auto" w:fill="auto"/>
          <w:lang w:eastAsia="zh-CN"/>
        </w:rPr>
        <w:t>号</w:t>
      </w:r>
    </w:p>
    <w:p w14:paraId="3A2068E9">
      <w:pPr>
        <w:keepNext w:val="0"/>
        <w:keepLines w:val="0"/>
        <w:pageBreakBefore w:val="0"/>
        <w:kinsoku/>
        <w:wordWrap/>
        <w:overflowPunct/>
        <w:topLinePunct w:val="0"/>
        <w:bidi w:val="0"/>
        <w:spacing w:line="600" w:lineRule="exact"/>
        <w:ind w:left="0"/>
        <w:jc w:val="center"/>
        <w:textAlignment w:val="auto"/>
        <w:rPr>
          <w:rFonts w:hint="eastAsia" w:ascii="方正小标宋简体" w:hAnsi="方正小标宋简体" w:eastAsia="方正小标宋简体" w:cs="方正小标宋简体"/>
          <w:b w:val="0"/>
          <w:bCs w:val="0"/>
          <w:snapToGrid/>
          <w:color w:val="auto"/>
          <w:spacing w:val="0"/>
          <w:kern w:val="2"/>
          <w:sz w:val="44"/>
          <w:szCs w:val="44"/>
          <w:highlight w:val="none"/>
        </w:rPr>
      </w:pPr>
      <w:r>
        <w:rPr>
          <w:rFonts w:hint="eastAsia" w:ascii="方正小标宋简体" w:hAnsi="方正小标宋简体" w:eastAsia="方正小标宋简体" w:cs="方正小标宋简体"/>
          <w:b w:val="0"/>
          <w:bCs w:val="0"/>
          <w:snapToGrid/>
          <w:color w:val="auto"/>
          <w:spacing w:val="0"/>
          <w:kern w:val="2"/>
          <w:sz w:val="44"/>
          <w:szCs w:val="44"/>
          <w:highlight w:val="none"/>
        </w:rPr>
        <w:t>关于《</w:t>
      </w:r>
      <w:r>
        <w:rPr>
          <w:rFonts w:hint="eastAsia" w:ascii="方正小标宋简体" w:hAnsi="方正小标宋简体" w:eastAsia="方正小标宋简体" w:cs="方正小标宋简体"/>
          <w:b w:val="0"/>
          <w:bCs w:val="0"/>
          <w:color w:val="auto"/>
          <w:spacing w:val="11"/>
          <w:sz w:val="44"/>
          <w:szCs w:val="44"/>
          <w:highlight w:val="none"/>
          <w:lang w:val="en-US" w:eastAsia="zh-CN"/>
        </w:rPr>
        <w:t>本溪优洁洗涤服务有限公司生物质锅炉建设项目</w:t>
      </w:r>
      <w:r>
        <w:rPr>
          <w:rFonts w:hint="eastAsia" w:ascii="方正小标宋简体" w:hAnsi="方正小标宋简体" w:eastAsia="方正小标宋简体" w:cs="方正小标宋简体"/>
          <w:b w:val="0"/>
          <w:bCs w:val="0"/>
          <w:color w:val="auto"/>
          <w:spacing w:val="11"/>
          <w:sz w:val="44"/>
          <w:szCs w:val="44"/>
          <w:highlight w:val="none"/>
        </w:rPr>
        <w:t>环境影响报告表</w:t>
      </w:r>
      <w:r>
        <w:rPr>
          <w:rFonts w:hint="eastAsia" w:ascii="方正小标宋简体" w:hAnsi="方正小标宋简体" w:eastAsia="方正小标宋简体" w:cs="方正小标宋简体"/>
          <w:b w:val="0"/>
          <w:bCs w:val="0"/>
          <w:snapToGrid/>
          <w:color w:val="auto"/>
          <w:spacing w:val="0"/>
          <w:kern w:val="2"/>
          <w:sz w:val="44"/>
          <w:szCs w:val="44"/>
          <w:highlight w:val="none"/>
        </w:rPr>
        <w:t>》的批复</w:t>
      </w:r>
    </w:p>
    <w:p w14:paraId="18788B6C">
      <w:pPr>
        <w:keepNext w:val="0"/>
        <w:keepLines w:val="0"/>
        <w:pageBreakBefore w:val="0"/>
        <w:kinsoku/>
        <w:wordWrap/>
        <w:overflowPunct/>
        <w:topLinePunct w:val="0"/>
        <w:bidi w:val="0"/>
        <w:spacing w:line="600" w:lineRule="exact"/>
        <w:ind w:left="0"/>
        <w:jc w:val="center"/>
        <w:textAlignment w:val="auto"/>
        <w:rPr>
          <w:rFonts w:hint="default" w:ascii="Times New Roman" w:hAnsi="Times New Roman" w:eastAsia="仿宋_GB2312" w:cs="Times New Roman"/>
          <w:bCs w:val="0"/>
          <w:snapToGrid/>
          <w:color w:val="auto"/>
          <w:spacing w:val="0"/>
          <w:kern w:val="2"/>
          <w:sz w:val="32"/>
          <w:szCs w:val="32"/>
          <w:highlight w:val="none"/>
          <w:shd w:val="clear" w:color="auto" w:fill="auto"/>
          <w:lang w:val="en-US" w:eastAsia="zh-CN"/>
        </w:rPr>
      </w:pPr>
      <w:r>
        <w:rPr>
          <w:rFonts w:hint="default" w:ascii="Times New Roman" w:hAnsi="Times New Roman" w:eastAsia="仿宋_GB2312" w:cs="Times New Roman"/>
          <w:bCs w:val="0"/>
          <w:snapToGrid/>
          <w:color w:val="auto"/>
          <w:spacing w:val="0"/>
          <w:kern w:val="2"/>
          <w:sz w:val="32"/>
          <w:szCs w:val="32"/>
          <w:highlight w:val="none"/>
          <w:shd w:val="clear" w:color="auto" w:fill="auto"/>
          <w:lang w:val="en-US" w:eastAsia="zh-CN"/>
        </w:rPr>
        <w:t>(征求意见稿)</w:t>
      </w:r>
    </w:p>
    <w:p w14:paraId="613979DF">
      <w:pPr>
        <w:keepNext w:val="0"/>
        <w:keepLines w:val="0"/>
        <w:pageBreakBefore w:val="0"/>
        <w:kinsoku/>
        <w:wordWrap/>
        <w:overflowPunct/>
        <w:topLinePunct w:val="0"/>
        <w:bidi w:val="0"/>
        <w:spacing w:line="600" w:lineRule="exact"/>
        <w:ind w:left="0"/>
        <w:jc w:val="center"/>
        <w:textAlignment w:val="auto"/>
        <w:rPr>
          <w:rFonts w:hint="default" w:ascii="Times New Roman" w:hAnsi="Times New Roman" w:eastAsia="仿宋_GB2312" w:cs="Times New Roman"/>
          <w:bCs w:val="0"/>
          <w:snapToGrid/>
          <w:color w:val="auto"/>
          <w:spacing w:val="0"/>
          <w:kern w:val="2"/>
          <w:sz w:val="32"/>
          <w:szCs w:val="32"/>
          <w:highlight w:val="none"/>
          <w:shd w:val="clear" w:color="auto" w:fill="auto"/>
          <w:lang w:val="en-US" w:eastAsia="zh-CN"/>
        </w:rPr>
      </w:pPr>
      <w:bookmarkStart w:id="0" w:name="_GoBack"/>
      <w:bookmarkEnd w:id="0"/>
    </w:p>
    <w:p w14:paraId="671A24C5">
      <w:pPr>
        <w:keepNext w:val="0"/>
        <w:keepLines w:val="0"/>
        <w:pageBreakBefore w:val="0"/>
        <w:widowControl w:val="0"/>
        <w:kinsoku/>
        <w:wordWrap/>
        <w:overflowPunct/>
        <w:topLinePunct w:val="0"/>
        <w:autoSpaceDE/>
        <w:autoSpaceDN/>
        <w:bidi w:val="0"/>
        <w:adjustRightInd w:val="0"/>
        <w:snapToGrid w:val="0"/>
        <w:spacing w:line="600" w:lineRule="exact"/>
        <w:ind w:left="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Cs/>
          <w:color w:val="auto"/>
          <w:sz w:val="32"/>
          <w:szCs w:val="32"/>
          <w:highlight w:val="none"/>
          <w:lang w:eastAsia="zh-CN"/>
        </w:rPr>
        <w:t>本溪优洁洗涤服务有限公司</w:t>
      </w:r>
      <w:r>
        <w:rPr>
          <w:rFonts w:hint="default" w:ascii="Times New Roman" w:hAnsi="Times New Roman" w:eastAsia="仿宋_GB2312" w:cs="Times New Roman"/>
          <w:color w:val="auto"/>
          <w:sz w:val="32"/>
          <w:szCs w:val="32"/>
          <w:highlight w:val="none"/>
          <w:lang w:val="en-US" w:eastAsia="zh-CN"/>
        </w:rPr>
        <w:t>：</w:t>
      </w:r>
    </w:p>
    <w:p w14:paraId="5331BFB8">
      <w:pPr>
        <w:keepNext w:val="0"/>
        <w:keepLines w:val="0"/>
        <w:pageBreakBefore w:val="0"/>
        <w:kinsoku/>
        <w:wordWrap/>
        <w:overflowPunct/>
        <w:topLinePunct w:val="0"/>
        <w:bidi w:val="0"/>
        <w:spacing w:line="600" w:lineRule="exact"/>
        <w:ind w:firstLine="68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你公司报送的《本溪优洁洗涤服务有限公司生物质锅炉建设项目环境影响报告表》（以下简称“报告表”）已收悉。根据环评专家评审意见及技术评估报告结论，经我局2026年建设项目审查委员会</w:t>
      </w:r>
      <w:r>
        <w:rPr>
          <w:rFonts w:hint="default" w:ascii="Times New Roman" w:hAnsi="Times New Roman" w:eastAsia="仿宋_GB2312" w:cs="Times New Roman"/>
          <w:color w:val="auto"/>
          <w:sz w:val="32"/>
          <w:szCs w:val="32"/>
          <w:highlight w:val="none"/>
          <w:lang w:val="en-US" w:eastAsia="zh-CN"/>
        </w:rPr>
        <w:t>第五次</w:t>
      </w:r>
      <w:r>
        <w:rPr>
          <w:rFonts w:hint="default" w:ascii="Times New Roman" w:hAnsi="Times New Roman" w:eastAsia="仿宋_GB2312" w:cs="Times New Roman"/>
          <w:color w:val="auto"/>
          <w:sz w:val="32"/>
          <w:szCs w:val="32"/>
          <w:highlight w:val="none"/>
          <w:lang w:val="en-US" w:eastAsia="zh-CN"/>
        </w:rPr>
        <w:t>会议讨论同意，现批复如下：</w:t>
      </w:r>
    </w:p>
    <w:p w14:paraId="7F562221">
      <w:pPr>
        <w:keepNext w:val="0"/>
        <w:keepLines w:val="0"/>
        <w:pageBreakBefore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rPr>
      </w:pPr>
      <w:r>
        <w:rPr>
          <w:rFonts w:hint="default" w:ascii="Times New Roman" w:hAnsi="Times New Roman" w:eastAsia="仿宋_GB2312" w:cs="Times New Roman"/>
          <w:bCs w:val="0"/>
          <w:snapToGrid/>
          <w:color w:val="auto"/>
          <w:spacing w:val="0"/>
          <w:kern w:val="2"/>
          <w:sz w:val="32"/>
          <w:szCs w:val="32"/>
          <w:highlight w:val="none"/>
        </w:rPr>
        <w:t>一、</w:t>
      </w:r>
      <w:r>
        <w:rPr>
          <w:rFonts w:hint="default" w:ascii="Times New Roman" w:hAnsi="Times New Roman" w:eastAsia="仿宋_GB2312" w:cs="Times New Roman"/>
          <w:color w:val="auto"/>
          <w:sz w:val="32"/>
          <w:szCs w:val="32"/>
          <w:highlight w:val="none"/>
          <w:lang w:val="en-US" w:eastAsia="zh-CN"/>
        </w:rPr>
        <w:t>项目</w:t>
      </w:r>
      <w:r>
        <w:rPr>
          <w:rFonts w:hint="default" w:ascii="Times New Roman" w:hAnsi="Times New Roman" w:eastAsia="仿宋_GB2312" w:cs="Times New Roman"/>
          <w:bCs/>
          <w:color w:val="auto"/>
          <w:sz w:val="32"/>
          <w:szCs w:val="32"/>
          <w:highlight w:val="none"/>
        </w:rPr>
        <w:t>位于</w:t>
      </w:r>
      <w:r>
        <w:rPr>
          <w:rFonts w:hint="default" w:ascii="Times New Roman" w:hAnsi="Times New Roman" w:eastAsia="仿宋_GB2312" w:cs="Times New Roman"/>
          <w:color w:val="auto"/>
          <w:sz w:val="32"/>
          <w:szCs w:val="32"/>
          <w:highlight w:val="none"/>
          <w:lang w:eastAsia="zh-CN"/>
        </w:rPr>
        <w:t>辽宁省本溪市经济技术开发区香樟路6号</w:t>
      </w:r>
      <w:r>
        <w:rPr>
          <w:rFonts w:hint="default" w:ascii="Times New Roman" w:hAnsi="Times New Roman" w:eastAsia="仿宋_GB2312" w:cs="Times New Roman"/>
          <w:color w:val="auto"/>
          <w:sz w:val="32"/>
          <w:szCs w:val="32"/>
          <w:highlight w:val="none"/>
          <w:lang w:eastAsia="zh-CN"/>
        </w:rPr>
        <w:t>，总投资</w:t>
      </w:r>
      <w:r>
        <w:rPr>
          <w:rFonts w:hint="default" w:ascii="Times New Roman" w:hAnsi="Times New Roman" w:eastAsia="仿宋_GB2312" w:cs="Times New Roman"/>
          <w:color w:val="auto"/>
          <w:sz w:val="32"/>
          <w:szCs w:val="32"/>
          <w:highlight w:val="none"/>
          <w:lang w:eastAsia="zh-CN"/>
        </w:rPr>
        <w:t>为</w:t>
      </w:r>
      <w:r>
        <w:rPr>
          <w:rFonts w:hint="default" w:ascii="Times New Roman" w:hAnsi="Times New Roman" w:eastAsia="仿宋_GB2312" w:cs="Times New Roman"/>
          <w:color w:val="auto"/>
          <w:sz w:val="32"/>
          <w:szCs w:val="32"/>
          <w:highlight w:val="none"/>
          <w:lang w:val="en-US" w:eastAsia="zh-CN"/>
        </w:rPr>
        <w:t>25</w:t>
      </w:r>
      <w:r>
        <w:rPr>
          <w:rFonts w:hint="default" w:ascii="Times New Roman" w:hAnsi="Times New Roman" w:eastAsia="仿宋_GB2312" w:cs="Times New Roman"/>
          <w:color w:val="auto"/>
          <w:sz w:val="32"/>
          <w:szCs w:val="32"/>
          <w:highlight w:val="none"/>
          <w:lang w:eastAsia="zh-CN"/>
        </w:rPr>
        <w:t>万元，环保</w:t>
      </w:r>
      <w:r>
        <w:rPr>
          <w:rFonts w:hint="default" w:ascii="Times New Roman" w:hAnsi="Times New Roman" w:eastAsia="仿宋_GB2312" w:cs="Times New Roman"/>
          <w:color w:val="auto"/>
          <w:sz w:val="32"/>
          <w:szCs w:val="32"/>
          <w:highlight w:val="none"/>
          <w:lang w:val="en-US" w:eastAsia="zh-CN"/>
        </w:rPr>
        <w:t>投资9.8万</w:t>
      </w:r>
      <w:r>
        <w:rPr>
          <w:rFonts w:hint="default" w:ascii="Times New Roman" w:hAnsi="Times New Roman" w:eastAsia="仿宋_GB2312" w:cs="Times New Roman"/>
          <w:color w:val="auto"/>
          <w:sz w:val="32"/>
          <w:szCs w:val="32"/>
          <w:highlight w:val="none"/>
          <w:lang w:eastAsia="zh-CN"/>
        </w:rPr>
        <w:t>元，环保投资占比</w:t>
      </w:r>
      <w:r>
        <w:rPr>
          <w:rFonts w:hint="default" w:ascii="Times New Roman" w:hAnsi="Times New Roman" w:eastAsia="仿宋_GB2312" w:cs="Times New Roman"/>
          <w:color w:val="auto"/>
          <w:sz w:val="32"/>
          <w:szCs w:val="32"/>
          <w:highlight w:val="none"/>
          <w:lang w:val="en-US" w:eastAsia="zh-CN"/>
        </w:rPr>
        <w:t>39.2%。建设内容为利用现有闲置库房新建一台2.5t/h生物质</w:t>
      </w:r>
      <w:r>
        <w:rPr>
          <w:rFonts w:hint="default" w:ascii="Times New Roman" w:hAnsi="Times New Roman" w:eastAsia="仿宋_GB2312" w:cs="Times New Roman"/>
          <w:color w:val="auto"/>
          <w:sz w:val="32"/>
          <w:szCs w:val="32"/>
          <w:highlight w:val="none"/>
          <w:lang w:val="en-US" w:eastAsia="zh-CN"/>
        </w:rPr>
        <w:t>成型颗粒</w:t>
      </w:r>
      <w:r>
        <w:rPr>
          <w:rFonts w:hint="default" w:ascii="Times New Roman" w:hAnsi="Times New Roman" w:eastAsia="仿宋_GB2312" w:cs="Times New Roman"/>
          <w:color w:val="auto"/>
          <w:sz w:val="32"/>
          <w:szCs w:val="32"/>
          <w:highlight w:val="none"/>
          <w:lang w:val="en-US" w:eastAsia="zh-CN"/>
        </w:rPr>
        <w:t>蒸汽锅炉及配套设施，锅炉用于为现有洗涤服务提供蒸汽。</w:t>
      </w:r>
    </w:p>
    <w:p w14:paraId="7D753996">
      <w:pPr>
        <w:keepNext w:val="0"/>
        <w:keepLines w:val="0"/>
        <w:pageBreakBefore w:val="0"/>
        <w:widowControl w:val="0"/>
        <w:kinsoku/>
        <w:wordWrap/>
        <w:overflowPunct/>
        <w:topLinePunct w:val="0"/>
        <w:bidi w:val="0"/>
        <w:adjustRightInd w:val="0"/>
        <w:snapToGrid w:val="0"/>
        <w:spacing w:line="600" w:lineRule="exact"/>
        <w:ind w:left="0" w:leftChars="0" w:firstLine="680" w:firstLineChars="200"/>
        <w:textAlignment w:val="auto"/>
        <w:rPr>
          <w:rFonts w:hint="default" w:ascii="Times New Roman" w:hAnsi="Times New Roman" w:eastAsia="仿宋_GB2312" w:cs="Times New Roman"/>
          <w:color w:val="0000FF"/>
          <w:sz w:val="32"/>
          <w:szCs w:val="32"/>
          <w:highlight w:val="none"/>
          <w:lang w:val="en-US" w:eastAsia="zh-CN"/>
        </w:rPr>
      </w:pPr>
      <w:r>
        <w:rPr>
          <w:rFonts w:hint="default" w:ascii="Times New Roman" w:hAnsi="Times New Roman" w:eastAsia="仿宋_GB2312" w:cs="Times New Roman"/>
          <w:bCs/>
          <w:color w:val="auto"/>
          <w:sz w:val="32"/>
          <w:szCs w:val="32"/>
          <w:highlight w:val="none"/>
          <w:lang w:val="en-US" w:eastAsia="zh-CN"/>
        </w:rPr>
        <w:t>根据《产业结构调整指导目录》（2024年本），该项目不属于“鼓励类”、“限制类”和“淘汰类”项目，符合国家产业政策。在严格落实报告表和本批复提出的各项生态环境保护措施和环境风险防范措施后，从生态环境角度，同意环境影响报告表中所列建设项目地点、生产规模和环境保护措施进行建设</w:t>
      </w:r>
      <w:r>
        <w:rPr>
          <w:rFonts w:hint="default" w:ascii="Times New Roman" w:hAnsi="Times New Roman" w:eastAsia="仿宋_GB2312" w:cs="Times New Roman"/>
          <w:color w:val="auto"/>
          <w:sz w:val="32"/>
          <w:szCs w:val="32"/>
          <w:highlight w:val="none"/>
          <w:lang w:val="zh-TW" w:eastAsia="zh-CN"/>
        </w:rPr>
        <w:t>。</w:t>
      </w:r>
    </w:p>
    <w:p w14:paraId="4A38172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bCs w:val="0"/>
          <w:snapToGrid/>
          <w:color w:val="auto"/>
          <w:spacing w:val="0"/>
          <w:kern w:val="2"/>
          <w:sz w:val="32"/>
          <w:szCs w:val="32"/>
          <w:highlight w:val="none"/>
        </w:rPr>
      </w:pPr>
      <w:r>
        <w:rPr>
          <w:rFonts w:hint="default" w:ascii="Times New Roman" w:hAnsi="Times New Roman" w:eastAsia="仿宋_GB2312" w:cs="Times New Roman"/>
          <w:bCs w:val="0"/>
          <w:snapToGrid/>
          <w:color w:val="auto"/>
          <w:spacing w:val="0"/>
          <w:kern w:val="2"/>
          <w:sz w:val="32"/>
          <w:szCs w:val="32"/>
          <w:highlight w:val="none"/>
        </w:rPr>
        <w:t>二、项目建设应严格落实《报告表》提出的各项环境保护措施和风险防控措施，重点做好以下工作：</w:t>
      </w:r>
    </w:p>
    <w:p w14:paraId="44FFD93E">
      <w:pPr>
        <w:keepNext w:val="0"/>
        <w:keepLines w:val="0"/>
        <w:pageBreakBefore w:val="0"/>
        <w:widowControl w:val="0"/>
        <w:shd w:val="clear"/>
        <w:kinsoku/>
        <w:wordWrap/>
        <w:overflowPunct/>
        <w:topLinePunct w:val="0"/>
        <w:autoSpaceDE/>
        <w:autoSpaceDN/>
        <w:bidi w:val="0"/>
        <w:adjustRightInd w:val="0"/>
        <w:snapToGrid w:val="0"/>
        <w:spacing w:line="600" w:lineRule="exact"/>
        <w:ind w:firstLine="680" w:firstLineChars="200"/>
        <w:jc w:val="both"/>
        <w:textAlignment w:val="auto"/>
        <w:rPr>
          <w:rFonts w:hint="default" w:ascii="Times New Roman" w:hAnsi="Times New Roman" w:eastAsia="仿宋_GB2312" w:cs="Times New Roman"/>
          <w:b w:val="0"/>
          <w:bCs/>
          <w:color w:val="auto"/>
          <w:sz w:val="32"/>
          <w:szCs w:val="32"/>
          <w:highlight w:val="none"/>
          <w:lang w:val="en-US" w:eastAsia="zh-CN" w:bidi="ar"/>
        </w:rPr>
      </w:pPr>
      <w:r>
        <w:rPr>
          <w:rFonts w:hint="default" w:ascii="Times New Roman" w:hAnsi="Times New Roman" w:eastAsia="仿宋_GB2312" w:cs="Times New Roman"/>
          <w:b w:val="0"/>
          <w:bCs/>
          <w:color w:val="auto"/>
          <w:sz w:val="32"/>
          <w:szCs w:val="32"/>
          <w:highlight w:val="none"/>
          <w:lang w:val="en-US" w:eastAsia="zh-CN" w:bidi="ar"/>
        </w:rPr>
        <w:t>（一）严格落实施工期污染防治措施。施工期通过采取洒水抑尘、</w:t>
      </w:r>
      <w:r>
        <w:rPr>
          <w:rFonts w:hint="default" w:ascii="Times New Roman" w:hAnsi="Times New Roman" w:eastAsia="仿宋_GB2312" w:cs="Times New Roman"/>
          <w:b w:val="0"/>
          <w:bCs/>
          <w:color w:val="auto"/>
          <w:sz w:val="32"/>
          <w:szCs w:val="32"/>
          <w:highlight w:val="none"/>
          <w:lang w:val="en-US" w:eastAsia="zh-CN" w:bidi="ar"/>
        </w:rPr>
        <w:t>物料封闭储存</w:t>
      </w:r>
      <w:r>
        <w:rPr>
          <w:rFonts w:hint="default" w:ascii="Times New Roman" w:hAnsi="Times New Roman" w:eastAsia="仿宋_GB2312" w:cs="Times New Roman"/>
          <w:b w:val="0"/>
          <w:bCs/>
          <w:color w:val="auto"/>
          <w:sz w:val="32"/>
          <w:szCs w:val="32"/>
          <w:highlight w:val="none"/>
          <w:lang w:val="en-US" w:eastAsia="zh-CN" w:bidi="ar"/>
        </w:rPr>
        <w:t>、包装物及时清运等措施后，施工期扬尘排放浓度应满足《施工及堆料场地扬尘排放标准》(DB21/2642-2016)表1中城镇建成区的浓度限值要求；施工废水经沉淀池沉淀后回用于冲洗</w:t>
      </w:r>
      <w:r>
        <w:rPr>
          <w:rFonts w:hint="default" w:ascii="Times New Roman" w:hAnsi="Times New Roman" w:eastAsia="仿宋_GB2312" w:cs="Times New Roman"/>
          <w:b w:val="0"/>
          <w:bCs/>
          <w:color w:val="auto"/>
          <w:sz w:val="32"/>
          <w:szCs w:val="32"/>
          <w:highlight w:val="none"/>
          <w:lang w:val="en-US" w:eastAsia="zh-CN" w:bidi="ar"/>
        </w:rPr>
        <w:t>骨料</w:t>
      </w:r>
      <w:r>
        <w:rPr>
          <w:rFonts w:hint="default" w:ascii="Times New Roman" w:hAnsi="Times New Roman" w:eastAsia="仿宋_GB2312" w:cs="Times New Roman"/>
          <w:b w:val="0"/>
          <w:bCs/>
          <w:color w:val="auto"/>
          <w:sz w:val="32"/>
          <w:szCs w:val="32"/>
          <w:highlight w:val="none"/>
          <w:lang w:val="en-US" w:eastAsia="zh-CN" w:bidi="ar"/>
        </w:rPr>
        <w:t>、施工机械等，不外排，施工人员生活污水排入厂区内现有化粪池；施工期噪声通过选用低噪声设备、合理安排工作时间，夜间禁止施工后，施工厂界噪声应满足《建筑施工噪声排放标准》（GB12523-2025）相关限值要求；施工期产生的建筑垃圾清运至市政部门指定地点处理，施工人员生活垃圾收集后交由环卫部门统一处理。</w:t>
      </w:r>
    </w:p>
    <w:p w14:paraId="5685A86E">
      <w:pPr>
        <w:keepNext w:val="0"/>
        <w:keepLines w:val="0"/>
        <w:pageBreakBefore w:val="0"/>
        <w:widowControl/>
        <w:suppressLineNumbers w:val="0"/>
        <w:kinsoku/>
        <w:wordWrap/>
        <w:overflowPunct/>
        <w:topLinePunct w:val="0"/>
        <w:bidi w:val="0"/>
        <w:spacing w:line="600" w:lineRule="exact"/>
        <w:ind w:firstLine="640" w:firstLineChars="200"/>
        <w:jc w:val="both"/>
        <w:textAlignment w:val="auto"/>
        <w:rPr>
          <w:rFonts w:hint="default" w:ascii="Times New Roman" w:hAnsi="Times New Roman" w:eastAsia="仿宋_GB2312" w:cs="Times New Roman"/>
          <w:b w:val="0"/>
          <w:bCs/>
          <w:color w:val="auto"/>
          <w:spacing w:val="0"/>
          <w:sz w:val="32"/>
          <w:szCs w:val="32"/>
          <w:highlight w:val="none"/>
          <w:lang w:val="en-US" w:eastAsia="zh-CN"/>
        </w:rPr>
      </w:pPr>
      <w:r>
        <w:rPr>
          <w:rFonts w:hint="default" w:ascii="Times New Roman" w:hAnsi="Times New Roman" w:eastAsia="仿宋_GB2312" w:cs="Times New Roman"/>
          <w:bCs w:val="0"/>
          <w:snapToGrid/>
          <w:color w:val="auto"/>
          <w:spacing w:val="0"/>
          <w:kern w:val="2"/>
          <w:sz w:val="32"/>
          <w:szCs w:val="32"/>
          <w:highlight w:val="none"/>
          <w:lang w:val="en-US" w:eastAsia="zh-CN" w:bidi="ar-SA"/>
        </w:rPr>
        <w:t>（二）</w:t>
      </w:r>
      <w:r>
        <w:rPr>
          <w:rFonts w:hint="default" w:ascii="Times New Roman" w:hAnsi="Times New Roman" w:eastAsia="仿宋_GB2312" w:cs="Times New Roman"/>
          <w:b w:val="0"/>
          <w:bCs/>
          <w:color w:val="auto"/>
          <w:sz w:val="32"/>
          <w:szCs w:val="32"/>
          <w:highlight w:val="none"/>
          <w:lang w:eastAsia="zh-CN"/>
        </w:rPr>
        <w:t>严格落实大气污染防治措施。</w:t>
      </w:r>
      <w:r>
        <w:rPr>
          <w:rFonts w:hint="default" w:ascii="Times New Roman" w:hAnsi="Times New Roman" w:eastAsia="仿宋_GB2312" w:cs="Times New Roman"/>
          <w:bCs/>
          <w:snapToGrid w:val="0"/>
          <w:color w:val="auto"/>
          <w:spacing w:val="10"/>
          <w:sz w:val="32"/>
          <w:szCs w:val="32"/>
          <w:highlight w:val="none"/>
          <w:lang w:val="en-US" w:eastAsia="zh-CN" w:bidi="ar"/>
        </w:rPr>
        <w:t>运</w:t>
      </w:r>
      <w:r>
        <w:rPr>
          <w:rFonts w:hint="default" w:ascii="Times New Roman" w:hAnsi="Times New Roman" w:eastAsia="仿宋_GB2312" w:cs="Times New Roman"/>
          <w:bCs/>
          <w:snapToGrid w:val="0"/>
          <w:color w:val="auto"/>
          <w:spacing w:val="10"/>
          <w:kern w:val="0"/>
          <w:sz w:val="32"/>
          <w:szCs w:val="32"/>
          <w:highlight w:val="none"/>
          <w:lang w:val="en-US" w:eastAsia="zh-CN" w:bidi="ar"/>
        </w:rPr>
        <w:t>营</w:t>
      </w:r>
      <w:r>
        <w:rPr>
          <w:rFonts w:hint="default" w:ascii="Times New Roman" w:hAnsi="Times New Roman" w:eastAsia="仿宋_GB2312" w:cs="Times New Roman"/>
          <w:bCs/>
          <w:snapToGrid w:val="0"/>
          <w:color w:val="auto"/>
          <w:spacing w:val="10"/>
          <w:kern w:val="0"/>
          <w:sz w:val="32"/>
          <w:szCs w:val="32"/>
          <w:highlight w:val="none"/>
          <w:lang w:val="en-US" w:eastAsia="zh-CN" w:bidi="ar"/>
        </w:rPr>
        <w:t>期1台2.5t/h生物质</w:t>
      </w:r>
      <w:r>
        <w:rPr>
          <w:rFonts w:hint="default" w:ascii="Times New Roman" w:hAnsi="Times New Roman" w:eastAsia="仿宋_GB2312" w:cs="Times New Roman"/>
          <w:bCs/>
          <w:snapToGrid w:val="0"/>
          <w:color w:val="auto"/>
          <w:spacing w:val="10"/>
          <w:kern w:val="0"/>
          <w:sz w:val="32"/>
          <w:szCs w:val="32"/>
          <w:highlight w:val="none"/>
          <w:lang w:val="en-US" w:eastAsia="zh-CN" w:bidi="ar"/>
        </w:rPr>
        <w:t>成型颗粒</w:t>
      </w:r>
      <w:r>
        <w:rPr>
          <w:rFonts w:hint="default" w:ascii="Times New Roman" w:hAnsi="Times New Roman" w:eastAsia="仿宋_GB2312" w:cs="Times New Roman"/>
          <w:bCs/>
          <w:snapToGrid w:val="0"/>
          <w:color w:val="auto"/>
          <w:spacing w:val="10"/>
          <w:kern w:val="0"/>
          <w:sz w:val="32"/>
          <w:szCs w:val="32"/>
          <w:highlight w:val="none"/>
          <w:lang w:val="en-US" w:eastAsia="zh-CN" w:bidi="ar"/>
        </w:rPr>
        <w:t>蒸汽锅炉产生的废气经</w:t>
      </w:r>
      <w:r>
        <w:rPr>
          <w:rFonts w:hint="default" w:ascii="Times New Roman" w:hAnsi="Times New Roman" w:eastAsia="仿宋_GB2312" w:cs="Times New Roman"/>
          <w:color w:val="auto"/>
          <w:sz w:val="32"/>
          <w:szCs w:val="32"/>
          <w:highlight w:val="none"/>
          <w:lang w:val="en-US" w:eastAsia="zh-CN"/>
        </w:rPr>
        <w:t>低氮燃烧器+旋风+袋式除尘器（TA001）处理后，通过1根35m高烟囱（DA001）排放，锅炉烟气</w:t>
      </w:r>
      <w:r>
        <w:rPr>
          <w:rFonts w:hint="default" w:ascii="Times New Roman" w:hAnsi="Times New Roman" w:eastAsia="仿宋_GB2312" w:cs="Times New Roman"/>
          <w:b w:val="0"/>
          <w:bCs/>
          <w:snapToGrid w:val="0"/>
          <w:color w:val="auto"/>
          <w:spacing w:val="10"/>
          <w:kern w:val="0"/>
          <w:sz w:val="32"/>
          <w:szCs w:val="32"/>
          <w:highlight w:val="none"/>
          <w:lang w:val="en-US" w:eastAsia="zh-CN" w:bidi="ar"/>
        </w:rPr>
        <w:t>排放浓度应</w:t>
      </w:r>
      <w:r>
        <w:rPr>
          <w:rFonts w:hint="default" w:ascii="Times New Roman" w:hAnsi="Times New Roman" w:eastAsia="仿宋_GB2312" w:cs="Times New Roman"/>
          <w:color w:val="auto"/>
          <w:sz w:val="32"/>
          <w:szCs w:val="32"/>
          <w:highlight w:val="none"/>
          <w:lang w:val="en-US" w:eastAsia="zh-CN"/>
        </w:rPr>
        <w:t>满足《锅炉大气污染物排放标准》（GB13271-2014）中</w:t>
      </w:r>
      <w:r>
        <w:rPr>
          <w:rFonts w:hint="default" w:ascii="Times New Roman" w:hAnsi="Times New Roman" w:eastAsia="仿宋_GB2312" w:cs="Times New Roman"/>
          <w:color w:val="auto"/>
          <w:sz w:val="32"/>
          <w:szCs w:val="32"/>
          <w:highlight w:val="none"/>
          <w:lang w:val="en-US" w:eastAsia="zh-CN"/>
        </w:rPr>
        <w:t>表3燃煤锅炉特别排放限值要求</w:t>
      </w:r>
      <w:r>
        <w:rPr>
          <w:rFonts w:hint="default" w:ascii="Times New Roman" w:hAnsi="Times New Roman" w:eastAsia="仿宋_GB2312" w:cs="Times New Roman"/>
          <w:color w:val="auto"/>
          <w:sz w:val="32"/>
          <w:szCs w:val="32"/>
          <w:highlight w:val="none"/>
          <w:lang w:val="en-US" w:eastAsia="zh-CN"/>
        </w:rPr>
        <w:t>。项目锅炉、</w:t>
      </w:r>
      <w:r>
        <w:rPr>
          <w:rFonts w:hint="default" w:ascii="Times New Roman" w:hAnsi="Times New Roman" w:eastAsia="仿宋_GB2312" w:cs="Times New Roman"/>
          <w:bCs/>
          <w:color w:val="auto"/>
          <w:sz w:val="32"/>
          <w:szCs w:val="32"/>
          <w:highlight w:val="none"/>
          <w:lang w:val="en-US" w:eastAsia="zh-CN" w:bidi="ar"/>
        </w:rPr>
        <w:t>生物质成型颗粒堆存区</w:t>
      </w:r>
      <w:r>
        <w:rPr>
          <w:rFonts w:hint="default" w:ascii="Times New Roman" w:hAnsi="Times New Roman" w:eastAsia="仿宋_GB2312" w:cs="Times New Roman"/>
          <w:color w:val="auto"/>
          <w:sz w:val="32"/>
          <w:szCs w:val="32"/>
          <w:highlight w:val="none"/>
          <w:lang w:val="en-US" w:eastAsia="zh-CN"/>
        </w:rPr>
        <w:t>设置在封闭锅炉房内，</w:t>
      </w:r>
      <w:r>
        <w:rPr>
          <w:rFonts w:hint="default" w:ascii="Times New Roman" w:hAnsi="Times New Roman" w:eastAsia="仿宋_GB2312" w:cs="Times New Roman"/>
          <w:b w:val="0"/>
          <w:bCs/>
          <w:snapToGrid w:val="0"/>
          <w:color w:val="auto"/>
          <w:spacing w:val="10"/>
          <w:kern w:val="0"/>
          <w:sz w:val="32"/>
          <w:szCs w:val="32"/>
          <w:highlight w:val="none"/>
          <w:lang w:val="en-US" w:eastAsia="zh-CN" w:bidi="ar"/>
        </w:rPr>
        <w:t>厂界无组织颗粒物排放浓度应满足</w:t>
      </w:r>
      <w:r>
        <w:rPr>
          <w:rFonts w:hint="default" w:ascii="Times New Roman" w:hAnsi="Times New Roman" w:eastAsia="仿宋_GB2312" w:cs="Times New Roman"/>
          <w:bCs/>
          <w:color w:val="auto"/>
          <w:sz w:val="32"/>
          <w:szCs w:val="32"/>
          <w:highlight w:val="none"/>
          <w:lang w:val="en-US" w:eastAsia="zh-CN"/>
        </w:rPr>
        <w:t>《大气污染物综合排放标准》（GB16297-1996）表2中限值要求</w:t>
      </w:r>
      <w:r>
        <w:rPr>
          <w:rFonts w:hint="default" w:ascii="Times New Roman" w:hAnsi="Times New Roman" w:eastAsia="仿宋_GB2312" w:cs="Times New Roman"/>
          <w:bCs/>
          <w:snapToGrid w:val="0"/>
          <w:color w:val="auto"/>
          <w:spacing w:val="10"/>
          <w:kern w:val="0"/>
          <w:sz w:val="32"/>
          <w:szCs w:val="32"/>
          <w:highlight w:val="none"/>
          <w:lang w:val="en-US" w:eastAsia="zh-CN" w:bidi="ar"/>
        </w:rPr>
        <w:t>。</w:t>
      </w:r>
    </w:p>
    <w:p w14:paraId="3F77ED48">
      <w:pPr>
        <w:pStyle w:val="5"/>
        <w:keepNext w:val="0"/>
        <w:keepLines w:val="0"/>
        <w:pageBreakBefore w:val="0"/>
        <w:kinsoku/>
        <w:wordWrap/>
        <w:overflowPunct/>
        <w:topLinePunct w:val="0"/>
        <w:bidi w:val="0"/>
        <w:spacing w:line="600" w:lineRule="exact"/>
        <w:ind w:firstLine="640"/>
        <w:textAlignment w:val="auto"/>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bCs w:val="0"/>
          <w:snapToGrid/>
          <w:color w:val="auto"/>
          <w:spacing w:val="0"/>
          <w:kern w:val="2"/>
          <w:sz w:val="32"/>
          <w:szCs w:val="32"/>
          <w:highlight w:val="none"/>
          <w:lang w:val="en-US" w:eastAsia="zh-CN" w:bidi="ar-SA"/>
        </w:rPr>
        <w:t>（三）</w:t>
      </w:r>
      <w:r>
        <w:rPr>
          <w:rFonts w:hint="default" w:ascii="Times New Roman" w:hAnsi="Times New Roman" w:eastAsia="仿宋_GB2312" w:cs="Times New Roman"/>
          <w:b w:val="0"/>
          <w:bCs/>
          <w:iCs w:val="0"/>
          <w:snapToGrid w:val="0"/>
          <w:color w:val="auto"/>
          <w:spacing w:val="10"/>
          <w:sz w:val="32"/>
          <w:szCs w:val="32"/>
          <w:highlight w:val="none"/>
          <w:lang w:val="en-US" w:eastAsia="zh-CN" w:bidi="ar-SA"/>
        </w:rPr>
        <w:t>严格落实水污染防治措施。</w:t>
      </w:r>
      <w:r>
        <w:rPr>
          <w:rFonts w:hint="default" w:ascii="Times New Roman" w:hAnsi="Times New Roman" w:eastAsia="仿宋_GB2312" w:cs="Times New Roman"/>
          <w:bCs/>
          <w:snapToGrid w:val="0"/>
          <w:color w:val="auto"/>
          <w:spacing w:val="10"/>
          <w:sz w:val="32"/>
          <w:szCs w:val="32"/>
          <w:highlight w:val="none"/>
          <w:lang w:val="en-US" w:eastAsia="zh-CN" w:bidi="ar"/>
        </w:rPr>
        <w:t>运营期</w:t>
      </w:r>
      <w:r>
        <w:rPr>
          <w:rFonts w:hint="default" w:ascii="Times New Roman" w:hAnsi="Times New Roman" w:eastAsia="仿宋_GB2312" w:cs="Times New Roman"/>
          <w:bCs/>
          <w:color w:val="auto"/>
          <w:sz w:val="32"/>
          <w:szCs w:val="32"/>
          <w:highlight w:val="none"/>
          <w:lang w:val="en-US" w:eastAsia="zh-CN"/>
        </w:rPr>
        <w:t>产生的生活污水及锅炉废水经市政污水管网排入</w:t>
      </w:r>
      <w:r>
        <w:rPr>
          <w:rFonts w:hint="default" w:ascii="Times New Roman" w:hAnsi="Times New Roman" w:eastAsia="仿宋_GB2312" w:cs="Times New Roman"/>
          <w:bCs/>
          <w:color w:val="auto"/>
          <w:sz w:val="32"/>
          <w:szCs w:val="32"/>
          <w:highlight w:val="none"/>
          <w:lang w:val="en-US" w:eastAsia="zh-CN"/>
        </w:rPr>
        <w:t>沈溪新城污水处理厂</w:t>
      </w:r>
      <w:r>
        <w:rPr>
          <w:rFonts w:hint="default" w:ascii="Times New Roman" w:hAnsi="Times New Roman" w:eastAsia="仿宋_GB2312" w:cs="Times New Roman"/>
          <w:bCs/>
          <w:color w:val="auto"/>
          <w:sz w:val="32"/>
          <w:szCs w:val="32"/>
          <w:highlight w:val="none"/>
          <w:lang w:val="en-US" w:eastAsia="zh-CN"/>
        </w:rPr>
        <w:t>统一处理，废水排放浓度应满足《辽宁污水综合排放标准》（DB21/1627-2008）中表2中限值要求。</w:t>
      </w:r>
    </w:p>
    <w:p w14:paraId="02D7EFDE">
      <w:pPr>
        <w:pStyle w:val="5"/>
        <w:keepNext w:val="0"/>
        <w:keepLines w:val="0"/>
        <w:pageBreakBefore w:val="0"/>
        <w:kinsoku/>
        <w:wordWrap/>
        <w:overflowPunct/>
        <w:topLinePunct w:val="0"/>
        <w:bidi w:val="0"/>
        <w:spacing w:line="600" w:lineRule="exact"/>
        <w:ind w:firstLine="640"/>
        <w:textAlignment w:val="auto"/>
        <w:rPr>
          <w:rFonts w:hint="default" w:ascii="Times New Roman" w:hAnsi="Times New Roman" w:eastAsia="仿宋_GB2312" w:cs="Times New Roman"/>
          <w:bCs/>
          <w:color w:val="auto"/>
          <w:sz w:val="32"/>
          <w:szCs w:val="32"/>
          <w:highlight w:val="none"/>
          <w:lang w:val="en-US" w:eastAsia="zh-CN" w:bidi="ar"/>
        </w:rPr>
      </w:pPr>
      <w:r>
        <w:rPr>
          <w:rFonts w:hint="default" w:ascii="Times New Roman" w:hAnsi="Times New Roman" w:eastAsia="仿宋_GB2312" w:cs="Times New Roman"/>
          <w:bCs w:val="0"/>
          <w:snapToGrid/>
          <w:color w:val="auto"/>
          <w:spacing w:val="0"/>
          <w:kern w:val="2"/>
          <w:sz w:val="32"/>
          <w:szCs w:val="32"/>
          <w:highlight w:val="none"/>
          <w:lang w:val="zh-TW" w:eastAsia="zh-CN" w:bidi="ar-SA"/>
        </w:rPr>
        <w:t>（</w:t>
      </w:r>
      <w:r>
        <w:rPr>
          <w:rFonts w:hint="default" w:ascii="Times New Roman" w:hAnsi="Times New Roman" w:eastAsia="仿宋_GB2312" w:cs="Times New Roman"/>
          <w:bCs w:val="0"/>
          <w:snapToGrid/>
          <w:color w:val="auto"/>
          <w:spacing w:val="0"/>
          <w:kern w:val="2"/>
          <w:sz w:val="32"/>
          <w:szCs w:val="32"/>
          <w:highlight w:val="none"/>
          <w:lang w:val="en-US" w:eastAsia="zh-CN" w:bidi="ar-SA"/>
        </w:rPr>
        <w:t>四</w:t>
      </w:r>
      <w:r>
        <w:rPr>
          <w:rFonts w:hint="default" w:ascii="Times New Roman" w:hAnsi="Times New Roman" w:eastAsia="仿宋_GB2312" w:cs="Times New Roman"/>
          <w:bCs w:val="0"/>
          <w:snapToGrid/>
          <w:color w:val="auto"/>
          <w:spacing w:val="0"/>
          <w:kern w:val="2"/>
          <w:sz w:val="32"/>
          <w:szCs w:val="32"/>
          <w:highlight w:val="none"/>
          <w:lang w:val="zh-TW" w:eastAsia="zh-CN" w:bidi="ar-SA"/>
        </w:rPr>
        <w:t>）</w:t>
      </w:r>
      <w:r>
        <w:rPr>
          <w:rFonts w:hint="default" w:ascii="Times New Roman" w:hAnsi="Times New Roman" w:eastAsia="仿宋_GB2312" w:cs="Times New Roman"/>
          <w:b w:val="0"/>
          <w:bCs/>
          <w:iCs w:val="0"/>
          <w:snapToGrid w:val="0"/>
          <w:color w:val="auto"/>
          <w:spacing w:val="10"/>
          <w:sz w:val="32"/>
          <w:szCs w:val="32"/>
          <w:highlight w:val="none"/>
          <w:lang w:val="zh-TW" w:eastAsia="zh-CN" w:bidi="ar-SA"/>
        </w:rPr>
        <w:t>严格落实噪声污染防治措施</w:t>
      </w:r>
      <w:r>
        <w:rPr>
          <w:rFonts w:hint="default" w:ascii="Times New Roman" w:hAnsi="Times New Roman" w:eastAsia="仿宋_GB2312" w:cs="Times New Roman"/>
          <w:b w:val="0"/>
          <w:bCs/>
          <w:iCs w:val="0"/>
          <w:snapToGrid w:val="0"/>
          <w:color w:val="auto"/>
          <w:spacing w:val="10"/>
          <w:sz w:val="32"/>
          <w:szCs w:val="32"/>
          <w:highlight w:val="none"/>
          <w:lang w:val="en-US" w:eastAsia="zh-CN" w:bidi="ar-SA"/>
        </w:rPr>
        <w:t>。</w:t>
      </w:r>
      <w:r>
        <w:rPr>
          <w:rFonts w:hint="default" w:ascii="Times New Roman" w:hAnsi="Times New Roman" w:eastAsia="仿宋_GB2312" w:cs="Times New Roman"/>
          <w:bCs/>
          <w:color w:val="auto"/>
          <w:sz w:val="32"/>
          <w:szCs w:val="32"/>
          <w:highlight w:val="none"/>
          <w:lang w:val="en-US" w:eastAsia="zh-CN" w:bidi="ar"/>
        </w:rPr>
        <w:t>运营期</w:t>
      </w:r>
      <w:r>
        <w:rPr>
          <w:rFonts w:hint="default" w:ascii="Times New Roman" w:hAnsi="Times New Roman" w:eastAsia="仿宋_GB2312" w:cs="Times New Roman"/>
          <w:bCs/>
          <w:color w:val="auto"/>
          <w:sz w:val="32"/>
          <w:szCs w:val="32"/>
          <w:highlight w:val="none"/>
          <w:lang w:val="zh-CN" w:eastAsia="zh-CN" w:bidi="ar"/>
        </w:rPr>
        <w:t>噪声</w:t>
      </w:r>
      <w:r>
        <w:rPr>
          <w:rFonts w:hint="default" w:ascii="Times New Roman" w:hAnsi="Times New Roman" w:eastAsia="仿宋_GB2312" w:cs="Times New Roman"/>
          <w:bCs/>
          <w:color w:val="auto"/>
          <w:sz w:val="32"/>
          <w:szCs w:val="32"/>
          <w:highlight w:val="none"/>
          <w:lang w:val="en-US" w:eastAsia="zh-CN" w:bidi="ar"/>
        </w:rPr>
        <w:t>通过软连接、减振、厂房隔声处理后</w:t>
      </w:r>
      <w:r>
        <w:rPr>
          <w:rFonts w:hint="default" w:ascii="Times New Roman" w:hAnsi="Times New Roman" w:eastAsia="仿宋_GB2312" w:cs="Times New Roman"/>
          <w:bCs/>
          <w:color w:val="auto"/>
          <w:sz w:val="32"/>
          <w:szCs w:val="32"/>
          <w:highlight w:val="none"/>
          <w:lang w:val="zh-CN" w:eastAsia="zh-CN" w:bidi="ar"/>
        </w:rPr>
        <w:t>，厂界噪声</w:t>
      </w:r>
      <w:r>
        <w:rPr>
          <w:rFonts w:hint="default" w:ascii="Times New Roman" w:hAnsi="Times New Roman" w:eastAsia="仿宋_GB2312" w:cs="Times New Roman"/>
          <w:bCs/>
          <w:color w:val="auto"/>
          <w:sz w:val="32"/>
          <w:szCs w:val="32"/>
          <w:highlight w:val="none"/>
          <w:lang w:val="en-US" w:eastAsia="zh-CN" w:bidi="ar"/>
        </w:rPr>
        <w:t>应满足</w:t>
      </w:r>
      <w:r>
        <w:rPr>
          <w:rFonts w:hint="default" w:ascii="Times New Roman" w:hAnsi="Times New Roman" w:eastAsia="仿宋_GB2312" w:cs="Times New Roman"/>
          <w:bCs/>
          <w:color w:val="auto"/>
          <w:sz w:val="32"/>
          <w:szCs w:val="32"/>
          <w:highlight w:val="none"/>
          <w:lang w:val="zh-CN" w:eastAsia="zh-CN" w:bidi="ar"/>
        </w:rPr>
        <w:t>《工业企业厂界环境噪声排放标准》（GB12348-2008）</w:t>
      </w:r>
      <w:r>
        <w:rPr>
          <w:rFonts w:hint="default" w:ascii="Times New Roman" w:hAnsi="Times New Roman" w:eastAsia="仿宋_GB2312" w:cs="Times New Roman"/>
          <w:bCs/>
          <w:color w:val="auto"/>
          <w:sz w:val="32"/>
          <w:szCs w:val="32"/>
          <w:highlight w:val="none"/>
          <w:lang w:val="en-US" w:eastAsia="zh-CN" w:bidi="ar"/>
        </w:rPr>
        <w:t>3类</w:t>
      </w:r>
      <w:r>
        <w:rPr>
          <w:rFonts w:hint="default" w:ascii="Times New Roman" w:hAnsi="Times New Roman" w:eastAsia="仿宋_GB2312" w:cs="Times New Roman"/>
          <w:bCs/>
          <w:color w:val="auto"/>
          <w:sz w:val="32"/>
          <w:szCs w:val="32"/>
          <w:highlight w:val="none"/>
          <w:lang w:val="zh-CN" w:eastAsia="zh-CN" w:bidi="ar"/>
        </w:rPr>
        <w:t>标准要求。</w:t>
      </w:r>
    </w:p>
    <w:p w14:paraId="63F38653">
      <w:pPr>
        <w:keepNext w:val="0"/>
        <w:keepLines w:val="0"/>
        <w:pageBreakBefore w:val="0"/>
        <w:tabs>
          <w:tab w:val="left" w:pos="5812"/>
        </w:tabs>
        <w:kinsoku/>
        <w:wordWrap/>
        <w:overflowPunct/>
        <w:topLinePunct w:val="0"/>
        <w:bidi w:val="0"/>
        <w:adjustRightInd w:val="0"/>
        <w:snapToGrid w:val="0"/>
        <w:spacing w:line="600" w:lineRule="exact"/>
        <w:ind w:firstLine="640" w:firstLineChars="200"/>
        <w:jc w:val="left"/>
        <w:textAlignment w:val="auto"/>
        <w:rPr>
          <w:rFonts w:hint="default" w:ascii="Times New Roman" w:hAnsi="Times New Roman" w:eastAsia="仿宋_GB2312" w:cs="Times New Roman"/>
          <w:bCs/>
          <w:color w:val="auto"/>
          <w:sz w:val="32"/>
          <w:szCs w:val="32"/>
          <w:highlight w:val="none"/>
          <w:lang w:val="en-US" w:eastAsia="zh-CN" w:bidi="ar"/>
        </w:rPr>
      </w:pPr>
      <w:r>
        <w:rPr>
          <w:rFonts w:hint="default" w:ascii="Times New Roman" w:hAnsi="Times New Roman" w:eastAsia="仿宋_GB2312" w:cs="Times New Roman"/>
          <w:bCs w:val="0"/>
          <w:snapToGrid/>
          <w:color w:val="auto"/>
          <w:spacing w:val="0"/>
          <w:kern w:val="2"/>
          <w:sz w:val="32"/>
          <w:szCs w:val="32"/>
          <w:highlight w:val="none"/>
          <w:lang w:val="zh-TW" w:eastAsia="zh-CN" w:bidi="ar-SA"/>
        </w:rPr>
        <w:t>（</w:t>
      </w:r>
      <w:r>
        <w:rPr>
          <w:rFonts w:hint="default" w:ascii="Times New Roman" w:hAnsi="Times New Roman" w:eastAsia="仿宋_GB2312" w:cs="Times New Roman"/>
          <w:bCs w:val="0"/>
          <w:snapToGrid/>
          <w:color w:val="auto"/>
          <w:spacing w:val="0"/>
          <w:kern w:val="2"/>
          <w:sz w:val="32"/>
          <w:szCs w:val="32"/>
          <w:highlight w:val="none"/>
          <w:lang w:val="en-US" w:eastAsia="zh-CN" w:bidi="ar-SA"/>
        </w:rPr>
        <w:t>五</w:t>
      </w:r>
      <w:r>
        <w:rPr>
          <w:rFonts w:hint="default" w:ascii="Times New Roman" w:hAnsi="Times New Roman" w:eastAsia="仿宋_GB2312" w:cs="Times New Roman"/>
          <w:bCs w:val="0"/>
          <w:snapToGrid/>
          <w:color w:val="auto"/>
          <w:spacing w:val="0"/>
          <w:kern w:val="2"/>
          <w:sz w:val="32"/>
          <w:szCs w:val="32"/>
          <w:highlight w:val="none"/>
          <w:lang w:val="zh-TW" w:eastAsia="zh-CN" w:bidi="ar-SA"/>
        </w:rPr>
        <w:t>）严格落实固体废物污染防控措施。</w:t>
      </w:r>
      <w:r>
        <w:rPr>
          <w:rFonts w:hint="default" w:ascii="Times New Roman" w:hAnsi="Times New Roman" w:eastAsia="仿宋_GB2312" w:cs="Times New Roman"/>
          <w:bCs/>
          <w:color w:val="auto"/>
          <w:sz w:val="32"/>
          <w:szCs w:val="32"/>
          <w:highlight w:val="none"/>
          <w:lang w:val="en-US" w:eastAsia="zh-CN" w:bidi="ar"/>
        </w:rPr>
        <w:t>运营期</w:t>
      </w:r>
      <w:r>
        <w:rPr>
          <w:rFonts w:hint="default" w:ascii="Times New Roman" w:hAnsi="Times New Roman" w:eastAsia="仿宋_GB2312" w:cs="Times New Roman"/>
          <w:bCs/>
          <w:color w:val="auto"/>
          <w:sz w:val="32"/>
          <w:szCs w:val="32"/>
          <w:highlight w:val="none"/>
          <w:lang w:val="en-US" w:eastAsia="zh-CN"/>
        </w:rPr>
        <w:t>除尘器收集的粉尘、炉渣、废包装袋统一收集后暂存于一般工业固体废物暂存间（28m</w:t>
      </w:r>
      <w:r>
        <w:rPr>
          <w:rFonts w:hint="default" w:ascii="Times New Roman" w:hAnsi="Times New Roman" w:eastAsia="仿宋_GB2312" w:cs="Times New Roman"/>
          <w:bCs/>
          <w:color w:val="auto"/>
          <w:sz w:val="32"/>
          <w:szCs w:val="32"/>
          <w:highlight w:val="none"/>
          <w:vertAlign w:val="superscript"/>
          <w:lang w:val="en-US" w:eastAsia="zh-CN"/>
        </w:rPr>
        <w:t>2</w:t>
      </w:r>
      <w:r>
        <w:rPr>
          <w:rFonts w:hint="default" w:ascii="Times New Roman" w:hAnsi="Times New Roman" w:eastAsia="仿宋_GB2312" w:cs="Times New Roman"/>
          <w:bCs/>
          <w:color w:val="auto"/>
          <w:sz w:val="32"/>
          <w:szCs w:val="32"/>
          <w:highlight w:val="none"/>
          <w:lang w:val="en-US" w:eastAsia="zh-CN"/>
        </w:rPr>
        <w:t>）定期外售，废布袋、废离子交换树脂由厂商更换后回收处置，</w:t>
      </w:r>
      <w:r>
        <w:rPr>
          <w:rFonts w:hint="default" w:ascii="Times New Roman" w:hAnsi="Times New Roman" w:eastAsia="仿宋_GB2312" w:cs="Times New Roman"/>
          <w:bCs/>
          <w:color w:val="auto"/>
          <w:sz w:val="32"/>
          <w:szCs w:val="32"/>
          <w:highlight w:val="none"/>
          <w:lang w:val="en-US" w:eastAsia="zh-CN" w:bidi="ar"/>
        </w:rPr>
        <w:t>一般固体废物应满足《一般工业固体废物贮存和填埋污染控制标准》（GB18599-2020）相应标准要求。</w:t>
      </w:r>
      <w:r>
        <w:rPr>
          <w:rFonts w:hint="default" w:ascii="Times New Roman" w:hAnsi="Times New Roman" w:eastAsia="仿宋_GB2312" w:cs="Times New Roman"/>
          <w:bCs/>
          <w:snapToGrid w:val="0"/>
          <w:color w:val="auto"/>
          <w:spacing w:val="10"/>
          <w:sz w:val="32"/>
          <w:szCs w:val="32"/>
          <w:highlight w:val="none"/>
          <w:lang w:val="en-US" w:eastAsia="zh-CN" w:bidi="ar-SA"/>
        </w:rPr>
        <w:t>生活垃圾统一收集后由环卫部门清运处理。</w:t>
      </w:r>
    </w:p>
    <w:p w14:paraId="56908010">
      <w:pPr>
        <w:pStyle w:val="14"/>
        <w:keepNext w:val="0"/>
        <w:keepLines w:val="0"/>
        <w:pageBreakBefore w:val="0"/>
        <w:widowControl w:val="0"/>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仿宋_GB2312" w:cs="Times New Roman"/>
          <w:bCs/>
          <w:color w:val="auto"/>
          <w:sz w:val="32"/>
          <w:szCs w:val="32"/>
          <w:highlight w:val="none"/>
          <w:lang w:val="en-US" w:eastAsia="zh-CN" w:bidi="ar"/>
        </w:rPr>
      </w:pPr>
      <w:r>
        <w:rPr>
          <w:rFonts w:hint="default" w:ascii="Times New Roman" w:hAnsi="Times New Roman" w:eastAsia="仿宋_GB2312" w:cs="Times New Roman"/>
          <w:bCs w:val="0"/>
          <w:snapToGrid/>
          <w:color w:val="auto"/>
          <w:spacing w:val="0"/>
          <w:kern w:val="2"/>
          <w:sz w:val="32"/>
          <w:szCs w:val="32"/>
          <w:highlight w:val="none"/>
          <w:lang w:val="en-US" w:eastAsia="zh-CN" w:bidi="ar-SA"/>
        </w:rPr>
        <w:t>（</w:t>
      </w:r>
      <w:r>
        <w:rPr>
          <w:rFonts w:hint="default" w:ascii="Times New Roman" w:hAnsi="Times New Roman" w:eastAsia="仿宋_GB2312" w:cs="Times New Roman"/>
          <w:b w:val="0"/>
          <w:bCs/>
          <w:iCs w:val="0"/>
          <w:snapToGrid w:val="0"/>
          <w:color w:val="auto"/>
          <w:spacing w:val="10"/>
          <w:sz w:val="32"/>
          <w:szCs w:val="32"/>
          <w:highlight w:val="none"/>
          <w:lang w:val="en-US" w:eastAsia="zh-CN" w:bidi="ar-SA"/>
        </w:rPr>
        <w:t>六</w:t>
      </w:r>
      <w:r>
        <w:rPr>
          <w:rFonts w:hint="default" w:ascii="Times New Roman" w:hAnsi="Times New Roman" w:eastAsia="仿宋_GB2312" w:cs="Times New Roman"/>
          <w:bCs w:val="0"/>
          <w:snapToGrid/>
          <w:color w:val="auto"/>
          <w:spacing w:val="0"/>
          <w:kern w:val="2"/>
          <w:sz w:val="32"/>
          <w:szCs w:val="32"/>
          <w:highlight w:val="none"/>
          <w:lang w:val="en-US" w:eastAsia="zh-CN" w:bidi="ar-SA"/>
        </w:rPr>
        <w:t>）</w:t>
      </w:r>
      <w:r>
        <w:rPr>
          <w:rFonts w:hint="default" w:ascii="Times New Roman" w:hAnsi="Times New Roman" w:eastAsia="仿宋_GB2312" w:cs="Times New Roman"/>
          <w:b w:val="0"/>
          <w:bCs/>
          <w:iCs w:val="0"/>
          <w:snapToGrid w:val="0"/>
          <w:color w:val="auto"/>
          <w:spacing w:val="10"/>
          <w:sz w:val="32"/>
          <w:szCs w:val="32"/>
          <w:highlight w:val="none"/>
          <w:lang w:val="zh-TW" w:eastAsia="zh-CN" w:bidi="ar-SA"/>
        </w:rPr>
        <w:t>加强土壤及地下水环境管理。</w:t>
      </w:r>
      <w:r>
        <w:rPr>
          <w:rFonts w:hint="default" w:ascii="Times New Roman" w:hAnsi="Times New Roman" w:eastAsia="仿宋_GB2312" w:cs="Times New Roman"/>
          <w:bCs/>
          <w:color w:val="auto"/>
          <w:sz w:val="32"/>
          <w:szCs w:val="32"/>
          <w:highlight w:val="none"/>
          <w:lang w:val="en-US" w:eastAsia="zh-CN" w:bidi="ar"/>
        </w:rPr>
        <w:t>锅炉房整体</w:t>
      </w:r>
      <w:r>
        <w:rPr>
          <w:rFonts w:hint="default" w:ascii="Times New Roman" w:hAnsi="Times New Roman" w:eastAsia="仿宋_GB2312" w:cs="Times New Roman"/>
          <w:color w:val="auto"/>
          <w:sz w:val="32"/>
          <w:szCs w:val="32"/>
          <w:highlight w:val="none"/>
          <w:lang w:val="en-US" w:eastAsia="zh-CN" w:bidi="ar"/>
        </w:rPr>
        <w:t>作为</w:t>
      </w:r>
      <w:r>
        <w:rPr>
          <w:rFonts w:hint="default" w:ascii="Times New Roman" w:hAnsi="Times New Roman" w:eastAsia="仿宋_GB2312" w:cs="Times New Roman"/>
          <w:bCs/>
          <w:snapToGrid w:val="0"/>
          <w:color w:val="auto"/>
          <w:spacing w:val="10"/>
          <w:kern w:val="0"/>
          <w:sz w:val="32"/>
          <w:szCs w:val="32"/>
          <w:highlight w:val="none"/>
          <w:lang w:val="en-US" w:eastAsia="zh-CN" w:bidi="ar"/>
        </w:rPr>
        <w:t>一般防渗</w:t>
      </w:r>
      <w:r>
        <w:rPr>
          <w:rFonts w:hint="default" w:ascii="Times New Roman" w:hAnsi="Times New Roman" w:eastAsia="仿宋_GB2312" w:cs="Times New Roman"/>
          <w:color w:val="auto"/>
          <w:sz w:val="32"/>
          <w:szCs w:val="32"/>
          <w:highlight w:val="none"/>
          <w:lang w:val="en-US" w:eastAsia="zh-CN" w:bidi="ar"/>
        </w:rPr>
        <w:t>区</w:t>
      </w:r>
      <w:r>
        <w:rPr>
          <w:rFonts w:hint="default" w:ascii="Times New Roman" w:hAnsi="Times New Roman" w:eastAsia="仿宋_GB2312" w:cs="Times New Roman"/>
          <w:bCs/>
          <w:color w:val="auto"/>
          <w:sz w:val="32"/>
          <w:szCs w:val="32"/>
          <w:highlight w:val="none"/>
          <w:lang w:val="en-US" w:eastAsia="zh-CN" w:bidi="ar"/>
        </w:rPr>
        <w:t>（</w:t>
      </w:r>
      <w:r>
        <w:rPr>
          <w:rFonts w:hint="default" w:ascii="Times New Roman" w:hAnsi="Times New Roman" w:eastAsia="仿宋_GB2312" w:cs="Times New Roman"/>
          <w:bCs/>
          <w:color w:val="auto"/>
          <w:sz w:val="32"/>
          <w:szCs w:val="32"/>
          <w:highlight w:val="none"/>
          <w:lang w:val="zh-CN" w:bidi="ar"/>
        </w:rPr>
        <w:t>Mb≥</w:t>
      </w:r>
      <w:r>
        <w:rPr>
          <w:rFonts w:hint="default" w:ascii="Times New Roman" w:hAnsi="Times New Roman" w:eastAsia="仿宋_GB2312" w:cs="Times New Roman"/>
          <w:bCs/>
          <w:color w:val="auto"/>
          <w:sz w:val="32"/>
          <w:szCs w:val="32"/>
          <w:highlight w:val="none"/>
          <w:lang w:val="en-US" w:eastAsia="zh-CN" w:bidi="ar"/>
        </w:rPr>
        <w:t>1.5</w:t>
      </w:r>
      <w:r>
        <w:rPr>
          <w:rFonts w:hint="default" w:ascii="Times New Roman" w:hAnsi="Times New Roman" w:eastAsia="仿宋_GB2312" w:cs="Times New Roman"/>
          <w:bCs/>
          <w:color w:val="auto"/>
          <w:sz w:val="32"/>
          <w:szCs w:val="32"/>
          <w:highlight w:val="none"/>
          <w:lang w:val="zh-CN" w:bidi="ar"/>
        </w:rPr>
        <w:t>m，K≤1×10</w:t>
      </w:r>
      <w:r>
        <w:rPr>
          <w:rFonts w:hint="default" w:ascii="Times New Roman" w:hAnsi="Times New Roman" w:eastAsia="仿宋_GB2312" w:cs="Times New Roman"/>
          <w:bCs/>
          <w:color w:val="auto"/>
          <w:sz w:val="32"/>
          <w:szCs w:val="32"/>
          <w:highlight w:val="none"/>
          <w:vertAlign w:val="superscript"/>
          <w:lang w:val="zh-CN" w:bidi="ar"/>
        </w:rPr>
        <w:t>-7</w:t>
      </w:r>
      <w:r>
        <w:rPr>
          <w:rFonts w:hint="default" w:ascii="Times New Roman" w:hAnsi="Times New Roman" w:eastAsia="仿宋_GB2312" w:cs="Times New Roman"/>
          <w:bCs/>
          <w:color w:val="auto"/>
          <w:sz w:val="32"/>
          <w:szCs w:val="32"/>
          <w:highlight w:val="none"/>
          <w:lang w:val="zh-CN" w:bidi="ar"/>
        </w:rPr>
        <w:t>cm/s</w:t>
      </w:r>
      <w:r>
        <w:rPr>
          <w:rFonts w:hint="default" w:ascii="Times New Roman" w:hAnsi="Times New Roman" w:eastAsia="仿宋_GB2312" w:cs="Times New Roman"/>
          <w:bCs/>
          <w:color w:val="auto"/>
          <w:sz w:val="32"/>
          <w:szCs w:val="32"/>
          <w:highlight w:val="none"/>
          <w:lang w:val="en-US" w:eastAsia="zh-CN" w:bidi="ar"/>
        </w:rPr>
        <w:t>），其他区域简单防渗。</w:t>
      </w:r>
    </w:p>
    <w:p w14:paraId="4BACCE3F">
      <w:pPr>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8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rPr>
        <w:t>你公司应落实生态环境保护主体责</w:t>
      </w:r>
      <w:r>
        <w:rPr>
          <w:rFonts w:hint="default" w:ascii="Times New Roman" w:hAnsi="Times New Roman" w:eastAsia="仿宋_GB2312" w:cs="Times New Roman"/>
          <w:color w:val="auto"/>
          <w:sz w:val="32"/>
          <w:szCs w:val="32"/>
          <w:highlight w:val="none"/>
          <w:shd w:val="clear"/>
        </w:rPr>
        <w:t>任，严格执行排污许可制度</w:t>
      </w:r>
      <w:r>
        <w:rPr>
          <w:rFonts w:hint="default" w:ascii="Times New Roman" w:hAnsi="Times New Roman" w:eastAsia="仿宋_GB2312" w:cs="Times New Roman"/>
          <w:color w:val="auto"/>
          <w:sz w:val="32"/>
          <w:szCs w:val="32"/>
          <w:highlight w:val="none"/>
          <w:shd w:val="clear"/>
          <w:lang w:val="en-US" w:eastAsia="zh-CN"/>
        </w:rPr>
        <w:t>和总量控制制度</w:t>
      </w:r>
      <w:r>
        <w:rPr>
          <w:rFonts w:hint="default" w:ascii="Times New Roman" w:hAnsi="Times New Roman" w:eastAsia="仿宋_GB2312" w:cs="Times New Roman"/>
          <w:color w:val="auto"/>
          <w:sz w:val="32"/>
          <w:szCs w:val="32"/>
          <w:highlight w:val="none"/>
          <w:shd w:val="clear"/>
        </w:rPr>
        <w:t>。建立企业内部生态环境管理机构和体系，明确人员、职责和制度，</w:t>
      </w:r>
      <w:r>
        <w:rPr>
          <w:rFonts w:hint="default" w:ascii="Times New Roman" w:hAnsi="Times New Roman" w:eastAsia="仿宋_GB2312" w:cs="Times New Roman"/>
          <w:color w:val="auto"/>
          <w:sz w:val="32"/>
          <w:szCs w:val="32"/>
          <w:highlight w:val="none"/>
        </w:rPr>
        <w:t>加强生态环境管理，推进各项生态环境保护措施落实。按照相关法律法规和技术标准规范要求，开展环保设备设施安全风险辨识评估和隐患排查治理，落实安全生产各项责任</w:t>
      </w:r>
      <w:r>
        <w:rPr>
          <w:rFonts w:hint="default" w:ascii="Times New Roman" w:hAnsi="Times New Roman" w:eastAsia="仿宋_GB2312" w:cs="Times New Roman"/>
          <w:color w:val="auto"/>
          <w:sz w:val="32"/>
          <w:szCs w:val="32"/>
          <w:highlight w:val="none"/>
          <w:lang w:val="en-US" w:eastAsia="zh-CN"/>
        </w:rPr>
        <w:t>制度</w:t>
      </w:r>
      <w:r>
        <w:rPr>
          <w:rFonts w:hint="default" w:ascii="Times New Roman" w:hAnsi="Times New Roman" w:eastAsia="仿宋_GB2312" w:cs="Times New Roman"/>
          <w:color w:val="auto"/>
          <w:sz w:val="32"/>
          <w:szCs w:val="32"/>
          <w:highlight w:val="none"/>
        </w:rPr>
        <w:t>。项</w:t>
      </w:r>
      <w:r>
        <w:rPr>
          <w:rFonts w:hint="default" w:ascii="Times New Roman" w:hAnsi="Times New Roman" w:eastAsia="仿宋_GB2312" w:cs="Times New Roman"/>
          <w:color w:val="auto"/>
          <w:sz w:val="32"/>
          <w:szCs w:val="32"/>
          <w:highlight w:val="none"/>
        </w:rPr>
        <w:t>目建设必须严格执行配套的环境保护设施与主体工程，同时设计、同时施工、同时投产使用的环境保护“三同时”制度，落实各项环境保护措施以及环境保护设施投资</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bCs w:val="0"/>
          <w:snapToGrid/>
          <w:color w:val="auto"/>
          <w:spacing w:val="0"/>
          <w:kern w:val="2"/>
          <w:sz w:val="32"/>
          <w:szCs w:val="32"/>
          <w:highlight w:val="none"/>
        </w:rPr>
        <w:t>项目竣工后，须按规定程序实施竣工环境保护验收，并向社会进行公示</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shd w:val="clear" w:color="auto" w:fill="auto"/>
          <w:lang w:val="en-US" w:eastAsia="zh-CN"/>
        </w:rPr>
        <w:t>配合当地政府及有关部门对公众进行必要的解释和说明，取得公众对工程建设的理解和支持。本项目引发的生态环境信访问题，由建设单位负责妥善解决</w:t>
      </w:r>
      <w:r>
        <w:rPr>
          <w:rFonts w:hint="default" w:ascii="Times New Roman" w:hAnsi="Times New Roman" w:eastAsia="仿宋_GB2312" w:cs="Times New Roman"/>
          <w:color w:val="auto"/>
          <w:sz w:val="32"/>
          <w:szCs w:val="32"/>
          <w:highlight w:val="none"/>
          <w:lang w:val="en-US" w:eastAsia="zh-CN"/>
        </w:rPr>
        <w:t>。</w:t>
      </w:r>
    </w:p>
    <w:p w14:paraId="3E74A627">
      <w:pPr>
        <w:pStyle w:val="47"/>
        <w:keepNext w:val="0"/>
        <w:keepLines w:val="0"/>
        <w:pageBreakBefore w:val="0"/>
        <w:kinsoku/>
        <w:wordWrap/>
        <w:overflowPunct/>
        <w:topLinePunct w:val="0"/>
        <w:bidi w:val="0"/>
        <w:snapToGrid/>
        <w:spacing w:line="600" w:lineRule="exact"/>
        <w:ind w:left="0" w:leftChars="0" w:firstLine="640"/>
        <w:jc w:val="both"/>
        <w:textAlignment w:val="auto"/>
        <w:rPr>
          <w:rFonts w:hint="default" w:ascii="Times New Roman" w:hAnsi="Times New Roman" w:eastAsia="仿宋_GB2312" w:cs="Times New Roman"/>
          <w:color w:val="auto"/>
          <w:spacing w:val="0"/>
          <w:kern w:val="2"/>
          <w:sz w:val="32"/>
          <w:szCs w:val="32"/>
          <w:highlight w:val="none"/>
          <w:lang w:val="en-US"/>
        </w:rPr>
      </w:pPr>
      <w:r>
        <w:rPr>
          <w:rFonts w:hint="default" w:ascii="Times New Roman" w:hAnsi="Times New Roman" w:eastAsia="仿宋_GB2312" w:cs="Times New Roman"/>
          <w:color w:val="auto"/>
          <w:spacing w:val="0"/>
          <w:kern w:val="2"/>
          <w:sz w:val="32"/>
          <w:szCs w:val="32"/>
          <w:highlight w:val="none"/>
          <w:lang w:val="en-US" w:eastAsia="zh-CN"/>
        </w:rPr>
        <w:t>四</w:t>
      </w:r>
      <w:r>
        <w:rPr>
          <w:rFonts w:hint="default" w:ascii="Times New Roman" w:hAnsi="Times New Roman" w:eastAsia="仿宋_GB2312" w:cs="Times New Roman"/>
          <w:color w:val="auto"/>
          <w:spacing w:val="0"/>
          <w:kern w:val="2"/>
          <w:sz w:val="32"/>
          <w:szCs w:val="32"/>
          <w:highlight w:val="none"/>
          <w:lang w:val="en-US"/>
        </w:rPr>
        <w:t>、环境影响报告表批准后，该项目的性质、规模、地点、生产工艺或者污染防治措施发生重大变动，且可能导致环境影响显著变化</w:t>
      </w:r>
      <w:r>
        <w:rPr>
          <w:rFonts w:hint="default" w:ascii="Times New Roman" w:hAnsi="Times New Roman" w:eastAsia="仿宋_GB2312" w:cs="Times New Roman"/>
          <w:color w:val="auto"/>
          <w:spacing w:val="0"/>
          <w:kern w:val="2"/>
          <w:sz w:val="32"/>
          <w:szCs w:val="32"/>
          <w:highlight w:val="none"/>
          <w:lang w:val="en-US" w:eastAsia="zh-CN"/>
        </w:rPr>
        <w:t>(</w:t>
      </w:r>
      <w:r>
        <w:rPr>
          <w:rFonts w:hint="default" w:ascii="Times New Roman" w:hAnsi="Times New Roman" w:eastAsia="仿宋_GB2312" w:cs="Times New Roman"/>
          <w:color w:val="auto"/>
          <w:spacing w:val="0"/>
          <w:kern w:val="2"/>
          <w:sz w:val="32"/>
          <w:szCs w:val="32"/>
          <w:highlight w:val="none"/>
          <w:lang w:val="en-US"/>
        </w:rPr>
        <w:t>特别是不利环境影响加重</w:t>
      </w:r>
      <w:r>
        <w:rPr>
          <w:rFonts w:hint="default" w:ascii="Times New Roman" w:hAnsi="Times New Roman" w:eastAsia="仿宋_GB2312" w:cs="Times New Roman"/>
          <w:color w:val="auto"/>
          <w:spacing w:val="0"/>
          <w:kern w:val="2"/>
          <w:sz w:val="32"/>
          <w:szCs w:val="32"/>
          <w:highlight w:val="none"/>
          <w:lang w:val="en-US" w:eastAsia="zh-CN"/>
        </w:rPr>
        <w:t>)</w:t>
      </w:r>
      <w:r>
        <w:rPr>
          <w:rFonts w:hint="default" w:ascii="Times New Roman" w:hAnsi="Times New Roman" w:eastAsia="仿宋_GB2312" w:cs="Times New Roman"/>
          <w:color w:val="auto"/>
          <w:spacing w:val="0"/>
          <w:kern w:val="2"/>
          <w:sz w:val="32"/>
          <w:szCs w:val="32"/>
          <w:highlight w:val="none"/>
          <w:lang w:val="en-US"/>
        </w:rPr>
        <w:t>，应当重新报批该项目环境影响文件。</w:t>
      </w:r>
    </w:p>
    <w:p w14:paraId="5B9355DB">
      <w:pPr>
        <w:pStyle w:val="47"/>
        <w:keepNext w:val="0"/>
        <w:keepLines w:val="0"/>
        <w:pageBreakBefore w:val="0"/>
        <w:kinsoku/>
        <w:wordWrap/>
        <w:overflowPunct/>
        <w:topLinePunct w:val="0"/>
        <w:bidi w:val="0"/>
        <w:snapToGrid/>
        <w:spacing w:line="600" w:lineRule="exact"/>
        <w:ind w:left="0" w:leftChars="0" w:firstLine="640"/>
        <w:jc w:val="both"/>
        <w:textAlignment w:val="auto"/>
        <w:rPr>
          <w:rFonts w:hint="default" w:ascii="Times New Roman" w:hAnsi="Times New Roman" w:eastAsia="仿宋_GB2312" w:cs="Times New Roman"/>
          <w:color w:val="auto"/>
          <w:spacing w:val="0"/>
          <w:kern w:val="2"/>
          <w:sz w:val="32"/>
          <w:szCs w:val="32"/>
          <w:highlight w:val="none"/>
          <w:lang w:val="en-US"/>
        </w:rPr>
      </w:pPr>
      <w:r>
        <w:rPr>
          <w:rFonts w:hint="default" w:ascii="Times New Roman" w:hAnsi="Times New Roman" w:eastAsia="仿宋_GB2312" w:cs="Times New Roman"/>
          <w:color w:val="auto"/>
          <w:spacing w:val="0"/>
          <w:kern w:val="2"/>
          <w:sz w:val="32"/>
          <w:szCs w:val="32"/>
          <w:highlight w:val="none"/>
          <w:lang w:val="en-US" w:eastAsia="zh-CN"/>
        </w:rPr>
        <w:t>五</w:t>
      </w:r>
      <w:r>
        <w:rPr>
          <w:rFonts w:hint="default" w:ascii="Times New Roman" w:hAnsi="Times New Roman" w:eastAsia="仿宋_GB2312" w:cs="Times New Roman"/>
          <w:color w:val="auto"/>
          <w:spacing w:val="0"/>
          <w:kern w:val="2"/>
          <w:sz w:val="32"/>
          <w:szCs w:val="32"/>
          <w:highlight w:val="none"/>
          <w:lang w:val="en-US"/>
        </w:rPr>
        <w:t>、项目日常环境监督检查工作由本溪市生态环境保护综合行政执法队负责。</w:t>
      </w:r>
    </w:p>
    <w:p w14:paraId="092B7697">
      <w:pPr>
        <w:keepNext w:val="0"/>
        <w:keepLines w:val="0"/>
        <w:pageBreakBefore w:val="0"/>
        <w:kinsoku/>
        <w:wordWrap/>
        <w:overflowPunct/>
        <w:topLinePunct w:val="0"/>
        <w:bidi w:val="0"/>
        <w:spacing w:line="600" w:lineRule="exact"/>
        <w:ind w:left="0" w:leftChars="0" w:firstLine="2397" w:firstLineChars="705"/>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本溪市生态环境局</w:t>
      </w:r>
    </w:p>
    <w:p w14:paraId="27AD4EA9">
      <w:pPr>
        <w:keepNext w:val="0"/>
        <w:keepLines w:val="0"/>
        <w:pageBreakBefore w:val="0"/>
        <w:kinsoku/>
        <w:wordWrap/>
        <w:overflowPunct/>
        <w:topLinePunct w:val="0"/>
        <w:bidi w:val="0"/>
        <w:spacing w:line="600" w:lineRule="exact"/>
        <w:ind w:left="0" w:leftChars="0" w:firstLine="2397" w:firstLineChars="705"/>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日</w:t>
      </w:r>
    </w:p>
    <w:p w14:paraId="5D43AAF5">
      <w:pPr>
        <w:keepNext w:val="0"/>
        <w:keepLines w:val="0"/>
        <w:pageBreakBefore w:val="0"/>
        <w:kinsoku/>
        <w:wordWrap/>
        <w:overflowPunct/>
        <w:topLinePunct w:val="0"/>
        <w:bidi w:val="0"/>
        <w:snapToGrid w:val="0"/>
        <w:spacing w:line="600" w:lineRule="exact"/>
        <w:ind w:left="0" w:leftChars="0" w:firstLine="680" w:firstLineChars="200"/>
        <w:textAlignment w:val="auto"/>
        <w:rPr>
          <w:rFonts w:hint="default" w:ascii="Times New Roman" w:hAnsi="Times New Roman" w:eastAsia="仿宋_GB2312" w:cs="Times New Roman"/>
          <w:color w:val="auto"/>
          <w:sz w:val="32"/>
          <w:szCs w:val="32"/>
          <w:highlight w:val="none"/>
          <w:lang w:eastAsia="zh-CN"/>
        </w:rPr>
      </w:pPr>
    </w:p>
    <w:p w14:paraId="4EDD136E">
      <w:pPr>
        <w:keepNext w:val="0"/>
        <w:keepLines w:val="0"/>
        <w:pageBreakBefore w:val="0"/>
        <w:kinsoku/>
        <w:wordWrap/>
        <w:overflowPunct/>
        <w:topLinePunct w:val="0"/>
        <w:bidi w:val="0"/>
        <w:snapToGrid w:val="0"/>
        <w:spacing w:line="600" w:lineRule="exact"/>
        <w:ind w:left="0" w:leftChars="0" w:firstLine="68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此件公开发布</w:t>
      </w:r>
      <w:r>
        <w:rPr>
          <w:rFonts w:hint="default" w:ascii="Times New Roman" w:hAnsi="Times New Roman" w:eastAsia="仿宋_GB2312" w:cs="Times New Roman"/>
          <w:color w:val="auto"/>
          <w:sz w:val="32"/>
          <w:szCs w:val="32"/>
          <w:highlight w:val="none"/>
          <w:lang w:eastAsia="zh-CN"/>
        </w:rPr>
        <w:t>)</w:t>
      </w:r>
    </w:p>
    <w:p w14:paraId="5CB62EEC">
      <w:pPr>
        <w:keepNext w:val="0"/>
        <w:keepLines w:val="0"/>
        <w:pageBreakBefore w:val="0"/>
        <w:kinsoku/>
        <w:wordWrap/>
        <w:overflowPunct/>
        <w:topLinePunct w:val="0"/>
        <w:bidi w:val="0"/>
        <w:snapToGrid w:val="0"/>
        <w:spacing w:line="600" w:lineRule="exact"/>
        <w:ind w:left="1105" w:leftChars="0" w:hanging="1105" w:hangingChars="325"/>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抄送：本溪市生态环境保护综合执法队、</w:t>
      </w:r>
      <w:r>
        <w:rPr>
          <w:rFonts w:hint="default" w:ascii="Times New Roman" w:hAnsi="Times New Roman" w:eastAsia="仿宋_GB2312" w:cs="Times New Roman"/>
          <w:color w:val="auto"/>
          <w:sz w:val="32"/>
          <w:szCs w:val="32"/>
          <w:highlight w:val="none"/>
          <w:lang w:val="en-US" w:eastAsia="zh-CN"/>
        </w:rPr>
        <w:t>本溪市生态环境服务中心、辽宁博泽环保科技有限公司</w:t>
      </w:r>
    </w:p>
    <w:sectPr>
      <w:footerReference r:id="rId4" w:type="first"/>
      <w:footerReference r:id="rId3" w:type="default"/>
      <w:pgSz w:w="11907" w:h="16840"/>
      <w:pgMar w:top="1440" w:right="1797" w:bottom="1600" w:left="1797" w:header="851" w:footer="1134" w:gutter="0"/>
      <w:cols w:space="720" w:num="1"/>
      <w:titlePg/>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iconfont">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国标仿宋-GB/T 2312">
    <w:panose1 w:val="02000500000000000000"/>
    <w:charset w:val="86"/>
    <w:family w:val="auto"/>
    <w:pitch w:val="default"/>
    <w:sig w:usb0="800002AF" w:usb1="08476CF8"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FE0B6">
    <w:pPr>
      <w:pStyle w:val="1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2BC53E">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42BC53E">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FD23F">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CD086">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8ACD086">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673577"/>
    <w:multiLevelType w:val="singleLevel"/>
    <w:tmpl w:val="23673577"/>
    <w:lvl w:ilvl="0" w:tentative="0">
      <w:start w:val="1"/>
      <w:numFmt w:val="decimal"/>
      <w:pStyle w:val="37"/>
      <w:suff w:val="nothing"/>
      <w:lvlText w:val="%1、"/>
      <w:lvlJc w:val="left"/>
      <w:pPr>
        <w:ind w:left="-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iMDYxMWRhZWM2MTUzZjFhYTI5MTE2MDI0Y2MxYjUifQ=="/>
  </w:docVars>
  <w:rsids>
    <w:rsidRoot w:val="1796435B"/>
    <w:rsid w:val="0005596D"/>
    <w:rsid w:val="000A2AA9"/>
    <w:rsid w:val="000F014B"/>
    <w:rsid w:val="00100A44"/>
    <w:rsid w:val="00121F33"/>
    <w:rsid w:val="00122184"/>
    <w:rsid w:val="0013671F"/>
    <w:rsid w:val="00141B63"/>
    <w:rsid w:val="00143087"/>
    <w:rsid w:val="00152DB0"/>
    <w:rsid w:val="00235743"/>
    <w:rsid w:val="0025557F"/>
    <w:rsid w:val="002721FC"/>
    <w:rsid w:val="002D24CC"/>
    <w:rsid w:val="00302E94"/>
    <w:rsid w:val="0039054A"/>
    <w:rsid w:val="00434940"/>
    <w:rsid w:val="00490130"/>
    <w:rsid w:val="004A07F0"/>
    <w:rsid w:val="004C1A30"/>
    <w:rsid w:val="00536F00"/>
    <w:rsid w:val="005C2A7D"/>
    <w:rsid w:val="005C4520"/>
    <w:rsid w:val="00693428"/>
    <w:rsid w:val="006B153E"/>
    <w:rsid w:val="006E6370"/>
    <w:rsid w:val="008629CF"/>
    <w:rsid w:val="008C7379"/>
    <w:rsid w:val="008D3533"/>
    <w:rsid w:val="008D5548"/>
    <w:rsid w:val="00932262"/>
    <w:rsid w:val="00972023"/>
    <w:rsid w:val="009F517A"/>
    <w:rsid w:val="00A00642"/>
    <w:rsid w:val="00B513B6"/>
    <w:rsid w:val="00B5544D"/>
    <w:rsid w:val="00B82B10"/>
    <w:rsid w:val="00BF399E"/>
    <w:rsid w:val="00C212FE"/>
    <w:rsid w:val="00C27F5D"/>
    <w:rsid w:val="00C65306"/>
    <w:rsid w:val="00CE1454"/>
    <w:rsid w:val="00D04025"/>
    <w:rsid w:val="00D10361"/>
    <w:rsid w:val="00D21309"/>
    <w:rsid w:val="00E14769"/>
    <w:rsid w:val="00E72B00"/>
    <w:rsid w:val="00E919E4"/>
    <w:rsid w:val="00EA7BA7"/>
    <w:rsid w:val="00EB577A"/>
    <w:rsid w:val="00ED515A"/>
    <w:rsid w:val="00F77E0F"/>
    <w:rsid w:val="00FE4037"/>
    <w:rsid w:val="0147701E"/>
    <w:rsid w:val="018402E7"/>
    <w:rsid w:val="018502B5"/>
    <w:rsid w:val="01A43D0E"/>
    <w:rsid w:val="01CF659B"/>
    <w:rsid w:val="01F307D6"/>
    <w:rsid w:val="02112401"/>
    <w:rsid w:val="023326FA"/>
    <w:rsid w:val="02435241"/>
    <w:rsid w:val="02EB73E1"/>
    <w:rsid w:val="02EC2C31"/>
    <w:rsid w:val="03033A8D"/>
    <w:rsid w:val="032E7B21"/>
    <w:rsid w:val="03575C81"/>
    <w:rsid w:val="035C69EB"/>
    <w:rsid w:val="03873BFC"/>
    <w:rsid w:val="03E357C3"/>
    <w:rsid w:val="03F874F3"/>
    <w:rsid w:val="043C314F"/>
    <w:rsid w:val="04BC7BAF"/>
    <w:rsid w:val="04D50624"/>
    <w:rsid w:val="04DB5D92"/>
    <w:rsid w:val="059C2AE4"/>
    <w:rsid w:val="05AC7BBD"/>
    <w:rsid w:val="05D35D57"/>
    <w:rsid w:val="06993BF9"/>
    <w:rsid w:val="06FF24E5"/>
    <w:rsid w:val="0712113E"/>
    <w:rsid w:val="07131B19"/>
    <w:rsid w:val="076063E3"/>
    <w:rsid w:val="076B441E"/>
    <w:rsid w:val="07DC6755"/>
    <w:rsid w:val="082C33D6"/>
    <w:rsid w:val="083D4AEB"/>
    <w:rsid w:val="08583943"/>
    <w:rsid w:val="089963F4"/>
    <w:rsid w:val="08B72D2E"/>
    <w:rsid w:val="08BC4217"/>
    <w:rsid w:val="08F301FA"/>
    <w:rsid w:val="096A420C"/>
    <w:rsid w:val="09F41F94"/>
    <w:rsid w:val="0A051C47"/>
    <w:rsid w:val="0A723503"/>
    <w:rsid w:val="0A876E4C"/>
    <w:rsid w:val="0AA02A98"/>
    <w:rsid w:val="0AE636BA"/>
    <w:rsid w:val="0B362BA8"/>
    <w:rsid w:val="0B675FDC"/>
    <w:rsid w:val="0B8B050F"/>
    <w:rsid w:val="0BC775EF"/>
    <w:rsid w:val="0BF73EE3"/>
    <w:rsid w:val="0C27068D"/>
    <w:rsid w:val="0C4548C9"/>
    <w:rsid w:val="0C5E598A"/>
    <w:rsid w:val="0D1129FD"/>
    <w:rsid w:val="0D3D0438"/>
    <w:rsid w:val="0D892E79"/>
    <w:rsid w:val="0D8D297C"/>
    <w:rsid w:val="0D9723D9"/>
    <w:rsid w:val="0DA40281"/>
    <w:rsid w:val="0DBA0D48"/>
    <w:rsid w:val="0DE54E65"/>
    <w:rsid w:val="0E2D331F"/>
    <w:rsid w:val="0E3A4191"/>
    <w:rsid w:val="0EA47C31"/>
    <w:rsid w:val="0EB31E80"/>
    <w:rsid w:val="0F1A04EA"/>
    <w:rsid w:val="0F25758E"/>
    <w:rsid w:val="0F36663F"/>
    <w:rsid w:val="0F403D21"/>
    <w:rsid w:val="0F917E25"/>
    <w:rsid w:val="100E5690"/>
    <w:rsid w:val="10820EE8"/>
    <w:rsid w:val="10E41D25"/>
    <w:rsid w:val="10EC5351"/>
    <w:rsid w:val="10F57E48"/>
    <w:rsid w:val="115E01DA"/>
    <w:rsid w:val="11803F9C"/>
    <w:rsid w:val="11AB2144"/>
    <w:rsid w:val="11F23CD4"/>
    <w:rsid w:val="12394F79"/>
    <w:rsid w:val="12704669"/>
    <w:rsid w:val="129E02B8"/>
    <w:rsid w:val="12BC340B"/>
    <w:rsid w:val="130C1D8B"/>
    <w:rsid w:val="13C10435"/>
    <w:rsid w:val="13C20DC8"/>
    <w:rsid w:val="13E405F4"/>
    <w:rsid w:val="13FA463A"/>
    <w:rsid w:val="14411E19"/>
    <w:rsid w:val="144C07BE"/>
    <w:rsid w:val="144C3DF9"/>
    <w:rsid w:val="148B5FBC"/>
    <w:rsid w:val="14AB3737"/>
    <w:rsid w:val="14E44445"/>
    <w:rsid w:val="15187863"/>
    <w:rsid w:val="15EC317D"/>
    <w:rsid w:val="15EF0DCB"/>
    <w:rsid w:val="16816734"/>
    <w:rsid w:val="16897AA8"/>
    <w:rsid w:val="17116A77"/>
    <w:rsid w:val="172B0B5F"/>
    <w:rsid w:val="172B374B"/>
    <w:rsid w:val="173C7F33"/>
    <w:rsid w:val="17487070"/>
    <w:rsid w:val="1796435B"/>
    <w:rsid w:val="18027CCB"/>
    <w:rsid w:val="1806146D"/>
    <w:rsid w:val="182D164E"/>
    <w:rsid w:val="18797208"/>
    <w:rsid w:val="19201A4E"/>
    <w:rsid w:val="196447A9"/>
    <w:rsid w:val="19EC5D2C"/>
    <w:rsid w:val="19F0117F"/>
    <w:rsid w:val="1A1E63CF"/>
    <w:rsid w:val="1AFB7C4D"/>
    <w:rsid w:val="1B010714"/>
    <w:rsid w:val="1B0A19BB"/>
    <w:rsid w:val="1B772ABD"/>
    <w:rsid w:val="1BCD288A"/>
    <w:rsid w:val="1BEB45CE"/>
    <w:rsid w:val="1CBF2475"/>
    <w:rsid w:val="1CC43985"/>
    <w:rsid w:val="1CC46D5E"/>
    <w:rsid w:val="1D267DE3"/>
    <w:rsid w:val="1D983B4C"/>
    <w:rsid w:val="1DD928A8"/>
    <w:rsid w:val="1DEE2BDF"/>
    <w:rsid w:val="1E1975C7"/>
    <w:rsid w:val="1E1D38F7"/>
    <w:rsid w:val="1E272038"/>
    <w:rsid w:val="1E49784A"/>
    <w:rsid w:val="1E625D79"/>
    <w:rsid w:val="1E655C76"/>
    <w:rsid w:val="1E7352C5"/>
    <w:rsid w:val="1EE933EB"/>
    <w:rsid w:val="1F333E85"/>
    <w:rsid w:val="1FCB08A1"/>
    <w:rsid w:val="1FCE2663"/>
    <w:rsid w:val="1FDC6D7A"/>
    <w:rsid w:val="20277593"/>
    <w:rsid w:val="20E23C78"/>
    <w:rsid w:val="2101752F"/>
    <w:rsid w:val="210D653B"/>
    <w:rsid w:val="21352D06"/>
    <w:rsid w:val="214E2B5A"/>
    <w:rsid w:val="216F2DE6"/>
    <w:rsid w:val="219F6246"/>
    <w:rsid w:val="21C66054"/>
    <w:rsid w:val="21F10161"/>
    <w:rsid w:val="22983C4D"/>
    <w:rsid w:val="22ED6098"/>
    <w:rsid w:val="233521D5"/>
    <w:rsid w:val="23A5288A"/>
    <w:rsid w:val="23E730F8"/>
    <w:rsid w:val="241B24EC"/>
    <w:rsid w:val="244E1F72"/>
    <w:rsid w:val="24883A94"/>
    <w:rsid w:val="24FA1ECF"/>
    <w:rsid w:val="251C0943"/>
    <w:rsid w:val="259B0AB8"/>
    <w:rsid w:val="25C74949"/>
    <w:rsid w:val="25E00B77"/>
    <w:rsid w:val="25F91D3B"/>
    <w:rsid w:val="26062970"/>
    <w:rsid w:val="26312643"/>
    <w:rsid w:val="26A821CC"/>
    <w:rsid w:val="26C17FC8"/>
    <w:rsid w:val="26DA3B12"/>
    <w:rsid w:val="26E16DB9"/>
    <w:rsid w:val="27036581"/>
    <w:rsid w:val="270F6A91"/>
    <w:rsid w:val="275360B2"/>
    <w:rsid w:val="2779341F"/>
    <w:rsid w:val="28A71F0D"/>
    <w:rsid w:val="28B46187"/>
    <w:rsid w:val="28E55E8C"/>
    <w:rsid w:val="28EA0DA1"/>
    <w:rsid w:val="29257339"/>
    <w:rsid w:val="29AD18A3"/>
    <w:rsid w:val="2A0F2D3A"/>
    <w:rsid w:val="2A261057"/>
    <w:rsid w:val="2B5E6AB9"/>
    <w:rsid w:val="2B6C1593"/>
    <w:rsid w:val="2B8A1DF5"/>
    <w:rsid w:val="2BB138D1"/>
    <w:rsid w:val="2BD13068"/>
    <w:rsid w:val="2BF821DF"/>
    <w:rsid w:val="2C0C4FAB"/>
    <w:rsid w:val="2CBF28F0"/>
    <w:rsid w:val="2CDC2BCF"/>
    <w:rsid w:val="2CE518FD"/>
    <w:rsid w:val="2CFE05A2"/>
    <w:rsid w:val="2D2A665D"/>
    <w:rsid w:val="2D7678C5"/>
    <w:rsid w:val="2DC14CC4"/>
    <w:rsid w:val="2DE61A6C"/>
    <w:rsid w:val="2E80471D"/>
    <w:rsid w:val="2EB227E3"/>
    <w:rsid w:val="2F6A55B8"/>
    <w:rsid w:val="2FBB4E44"/>
    <w:rsid w:val="2FD91648"/>
    <w:rsid w:val="2FFB5400"/>
    <w:rsid w:val="309E6E18"/>
    <w:rsid w:val="30EF5F72"/>
    <w:rsid w:val="30F72AF3"/>
    <w:rsid w:val="315E0057"/>
    <w:rsid w:val="316A07AA"/>
    <w:rsid w:val="32922F50"/>
    <w:rsid w:val="32EE0F67"/>
    <w:rsid w:val="32F32A21"/>
    <w:rsid w:val="331C0B79"/>
    <w:rsid w:val="3363011D"/>
    <w:rsid w:val="33634ED9"/>
    <w:rsid w:val="33FD3A7A"/>
    <w:rsid w:val="34552F55"/>
    <w:rsid w:val="34657EA4"/>
    <w:rsid w:val="349B511E"/>
    <w:rsid w:val="34C25A6D"/>
    <w:rsid w:val="34DB6452"/>
    <w:rsid w:val="356E0B85"/>
    <w:rsid w:val="35C64E84"/>
    <w:rsid w:val="35ED0490"/>
    <w:rsid w:val="3632641D"/>
    <w:rsid w:val="364D2448"/>
    <w:rsid w:val="367B7967"/>
    <w:rsid w:val="36915D20"/>
    <w:rsid w:val="36E7716E"/>
    <w:rsid w:val="37EA0C97"/>
    <w:rsid w:val="38141050"/>
    <w:rsid w:val="381A5280"/>
    <w:rsid w:val="3825542A"/>
    <w:rsid w:val="3829737E"/>
    <w:rsid w:val="384016A7"/>
    <w:rsid w:val="387D7E92"/>
    <w:rsid w:val="390153E5"/>
    <w:rsid w:val="393734D4"/>
    <w:rsid w:val="397B0459"/>
    <w:rsid w:val="398C5B0A"/>
    <w:rsid w:val="39963CB2"/>
    <w:rsid w:val="39E7009F"/>
    <w:rsid w:val="39FB720A"/>
    <w:rsid w:val="3A087A14"/>
    <w:rsid w:val="3A3C6A5B"/>
    <w:rsid w:val="3A5E21D7"/>
    <w:rsid w:val="3A95280D"/>
    <w:rsid w:val="3B2075C0"/>
    <w:rsid w:val="3B7F170A"/>
    <w:rsid w:val="3BA3206B"/>
    <w:rsid w:val="3BCE402B"/>
    <w:rsid w:val="3BEE647B"/>
    <w:rsid w:val="3BF17763"/>
    <w:rsid w:val="3C162A79"/>
    <w:rsid w:val="3C1A7270"/>
    <w:rsid w:val="3C213BF5"/>
    <w:rsid w:val="3C477FB1"/>
    <w:rsid w:val="3CF90C34"/>
    <w:rsid w:val="3D2E4C07"/>
    <w:rsid w:val="3D513EB5"/>
    <w:rsid w:val="3DBB0A2E"/>
    <w:rsid w:val="3DC47D28"/>
    <w:rsid w:val="3DC64D6D"/>
    <w:rsid w:val="3DD6559A"/>
    <w:rsid w:val="3E0D68B8"/>
    <w:rsid w:val="3E2E36AF"/>
    <w:rsid w:val="3E326604"/>
    <w:rsid w:val="3E4573F0"/>
    <w:rsid w:val="3E5577FA"/>
    <w:rsid w:val="3EA67CD0"/>
    <w:rsid w:val="3EA94EFD"/>
    <w:rsid w:val="3EB1045F"/>
    <w:rsid w:val="3EB768A1"/>
    <w:rsid w:val="3EDE4585"/>
    <w:rsid w:val="3F776BC6"/>
    <w:rsid w:val="3F9159FA"/>
    <w:rsid w:val="3FC05C56"/>
    <w:rsid w:val="3FF73A41"/>
    <w:rsid w:val="40046CA8"/>
    <w:rsid w:val="40296F4A"/>
    <w:rsid w:val="403D64A9"/>
    <w:rsid w:val="405E3BCF"/>
    <w:rsid w:val="412F06F1"/>
    <w:rsid w:val="414D090F"/>
    <w:rsid w:val="419B050B"/>
    <w:rsid w:val="41B76CB4"/>
    <w:rsid w:val="41F73FFF"/>
    <w:rsid w:val="42A033BF"/>
    <w:rsid w:val="42B0734B"/>
    <w:rsid w:val="42EA4E42"/>
    <w:rsid w:val="432B6695"/>
    <w:rsid w:val="435272F0"/>
    <w:rsid w:val="435979DC"/>
    <w:rsid w:val="43AA411E"/>
    <w:rsid w:val="43B2156B"/>
    <w:rsid w:val="4413747D"/>
    <w:rsid w:val="444E57F2"/>
    <w:rsid w:val="44AF3E5C"/>
    <w:rsid w:val="453F0CD6"/>
    <w:rsid w:val="456D21BF"/>
    <w:rsid w:val="45A24D25"/>
    <w:rsid w:val="45AC718B"/>
    <w:rsid w:val="45C02133"/>
    <w:rsid w:val="45D37EC6"/>
    <w:rsid w:val="45EC4BB2"/>
    <w:rsid w:val="462036D5"/>
    <w:rsid w:val="464078D3"/>
    <w:rsid w:val="46A368AE"/>
    <w:rsid w:val="46C626A7"/>
    <w:rsid w:val="46DD15C6"/>
    <w:rsid w:val="46EB7B00"/>
    <w:rsid w:val="47044DA5"/>
    <w:rsid w:val="474F4E44"/>
    <w:rsid w:val="482E528F"/>
    <w:rsid w:val="485711CD"/>
    <w:rsid w:val="48694BF1"/>
    <w:rsid w:val="486F752A"/>
    <w:rsid w:val="487703B1"/>
    <w:rsid w:val="489B2349"/>
    <w:rsid w:val="48CB0CFF"/>
    <w:rsid w:val="491004AC"/>
    <w:rsid w:val="49125027"/>
    <w:rsid w:val="494565CC"/>
    <w:rsid w:val="495C5EEE"/>
    <w:rsid w:val="49952D80"/>
    <w:rsid w:val="49C550C7"/>
    <w:rsid w:val="49DA1036"/>
    <w:rsid w:val="4A061107"/>
    <w:rsid w:val="4A6B1E80"/>
    <w:rsid w:val="4A784A78"/>
    <w:rsid w:val="4B325411"/>
    <w:rsid w:val="4B3C64FF"/>
    <w:rsid w:val="4B5762AB"/>
    <w:rsid w:val="4BDA0DE0"/>
    <w:rsid w:val="4C31567B"/>
    <w:rsid w:val="4C8233D1"/>
    <w:rsid w:val="4C916512"/>
    <w:rsid w:val="4CB66B41"/>
    <w:rsid w:val="4CD07C03"/>
    <w:rsid w:val="4CED0B60"/>
    <w:rsid w:val="4CF95FDB"/>
    <w:rsid w:val="4D272257"/>
    <w:rsid w:val="4D4A5F5E"/>
    <w:rsid w:val="4DBE3E5E"/>
    <w:rsid w:val="4E7A212F"/>
    <w:rsid w:val="4E847A59"/>
    <w:rsid w:val="4EEEB7E1"/>
    <w:rsid w:val="4F284A1F"/>
    <w:rsid w:val="4F6C4EA5"/>
    <w:rsid w:val="50000D7C"/>
    <w:rsid w:val="5017455A"/>
    <w:rsid w:val="502E5634"/>
    <w:rsid w:val="504F45A9"/>
    <w:rsid w:val="50711030"/>
    <w:rsid w:val="50760BB0"/>
    <w:rsid w:val="5088591F"/>
    <w:rsid w:val="516205C2"/>
    <w:rsid w:val="517E6B14"/>
    <w:rsid w:val="520F3B0B"/>
    <w:rsid w:val="521F78DE"/>
    <w:rsid w:val="52302EF2"/>
    <w:rsid w:val="523044ED"/>
    <w:rsid w:val="52654E30"/>
    <w:rsid w:val="52957EF4"/>
    <w:rsid w:val="52B15FA1"/>
    <w:rsid w:val="52D75082"/>
    <w:rsid w:val="52F61F59"/>
    <w:rsid w:val="54031DFA"/>
    <w:rsid w:val="54040192"/>
    <w:rsid w:val="540C2F25"/>
    <w:rsid w:val="541741D6"/>
    <w:rsid w:val="54460748"/>
    <w:rsid w:val="54722B28"/>
    <w:rsid w:val="547814E5"/>
    <w:rsid w:val="54A668B4"/>
    <w:rsid w:val="54A8633F"/>
    <w:rsid w:val="54ED079A"/>
    <w:rsid w:val="5528771B"/>
    <w:rsid w:val="552A3826"/>
    <w:rsid w:val="555770FA"/>
    <w:rsid w:val="55632085"/>
    <w:rsid w:val="55CF7191"/>
    <w:rsid w:val="55DB72FA"/>
    <w:rsid w:val="5611428B"/>
    <w:rsid w:val="56597161"/>
    <w:rsid w:val="56912749"/>
    <w:rsid w:val="57232A7B"/>
    <w:rsid w:val="574855E8"/>
    <w:rsid w:val="576552F4"/>
    <w:rsid w:val="57A5314F"/>
    <w:rsid w:val="57B63E99"/>
    <w:rsid w:val="57DF4B96"/>
    <w:rsid w:val="57E645FA"/>
    <w:rsid w:val="58164938"/>
    <w:rsid w:val="58771241"/>
    <w:rsid w:val="598639DF"/>
    <w:rsid w:val="5A160B46"/>
    <w:rsid w:val="5A8011D0"/>
    <w:rsid w:val="5A822A56"/>
    <w:rsid w:val="5AA65CD3"/>
    <w:rsid w:val="5B0311A3"/>
    <w:rsid w:val="5B1533D9"/>
    <w:rsid w:val="5B1E5BCC"/>
    <w:rsid w:val="5BAD274A"/>
    <w:rsid w:val="5BD74C6E"/>
    <w:rsid w:val="5BE50BA6"/>
    <w:rsid w:val="5C2E0695"/>
    <w:rsid w:val="5C4F1C45"/>
    <w:rsid w:val="5CA02A22"/>
    <w:rsid w:val="5CE15514"/>
    <w:rsid w:val="5D105DFA"/>
    <w:rsid w:val="5D1E45B7"/>
    <w:rsid w:val="5D1F4A4E"/>
    <w:rsid w:val="5D5061F6"/>
    <w:rsid w:val="5D767C22"/>
    <w:rsid w:val="5DC539D3"/>
    <w:rsid w:val="5DCB3ACF"/>
    <w:rsid w:val="5DE4494F"/>
    <w:rsid w:val="5DF70D68"/>
    <w:rsid w:val="5E1F43E2"/>
    <w:rsid w:val="5ED03A93"/>
    <w:rsid w:val="5F0D013B"/>
    <w:rsid w:val="5FA61509"/>
    <w:rsid w:val="5FB96CF3"/>
    <w:rsid w:val="60943284"/>
    <w:rsid w:val="60A429B1"/>
    <w:rsid w:val="60F8107F"/>
    <w:rsid w:val="6116474A"/>
    <w:rsid w:val="61A508D3"/>
    <w:rsid w:val="61AB5CF3"/>
    <w:rsid w:val="61B551C2"/>
    <w:rsid w:val="61E5788F"/>
    <w:rsid w:val="620C5D31"/>
    <w:rsid w:val="62204A3D"/>
    <w:rsid w:val="6241266D"/>
    <w:rsid w:val="62984579"/>
    <w:rsid w:val="62C007E7"/>
    <w:rsid w:val="630B680E"/>
    <w:rsid w:val="63507F63"/>
    <w:rsid w:val="636228EB"/>
    <w:rsid w:val="640D742F"/>
    <w:rsid w:val="645F01E2"/>
    <w:rsid w:val="649B5961"/>
    <w:rsid w:val="64C216F4"/>
    <w:rsid w:val="64D846F3"/>
    <w:rsid w:val="64E92302"/>
    <w:rsid w:val="656568E6"/>
    <w:rsid w:val="666D1130"/>
    <w:rsid w:val="674865FC"/>
    <w:rsid w:val="67A01CFD"/>
    <w:rsid w:val="68CA1553"/>
    <w:rsid w:val="68EB7E6E"/>
    <w:rsid w:val="691B69B6"/>
    <w:rsid w:val="691F232A"/>
    <w:rsid w:val="6A1178C7"/>
    <w:rsid w:val="6A6F63E6"/>
    <w:rsid w:val="6ADE6F38"/>
    <w:rsid w:val="6AE0311F"/>
    <w:rsid w:val="6AFD7857"/>
    <w:rsid w:val="6B3A6A4D"/>
    <w:rsid w:val="6B5228EC"/>
    <w:rsid w:val="6C026FBD"/>
    <w:rsid w:val="6C046B37"/>
    <w:rsid w:val="6C146412"/>
    <w:rsid w:val="6C1A6167"/>
    <w:rsid w:val="6C3118E9"/>
    <w:rsid w:val="6C46674A"/>
    <w:rsid w:val="6C6104BC"/>
    <w:rsid w:val="6CA24CCE"/>
    <w:rsid w:val="6CCE55B8"/>
    <w:rsid w:val="6D0C07E2"/>
    <w:rsid w:val="6D110A00"/>
    <w:rsid w:val="6D61634E"/>
    <w:rsid w:val="6D6F2F8C"/>
    <w:rsid w:val="6D7D2A58"/>
    <w:rsid w:val="6DA73A96"/>
    <w:rsid w:val="6DFE095C"/>
    <w:rsid w:val="6E0355E0"/>
    <w:rsid w:val="6E712470"/>
    <w:rsid w:val="6EDF2BD2"/>
    <w:rsid w:val="6EEA0E9F"/>
    <w:rsid w:val="6EF74724"/>
    <w:rsid w:val="6F4E2619"/>
    <w:rsid w:val="6FAE190D"/>
    <w:rsid w:val="6FDEF357"/>
    <w:rsid w:val="6FF24B22"/>
    <w:rsid w:val="700B75C7"/>
    <w:rsid w:val="703A5210"/>
    <w:rsid w:val="706A7933"/>
    <w:rsid w:val="710234E6"/>
    <w:rsid w:val="7148130E"/>
    <w:rsid w:val="71804EA4"/>
    <w:rsid w:val="718B55F7"/>
    <w:rsid w:val="72086C48"/>
    <w:rsid w:val="720C2BDC"/>
    <w:rsid w:val="72122136"/>
    <w:rsid w:val="72411EE6"/>
    <w:rsid w:val="72A90315"/>
    <w:rsid w:val="72F64917"/>
    <w:rsid w:val="73143AAC"/>
    <w:rsid w:val="734D6776"/>
    <w:rsid w:val="7377440F"/>
    <w:rsid w:val="73C44722"/>
    <w:rsid w:val="73F95E17"/>
    <w:rsid w:val="74155FFE"/>
    <w:rsid w:val="7460720F"/>
    <w:rsid w:val="746F1200"/>
    <w:rsid w:val="74B113BF"/>
    <w:rsid w:val="74C841A4"/>
    <w:rsid w:val="74EB1043"/>
    <w:rsid w:val="75214D75"/>
    <w:rsid w:val="75372CDA"/>
    <w:rsid w:val="75460511"/>
    <w:rsid w:val="75674200"/>
    <w:rsid w:val="75F307DE"/>
    <w:rsid w:val="768C2AEF"/>
    <w:rsid w:val="76C41A5E"/>
    <w:rsid w:val="77587BF9"/>
    <w:rsid w:val="777D6539"/>
    <w:rsid w:val="77A14A92"/>
    <w:rsid w:val="77B21B30"/>
    <w:rsid w:val="77FF51B6"/>
    <w:rsid w:val="78306CA6"/>
    <w:rsid w:val="78D67AA0"/>
    <w:rsid w:val="79870D9A"/>
    <w:rsid w:val="79984052"/>
    <w:rsid w:val="79AC07A9"/>
    <w:rsid w:val="79EAE6C0"/>
    <w:rsid w:val="7A3A29FC"/>
    <w:rsid w:val="7A4D63F4"/>
    <w:rsid w:val="7A5F3547"/>
    <w:rsid w:val="7A6608C9"/>
    <w:rsid w:val="7AA55685"/>
    <w:rsid w:val="7AD95625"/>
    <w:rsid w:val="7B3DB9DF"/>
    <w:rsid w:val="7B5A1BAF"/>
    <w:rsid w:val="7BCD76C7"/>
    <w:rsid w:val="7BE7387E"/>
    <w:rsid w:val="7C217284"/>
    <w:rsid w:val="7CB4284F"/>
    <w:rsid w:val="7D40373A"/>
    <w:rsid w:val="7D746944"/>
    <w:rsid w:val="7DCC76C3"/>
    <w:rsid w:val="7E135D43"/>
    <w:rsid w:val="7E3239CA"/>
    <w:rsid w:val="7E6D4936"/>
    <w:rsid w:val="7E7D27A3"/>
    <w:rsid w:val="7E863FE4"/>
    <w:rsid w:val="7EAA3560"/>
    <w:rsid w:val="7EBA2597"/>
    <w:rsid w:val="7F086945"/>
    <w:rsid w:val="7F3904B0"/>
    <w:rsid w:val="7FAD2C5D"/>
    <w:rsid w:val="7FBB0DA4"/>
    <w:rsid w:val="7FBF7883"/>
    <w:rsid w:val="7FF7A951"/>
    <w:rsid w:val="9FF3A2B5"/>
    <w:rsid w:val="AEBF7689"/>
    <w:rsid w:val="AF3F101A"/>
    <w:rsid w:val="B3D3152F"/>
    <w:rsid w:val="BCFCE25F"/>
    <w:rsid w:val="CE5F597A"/>
    <w:rsid w:val="D91DB163"/>
    <w:rsid w:val="E3F73D84"/>
    <w:rsid w:val="E786063F"/>
    <w:rsid w:val="F7FDA51D"/>
    <w:rsid w:val="FBAF9C39"/>
    <w:rsid w:val="FEFB4D82"/>
    <w:rsid w:val="FFAFC631"/>
    <w:rsid w:val="FFDE0CA4"/>
    <w:rsid w:val="FFF57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Cs/>
      <w:snapToGrid w:val="0"/>
      <w:spacing w:val="10"/>
      <w:sz w:val="28"/>
      <w:szCs w:val="24"/>
      <w:lang w:val="en-US" w:eastAsia="zh-CN" w:bidi="ar-SA"/>
    </w:rPr>
  </w:style>
  <w:style w:type="paragraph" w:styleId="2">
    <w:name w:val="heading 1"/>
    <w:basedOn w:val="1"/>
    <w:next w:val="1"/>
    <w:qFormat/>
    <w:uiPriority w:val="99"/>
    <w:pPr>
      <w:keepNext/>
      <w:overflowPunct w:val="0"/>
      <w:snapToGrid w:val="0"/>
      <w:spacing w:before="120" w:after="160" w:line="259" w:lineRule="auto"/>
      <w:ind w:left="432" w:hanging="432"/>
      <w:outlineLvl w:val="0"/>
    </w:pPr>
    <w:rPr>
      <w:rFonts w:eastAsia="黑体"/>
      <w:b/>
      <w:color w:val="000000"/>
      <w:kern w:val="44"/>
      <w:sz w:val="30"/>
      <w:szCs w:val="30"/>
    </w:rPr>
  </w:style>
  <w:style w:type="paragraph" w:styleId="3">
    <w:name w:val="heading 3"/>
    <w:basedOn w:val="1"/>
    <w:next w:val="1"/>
    <w:qFormat/>
    <w:uiPriority w:val="0"/>
    <w:pPr>
      <w:keepNext/>
      <w:keepLines/>
      <w:spacing w:before="260" w:after="260" w:line="416" w:lineRule="auto"/>
      <w:outlineLvl w:val="2"/>
    </w:pPr>
    <w:rPr>
      <w:b/>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List 3"/>
    <w:basedOn w:val="1"/>
    <w:next w:val="1"/>
    <w:qFormat/>
    <w:uiPriority w:val="0"/>
    <w:pPr>
      <w:ind w:left="100" w:leftChars="400" w:hanging="200" w:hangingChars="200"/>
    </w:pPr>
  </w:style>
  <w:style w:type="paragraph" w:styleId="5">
    <w:name w:val="Normal Indent"/>
    <w:basedOn w:val="1"/>
    <w:next w:val="1"/>
    <w:qFormat/>
    <w:uiPriority w:val="0"/>
    <w:pPr>
      <w:ind w:firstLine="420" w:firstLineChars="200"/>
    </w:pPr>
    <w:rPr>
      <w:rFonts w:ascii="Arial" w:hAnsi="Arial" w:cs="Arial"/>
      <w:sz w:val="21"/>
    </w:rPr>
  </w:style>
  <w:style w:type="paragraph" w:styleId="6">
    <w:name w:val="index 5"/>
    <w:basedOn w:val="1"/>
    <w:next w:val="1"/>
    <w:qFormat/>
    <w:uiPriority w:val="0"/>
    <w:pPr>
      <w:ind w:left="1680"/>
    </w:pPr>
  </w:style>
  <w:style w:type="paragraph" w:styleId="7">
    <w:name w:val="annotation text"/>
    <w:basedOn w:val="1"/>
    <w:qFormat/>
    <w:uiPriority w:val="0"/>
    <w:pPr>
      <w:jc w:val="left"/>
    </w:pPr>
  </w:style>
  <w:style w:type="paragraph" w:styleId="8">
    <w:name w:val="Body Text"/>
    <w:basedOn w:val="1"/>
    <w:next w:val="9"/>
    <w:qFormat/>
    <w:uiPriority w:val="0"/>
    <w:pPr>
      <w:widowControl/>
      <w:snapToGrid w:val="0"/>
      <w:spacing w:before="60" w:after="160" w:line="259" w:lineRule="auto"/>
      <w:ind w:right="113"/>
    </w:pPr>
    <w:rPr>
      <w:sz w:val="18"/>
      <w:szCs w:val="20"/>
    </w:rPr>
  </w:style>
  <w:style w:type="paragraph" w:styleId="9">
    <w:name w:val="Plain Text"/>
    <w:basedOn w:val="1"/>
    <w:qFormat/>
    <w:uiPriority w:val="0"/>
    <w:rPr>
      <w:rFonts w:ascii="宋体" w:hAnsi="Courier New" w:cs="Courier New"/>
      <w:sz w:val="21"/>
      <w:szCs w:val="21"/>
    </w:rPr>
  </w:style>
  <w:style w:type="paragraph" w:styleId="10">
    <w:name w:val="Body Text Indent"/>
    <w:basedOn w:val="1"/>
    <w:next w:val="11"/>
    <w:qFormat/>
    <w:uiPriority w:val="0"/>
    <w:pPr>
      <w:adjustRightInd w:val="0"/>
      <w:snapToGrid w:val="0"/>
      <w:spacing w:line="300" w:lineRule="auto"/>
      <w:ind w:firstLine="680" w:firstLineChars="200"/>
    </w:pPr>
    <w:rPr>
      <w:rFonts w:ascii="仿宋_GB2312" w:hAnsi="宋体" w:eastAsia="仿宋_GB2312"/>
      <w:sz w:val="32"/>
    </w:rPr>
  </w:style>
  <w:style w:type="paragraph" w:styleId="11">
    <w:name w:val="header"/>
    <w:basedOn w:val="1"/>
    <w:next w:val="12"/>
    <w:qFormat/>
    <w:uiPriority w:val="0"/>
    <w:pPr>
      <w:pBdr>
        <w:bottom w:val="single" w:color="auto" w:sz="6" w:space="1"/>
      </w:pBdr>
      <w:tabs>
        <w:tab w:val="center" w:pos="4153"/>
        <w:tab w:val="right" w:pos="8306"/>
      </w:tabs>
      <w:snapToGrid w:val="0"/>
      <w:jc w:val="center"/>
    </w:pPr>
    <w:rPr>
      <w:sz w:val="18"/>
      <w:szCs w:val="18"/>
    </w:rPr>
  </w:style>
  <w:style w:type="paragraph" w:customStyle="1" w:styleId="12">
    <w:name w:val="样式5"/>
    <w:basedOn w:val="5"/>
    <w:next w:val="1"/>
    <w:qFormat/>
    <w:uiPriority w:val="0"/>
    <w:pPr>
      <w:spacing w:line="380" w:lineRule="exact"/>
      <w:ind w:firstLine="566" w:firstLineChars="202"/>
    </w:pPr>
    <w:rPr>
      <w:rFonts w:ascii="Times New Roman" w:hAnsi="Times New Roman" w:eastAsia="华文行楷" w:cs="Times New Roman"/>
      <w:sz w:val="28"/>
    </w:rPr>
  </w:style>
  <w:style w:type="paragraph" w:styleId="13">
    <w:name w:val="Body Text Indent 2"/>
    <w:basedOn w:val="1"/>
    <w:next w:val="1"/>
    <w:qFormat/>
    <w:uiPriority w:val="0"/>
    <w:pPr>
      <w:spacing w:line="500" w:lineRule="exact"/>
      <w:ind w:left="72" w:hanging="72" w:hangingChars="30"/>
      <w:jc w:val="left"/>
    </w:pPr>
    <w:rPr>
      <w:rFonts w:ascii="宋体" w:hAnsi="宋体"/>
      <w:sz w:val="24"/>
    </w:rPr>
  </w:style>
  <w:style w:type="paragraph" w:styleId="14">
    <w:name w:val="footer"/>
    <w:basedOn w:val="1"/>
    <w:next w:val="1"/>
    <w:qFormat/>
    <w:uiPriority w:val="99"/>
    <w:pPr>
      <w:tabs>
        <w:tab w:val="center" w:pos="4153"/>
        <w:tab w:val="right" w:pos="8306"/>
      </w:tabs>
      <w:snapToGrid w:val="0"/>
      <w:jc w:val="left"/>
    </w:pPr>
    <w:rPr>
      <w:sz w:val="18"/>
      <w:szCs w:val="18"/>
    </w:rPr>
  </w:style>
  <w:style w:type="paragraph" w:styleId="15">
    <w:name w:val="toc 1"/>
    <w:basedOn w:val="1"/>
    <w:next w:val="1"/>
    <w:semiHidden/>
    <w:qFormat/>
    <w:uiPriority w:val="0"/>
    <w:pPr>
      <w:tabs>
        <w:tab w:val="right" w:leader="dot" w:pos="8296"/>
      </w:tabs>
      <w:spacing w:before="120" w:after="120"/>
      <w:jc w:val="left"/>
    </w:pPr>
    <w:rPr>
      <w:rFonts w:eastAsia="仿宋_GB2312"/>
      <w:caps/>
      <w:snapToGrid/>
      <w:color w:val="000000"/>
      <w:spacing w:val="0"/>
      <w:kern w:val="2"/>
      <w:sz w:val="24"/>
    </w:rPr>
  </w:style>
  <w:style w:type="paragraph" w:styleId="16">
    <w:name w:val="table of figures"/>
    <w:basedOn w:val="1"/>
    <w:next w:val="1"/>
    <w:unhideWhenUsed/>
    <w:qFormat/>
    <w:uiPriority w:val="99"/>
    <w:pPr>
      <w:ind w:left="200" w:leftChars="200" w:hanging="200" w:hangingChars="200"/>
    </w:pPr>
  </w:style>
  <w:style w:type="paragraph" w:styleId="17">
    <w:name w:val="Normal (Web)"/>
    <w:basedOn w:val="1"/>
    <w:qFormat/>
    <w:uiPriority w:val="0"/>
    <w:rPr>
      <w:sz w:val="24"/>
    </w:rPr>
  </w:style>
  <w:style w:type="paragraph" w:styleId="18">
    <w:name w:val="Body Text First Indent"/>
    <w:basedOn w:val="8"/>
    <w:next w:val="19"/>
    <w:qFormat/>
    <w:uiPriority w:val="0"/>
    <w:pPr>
      <w:overflowPunct w:val="0"/>
      <w:autoSpaceDE w:val="0"/>
      <w:autoSpaceDN w:val="0"/>
      <w:adjustRightInd w:val="0"/>
      <w:spacing w:line="360" w:lineRule="auto"/>
      <w:ind w:firstLine="539" w:firstLineChars="200"/>
      <w:textAlignment w:val="baseline"/>
    </w:pPr>
    <w:rPr>
      <w:sz w:val="28"/>
    </w:rPr>
  </w:style>
  <w:style w:type="paragraph" w:customStyle="1" w:styleId="19">
    <w:name w:val="样式 正文首行缩进 + 首行缩进:  2 字符1"/>
    <w:basedOn w:val="18"/>
    <w:next w:val="15"/>
    <w:qFormat/>
    <w:uiPriority w:val="0"/>
    <w:pPr>
      <w:spacing w:after="0" w:line="360" w:lineRule="auto"/>
      <w:ind w:firstLine="480" w:firstLineChars="200"/>
    </w:pPr>
    <w:rPr>
      <w:sz w:val="24"/>
    </w:rPr>
  </w:style>
  <w:style w:type="paragraph" w:styleId="20">
    <w:name w:val="Body Text First Indent 2"/>
    <w:basedOn w:val="10"/>
    <w:next w:val="18"/>
    <w:unhideWhenUsed/>
    <w:qFormat/>
    <w:uiPriority w:val="0"/>
    <w:pPr>
      <w:spacing w:line="240" w:lineRule="auto"/>
      <w:ind w:firstLine="561"/>
    </w:pPr>
    <w:rPr>
      <w:b/>
      <w:iCs/>
      <w:sz w:val="28"/>
      <w:szCs w:val="28"/>
    </w:rPr>
  </w:style>
  <w:style w:type="table" w:styleId="22">
    <w:name w:val="Table Grid"/>
    <w:basedOn w:val="21"/>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FollowedHyperlink"/>
    <w:basedOn w:val="23"/>
    <w:qFormat/>
    <w:uiPriority w:val="0"/>
    <w:rPr>
      <w:color w:val="800080"/>
      <w:u w:val="none"/>
    </w:rPr>
  </w:style>
  <w:style w:type="character" w:styleId="26">
    <w:name w:val="Emphasis"/>
    <w:basedOn w:val="23"/>
    <w:qFormat/>
    <w:uiPriority w:val="0"/>
    <w:rPr>
      <w:i/>
    </w:rPr>
  </w:style>
  <w:style w:type="character" w:styleId="27">
    <w:name w:val="Hyperlink"/>
    <w:basedOn w:val="23"/>
    <w:qFormat/>
    <w:uiPriority w:val="0"/>
    <w:rPr>
      <w:color w:val="0000FF"/>
      <w:u w:val="none"/>
    </w:rPr>
  </w:style>
  <w:style w:type="paragraph" w:customStyle="1" w:styleId="28">
    <w:name w:val="0正文"/>
    <w:basedOn w:val="10"/>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29">
    <w:name w:val="Default"/>
    <w:basedOn w:val="30"/>
    <w:next w:val="1"/>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0">
    <w:name w:val="纯文本1"/>
    <w:basedOn w:val="1"/>
    <w:next w:val="9"/>
    <w:qFormat/>
    <w:uiPriority w:val="0"/>
    <w:rPr>
      <w:rFonts w:ascii="宋体" w:hAnsi="Courier New" w:cs="Courier New"/>
      <w:sz w:val="21"/>
      <w:szCs w:val="21"/>
    </w:rPr>
  </w:style>
  <w:style w:type="paragraph" w:customStyle="1" w:styleId="31">
    <w:name w:val="_Style 4"/>
    <w:qFormat/>
    <w:uiPriority w:val="1"/>
    <w:pPr>
      <w:widowControl w:val="0"/>
      <w:jc w:val="both"/>
    </w:pPr>
    <w:rPr>
      <w:rFonts w:ascii="Times New Roman" w:hAnsi="Times New Roman" w:eastAsia="仿宋_GB2312" w:cs="Times New Roman"/>
      <w:kern w:val="2"/>
      <w:sz w:val="24"/>
      <w:szCs w:val="22"/>
      <w:lang w:val="en-US" w:eastAsia="zh-CN" w:bidi="ar-SA"/>
    </w:rPr>
  </w:style>
  <w:style w:type="paragraph" w:customStyle="1" w:styleId="32">
    <w:name w:val="样式 正文11 + 首行缩进:  2 字符"/>
    <w:basedOn w:val="1"/>
    <w:qFormat/>
    <w:uiPriority w:val="0"/>
    <w:pPr>
      <w:spacing w:line="500" w:lineRule="exact"/>
      <w:ind w:firstLine="560" w:firstLineChars="200"/>
    </w:pPr>
    <w:rPr>
      <w:rFonts w:ascii="宋体" w:hAnsi="宋体" w:cs="宋体"/>
      <w:b/>
      <w:color w:val="FF0000"/>
      <w:sz w:val="28"/>
    </w:rPr>
  </w:style>
  <w:style w:type="paragraph" w:customStyle="1" w:styleId="33">
    <w:name w:val="正文（缩进）"/>
    <w:basedOn w:val="1"/>
    <w:qFormat/>
    <w:uiPriority w:val="99"/>
    <w:pPr>
      <w:spacing w:line="360" w:lineRule="auto"/>
      <w:ind w:firstLine="480" w:firstLineChars="200"/>
    </w:pPr>
    <w:rPr>
      <w:sz w:val="24"/>
    </w:rPr>
  </w:style>
  <w:style w:type="paragraph" w:customStyle="1" w:styleId="34">
    <w:name w:val="Normal (Web)1"/>
    <w:basedOn w:val="1"/>
    <w:next w:val="35"/>
    <w:qFormat/>
    <w:uiPriority w:val="0"/>
    <w:pPr>
      <w:widowControl/>
    </w:pPr>
    <w:rPr>
      <w:rFonts w:ascii="宋体" w:eastAsia="宋体" w:cs="Times New Roman"/>
      <w:sz w:val="24"/>
      <w:szCs w:val="21"/>
    </w:rPr>
  </w:style>
  <w:style w:type="paragraph" w:customStyle="1" w:styleId="35">
    <w:name w:val="Date1"/>
    <w:basedOn w:val="1"/>
    <w:next w:val="1"/>
    <w:qFormat/>
    <w:uiPriority w:val="0"/>
    <w:pPr>
      <w:adjustRightInd w:val="0"/>
      <w:spacing w:line="240" w:lineRule="auto"/>
    </w:pPr>
    <w:rPr>
      <w:sz w:val="21"/>
      <w:szCs w:val="20"/>
    </w:rPr>
  </w:style>
  <w:style w:type="paragraph" w:customStyle="1" w:styleId="36">
    <w:name w:val="样式 标题 1一级标题 + 段前: 0.5 行 段后: 0.5 行"/>
    <w:basedOn w:val="2"/>
    <w:qFormat/>
    <w:uiPriority w:val="0"/>
    <w:pPr>
      <w:spacing w:line="320" w:lineRule="exact"/>
      <w:outlineLvl w:val="9"/>
    </w:pPr>
    <w:rPr>
      <w:rFonts w:eastAsia="宋体"/>
      <w:spacing w:val="-6"/>
      <w:sz w:val="21"/>
      <w:szCs w:val="21"/>
    </w:rPr>
  </w:style>
  <w:style w:type="paragraph" w:customStyle="1" w:styleId="37">
    <w:name w:val="报告正文"/>
    <w:basedOn w:val="1"/>
    <w:next w:val="1"/>
    <w:qFormat/>
    <w:uiPriority w:val="0"/>
    <w:pPr>
      <w:numPr>
        <w:ilvl w:val="0"/>
        <w:numId w:val="1"/>
      </w:numPr>
      <w:spacing w:line="360" w:lineRule="auto"/>
      <w:ind w:firstLine="720" w:firstLineChars="200"/>
    </w:pPr>
  </w:style>
  <w:style w:type="paragraph" w:customStyle="1" w:styleId="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9">
    <w:name w:val="fr4"/>
    <w:basedOn w:val="23"/>
    <w:qFormat/>
    <w:uiPriority w:val="0"/>
  </w:style>
  <w:style w:type="character" w:customStyle="1" w:styleId="40">
    <w:name w:val="last-child"/>
    <w:basedOn w:val="23"/>
    <w:qFormat/>
    <w:uiPriority w:val="0"/>
  </w:style>
  <w:style w:type="character" w:customStyle="1" w:styleId="41">
    <w:name w:val="before"/>
    <w:basedOn w:val="23"/>
    <w:qFormat/>
    <w:uiPriority w:val="0"/>
    <w:rPr>
      <w:rFonts w:hint="default" w:ascii="iconfont" w:hAnsi="iconfont" w:eastAsia="iconfont" w:cs="iconfont"/>
      <w:color w:val="CCCCCC"/>
    </w:rPr>
  </w:style>
  <w:style w:type="character" w:customStyle="1" w:styleId="42">
    <w:name w:val="before1"/>
    <w:basedOn w:val="23"/>
    <w:qFormat/>
    <w:uiPriority w:val="0"/>
    <w:rPr>
      <w:shd w:val="clear" w:color="auto" w:fill="39548B"/>
    </w:rPr>
  </w:style>
  <w:style w:type="character" w:customStyle="1" w:styleId="43">
    <w:name w:val="on"/>
    <w:basedOn w:val="23"/>
    <w:qFormat/>
    <w:uiPriority w:val="0"/>
  </w:style>
  <w:style w:type="paragraph" w:customStyle="1" w:styleId="44">
    <w:name w:val="p0"/>
    <w:basedOn w:val="1"/>
    <w:qFormat/>
    <w:uiPriority w:val="0"/>
    <w:pPr>
      <w:widowControl/>
    </w:pPr>
    <w:rPr>
      <w:szCs w:val="21"/>
    </w:rPr>
  </w:style>
  <w:style w:type="paragraph" w:customStyle="1" w:styleId="45">
    <w:name w:val="样式1"/>
    <w:basedOn w:val="46"/>
    <w:qFormat/>
    <w:uiPriority w:val="0"/>
    <w:pPr>
      <w:widowControl/>
      <w:spacing w:before="80" w:after="80" w:line="540" w:lineRule="exact"/>
      <w:ind w:left="-2"/>
    </w:pPr>
    <w:rPr>
      <w:rFonts w:ascii="Arial" w:hAnsi="Arial"/>
      <w:bCs/>
      <w:kern w:val="0"/>
      <w:szCs w:val="48"/>
    </w:rPr>
  </w:style>
  <w:style w:type="paragraph" w:customStyle="1" w:styleId="46">
    <w:name w:val="a-文本缩2"/>
    <w:qFormat/>
    <w:uiPriority w:val="0"/>
    <w:pPr>
      <w:widowControl w:val="0"/>
      <w:adjustRightInd w:val="0"/>
      <w:snapToGrid w:val="0"/>
      <w:spacing w:line="360" w:lineRule="auto"/>
      <w:ind w:firstLine="480" w:firstLineChars="200"/>
      <w:jc w:val="both"/>
    </w:pPr>
    <w:rPr>
      <w:rFonts w:ascii="Times New Roman" w:hAnsi="Times New Roman" w:eastAsia="宋体" w:cs="Times New Roman"/>
      <w:kern w:val="2"/>
      <w:sz w:val="24"/>
      <w:szCs w:val="21"/>
      <w:lang w:val="en-US" w:eastAsia="zh-CN" w:bidi="ar-SA"/>
    </w:rPr>
  </w:style>
  <w:style w:type="paragraph" w:customStyle="1" w:styleId="47">
    <w:name w:val="【正文】"/>
    <w:basedOn w:val="1"/>
    <w:next w:val="1"/>
    <w:qFormat/>
    <w:uiPriority w:val="0"/>
    <w:pPr>
      <w:spacing w:line="360" w:lineRule="auto"/>
      <w:ind w:firstLine="200" w:firstLineChars="200"/>
    </w:pPr>
    <w:rPr>
      <w:spacing w:val="17"/>
      <w:sz w:val="24"/>
      <w:szCs w:val="20"/>
      <w:lang w:val="zh-CN"/>
    </w:rPr>
  </w:style>
  <w:style w:type="character" w:customStyle="1" w:styleId="48">
    <w:name w:val="fontstyle01"/>
    <w:basedOn w:val="23"/>
    <w:qFormat/>
    <w:uiPriority w:val="0"/>
    <w:rPr>
      <w:rFonts w:hint="eastAsia" w:ascii="宋体" w:hAnsi="宋体" w:eastAsia="宋体"/>
      <w:color w:val="000000"/>
      <w:sz w:val="24"/>
      <w:szCs w:val="24"/>
    </w:rPr>
  </w:style>
  <w:style w:type="paragraph" w:customStyle="1" w:styleId="49">
    <w:name w:val="toc 75"/>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50">
    <w:name w:val="样式 小四 黑色 行距: 固定值 25 磅1"/>
    <w:basedOn w:val="1"/>
    <w:qFormat/>
    <w:uiPriority w:val="99"/>
    <w:pPr>
      <w:spacing w:line="500" w:lineRule="exact"/>
      <w:ind w:firstLine="480" w:firstLineChars="200"/>
    </w:pPr>
    <w:rPr>
      <w:color w:val="000000"/>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1808</Words>
  <Characters>1945</Characters>
  <Lines>1</Lines>
  <Paragraphs>1</Paragraphs>
  <TotalTime>0</TotalTime>
  <ScaleCrop>false</ScaleCrop>
  <LinksUpToDate>false</LinksUpToDate>
  <CharactersWithSpaces>1947</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2022-08-15T07:15:00Z</dcterms:created>
  <dc:creator>海霞</dc:creator>
  <cp:lastModifiedBy>李冬月</cp:lastModifiedBy>
  <cp:lastPrinted>2024-01-18T02:40:00Z</cp:lastPrinted>
  <dcterms:modified xsi:type="dcterms:W3CDTF">2026-08-10T14:47:43Z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8B9DC26850AF40EEAA762E81359F0427_13</vt:lpwstr>
  </property>
  <property fmtid="{D5CDD505-2E9C-101B-9397-08002B2CF9AE}" pid="4" name="KSOTemplateDocerSaveRecord">
    <vt:lpwstr>eyJoZGlkIjoiNTMwYmIxNjFjOTZmNzU4NDQwMDFlOTk2MDk5NjQ5MGEiLCJ1c2VySWQiOiI0NDU2OTczMzcifQ==</vt:lpwstr>
  </property>
</Properties>
</file>