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7A2AD">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default" w:ascii="Times New Roman" w:hAnsi="Times New Roman" w:eastAsia="仿宋_GB2312" w:cs="Times New Roman"/>
          <w:color w:val="0000FF"/>
          <w:sz w:val="32"/>
          <w:szCs w:val="32"/>
          <w:highlight w:val="lightGray"/>
        </w:rPr>
      </w:pPr>
    </w:p>
    <w:p w14:paraId="7F9BCAF6">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default" w:ascii="Times New Roman" w:hAnsi="Times New Roman" w:eastAsia="仿宋_GB2312" w:cs="Times New Roman"/>
          <w:color w:val="0000FF"/>
          <w:sz w:val="32"/>
          <w:szCs w:val="32"/>
          <w:highlight w:val="lightGray"/>
        </w:rPr>
      </w:pPr>
    </w:p>
    <w:p w14:paraId="2F65553A">
      <w:pPr>
        <w:pStyle w:val="15"/>
        <w:keepNext w:val="0"/>
        <w:keepLines w:val="0"/>
        <w:pageBreakBefore w:val="0"/>
        <w:kinsoku/>
        <w:wordWrap/>
        <w:overflowPunct/>
        <w:topLinePunct w:val="0"/>
        <w:autoSpaceDE/>
        <w:autoSpaceDN/>
        <w:bidi w:val="0"/>
        <w:spacing w:line="600" w:lineRule="exact"/>
        <w:ind w:left="102" w:leftChars="0" w:hanging="78"/>
        <w:textAlignment w:val="auto"/>
        <w:rPr>
          <w:rFonts w:hint="default" w:ascii="Times New Roman" w:hAnsi="Times New Roman" w:eastAsia="仿宋_GB2312" w:cs="Times New Roman"/>
          <w:color w:val="0000FF"/>
          <w:sz w:val="32"/>
          <w:szCs w:val="32"/>
        </w:rPr>
      </w:pPr>
    </w:p>
    <w:p w14:paraId="17D77FFE">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default" w:ascii="Times New Roman" w:hAnsi="Times New Roman" w:eastAsia="仿宋_GB2312" w:cs="Times New Roman"/>
          <w:color w:val="0000FF"/>
          <w:sz w:val="32"/>
          <w:szCs w:val="32"/>
          <w:highlight w:val="lightGray"/>
        </w:rPr>
      </w:pPr>
    </w:p>
    <w:p w14:paraId="04BAD012">
      <w:pPr>
        <w:pStyle w:val="46"/>
        <w:keepNext w:val="0"/>
        <w:keepLines w:val="0"/>
        <w:pageBreakBefore w:val="0"/>
        <w:kinsoku/>
        <w:wordWrap/>
        <w:overflowPunct/>
        <w:topLinePunct w:val="0"/>
        <w:autoSpaceDE/>
        <w:autoSpaceDN/>
        <w:bidi w:val="0"/>
        <w:spacing w:line="600" w:lineRule="exact"/>
        <w:ind w:left="0" w:leftChars="0"/>
        <w:jc w:val="right"/>
        <w:textAlignment w:val="auto"/>
        <w:rPr>
          <w:rFonts w:hint="default" w:ascii="Times New Roman" w:hAnsi="Times New Roman" w:eastAsia="仿宋_GB2312" w:cs="Times New Roman"/>
          <w:color w:val="auto"/>
          <w:sz w:val="32"/>
          <w:szCs w:val="32"/>
          <w:highlight w:val="yellow"/>
          <w:shd w:val="clear" w:color="auto" w:fill="auto"/>
          <w:lang w:eastAsia="zh-CN"/>
        </w:rPr>
      </w:pPr>
      <w:r>
        <w:rPr>
          <w:rFonts w:hint="default" w:ascii="Times New Roman" w:hAnsi="Times New Roman" w:eastAsia="仿宋_GB2312" w:cs="Times New Roman"/>
          <w:color w:val="auto"/>
          <w:sz w:val="32"/>
          <w:szCs w:val="32"/>
          <w:highlight w:val="yellow"/>
          <w:shd w:val="clear" w:color="auto" w:fill="auto"/>
        </w:rPr>
        <w:t>本环建表字</w:t>
      </w:r>
      <w:r>
        <w:rPr>
          <w:rFonts w:hint="default" w:ascii="Times New Roman" w:hAnsi="Times New Roman" w:eastAsia="仿宋_GB2312" w:cs="Times New Roman"/>
          <w:color w:val="auto"/>
          <w:sz w:val="32"/>
          <w:szCs w:val="32"/>
          <w:highlight w:val="yellow"/>
          <w:shd w:val="clear" w:color="auto" w:fill="auto"/>
          <w:lang w:eastAsia="zh-CN"/>
        </w:rPr>
        <w:t>〔202</w:t>
      </w:r>
      <w:r>
        <w:rPr>
          <w:rFonts w:hint="default" w:ascii="Times New Roman" w:hAnsi="Times New Roman" w:eastAsia="仿宋_GB2312" w:cs="Times New Roman"/>
          <w:color w:val="auto"/>
          <w:sz w:val="32"/>
          <w:szCs w:val="32"/>
          <w:highlight w:val="yellow"/>
          <w:shd w:val="clear" w:color="auto" w:fill="auto"/>
          <w:lang w:val="en-US" w:eastAsia="zh-CN"/>
        </w:rPr>
        <w:t>6</w:t>
      </w:r>
      <w:r>
        <w:rPr>
          <w:rFonts w:hint="default" w:ascii="Times New Roman" w:hAnsi="Times New Roman" w:eastAsia="仿宋_GB2312" w:cs="Times New Roman"/>
          <w:color w:val="auto"/>
          <w:sz w:val="32"/>
          <w:szCs w:val="32"/>
          <w:highlight w:val="yellow"/>
          <w:shd w:val="clear" w:color="auto" w:fill="auto"/>
          <w:lang w:eastAsia="zh-CN"/>
        </w:rPr>
        <w:t>〕</w:t>
      </w:r>
      <w:r>
        <w:rPr>
          <w:rFonts w:hint="default" w:ascii="Times New Roman" w:hAnsi="Times New Roman" w:eastAsia="仿宋_GB2312" w:cs="Times New Roman"/>
          <w:color w:val="auto"/>
          <w:sz w:val="32"/>
          <w:szCs w:val="32"/>
          <w:highlight w:val="yellow"/>
          <w:shd w:val="clear" w:color="auto" w:fill="auto"/>
          <w:lang w:val="en-US" w:eastAsia="zh-CN"/>
        </w:rPr>
        <w:t>xx</w:t>
      </w:r>
      <w:r>
        <w:rPr>
          <w:rFonts w:hint="default" w:ascii="Times New Roman" w:hAnsi="Times New Roman" w:eastAsia="仿宋_GB2312" w:cs="Times New Roman"/>
          <w:color w:val="auto"/>
          <w:sz w:val="32"/>
          <w:szCs w:val="32"/>
          <w:highlight w:val="yellow"/>
          <w:shd w:val="clear" w:color="auto" w:fill="auto"/>
          <w:lang w:eastAsia="zh-CN"/>
        </w:rPr>
        <w:t>号</w:t>
      </w:r>
    </w:p>
    <w:p w14:paraId="6ED72026">
      <w:pPr>
        <w:keepNext w:val="0"/>
        <w:keepLines w:val="0"/>
        <w:pageBreakBefore w:val="0"/>
        <w:kinsoku/>
        <w:wordWrap/>
        <w:overflowPunct/>
        <w:topLinePunct w:val="0"/>
        <w:autoSpaceDE/>
        <w:autoSpaceDN/>
        <w:bidi w:val="0"/>
        <w:spacing w:line="600" w:lineRule="exact"/>
        <w:ind w:left="0"/>
        <w:jc w:val="center"/>
        <w:textAlignment w:val="auto"/>
        <w:rPr>
          <w:rFonts w:hint="eastAsia" w:ascii="方正小标宋简体" w:hAnsi="方正小标宋简体" w:eastAsia="方正小标宋简体" w:cs="方正小标宋简体"/>
          <w:b w:val="0"/>
          <w:bCs w:val="0"/>
          <w:snapToGrid/>
          <w:color w:val="auto"/>
          <w:spacing w:val="0"/>
          <w:kern w:val="2"/>
          <w:sz w:val="44"/>
          <w:szCs w:val="44"/>
          <w:highlight w:val="none"/>
        </w:rPr>
      </w:pPr>
      <w:r>
        <w:rPr>
          <w:rFonts w:hint="eastAsia" w:ascii="方正小标宋简体" w:hAnsi="方正小标宋简体" w:eastAsia="方正小标宋简体" w:cs="方正小标宋简体"/>
          <w:b w:val="0"/>
          <w:bCs w:val="0"/>
          <w:snapToGrid/>
          <w:color w:val="auto"/>
          <w:spacing w:val="0"/>
          <w:kern w:val="2"/>
          <w:sz w:val="44"/>
          <w:szCs w:val="44"/>
          <w:highlight w:val="none"/>
        </w:rPr>
        <w:t>关于《</w:t>
      </w:r>
      <w:r>
        <w:rPr>
          <w:rFonts w:hint="eastAsia" w:ascii="方正小标宋简体" w:hAnsi="方正小标宋简体" w:eastAsia="方正小标宋简体" w:cs="方正小标宋简体"/>
          <w:b w:val="0"/>
          <w:bCs w:val="0"/>
          <w:color w:val="auto"/>
          <w:spacing w:val="11"/>
          <w:sz w:val="44"/>
          <w:szCs w:val="44"/>
          <w:highlight w:val="none"/>
          <w:lang w:val="en-US" w:eastAsia="zh-CN"/>
        </w:rPr>
        <w:t>中氧朗渤（辽宁）制氧有限公司食品级二氧化碳、食品级氮气及食品级一氧化二氮产业化建设项目</w:t>
      </w:r>
      <w:r>
        <w:rPr>
          <w:rFonts w:hint="eastAsia" w:ascii="方正小标宋简体" w:hAnsi="方正小标宋简体" w:eastAsia="方正小标宋简体" w:cs="方正小标宋简体"/>
          <w:b w:val="0"/>
          <w:bCs w:val="0"/>
          <w:color w:val="auto"/>
          <w:spacing w:val="11"/>
          <w:sz w:val="44"/>
          <w:szCs w:val="44"/>
          <w:highlight w:val="none"/>
        </w:rPr>
        <w:t>环境影响报告表</w:t>
      </w:r>
      <w:r>
        <w:rPr>
          <w:rFonts w:hint="eastAsia" w:ascii="方正小标宋简体" w:hAnsi="方正小标宋简体" w:eastAsia="方正小标宋简体" w:cs="方正小标宋简体"/>
          <w:b w:val="0"/>
          <w:bCs w:val="0"/>
          <w:snapToGrid/>
          <w:color w:val="auto"/>
          <w:spacing w:val="0"/>
          <w:kern w:val="2"/>
          <w:sz w:val="44"/>
          <w:szCs w:val="44"/>
          <w:highlight w:val="none"/>
        </w:rPr>
        <w:t>》的批复</w:t>
      </w:r>
    </w:p>
    <w:p w14:paraId="719F8336">
      <w:pPr>
        <w:keepNext w:val="0"/>
        <w:keepLines w:val="0"/>
        <w:pageBreakBefore w:val="0"/>
        <w:kinsoku/>
        <w:wordWrap/>
        <w:overflowPunct/>
        <w:topLinePunct w:val="0"/>
        <w:autoSpaceDE/>
        <w:autoSpaceDN/>
        <w:bidi w:val="0"/>
        <w:spacing w:after="240" w:afterLines="100" w:line="600" w:lineRule="exact"/>
        <w:ind w:left="0" w:leftChars="0"/>
        <w:jc w:val="center"/>
        <w:textAlignment w:val="auto"/>
        <w:rPr>
          <w:rFonts w:hint="default" w:ascii="Times New Roman" w:hAnsi="Times New Roman" w:eastAsia="仿宋_GB2312" w:cs="Times New Roman"/>
          <w:bCs w:val="0"/>
          <w:snapToGrid/>
          <w:color w:val="auto"/>
          <w:spacing w:val="0"/>
          <w:kern w:val="2"/>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Cs w:val="0"/>
          <w:snapToGrid/>
          <w:color w:val="auto"/>
          <w:spacing w:val="0"/>
          <w:kern w:val="2"/>
          <w:sz w:val="32"/>
          <w:szCs w:val="32"/>
          <w:highlight w:val="none"/>
        </w:rPr>
        <w:t>征求意见稿</w:t>
      </w:r>
      <w:r>
        <w:rPr>
          <w:rFonts w:hint="default" w:ascii="Times New Roman" w:hAnsi="Times New Roman" w:eastAsia="仿宋_GB2312" w:cs="Times New Roman"/>
          <w:color w:val="auto"/>
          <w:sz w:val="32"/>
          <w:szCs w:val="32"/>
          <w:highlight w:val="none"/>
          <w:lang w:val="en-US" w:eastAsia="zh-CN"/>
        </w:rPr>
        <w:t>）</w:t>
      </w:r>
    </w:p>
    <w:p w14:paraId="117BAEF9">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中氧朗渤（辽宁）制氧有限公司：</w:t>
      </w:r>
    </w:p>
    <w:p w14:paraId="56DE2532">
      <w:pPr>
        <w:keepNext w:val="0"/>
        <w:keepLines w:val="0"/>
        <w:pageBreakBefore w:val="0"/>
        <w:kinsoku/>
        <w:wordWrap/>
        <w:overflowPunct/>
        <w:topLinePunct w:val="0"/>
        <w:autoSpaceDE/>
        <w:autoSpaceDN/>
        <w:bidi w:val="0"/>
        <w:spacing w:line="600" w:lineRule="exact"/>
        <w:ind w:firstLine="68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你公司报送的《中氧朗渤（辽宁）制氧有限公司食品级二氧化碳、食品级氮气及食品级一氧化二氮产业化建设项目环境影响报告表》（以下简称“报告表”）已收悉。根据环评专家评审意见及技术评估报告结论，经我局2026年建设项目审查委员会</w:t>
      </w:r>
      <w:r>
        <w:rPr>
          <w:rFonts w:hint="default" w:ascii="Times New Roman" w:hAnsi="Times New Roman" w:eastAsia="仿宋_GB2312" w:cs="Times New Roman"/>
          <w:color w:val="auto"/>
          <w:sz w:val="32"/>
          <w:szCs w:val="32"/>
          <w:highlight w:val="yellow"/>
          <w:lang w:val="en-US" w:eastAsia="zh-CN"/>
        </w:rPr>
        <w:t>第五次</w:t>
      </w:r>
      <w:r>
        <w:rPr>
          <w:rFonts w:hint="default" w:ascii="Times New Roman" w:hAnsi="Times New Roman" w:eastAsia="仿宋_GB2312" w:cs="Times New Roman"/>
          <w:color w:val="auto"/>
          <w:sz w:val="32"/>
          <w:szCs w:val="32"/>
          <w:highlight w:val="none"/>
          <w:lang w:val="en-US" w:eastAsia="zh-CN"/>
        </w:rPr>
        <w:t>会议讨论同意，现批复如下：</w:t>
      </w:r>
    </w:p>
    <w:p w14:paraId="1106DA38">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一、</w:t>
      </w:r>
      <w:bookmarkStart w:id="0" w:name="OLE_LINK10"/>
      <w:r>
        <w:rPr>
          <w:rFonts w:hint="default" w:ascii="Times New Roman" w:hAnsi="Times New Roman" w:eastAsia="仿宋_GB2312" w:cs="Times New Roman"/>
          <w:bCs/>
          <w:color w:val="auto"/>
          <w:sz w:val="32"/>
          <w:szCs w:val="32"/>
          <w:highlight w:val="none"/>
          <w:lang w:val="en-US" w:eastAsia="zh-CN"/>
        </w:rPr>
        <w:t>项目位于辽宁省本溪市高新技术产业开发区石桥子平台一街6号。工程总投资为2000万元，环保投资24万元，环保投资占比1.2%。项目属于新建项目，租赁辽宁泰都医用液态氧制造有限公司厂区内闲置厂房及工业场地建设食品级二氧化碳、食品级氮气及食品级一氧化二氮产业化建设项目，占地面积4550m</w:t>
      </w:r>
      <w:r>
        <w:rPr>
          <w:rFonts w:hint="default" w:ascii="Times New Roman" w:hAnsi="Times New Roman" w:eastAsia="仿宋_GB2312" w:cs="Times New Roman"/>
          <w:bCs/>
          <w:color w:val="auto"/>
          <w:sz w:val="32"/>
          <w:szCs w:val="32"/>
          <w:highlight w:val="none"/>
          <w:vertAlign w:val="superscript"/>
          <w:lang w:val="en-US" w:eastAsia="zh-CN"/>
        </w:rPr>
        <w:t>2</w:t>
      </w:r>
      <w:r>
        <w:rPr>
          <w:rFonts w:hint="default" w:ascii="Times New Roman" w:hAnsi="Times New Roman" w:eastAsia="仿宋_GB2312" w:cs="Times New Roman"/>
          <w:bCs/>
          <w:color w:val="auto"/>
          <w:sz w:val="32"/>
          <w:szCs w:val="32"/>
          <w:highlight w:val="none"/>
          <w:lang w:val="en-US" w:eastAsia="zh-CN"/>
        </w:rPr>
        <w:t>，主要建设内容为设置一氧化二氮充装车间1座，氮气、二氧化碳充装车间1座，配套设置30m</w:t>
      </w:r>
      <w:r>
        <w:rPr>
          <w:rFonts w:hint="default" w:ascii="Times New Roman" w:hAnsi="Times New Roman" w:eastAsia="仿宋_GB2312" w:cs="Times New Roman"/>
          <w:bCs/>
          <w:color w:val="auto"/>
          <w:sz w:val="32"/>
          <w:szCs w:val="32"/>
          <w:highlight w:val="none"/>
          <w:vertAlign w:val="superscript"/>
          <w:lang w:val="en-US" w:eastAsia="zh-CN"/>
        </w:rPr>
        <w:t>3</w:t>
      </w:r>
      <w:r>
        <w:rPr>
          <w:rFonts w:hint="default" w:ascii="Times New Roman" w:hAnsi="Times New Roman" w:eastAsia="仿宋_GB2312" w:cs="Times New Roman"/>
          <w:bCs/>
          <w:color w:val="auto"/>
          <w:sz w:val="32"/>
          <w:szCs w:val="32"/>
          <w:highlight w:val="none"/>
          <w:lang w:val="en-US" w:eastAsia="zh-CN"/>
        </w:rPr>
        <w:t>低温一氧化二氮储罐、30m</w:t>
      </w:r>
      <w:r>
        <w:rPr>
          <w:rFonts w:hint="default" w:ascii="Times New Roman" w:hAnsi="Times New Roman" w:eastAsia="仿宋_GB2312" w:cs="Times New Roman"/>
          <w:bCs/>
          <w:color w:val="auto"/>
          <w:sz w:val="32"/>
          <w:szCs w:val="32"/>
          <w:highlight w:val="none"/>
          <w:vertAlign w:val="superscript"/>
          <w:lang w:val="en-US" w:eastAsia="zh-CN"/>
        </w:rPr>
        <w:t>3</w:t>
      </w:r>
      <w:r>
        <w:rPr>
          <w:rFonts w:hint="default" w:ascii="Times New Roman" w:hAnsi="Times New Roman" w:eastAsia="仿宋_GB2312" w:cs="Times New Roman"/>
          <w:bCs/>
          <w:color w:val="auto"/>
          <w:sz w:val="32"/>
          <w:szCs w:val="32"/>
          <w:highlight w:val="none"/>
          <w:lang w:val="en-US" w:eastAsia="zh-CN"/>
        </w:rPr>
        <w:t>低温氮气储罐、30m</w:t>
      </w:r>
      <w:r>
        <w:rPr>
          <w:rFonts w:hint="default" w:ascii="Times New Roman" w:hAnsi="Times New Roman" w:eastAsia="仿宋_GB2312" w:cs="Times New Roman"/>
          <w:bCs/>
          <w:color w:val="auto"/>
          <w:sz w:val="32"/>
          <w:szCs w:val="32"/>
          <w:highlight w:val="none"/>
          <w:vertAlign w:val="superscript"/>
          <w:lang w:val="en-US" w:eastAsia="zh-CN"/>
        </w:rPr>
        <w:t>3</w:t>
      </w:r>
      <w:r>
        <w:rPr>
          <w:rFonts w:hint="default" w:ascii="Times New Roman" w:hAnsi="Times New Roman" w:eastAsia="仿宋_GB2312" w:cs="Times New Roman"/>
          <w:bCs/>
          <w:color w:val="auto"/>
          <w:sz w:val="32"/>
          <w:szCs w:val="32"/>
          <w:highlight w:val="none"/>
          <w:lang w:val="en-US" w:eastAsia="zh-CN"/>
        </w:rPr>
        <w:t>低温二氧化碳储罐各1座，通过外购液态源，采用充装工艺实现气体的储存、分装与供应，不涉及气体生产，设计生产规模为食品级一氧化二氮8000瓶/日、食品级氮气100瓶/日、食品级二氧化碳100瓶/日。</w:t>
      </w:r>
    </w:p>
    <w:bookmarkEnd w:id="0"/>
    <w:p w14:paraId="7D75399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80" w:firstLineChars="200"/>
        <w:textAlignment w:val="auto"/>
        <w:rPr>
          <w:rFonts w:hint="default" w:ascii="Times New Roman" w:hAnsi="Times New Roman" w:eastAsia="仿宋_GB2312" w:cs="Times New Roman"/>
          <w:color w:val="0000FF"/>
          <w:sz w:val="32"/>
          <w:szCs w:val="32"/>
          <w:highlight w:val="none"/>
          <w:lang w:val="en-US" w:eastAsia="zh-CN"/>
        </w:rPr>
      </w:pPr>
      <w:r>
        <w:rPr>
          <w:rFonts w:hint="default" w:ascii="Times New Roman" w:hAnsi="Times New Roman" w:eastAsia="仿宋_GB2312" w:cs="Times New Roman"/>
          <w:bCs/>
          <w:color w:val="auto"/>
          <w:sz w:val="32"/>
          <w:szCs w:val="32"/>
          <w:lang w:val="en-US" w:eastAsia="zh-CN"/>
        </w:rPr>
        <w:t>根据《产业结构调整指导目录（2024年本）》，该项目</w:t>
      </w:r>
      <w:r>
        <w:rPr>
          <w:rFonts w:hint="default" w:ascii="Times New Roman" w:hAnsi="Times New Roman" w:eastAsia="仿宋_GB2312" w:cs="Times New Roman"/>
          <w:bCs/>
          <w:color w:val="auto"/>
          <w:sz w:val="32"/>
          <w:szCs w:val="32"/>
          <w:highlight w:val="none"/>
          <w:shd w:val="clear" w:color="auto" w:fill="auto"/>
          <w:lang w:val="en-US" w:eastAsia="zh-CN"/>
        </w:rPr>
        <w:t>不属于“鼓励类”、“限制类”和“淘汰类”</w:t>
      </w:r>
      <w:r>
        <w:rPr>
          <w:rFonts w:hint="default" w:ascii="Times New Roman" w:hAnsi="Times New Roman" w:eastAsia="仿宋_GB2312" w:cs="Times New Roman"/>
          <w:bCs/>
          <w:color w:val="auto"/>
          <w:sz w:val="32"/>
          <w:szCs w:val="32"/>
          <w:highlight w:val="none"/>
          <w:shd w:val="clear" w:color="auto" w:fill="auto"/>
          <w:lang w:val="en-US" w:eastAsia="zh-CN"/>
        </w:rPr>
        <w:t>项目</w:t>
      </w:r>
      <w:r>
        <w:rPr>
          <w:rFonts w:hint="default" w:ascii="Times New Roman" w:hAnsi="Times New Roman" w:eastAsia="仿宋_GB2312" w:cs="Times New Roman"/>
          <w:bCs/>
          <w:color w:val="auto"/>
          <w:sz w:val="32"/>
          <w:szCs w:val="32"/>
          <w:lang w:val="en-US" w:eastAsia="zh-CN"/>
        </w:rPr>
        <w:t>，符合国家产业政策。在满足应急管理部门安全条件审查意见，严格落实报告表和本批复提出的各项生态环境保护措施和环境风险防范措施后，从生态环境角度，同意环境影响报告表中所列建设项目地点、生产规模和环境保护措施进行建设</w:t>
      </w:r>
      <w:r>
        <w:rPr>
          <w:rFonts w:hint="default" w:ascii="Times New Roman" w:hAnsi="Times New Roman" w:eastAsia="仿宋_GB2312" w:cs="Times New Roman"/>
          <w:color w:val="auto"/>
          <w:sz w:val="32"/>
          <w:szCs w:val="32"/>
          <w:highlight w:val="none"/>
          <w:lang w:val="zh-TW" w:eastAsia="zh-CN"/>
        </w:rPr>
        <w:t>。</w:t>
      </w:r>
      <w:bookmarkStart w:id="5" w:name="_GoBack"/>
      <w:bookmarkEnd w:id="5"/>
    </w:p>
    <w:p w14:paraId="6840412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val="0"/>
          <w:snapToGrid/>
          <w:color w:val="auto"/>
          <w:spacing w:val="0"/>
          <w:kern w:val="2"/>
          <w:sz w:val="32"/>
          <w:szCs w:val="32"/>
          <w:highlight w:val="none"/>
        </w:rPr>
      </w:pPr>
      <w:r>
        <w:rPr>
          <w:rFonts w:hint="default" w:ascii="Times New Roman" w:hAnsi="Times New Roman" w:eastAsia="仿宋_GB2312" w:cs="Times New Roman"/>
          <w:bCs w:val="0"/>
          <w:snapToGrid/>
          <w:color w:val="auto"/>
          <w:spacing w:val="0"/>
          <w:kern w:val="2"/>
          <w:sz w:val="32"/>
          <w:szCs w:val="32"/>
          <w:highlight w:val="none"/>
        </w:rPr>
        <w:t>二、项目建设应严格落实《报告表》提出的各项环境保护措施和风险防控措施，重点做好以下工作：</w:t>
      </w:r>
    </w:p>
    <w:p w14:paraId="03DE5052">
      <w:pPr>
        <w:keepNext w:val="0"/>
        <w:keepLines w:val="0"/>
        <w:pageBreakBefore w:val="0"/>
        <w:widowControl w:val="0"/>
        <w:kinsoku/>
        <w:wordWrap/>
        <w:overflowPunct/>
        <w:topLinePunct w:val="0"/>
        <w:autoSpaceDE/>
        <w:autoSpaceDN/>
        <w:bidi w:val="0"/>
        <w:adjustRightInd/>
        <w:snapToGrid/>
        <w:spacing w:line="600" w:lineRule="exact"/>
        <w:ind w:left="0" w:firstLine="68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一</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严格落实施</w:t>
      </w:r>
      <w:r>
        <w:rPr>
          <w:rFonts w:hint="default" w:ascii="Times New Roman" w:hAnsi="Times New Roman" w:eastAsia="仿宋_GB2312" w:cs="Times New Roman"/>
          <w:bCs/>
          <w:snapToGrid w:val="0"/>
          <w:color w:val="auto"/>
          <w:spacing w:val="10"/>
          <w:sz w:val="32"/>
          <w:szCs w:val="32"/>
          <w:highlight w:val="none"/>
          <w:lang w:val="en-US" w:eastAsia="zh-CN" w:bidi="ar-SA"/>
        </w:rPr>
        <w:t>工期污染防治措施。</w:t>
      </w:r>
      <w:r>
        <w:rPr>
          <w:rFonts w:hint="default" w:ascii="Times New Roman" w:hAnsi="Times New Roman" w:eastAsia="仿宋_GB2312" w:cs="Times New Roman"/>
          <w:bCs/>
          <w:color w:val="auto"/>
          <w:sz w:val="32"/>
          <w:szCs w:val="32"/>
          <w:highlight w:val="none"/>
          <w:lang w:val="en-US" w:eastAsia="zh-CN"/>
        </w:rPr>
        <w:t>施工期设置不低于2.5米的围挡，施工工地地面、车行道路</w:t>
      </w:r>
      <w:r>
        <w:rPr>
          <w:rFonts w:hint="default" w:ascii="Times New Roman" w:hAnsi="Times New Roman" w:eastAsia="仿宋_GB2312" w:cs="Times New Roman"/>
          <w:bCs/>
          <w:color w:val="auto"/>
          <w:sz w:val="32"/>
          <w:szCs w:val="32"/>
          <w:lang w:val="en-US" w:eastAsia="zh-CN"/>
        </w:rPr>
        <w:t>进行硬化处理，临时堆放场采取围挡、遮盖等防尘措施，运输车辆在除泥、冲洗干净后驶出作业场所，散装物料、建筑垃圾和渣土应采用密闭方式清运，做好“六个百分之百”、实行“三包”后，施工期扬尘排放浓度应满足《施工及堆料场地扬尘排放标准》（DB21/2642-2016）表1中城镇建成区的浓度限值要求；施工人员生活污水依托附近生活设施排放；施工期噪声通过</w:t>
      </w:r>
      <w:r>
        <w:rPr>
          <w:rFonts w:hint="default" w:ascii="Times New Roman" w:hAnsi="Times New Roman" w:eastAsia="仿宋_GB2312" w:cs="Times New Roman"/>
          <w:bCs/>
          <w:color w:val="auto"/>
          <w:sz w:val="32"/>
          <w:szCs w:val="32"/>
          <w:lang w:val="zh-CN" w:eastAsia="zh-CN"/>
        </w:rPr>
        <w:t>选择低噪声施工设备、</w:t>
      </w:r>
      <w:r>
        <w:rPr>
          <w:rFonts w:hint="default" w:ascii="Times New Roman" w:hAnsi="Times New Roman" w:eastAsia="仿宋_GB2312" w:cs="Times New Roman"/>
          <w:bCs/>
          <w:color w:val="auto"/>
          <w:sz w:val="32"/>
          <w:szCs w:val="32"/>
          <w:lang w:val="en-US" w:eastAsia="zh-CN"/>
        </w:rPr>
        <w:t>合理安排施工作业时间，夜间禁止施工后，施工场界噪声应满足《建筑施工噪声排放标准》</w:t>
      </w:r>
      <w:r>
        <w:rPr>
          <w:rFonts w:hint="default" w:ascii="Times New Roman" w:hAnsi="Times New Roman" w:eastAsia="仿宋_GB2312" w:cs="Times New Roman"/>
          <w:bCs/>
          <w:color w:val="auto"/>
          <w:sz w:val="32"/>
          <w:szCs w:val="32"/>
          <w:highlight w:val="none"/>
          <w:lang w:val="en-US" w:eastAsia="zh-CN"/>
        </w:rPr>
        <w:t>(GB12523-2025)限值要求；施工期产生的建筑垃圾清运至指定地点集中处理，</w:t>
      </w:r>
      <w:r>
        <w:rPr>
          <w:rFonts w:hint="default" w:ascii="Times New Roman" w:hAnsi="Times New Roman" w:eastAsia="仿宋_GB2312" w:cs="Times New Roman"/>
          <w:bCs/>
          <w:snapToGrid w:val="0"/>
          <w:color w:val="000000"/>
          <w:spacing w:val="10"/>
          <w:kern w:val="2"/>
          <w:sz w:val="32"/>
          <w:szCs w:val="32"/>
          <w:highlight w:val="none"/>
          <w:lang w:val="en-US" w:eastAsia="zh-CN" w:bidi="ar-SA"/>
        </w:rPr>
        <w:t>施工人员产生的</w:t>
      </w:r>
      <w:r>
        <w:rPr>
          <w:rFonts w:hint="default" w:ascii="Times New Roman" w:hAnsi="Times New Roman" w:eastAsia="仿宋_GB2312" w:cs="Times New Roman"/>
          <w:bCs/>
          <w:color w:val="auto"/>
          <w:sz w:val="32"/>
          <w:szCs w:val="32"/>
          <w:highlight w:val="none"/>
          <w:lang w:val="en-US" w:eastAsia="zh-CN"/>
        </w:rPr>
        <w:t>生活垃圾由环卫部门集中清运。</w:t>
      </w:r>
    </w:p>
    <w:p w14:paraId="3CBA4076">
      <w:pPr>
        <w:pStyle w:val="3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（二）</w:t>
      </w:r>
      <w:r>
        <w:rPr>
          <w:rFonts w:hint="default" w:ascii="Times New Roman" w:hAnsi="Times New Roman" w:eastAsia="仿宋_GB2312" w:cs="Times New Roman"/>
          <w:b w:val="0"/>
          <w:bCs/>
          <w:color w:val="auto"/>
          <w:sz w:val="32"/>
          <w:szCs w:val="32"/>
          <w:highlight w:val="none"/>
          <w:lang w:eastAsia="zh-CN"/>
        </w:rPr>
        <w:t>严格落实大气污染防治措施。</w:t>
      </w:r>
      <w:bookmarkStart w:id="1" w:name="OLE_LINK11"/>
      <w:r>
        <w:rPr>
          <w:rFonts w:hint="default" w:ascii="Times New Roman" w:hAnsi="Times New Roman" w:eastAsia="仿宋_GB2312" w:cs="Times New Roman"/>
          <w:b w:val="0"/>
          <w:bCs/>
          <w:color w:val="auto"/>
          <w:sz w:val="32"/>
          <w:szCs w:val="32"/>
          <w:highlight w:val="none"/>
          <w:lang w:val="en-US" w:eastAsia="zh-CN"/>
        </w:rPr>
        <w:t>槽车向储罐转输过程采用密闭性良好的充装管线，在槽车与储罐之间增设‌气相平衡管，并在管道末端设置‌低温真空泵‌，将转输结束残留在管道和接头中的一氧化二氮抽回至缓冲罐，减少转输环节气体逸散。充装线末端设置‌低压回收管路‌，将充装结束后接头和管道内的残余一氧化二氮抽回至缓冲罐，实现循环利用。厂区路面硬化，定期清扫、洒水抑尘。充装工艺应满足《气瓶充装站安全技术条件》（GB/T27550-2011）相关要求。</w:t>
      </w:r>
    </w:p>
    <w:bookmarkEnd w:id="1"/>
    <w:p w14:paraId="744EBD29">
      <w:pPr>
        <w:pStyle w:val="6"/>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仿宋_GB2312" w:cs="Times New Roman"/>
          <w:b w:val="0"/>
          <w:bCs/>
          <w:iCs w:val="0"/>
          <w:snapToGrid w:val="0"/>
          <w:color w:val="auto"/>
          <w:spacing w:val="10"/>
          <w:sz w:val="32"/>
          <w:szCs w:val="32"/>
          <w:highlight w:val="none"/>
          <w:lang w:val="en-US" w:eastAsia="zh-CN" w:bidi="ar-SA"/>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（三）</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严格落实水污染防治措施。</w:t>
      </w:r>
      <w:bookmarkStart w:id="2" w:name="OLE_LINK12"/>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本项目无生产废水产生。员工生活污水经厂区化粪池（1m</w:t>
      </w:r>
      <w:r>
        <w:rPr>
          <w:rFonts w:hint="default" w:ascii="Times New Roman" w:hAnsi="Times New Roman" w:eastAsia="仿宋_GB2312" w:cs="Times New Roman"/>
          <w:b w:val="0"/>
          <w:bCs/>
          <w:iCs w:val="0"/>
          <w:snapToGrid w:val="0"/>
          <w:color w:val="auto"/>
          <w:spacing w:val="10"/>
          <w:sz w:val="32"/>
          <w:szCs w:val="32"/>
          <w:highlight w:val="none"/>
          <w:vertAlign w:val="superscript"/>
          <w:lang w:val="en-US" w:eastAsia="zh-CN" w:bidi="ar-SA"/>
        </w:rPr>
        <w:t>3</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）处理后，通过市政管网排入高新区污水处理厂。废水排放浓度应满足《辽宁省污水综合排放标准》（DB21/1627-2008）表2及《污水综合排放标准》（GB8978-1996）表4排放限值要求。</w:t>
      </w:r>
    </w:p>
    <w:bookmarkEnd w:id="2"/>
    <w:p w14:paraId="4A0FAB7A">
      <w:pPr>
        <w:keepNext w:val="0"/>
        <w:keepLines w:val="0"/>
        <w:pageBreakBefore w:val="0"/>
        <w:kinsoku/>
        <w:wordWrap/>
        <w:overflowPunct/>
        <w:topLinePunct w:val="0"/>
        <w:autoSpaceDE/>
        <w:autoSpaceDN/>
        <w:bidi w:val="0"/>
        <w:adjustRightInd w:val="0"/>
        <w:snapToGrid w:val="0"/>
        <w:spacing w:line="600" w:lineRule="exact"/>
        <w:ind w:firstLine="520"/>
        <w:textAlignment w:val="auto"/>
        <w:rPr>
          <w:rFonts w:hint="default" w:ascii="Times New Roman" w:hAnsi="Times New Roman" w:eastAsia="仿宋_GB2312" w:cs="Times New Roman"/>
          <w:bCs/>
          <w:snapToGrid w:val="0"/>
          <w:color w:val="auto"/>
          <w:spacing w:val="10"/>
          <w:kern w:val="0"/>
          <w:sz w:val="32"/>
          <w:szCs w:val="32"/>
          <w:highlight w:val="none"/>
          <w:lang w:val="en-US" w:eastAsia="zh-CN" w:bidi="ar-SA"/>
        </w:rPr>
      </w:pP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Cs w:val="0"/>
          <w:snapToGrid/>
          <w:color w:val="auto"/>
          <w:spacing w:val="0"/>
          <w:kern w:val="2"/>
          <w:sz w:val="32"/>
          <w:szCs w:val="32"/>
          <w:highlight w:val="none"/>
          <w:lang w:val="en-US" w:eastAsia="zh-CN" w:bidi="ar-SA"/>
        </w:rPr>
        <w:t>四</w:t>
      </w: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zh-TW" w:eastAsia="zh-CN" w:bidi="ar-SA"/>
        </w:rPr>
        <w:t>严格落实噪声污染防治措施</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rPr>
        <w:t>运营期</w:t>
      </w:r>
      <w:r>
        <w:rPr>
          <w:rFonts w:hint="default" w:ascii="Times New Roman" w:hAnsi="Times New Roman" w:eastAsia="仿宋_GB2312" w:cs="Times New Roman"/>
          <w:bCs/>
          <w:snapToGrid w:val="0"/>
          <w:color w:val="auto"/>
          <w:spacing w:val="10"/>
          <w:sz w:val="32"/>
          <w:szCs w:val="32"/>
          <w:highlight w:val="none"/>
          <w:lang w:val="en-US" w:eastAsia="zh-CN" w:bidi="ar-SA"/>
        </w:rPr>
        <w:t>通过选择低噪声设施、基础减振、厂房隔声</w:t>
      </w:r>
      <w:r>
        <w:rPr>
          <w:rFonts w:hint="default" w:ascii="Times New Roman" w:hAnsi="Times New Roman" w:eastAsia="仿宋_GB2312" w:cs="Times New Roman"/>
          <w:sz w:val="32"/>
          <w:szCs w:val="32"/>
          <w:highlight w:val="none"/>
          <w:lang w:bidi="ar"/>
        </w:rPr>
        <w:t>等降噪措施后</w:t>
      </w:r>
      <w:r>
        <w:rPr>
          <w:rFonts w:hint="default" w:ascii="Times New Roman" w:hAnsi="Times New Roman" w:eastAsia="仿宋_GB2312" w:cs="Times New Roman"/>
          <w:bCs/>
          <w:snapToGrid w:val="0"/>
          <w:color w:val="auto"/>
          <w:spacing w:val="10"/>
          <w:sz w:val="32"/>
          <w:szCs w:val="32"/>
          <w:highlight w:val="none"/>
          <w:lang w:val="en-US" w:eastAsia="zh-CN" w:bidi="ar-SA"/>
        </w:rPr>
        <w:t>，厂界噪声应满足《工业企业厂界环境噪声排放标准》（GB12348-2008）3类标准要求</w:t>
      </w:r>
      <w:r>
        <w:rPr>
          <w:rFonts w:hint="default" w:ascii="Times New Roman" w:hAnsi="Times New Roman" w:eastAsia="仿宋_GB2312" w:cs="Times New Roman"/>
          <w:bCs/>
          <w:snapToGrid w:val="0"/>
          <w:color w:val="auto"/>
          <w:spacing w:val="10"/>
          <w:kern w:val="0"/>
          <w:sz w:val="32"/>
          <w:szCs w:val="32"/>
          <w:highlight w:val="none"/>
          <w:lang w:val="zh-CN" w:eastAsia="zh-CN" w:bidi="ar-SA"/>
        </w:rPr>
        <w:t>。</w:t>
      </w:r>
    </w:p>
    <w:p w14:paraId="32BDC03B">
      <w:pPr>
        <w:keepNext w:val="0"/>
        <w:keepLines w:val="0"/>
        <w:pageBreakBefore w:val="0"/>
        <w:widowControl w:val="0"/>
        <w:tabs>
          <w:tab w:val="left" w:pos="5812"/>
        </w:tabs>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Cs w:val="0"/>
          <w:snapToGrid/>
          <w:color w:val="auto"/>
          <w:spacing w:val="0"/>
          <w:kern w:val="2"/>
          <w:sz w:val="32"/>
          <w:szCs w:val="32"/>
          <w:highlight w:val="none"/>
          <w:lang w:val="en-US" w:eastAsia="zh-CN" w:bidi="ar-SA"/>
        </w:rPr>
        <w:t>五</w:t>
      </w: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zh-TW" w:eastAsia="zh-CN" w:bidi="ar-SA"/>
        </w:rPr>
        <w:t>严格落实固体废物污染防控措施。</w:t>
      </w:r>
      <w:bookmarkStart w:id="3" w:name="OLE_LINK13"/>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废钢瓶统一收集后，贮存于废钢瓶暂存区（15m</w:t>
      </w:r>
      <w:r>
        <w:rPr>
          <w:rFonts w:hint="default" w:ascii="Times New Roman" w:hAnsi="Times New Roman" w:eastAsia="仿宋_GB2312" w:cs="Times New Roman"/>
          <w:b w:val="0"/>
          <w:bCs/>
          <w:iCs w:val="0"/>
          <w:snapToGrid w:val="0"/>
          <w:color w:val="auto"/>
          <w:spacing w:val="10"/>
          <w:sz w:val="32"/>
          <w:szCs w:val="32"/>
          <w:highlight w:val="none"/>
          <w:vertAlign w:val="superscript"/>
          <w:lang w:val="en-US" w:eastAsia="zh-CN" w:bidi="ar-SA"/>
        </w:rPr>
        <w:t>2</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），由厂家回收，一般固体废物应满足《一般工业固体废物贮存和填埋污染控制标准》（GB18599-2020）要求。废机油贮存于危险废物贮存点（10m</w:t>
      </w:r>
      <w:r>
        <w:rPr>
          <w:rFonts w:hint="default" w:ascii="Times New Roman" w:hAnsi="Times New Roman" w:eastAsia="仿宋_GB2312" w:cs="Times New Roman"/>
          <w:b w:val="0"/>
          <w:bCs/>
          <w:iCs w:val="0"/>
          <w:snapToGrid w:val="0"/>
          <w:color w:val="auto"/>
          <w:spacing w:val="10"/>
          <w:sz w:val="32"/>
          <w:szCs w:val="32"/>
          <w:highlight w:val="none"/>
          <w:vertAlign w:val="superscript"/>
          <w:lang w:val="en-US" w:eastAsia="zh-CN" w:bidi="ar-SA"/>
        </w:rPr>
        <w:t>2</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）内，定期委托资质单位处理，危险废</w:t>
      </w:r>
      <w:r>
        <w:rPr>
          <w:rFonts w:hint="default" w:ascii="Times New Roman" w:hAnsi="Times New Roman" w:eastAsia="仿宋_GB2312" w:cs="Times New Roman"/>
          <w:bCs/>
          <w:color w:val="auto"/>
          <w:sz w:val="32"/>
          <w:szCs w:val="32"/>
          <w:highlight w:val="none"/>
          <w:lang w:val="en-US" w:eastAsia="zh-CN"/>
        </w:rPr>
        <w:t>物应满足《危险废物贮存污染控制标准》（GB18597-2023）要求。生活垃圾由当地环卫部门定期清运处理。</w:t>
      </w:r>
    </w:p>
    <w:bookmarkEnd w:id="3"/>
    <w:p w14:paraId="59EC2C26">
      <w:pPr>
        <w:pStyle w:val="16"/>
        <w:keepNext w:val="0"/>
        <w:keepLines w:val="0"/>
        <w:pageBreakBefore w:val="0"/>
        <w:widowControl w:val="0"/>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六</w:t>
      </w:r>
      <w:r>
        <w:rPr>
          <w:rFonts w:hint="default" w:ascii="Times New Roman" w:hAnsi="Times New Roman" w:eastAsia="仿宋_GB2312" w:cs="Times New Roman"/>
          <w:bCs w:val="0"/>
          <w:snapToGrid/>
          <w:color w:val="auto"/>
          <w:spacing w:val="0"/>
          <w:kern w:val="2"/>
          <w:sz w:val="32"/>
          <w:szCs w:val="32"/>
          <w:highlight w:val="none"/>
          <w:lang w:val="en-US"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zh-TW" w:eastAsia="zh-CN" w:bidi="ar-SA"/>
        </w:rPr>
        <w:t>加强土壤及地下水环境管理。</w:t>
      </w:r>
      <w:bookmarkStart w:id="4" w:name="OLE_LINK15"/>
      <w:r>
        <w:rPr>
          <w:rFonts w:hint="default" w:ascii="Times New Roman" w:hAnsi="Times New Roman" w:eastAsia="仿宋_GB2312" w:cs="Times New Roman"/>
          <w:bCs/>
          <w:snapToGrid w:val="0"/>
          <w:color w:val="auto"/>
          <w:spacing w:val="10"/>
          <w:sz w:val="32"/>
          <w:szCs w:val="32"/>
          <w:highlight w:val="none"/>
          <w:shd w:val="clear"/>
          <w:lang w:val="en-US" w:eastAsia="zh-CN" w:bidi="ar-SA"/>
        </w:rPr>
        <w:t>采取分区防渗管控措施，危废贮存点作为重点防渗区（Mb≥6m，K≤1.0×10</w:t>
      </w:r>
      <w:r>
        <w:rPr>
          <w:rFonts w:hint="default" w:ascii="Times New Roman" w:hAnsi="Times New Roman" w:eastAsia="仿宋_GB2312" w:cs="Times New Roman"/>
          <w:bCs/>
          <w:snapToGrid w:val="0"/>
          <w:color w:val="auto"/>
          <w:spacing w:val="10"/>
          <w:sz w:val="32"/>
          <w:szCs w:val="32"/>
          <w:highlight w:val="none"/>
          <w:shd w:val="clear"/>
          <w:vertAlign w:val="superscript"/>
          <w:lang w:val="en-US" w:eastAsia="zh-CN" w:bidi="ar-SA"/>
        </w:rPr>
        <w:t>-7</w:t>
      </w:r>
      <w:r>
        <w:rPr>
          <w:rFonts w:hint="default" w:ascii="Times New Roman" w:hAnsi="Times New Roman" w:eastAsia="仿宋_GB2312" w:cs="Times New Roman"/>
          <w:bCs/>
          <w:snapToGrid w:val="0"/>
          <w:color w:val="auto"/>
          <w:spacing w:val="10"/>
          <w:sz w:val="32"/>
          <w:szCs w:val="32"/>
          <w:highlight w:val="none"/>
          <w:shd w:val="clear"/>
          <w:lang w:val="en-US" w:eastAsia="zh-CN" w:bidi="ar-SA"/>
        </w:rPr>
        <w:t>cm/s），充装车间、储罐区、化粪池作为一般防渗区（Mb≥1.5m，K≤1.0×10</w:t>
      </w:r>
      <w:r>
        <w:rPr>
          <w:rFonts w:hint="default" w:ascii="Times New Roman" w:hAnsi="Times New Roman" w:eastAsia="仿宋_GB2312" w:cs="Times New Roman"/>
          <w:bCs/>
          <w:snapToGrid w:val="0"/>
          <w:color w:val="auto"/>
          <w:spacing w:val="10"/>
          <w:sz w:val="32"/>
          <w:szCs w:val="32"/>
          <w:highlight w:val="none"/>
          <w:shd w:val="clear"/>
          <w:vertAlign w:val="superscript"/>
          <w:lang w:val="en-US" w:eastAsia="zh-CN" w:bidi="ar-SA"/>
        </w:rPr>
        <w:t>-7</w:t>
      </w:r>
      <w:r>
        <w:rPr>
          <w:rFonts w:hint="default" w:ascii="Times New Roman" w:hAnsi="Times New Roman" w:eastAsia="仿宋_GB2312" w:cs="Times New Roman"/>
          <w:bCs/>
          <w:snapToGrid w:val="0"/>
          <w:color w:val="auto"/>
          <w:spacing w:val="10"/>
          <w:sz w:val="32"/>
          <w:szCs w:val="32"/>
          <w:highlight w:val="none"/>
          <w:shd w:val="clear"/>
          <w:lang w:val="en-US" w:eastAsia="zh-CN" w:bidi="ar-SA"/>
        </w:rPr>
        <w:t>cm/s），其他区域一般地面硬化</w:t>
      </w:r>
      <w:r>
        <w:rPr>
          <w:rFonts w:hint="default" w:ascii="Times New Roman" w:hAnsi="Times New Roman" w:eastAsia="仿宋_GB2312" w:cs="Times New Roman"/>
          <w:bCs/>
          <w:snapToGrid w:val="0"/>
          <w:color w:val="auto"/>
          <w:spacing w:val="10"/>
          <w:kern w:val="0"/>
          <w:sz w:val="32"/>
          <w:szCs w:val="32"/>
          <w:highlight w:val="none"/>
          <w:lang w:val="en-US" w:eastAsia="zh-CN" w:bidi="ar"/>
        </w:rPr>
        <w:t>。</w:t>
      </w:r>
    </w:p>
    <w:bookmarkEnd w:id="4"/>
    <w:p w14:paraId="57F8519C">
      <w:pPr>
        <w:keepNext w:val="0"/>
        <w:keepLines w:val="0"/>
        <w:pageBreakBefore w:val="0"/>
        <w:kinsoku/>
        <w:wordWrap/>
        <w:overflowPunct/>
        <w:topLinePunct w:val="0"/>
        <w:autoSpaceDE/>
        <w:autoSpaceDN/>
        <w:bidi w:val="0"/>
        <w:spacing w:line="600" w:lineRule="exact"/>
        <w:ind w:firstLine="680" w:firstLineChars="200"/>
        <w:jc w:val="both"/>
        <w:textAlignment w:val="auto"/>
        <w:rPr>
          <w:rFonts w:hint="default" w:ascii="Times New Roman" w:hAnsi="Times New Roman" w:eastAsia="仿宋_GB2312" w:cs="Times New Roman"/>
          <w:bCs/>
          <w:snapToGrid w:val="0"/>
          <w:color w:val="auto"/>
          <w:spacing w:val="10"/>
          <w:sz w:val="32"/>
          <w:szCs w:val="32"/>
          <w:highlight w:val="red"/>
          <w:lang w:val="en-US" w:eastAsia="zh-CN" w:bidi="ar-SA"/>
        </w:rPr>
      </w:pP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（七）严格落实环境风险防控措施。</w:t>
      </w:r>
      <w:r>
        <w:rPr>
          <w:rFonts w:hint="default" w:ascii="Times New Roman" w:hAnsi="Times New Roman" w:eastAsia="仿宋_GB2312" w:cs="Times New Roman"/>
          <w:b w:val="0"/>
          <w:bCs/>
          <w:color w:val="auto"/>
          <w:sz w:val="32"/>
          <w:szCs w:val="32"/>
          <w:highlight w:val="none"/>
          <w:lang w:val="en-US" w:eastAsia="zh-CN"/>
        </w:rPr>
        <w:t>在</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一氧化二氮车间设置泄漏检测报警装置，在氮气、二氧化碳充装车间设置氧浓度报警装置，储罐设液位计和高液位报警器</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建立健全安全、环境管理体系，制定严格的安全管理制度，制定巡检制度，制定应急计划，加强职工培训，提高应急处理能</w:t>
      </w:r>
      <w:r>
        <w:rPr>
          <w:rFonts w:hint="default" w:ascii="Times New Roman" w:hAnsi="Times New Roman" w:eastAsia="仿宋_GB2312" w:cs="Times New Roman"/>
          <w:color w:val="auto"/>
          <w:sz w:val="32"/>
          <w:szCs w:val="32"/>
          <w:highlight w:val="none"/>
          <w:lang w:val="en-US" w:eastAsia="zh-CN"/>
        </w:rPr>
        <w:t>力</w:t>
      </w:r>
      <w:r>
        <w:rPr>
          <w:rFonts w:hint="default" w:ascii="Times New Roman" w:hAnsi="Times New Roman" w:eastAsia="仿宋_GB2312" w:cs="Times New Roman"/>
          <w:bCs/>
          <w:snapToGrid w:val="0"/>
          <w:color w:val="auto"/>
          <w:spacing w:val="10"/>
          <w:sz w:val="32"/>
          <w:szCs w:val="32"/>
          <w:highlight w:val="none"/>
          <w:lang w:val="en-US" w:eastAsia="zh-CN" w:bidi="ar-SA"/>
        </w:rPr>
        <w:t>。</w:t>
      </w:r>
    </w:p>
    <w:p w14:paraId="1D971A6E">
      <w:pPr>
        <w:keepNext w:val="0"/>
        <w:keepLines w:val="0"/>
        <w:pageBreakBefore w:val="0"/>
        <w:kinsoku/>
        <w:wordWrap/>
        <w:overflowPunct/>
        <w:topLinePunct w:val="0"/>
        <w:autoSpaceDE/>
        <w:autoSpaceDN/>
        <w:bidi w:val="0"/>
        <w:spacing w:line="600" w:lineRule="exact"/>
        <w:ind w:firstLine="68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你公司应落实生态环境保护主体责</w:t>
      </w:r>
      <w:r>
        <w:rPr>
          <w:rFonts w:hint="default" w:ascii="Times New Roman" w:hAnsi="Times New Roman" w:eastAsia="仿宋_GB2312" w:cs="Times New Roman"/>
          <w:color w:val="auto"/>
          <w:sz w:val="32"/>
          <w:szCs w:val="32"/>
          <w:highlight w:val="none"/>
          <w:shd w:val="clear"/>
        </w:rPr>
        <w:t>任，严格执行排污许可制度</w:t>
      </w:r>
      <w:r>
        <w:rPr>
          <w:rFonts w:hint="default" w:ascii="Times New Roman" w:hAnsi="Times New Roman" w:eastAsia="仿宋_GB2312" w:cs="Times New Roman"/>
          <w:color w:val="auto"/>
          <w:sz w:val="32"/>
          <w:szCs w:val="32"/>
          <w:highlight w:val="none"/>
          <w:shd w:val="clear"/>
          <w:lang w:val="en-US" w:eastAsia="zh-CN"/>
        </w:rPr>
        <w:t>和总量控制制度</w:t>
      </w:r>
      <w:r>
        <w:rPr>
          <w:rFonts w:hint="default" w:ascii="Times New Roman" w:hAnsi="Times New Roman" w:eastAsia="仿宋_GB2312" w:cs="Times New Roman"/>
          <w:color w:val="auto"/>
          <w:sz w:val="32"/>
          <w:szCs w:val="32"/>
          <w:highlight w:val="none"/>
          <w:shd w:val="clear"/>
        </w:rPr>
        <w:t>。建立企业内部生态环境管理机构和体系，明确人员、职责和制度，</w:t>
      </w:r>
      <w:r>
        <w:rPr>
          <w:rFonts w:hint="default" w:ascii="Times New Roman" w:hAnsi="Times New Roman" w:eastAsia="仿宋_GB2312" w:cs="Times New Roman"/>
          <w:color w:val="auto"/>
          <w:sz w:val="32"/>
          <w:szCs w:val="32"/>
          <w:highlight w:val="none"/>
        </w:rPr>
        <w:t>加强生态环境管理，推进各项生态环境保护措施落实。按照相关法律法规和技术标准规范要求，开展环保设备设施安全风险辨识评估和隐患排查治理，落实安全生产各项责任</w:t>
      </w:r>
      <w:r>
        <w:rPr>
          <w:rFonts w:hint="default" w:ascii="Times New Roman" w:hAnsi="Times New Roman" w:eastAsia="仿宋_GB2312" w:cs="Times New Roman"/>
          <w:color w:val="auto"/>
          <w:sz w:val="32"/>
          <w:szCs w:val="32"/>
          <w:highlight w:val="none"/>
          <w:lang w:val="en-US" w:eastAsia="zh-CN"/>
        </w:rPr>
        <w:t>制度</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rPr>
        <w:t>目建设必须严格执行配套的环境保护设施与主体工程，同时设计、同时施工、同时投产使用的环境保护“三同时”制度，落实各项环境保护措施以及环境保护设施投资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Cs w:val="0"/>
          <w:snapToGrid/>
          <w:color w:val="auto"/>
          <w:spacing w:val="0"/>
          <w:kern w:val="2"/>
          <w:sz w:val="32"/>
          <w:szCs w:val="32"/>
          <w:highlight w:val="none"/>
        </w:rPr>
        <w:t>项目竣工后，须按规定程序实施竣工环境保护验收，并向社会进行公示</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rPr>
        <w:t>配合当地政府及有关部门对公众进行必要的解释和说明，取得公众对工程建设的理解和支持。本项目引发的生态环境信访问题，由建设单位负责妥善解决。</w:t>
      </w:r>
    </w:p>
    <w:p w14:paraId="3E74A627">
      <w:pPr>
        <w:pStyle w:val="49"/>
        <w:keepNext w:val="0"/>
        <w:keepLines w:val="0"/>
        <w:pageBreakBefore w:val="0"/>
        <w:kinsoku/>
        <w:wordWrap/>
        <w:overflowPunct/>
        <w:topLinePunct w:val="0"/>
        <w:autoSpaceDE/>
        <w:autoSpaceDN/>
        <w:bidi w:val="0"/>
        <w:snapToGrid/>
        <w:spacing w:line="600" w:lineRule="exact"/>
        <w:ind w:left="0" w:leftChars="0" w:firstLine="640"/>
        <w:jc w:val="both"/>
        <w:textAlignment w:val="auto"/>
        <w:rPr>
          <w:rFonts w:hint="default" w:ascii="Times New Roman" w:hAnsi="Times New Roman" w:eastAsia="仿宋_GB2312" w:cs="Times New Roman"/>
          <w:color w:val="auto"/>
          <w:spacing w:val="0"/>
          <w:kern w:val="2"/>
          <w:sz w:val="32"/>
          <w:szCs w:val="32"/>
          <w:lang w:val="en-US"/>
        </w:rPr>
      </w:pPr>
      <w:r>
        <w:rPr>
          <w:rFonts w:hint="default" w:ascii="Times New Roman" w:hAnsi="Times New Roman" w:eastAsia="仿宋_GB2312" w:cs="Times New Roman"/>
          <w:color w:val="auto"/>
          <w:spacing w:val="0"/>
          <w:kern w:val="2"/>
          <w:sz w:val="32"/>
          <w:szCs w:val="32"/>
          <w:lang w:val="en-US" w:eastAsia="zh-CN"/>
        </w:rPr>
        <w:t>四</w:t>
      </w:r>
      <w:r>
        <w:rPr>
          <w:rFonts w:hint="default" w:ascii="Times New Roman" w:hAnsi="Times New Roman" w:eastAsia="仿宋_GB2312" w:cs="Times New Roman"/>
          <w:color w:val="auto"/>
          <w:spacing w:val="0"/>
          <w:kern w:val="2"/>
          <w:sz w:val="32"/>
          <w:szCs w:val="32"/>
          <w:lang w:val="en-US"/>
        </w:rPr>
        <w:t>、环境影响报告表批准后，该项目的性质、规模、地点、生产工艺或者污染防治措施发生重大变动，且可能导致环境影响显著变化</w:t>
      </w:r>
      <w:r>
        <w:rPr>
          <w:rFonts w:hint="default" w:ascii="Times New Roman" w:hAnsi="Times New Roman" w:eastAsia="仿宋_GB2312" w:cs="Times New Roman"/>
          <w:color w:val="auto"/>
          <w:spacing w:val="0"/>
          <w:kern w:val="2"/>
          <w:sz w:val="32"/>
          <w:szCs w:val="32"/>
          <w:lang w:val="en-US" w:eastAsia="zh-CN"/>
        </w:rPr>
        <w:t>(</w:t>
      </w:r>
      <w:r>
        <w:rPr>
          <w:rFonts w:hint="default" w:ascii="Times New Roman" w:hAnsi="Times New Roman" w:eastAsia="仿宋_GB2312" w:cs="Times New Roman"/>
          <w:color w:val="auto"/>
          <w:spacing w:val="0"/>
          <w:kern w:val="2"/>
          <w:sz w:val="32"/>
          <w:szCs w:val="32"/>
          <w:lang w:val="en-US"/>
        </w:rPr>
        <w:t>特别是不利环境影响加重</w:t>
      </w:r>
      <w:r>
        <w:rPr>
          <w:rFonts w:hint="default" w:ascii="Times New Roman" w:hAnsi="Times New Roman" w:eastAsia="仿宋_GB2312" w:cs="Times New Roman"/>
          <w:color w:val="auto"/>
          <w:spacing w:val="0"/>
          <w:kern w:val="2"/>
          <w:sz w:val="32"/>
          <w:szCs w:val="32"/>
          <w:lang w:val="en-US" w:eastAsia="zh-CN"/>
        </w:rPr>
        <w:t>)</w:t>
      </w:r>
      <w:r>
        <w:rPr>
          <w:rFonts w:hint="default" w:ascii="Times New Roman" w:hAnsi="Times New Roman" w:eastAsia="仿宋_GB2312" w:cs="Times New Roman"/>
          <w:color w:val="auto"/>
          <w:spacing w:val="0"/>
          <w:kern w:val="2"/>
          <w:sz w:val="32"/>
          <w:szCs w:val="32"/>
          <w:lang w:val="en-US"/>
        </w:rPr>
        <w:t>，应当重新报批该项目环境影响文件。</w:t>
      </w:r>
    </w:p>
    <w:p w14:paraId="5B9355DB">
      <w:pPr>
        <w:pStyle w:val="49"/>
        <w:keepNext w:val="0"/>
        <w:keepLines w:val="0"/>
        <w:pageBreakBefore w:val="0"/>
        <w:kinsoku/>
        <w:wordWrap/>
        <w:overflowPunct/>
        <w:topLinePunct w:val="0"/>
        <w:autoSpaceDE/>
        <w:autoSpaceDN/>
        <w:bidi w:val="0"/>
        <w:snapToGrid/>
        <w:spacing w:line="600" w:lineRule="exact"/>
        <w:ind w:left="0" w:leftChars="0" w:firstLine="64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rPr>
        <w:t>五</w:t>
      </w:r>
      <w:r>
        <w:rPr>
          <w:rFonts w:hint="default" w:ascii="Times New Roman" w:hAnsi="Times New Roman" w:eastAsia="仿宋_GB2312" w:cs="Times New Roman"/>
          <w:color w:val="auto"/>
          <w:spacing w:val="0"/>
          <w:kern w:val="2"/>
          <w:sz w:val="32"/>
          <w:szCs w:val="32"/>
          <w:highlight w:val="none"/>
          <w:lang w:val="en-US"/>
        </w:rPr>
        <w:t>、项目日常环境监督检查工作由本溪市生态环境保护综合行政执法队负责。</w:t>
      </w:r>
    </w:p>
    <w:p w14:paraId="2DD65DED">
      <w:pPr>
        <w:pStyle w:val="49"/>
        <w:keepNext w:val="0"/>
        <w:keepLines w:val="0"/>
        <w:pageBreakBefore w:val="0"/>
        <w:kinsoku/>
        <w:wordWrap/>
        <w:overflowPunct/>
        <w:topLinePunct w:val="0"/>
        <w:autoSpaceDE/>
        <w:autoSpaceDN/>
        <w:bidi w:val="0"/>
        <w:snapToGrid/>
        <w:spacing w:line="600" w:lineRule="exact"/>
        <w:ind w:left="0" w:leftChars="0" w:firstLine="640"/>
        <w:jc w:val="both"/>
        <w:textAlignment w:val="auto"/>
        <w:rPr>
          <w:rFonts w:hint="default" w:ascii="Times New Roman" w:hAnsi="Times New Roman" w:eastAsia="仿宋_GB2312" w:cs="Times New Roman"/>
          <w:color w:val="auto"/>
          <w:spacing w:val="0"/>
          <w:kern w:val="2"/>
          <w:sz w:val="32"/>
          <w:szCs w:val="32"/>
          <w:lang w:val="en-US"/>
        </w:rPr>
      </w:pPr>
    </w:p>
    <w:p w14:paraId="24139E1D">
      <w:pPr>
        <w:keepNext w:val="0"/>
        <w:keepLines w:val="0"/>
        <w:pageBreakBefore w:val="0"/>
        <w:kinsoku/>
        <w:wordWrap/>
        <w:overflowPunct/>
        <w:topLinePunct w:val="0"/>
        <w:autoSpaceDE/>
        <w:autoSpaceDN/>
        <w:bidi w:val="0"/>
        <w:spacing w:line="60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本溪市生态环境局</w:t>
      </w:r>
    </w:p>
    <w:p w14:paraId="2065F5DA">
      <w:pPr>
        <w:keepNext w:val="0"/>
        <w:keepLines w:val="0"/>
        <w:pageBreakBefore w:val="0"/>
        <w:kinsoku/>
        <w:wordWrap/>
        <w:overflowPunct/>
        <w:topLinePunct w:val="0"/>
        <w:autoSpaceDE/>
        <w:autoSpaceDN/>
        <w:bidi w:val="0"/>
        <w:spacing w:line="60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lang w:val="en-US" w:eastAsia="zh-CN"/>
        </w:rPr>
        <w:t xml:space="preserve"> </w:t>
      </w:r>
      <w:r>
        <w:rPr>
          <w:rFonts w:hint="default" w:ascii="Times New Roman" w:hAnsi="Times New Roman" w:eastAsia="仿宋_GB2312" w:cs="Times New Roman"/>
          <w:color w:val="auto"/>
          <w:sz w:val="32"/>
          <w:szCs w:val="32"/>
          <w:highlight w:val="yellow"/>
        </w:rPr>
        <w:t>年</w:t>
      </w:r>
      <w:r>
        <w:rPr>
          <w:rFonts w:hint="default" w:ascii="Times New Roman" w:hAnsi="Times New Roman" w:eastAsia="仿宋_GB2312" w:cs="Times New Roman"/>
          <w:color w:val="auto"/>
          <w:sz w:val="32"/>
          <w:szCs w:val="32"/>
          <w:highlight w:val="yellow"/>
          <w:lang w:val="en-US" w:eastAsia="zh-CN"/>
        </w:rPr>
        <w:t xml:space="preserve">  </w:t>
      </w:r>
      <w:r>
        <w:rPr>
          <w:rFonts w:hint="default" w:ascii="Times New Roman" w:hAnsi="Times New Roman" w:eastAsia="仿宋_GB2312" w:cs="Times New Roman"/>
          <w:color w:val="auto"/>
          <w:sz w:val="32"/>
          <w:szCs w:val="32"/>
          <w:highlight w:val="yellow"/>
        </w:rPr>
        <w:t>月</w:t>
      </w:r>
      <w:r>
        <w:rPr>
          <w:rFonts w:hint="default" w:ascii="Times New Roman" w:hAnsi="Times New Roman" w:eastAsia="仿宋_GB2312" w:cs="Times New Roman"/>
          <w:color w:val="auto"/>
          <w:sz w:val="32"/>
          <w:szCs w:val="32"/>
          <w:highlight w:val="yellow"/>
          <w:lang w:val="en-US" w:eastAsia="zh-CN"/>
        </w:rPr>
        <w:t xml:space="preserve">  </w:t>
      </w:r>
      <w:r>
        <w:rPr>
          <w:rFonts w:hint="default" w:ascii="Times New Roman" w:hAnsi="Times New Roman" w:eastAsia="仿宋_GB2312" w:cs="Times New Roman"/>
          <w:color w:val="auto"/>
          <w:sz w:val="32"/>
          <w:szCs w:val="32"/>
          <w:highlight w:val="yellow"/>
        </w:rPr>
        <w:t>日</w:t>
      </w:r>
    </w:p>
    <w:p w14:paraId="62585D95">
      <w:pPr>
        <w:keepNext w:val="0"/>
        <w:keepLines w:val="0"/>
        <w:pageBreakBefore w:val="0"/>
        <w:kinsoku/>
        <w:wordWrap/>
        <w:overflowPunct/>
        <w:topLinePunct w:val="0"/>
        <w:autoSpaceDE/>
        <w:autoSpaceDN/>
        <w:bidi w:val="0"/>
        <w:snapToGrid w:val="0"/>
        <w:spacing w:line="600" w:lineRule="exact"/>
        <w:ind w:left="0" w:leftChars="0" w:firstLine="68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此件公开发布</w:t>
      </w:r>
      <w:r>
        <w:rPr>
          <w:rFonts w:hint="default" w:ascii="Times New Roman" w:hAnsi="Times New Roman" w:eastAsia="仿宋_GB2312" w:cs="Times New Roman"/>
          <w:color w:val="auto"/>
          <w:sz w:val="32"/>
          <w:szCs w:val="32"/>
          <w:lang w:eastAsia="zh-CN"/>
        </w:rPr>
        <w:t>)</w:t>
      </w:r>
    </w:p>
    <w:p w14:paraId="61F7BA9F">
      <w:pPr>
        <w:pStyle w:val="2"/>
        <w:rPr>
          <w:rFonts w:hint="default" w:ascii="Times New Roman" w:hAnsi="Times New Roman" w:eastAsia="仿宋_GB2312" w:cs="Times New Roman"/>
          <w:sz w:val="32"/>
          <w:szCs w:val="32"/>
          <w:lang w:eastAsia="zh-CN"/>
        </w:rPr>
      </w:pPr>
    </w:p>
    <w:p w14:paraId="2AC3E1AD">
      <w:pPr>
        <w:keepNext w:val="0"/>
        <w:keepLines w:val="0"/>
        <w:pageBreakBefore w:val="0"/>
        <w:kinsoku/>
        <w:wordWrap/>
        <w:overflowPunct/>
        <w:topLinePunct w:val="0"/>
        <w:autoSpaceDE/>
        <w:autoSpaceDN/>
        <w:bidi w:val="0"/>
        <w:snapToGrid w:val="0"/>
        <w:spacing w:line="600" w:lineRule="exact"/>
        <w:ind w:left="1105" w:leftChars="0" w:hanging="1105" w:hangingChars="325"/>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抄送：本溪市生态环境保护综合行政执法队、</w:t>
      </w:r>
      <w:r>
        <w:rPr>
          <w:rFonts w:hint="default" w:ascii="Times New Roman" w:hAnsi="Times New Roman" w:eastAsia="仿宋_GB2312" w:cs="Times New Roman"/>
          <w:color w:val="auto"/>
          <w:sz w:val="32"/>
          <w:szCs w:val="32"/>
          <w:lang w:val="en-US" w:eastAsia="zh-CN"/>
        </w:rPr>
        <w:t>本溪市生态环境服务中心、辽宁碧辉科技有限公司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confon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国标仿宋-GB/T 2312">
    <w:panose1 w:val="02000500000000000000"/>
    <w:charset w:val="86"/>
    <w:family w:val="auto"/>
    <w:pitch w:val="default"/>
    <w:sig w:usb0="800002AF" w:usb1="08476CF8"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3705F">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900EB">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09900EB">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6AC25">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979B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D7979B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73577"/>
    <w:multiLevelType w:val="singleLevel"/>
    <w:tmpl w:val="23673577"/>
    <w:lvl w:ilvl="0" w:tentative="0">
      <w:start w:val="1"/>
      <w:numFmt w:val="decimal"/>
      <w:pStyle w:val="39"/>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5NmJhNWMwMDU4Y2NmNjFmN2JlZjU1YTIwMTkzMzIifQ=="/>
  </w:docVars>
  <w:rsids>
    <w:rsidRoot w:val="1796435B"/>
    <w:rsid w:val="0005596D"/>
    <w:rsid w:val="000A2AA9"/>
    <w:rsid w:val="000F014B"/>
    <w:rsid w:val="00100A44"/>
    <w:rsid w:val="00121F33"/>
    <w:rsid w:val="00122184"/>
    <w:rsid w:val="0013671F"/>
    <w:rsid w:val="00141B63"/>
    <w:rsid w:val="00143087"/>
    <w:rsid w:val="00152DB0"/>
    <w:rsid w:val="00235743"/>
    <w:rsid w:val="0025557F"/>
    <w:rsid w:val="002721FC"/>
    <w:rsid w:val="002D24CC"/>
    <w:rsid w:val="00302E94"/>
    <w:rsid w:val="00303F39"/>
    <w:rsid w:val="0039054A"/>
    <w:rsid w:val="003E6C79"/>
    <w:rsid w:val="00434940"/>
    <w:rsid w:val="00490130"/>
    <w:rsid w:val="004A07F0"/>
    <w:rsid w:val="004C1A30"/>
    <w:rsid w:val="00536F00"/>
    <w:rsid w:val="005C2A7D"/>
    <w:rsid w:val="005C4520"/>
    <w:rsid w:val="00693428"/>
    <w:rsid w:val="006B153E"/>
    <w:rsid w:val="006E6370"/>
    <w:rsid w:val="008629CF"/>
    <w:rsid w:val="008C7379"/>
    <w:rsid w:val="008D3533"/>
    <w:rsid w:val="008D5548"/>
    <w:rsid w:val="00932262"/>
    <w:rsid w:val="00972023"/>
    <w:rsid w:val="00996EE6"/>
    <w:rsid w:val="009F517A"/>
    <w:rsid w:val="00A00642"/>
    <w:rsid w:val="00B406C6"/>
    <w:rsid w:val="00B513B6"/>
    <w:rsid w:val="00B5544D"/>
    <w:rsid w:val="00B82B10"/>
    <w:rsid w:val="00BF399E"/>
    <w:rsid w:val="00C212FE"/>
    <w:rsid w:val="00C27F5D"/>
    <w:rsid w:val="00C65306"/>
    <w:rsid w:val="00CE1454"/>
    <w:rsid w:val="00D04025"/>
    <w:rsid w:val="00D10361"/>
    <w:rsid w:val="00D21309"/>
    <w:rsid w:val="00DB20F7"/>
    <w:rsid w:val="00E14769"/>
    <w:rsid w:val="00E72B00"/>
    <w:rsid w:val="00E919E4"/>
    <w:rsid w:val="00EA7BA7"/>
    <w:rsid w:val="00EB577A"/>
    <w:rsid w:val="00ED515A"/>
    <w:rsid w:val="00F77E0F"/>
    <w:rsid w:val="00F907CF"/>
    <w:rsid w:val="00FE4037"/>
    <w:rsid w:val="01415CD2"/>
    <w:rsid w:val="018402E7"/>
    <w:rsid w:val="018502B5"/>
    <w:rsid w:val="01853E11"/>
    <w:rsid w:val="01A43D0E"/>
    <w:rsid w:val="01CC1A40"/>
    <w:rsid w:val="01F307D6"/>
    <w:rsid w:val="02112401"/>
    <w:rsid w:val="023326FA"/>
    <w:rsid w:val="02435241"/>
    <w:rsid w:val="027B57E1"/>
    <w:rsid w:val="02EB73E1"/>
    <w:rsid w:val="02EC2C31"/>
    <w:rsid w:val="02FF258E"/>
    <w:rsid w:val="03033A8D"/>
    <w:rsid w:val="032E7B21"/>
    <w:rsid w:val="03577A2F"/>
    <w:rsid w:val="03873BFC"/>
    <w:rsid w:val="03C2134C"/>
    <w:rsid w:val="03DB240E"/>
    <w:rsid w:val="03F874F3"/>
    <w:rsid w:val="043C314F"/>
    <w:rsid w:val="04567CE7"/>
    <w:rsid w:val="04BC7BAF"/>
    <w:rsid w:val="04DB5D92"/>
    <w:rsid w:val="059C2AE4"/>
    <w:rsid w:val="05D35D57"/>
    <w:rsid w:val="06FF24E5"/>
    <w:rsid w:val="0712113E"/>
    <w:rsid w:val="07131B19"/>
    <w:rsid w:val="076063E3"/>
    <w:rsid w:val="0764271A"/>
    <w:rsid w:val="076B441E"/>
    <w:rsid w:val="07DC6755"/>
    <w:rsid w:val="082C33D6"/>
    <w:rsid w:val="083D4AEB"/>
    <w:rsid w:val="08583943"/>
    <w:rsid w:val="08744BDF"/>
    <w:rsid w:val="089963F4"/>
    <w:rsid w:val="08B72D2E"/>
    <w:rsid w:val="08BC4217"/>
    <w:rsid w:val="08F301FA"/>
    <w:rsid w:val="09540C99"/>
    <w:rsid w:val="096A420C"/>
    <w:rsid w:val="09D73678"/>
    <w:rsid w:val="09F41F94"/>
    <w:rsid w:val="0A051C47"/>
    <w:rsid w:val="0A5A1C12"/>
    <w:rsid w:val="0A723503"/>
    <w:rsid w:val="0AA02A98"/>
    <w:rsid w:val="0AE636BA"/>
    <w:rsid w:val="0B362BA8"/>
    <w:rsid w:val="0B675FDC"/>
    <w:rsid w:val="0B7413C6"/>
    <w:rsid w:val="0B7C0033"/>
    <w:rsid w:val="0B8B050F"/>
    <w:rsid w:val="0BC775EF"/>
    <w:rsid w:val="0BE831B5"/>
    <w:rsid w:val="0BEA2C0B"/>
    <w:rsid w:val="0BF24799"/>
    <w:rsid w:val="0BF73EE3"/>
    <w:rsid w:val="0C1B0C94"/>
    <w:rsid w:val="0C205E58"/>
    <w:rsid w:val="0C27068D"/>
    <w:rsid w:val="0C4548C9"/>
    <w:rsid w:val="0C5E598A"/>
    <w:rsid w:val="0C6A4F7C"/>
    <w:rsid w:val="0C6E7A55"/>
    <w:rsid w:val="0CE045F1"/>
    <w:rsid w:val="0D1129FD"/>
    <w:rsid w:val="0D116D38"/>
    <w:rsid w:val="0D295F98"/>
    <w:rsid w:val="0D3D0438"/>
    <w:rsid w:val="0D8D297C"/>
    <w:rsid w:val="0DA40281"/>
    <w:rsid w:val="0DBA0D48"/>
    <w:rsid w:val="0DE54E65"/>
    <w:rsid w:val="0E032C8D"/>
    <w:rsid w:val="0E2D331F"/>
    <w:rsid w:val="0E341099"/>
    <w:rsid w:val="0E3A4191"/>
    <w:rsid w:val="0E927B6D"/>
    <w:rsid w:val="0EA47C31"/>
    <w:rsid w:val="0EB31E80"/>
    <w:rsid w:val="0EBC7420"/>
    <w:rsid w:val="0EC51FB8"/>
    <w:rsid w:val="0F36663F"/>
    <w:rsid w:val="0F403D21"/>
    <w:rsid w:val="0F451083"/>
    <w:rsid w:val="0F5C6279"/>
    <w:rsid w:val="0F61091B"/>
    <w:rsid w:val="0F917E25"/>
    <w:rsid w:val="0FEA3127"/>
    <w:rsid w:val="100E5690"/>
    <w:rsid w:val="10820EE8"/>
    <w:rsid w:val="10B12ACA"/>
    <w:rsid w:val="10E41D25"/>
    <w:rsid w:val="10EC5351"/>
    <w:rsid w:val="10F57E48"/>
    <w:rsid w:val="114E421F"/>
    <w:rsid w:val="115E01DA"/>
    <w:rsid w:val="116901B9"/>
    <w:rsid w:val="11803F9C"/>
    <w:rsid w:val="11985691"/>
    <w:rsid w:val="119B4F8B"/>
    <w:rsid w:val="11A7594D"/>
    <w:rsid w:val="11AC0F46"/>
    <w:rsid w:val="11F23CD4"/>
    <w:rsid w:val="12021497"/>
    <w:rsid w:val="12394F79"/>
    <w:rsid w:val="12704669"/>
    <w:rsid w:val="129E02B8"/>
    <w:rsid w:val="12BC340B"/>
    <w:rsid w:val="130C1D8B"/>
    <w:rsid w:val="136F66CF"/>
    <w:rsid w:val="13BF1404"/>
    <w:rsid w:val="13C10435"/>
    <w:rsid w:val="13C14AF5"/>
    <w:rsid w:val="13C20DC8"/>
    <w:rsid w:val="13E405F4"/>
    <w:rsid w:val="13F06F1E"/>
    <w:rsid w:val="13FA463A"/>
    <w:rsid w:val="141540DE"/>
    <w:rsid w:val="14411E19"/>
    <w:rsid w:val="144C07BE"/>
    <w:rsid w:val="144C3DF9"/>
    <w:rsid w:val="148B5FBC"/>
    <w:rsid w:val="148E3042"/>
    <w:rsid w:val="14AB3737"/>
    <w:rsid w:val="14B90B7D"/>
    <w:rsid w:val="14E44445"/>
    <w:rsid w:val="14F40C9C"/>
    <w:rsid w:val="15187863"/>
    <w:rsid w:val="15543520"/>
    <w:rsid w:val="15D062BE"/>
    <w:rsid w:val="15EF0DCB"/>
    <w:rsid w:val="16816734"/>
    <w:rsid w:val="16897AA8"/>
    <w:rsid w:val="17116A77"/>
    <w:rsid w:val="172B0B5F"/>
    <w:rsid w:val="172B374B"/>
    <w:rsid w:val="173C7F33"/>
    <w:rsid w:val="17487070"/>
    <w:rsid w:val="17881EF7"/>
    <w:rsid w:val="1791130A"/>
    <w:rsid w:val="1796435B"/>
    <w:rsid w:val="179A692D"/>
    <w:rsid w:val="18027CCB"/>
    <w:rsid w:val="1806146D"/>
    <w:rsid w:val="182D164E"/>
    <w:rsid w:val="1864257A"/>
    <w:rsid w:val="19201A4E"/>
    <w:rsid w:val="192D5062"/>
    <w:rsid w:val="1934019F"/>
    <w:rsid w:val="196447A9"/>
    <w:rsid w:val="19EC5D2C"/>
    <w:rsid w:val="19F0117F"/>
    <w:rsid w:val="1A1E63CF"/>
    <w:rsid w:val="1A5E682A"/>
    <w:rsid w:val="1AFB7C4D"/>
    <w:rsid w:val="1B010714"/>
    <w:rsid w:val="1B0A19BB"/>
    <w:rsid w:val="1B252495"/>
    <w:rsid w:val="1B9E5DA3"/>
    <w:rsid w:val="1BAB226E"/>
    <w:rsid w:val="1BAD248A"/>
    <w:rsid w:val="1BCD288A"/>
    <w:rsid w:val="1BEB45CE"/>
    <w:rsid w:val="1C1222ED"/>
    <w:rsid w:val="1C8C6418"/>
    <w:rsid w:val="1C99656B"/>
    <w:rsid w:val="1CBF2475"/>
    <w:rsid w:val="1CC46D5E"/>
    <w:rsid w:val="1D267DE3"/>
    <w:rsid w:val="1D983B4C"/>
    <w:rsid w:val="1DD928A8"/>
    <w:rsid w:val="1DEE2BDF"/>
    <w:rsid w:val="1E1975C7"/>
    <w:rsid w:val="1E272038"/>
    <w:rsid w:val="1E49784A"/>
    <w:rsid w:val="1E625D79"/>
    <w:rsid w:val="1E655C76"/>
    <w:rsid w:val="1E7352C5"/>
    <w:rsid w:val="1E8B02F3"/>
    <w:rsid w:val="1EE933EB"/>
    <w:rsid w:val="1EF60D65"/>
    <w:rsid w:val="1F0C50AF"/>
    <w:rsid w:val="1F333E85"/>
    <w:rsid w:val="1FA140B4"/>
    <w:rsid w:val="1FBFA8EC"/>
    <w:rsid w:val="1FCB08A1"/>
    <w:rsid w:val="1FDC6D7A"/>
    <w:rsid w:val="1FFE5062"/>
    <w:rsid w:val="20277593"/>
    <w:rsid w:val="204B786A"/>
    <w:rsid w:val="206770AC"/>
    <w:rsid w:val="20E23C78"/>
    <w:rsid w:val="20E64474"/>
    <w:rsid w:val="2101752F"/>
    <w:rsid w:val="21352D06"/>
    <w:rsid w:val="214E2B5A"/>
    <w:rsid w:val="216F2DE6"/>
    <w:rsid w:val="219F6246"/>
    <w:rsid w:val="21B07057"/>
    <w:rsid w:val="21C66054"/>
    <w:rsid w:val="21F10161"/>
    <w:rsid w:val="22460008"/>
    <w:rsid w:val="22983C4D"/>
    <w:rsid w:val="22ED6098"/>
    <w:rsid w:val="233521D5"/>
    <w:rsid w:val="23A5288A"/>
    <w:rsid w:val="240A73B4"/>
    <w:rsid w:val="240F3F5B"/>
    <w:rsid w:val="241B24EC"/>
    <w:rsid w:val="24622072"/>
    <w:rsid w:val="24883A94"/>
    <w:rsid w:val="24C135A8"/>
    <w:rsid w:val="24FA1ECF"/>
    <w:rsid w:val="251C0943"/>
    <w:rsid w:val="252B11E9"/>
    <w:rsid w:val="252F5CBE"/>
    <w:rsid w:val="2583096C"/>
    <w:rsid w:val="259B0AB8"/>
    <w:rsid w:val="25E00B77"/>
    <w:rsid w:val="25F91D3B"/>
    <w:rsid w:val="26062970"/>
    <w:rsid w:val="26A821CC"/>
    <w:rsid w:val="26C17FC8"/>
    <w:rsid w:val="26DA3B12"/>
    <w:rsid w:val="26E16DB9"/>
    <w:rsid w:val="26FC5189"/>
    <w:rsid w:val="27036581"/>
    <w:rsid w:val="270F6A91"/>
    <w:rsid w:val="273121C1"/>
    <w:rsid w:val="275360B2"/>
    <w:rsid w:val="275A1718"/>
    <w:rsid w:val="2779341F"/>
    <w:rsid w:val="27913884"/>
    <w:rsid w:val="27BFB130"/>
    <w:rsid w:val="27DB626A"/>
    <w:rsid w:val="27E64D5A"/>
    <w:rsid w:val="28060F58"/>
    <w:rsid w:val="28423656"/>
    <w:rsid w:val="288F151B"/>
    <w:rsid w:val="28A569C3"/>
    <w:rsid w:val="28A71F0D"/>
    <w:rsid w:val="28B46187"/>
    <w:rsid w:val="28E55E8C"/>
    <w:rsid w:val="28EA0DA1"/>
    <w:rsid w:val="290F1950"/>
    <w:rsid w:val="29257339"/>
    <w:rsid w:val="29673C78"/>
    <w:rsid w:val="296E76E6"/>
    <w:rsid w:val="29AD18A3"/>
    <w:rsid w:val="2A0F2D3A"/>
    <w:rsid w:val="2A261057"/>
    <w:rsid w:val="2A6B7798"/>
    <w:rsid w:val="2B6C1593"/>
    <w:rsid w:val="2B8A1DF5"/>
    <w:rsid w:val="2BAC62BA"/>
    <w:rsid w:val="2BB138D1"/>
    <w:rsid w:val="2BD13068"/>
    <w:rsid w:val="2BF821DF"/>
    <w:rsid w:val="2C0C4FAB"/>
    <w:rsid w:val="2C316584"/>
    <w:rsid w:val="2CBF28F0"/>
    <w:rsid w:val="2CD47877"/>
    <w:rsid w:val="2CDC2BCF"/>
    <w:rsid w:val="2CE518FD"/>
    <w:rsid w:val="2CF9552F"/>
    <w:rsid w:val="2CFE05A2"/>
    <w:rsid w:val="2D0D3ED9"/>
    <w:rsid w:val="2D236108"/>
    <w:rsid w:val="2D2A665D"/>
    <w:rsid w:val="2D7678C5"/>
    <w:rsid w:val="2DAD00C8"/>
    <w:rsid w:val="2DC14CC4"/>
    <w:rsid w:val="2DE61A6C"/>
    <w:rsid w:val="2E2E0D4A"/>
    <w:rsid w:val="2E80471D"/>
    <w:rsid w:val="2EB227E3"/>
    <w:rsid w:val="2EE01229"/>
    <w:rsid w:val="2F195A15"/>
    <w:rsid w:val="2F565C05"/>
    <w:rsid w:val="2F6A55B8"/>
    <w:rsid w:val="2F782B54"/>
    <w:rsid w:val="2FBB4E44"/>
    <w:rsid w:val="2FC52717"/>
    <w:rsid w:val="2FD91648"/>
    <w:rsid w:val="2FFB5400"/>
    <w:rsid w:val="300C076D"/>
    <w:rsid w:val="30275F10"/>
    <w:rsid w:val="3064235D"/>
    <w:rsid w:val="308A649E"/>
    <w:rsid w:val="30967596"/>
    <w:rsid w:val="309E6E18"/>
    <w:rsid w:val="30EF5F72"/>
    <w:rsid w:val="30F72AF3"/>
    <w:rsid w:val="315E0057"/>
    <w:rsid w:val="3166515D"/>
    <w:rsid w:val="316A07AA"/>
    <w:rsid w:val="316F4012"/>
    <w:rsid w:val="317653A0"/>
    <w:rsid w:val="32922F50"/>
    <w:rsid w:val="32B36180"/>
    <w:rsid w:val="32D372B0"/>
    <w:rsid w:val="32E77BD8"/>
    <w:rsid w:val="32EE0F67"/>
    <w:rsid w:val="32F2658E"/>
    <w:rsid w:val="32F32A21"/>
    <w:rsid w:val="32FF4F22"/>
    <w:rsid w:val="331C0B79"/>
    <w:rsid w:val="3363011D"/>
    <w:rsid w:val="33634ED9"/>
    <w:rsid w:val="33A1422B"/>
    <w:rsid w:val="33BC72B7"/>
    <w:rsid w:val="33FD3A7A"/>
    <w:rsid w:val="34385779"/>
    <w:rsid w:val="34552F55"/>
    <w:rsid w:val="34657EA4"/>
    <w:rsid w:val="34733E19"/>
    <w:rsid w:val="349B511E"/>
    <w:rsid w:val="34C25A6D"/>
    <w:rsid w:val="34DB6452"/>
    <w:rsid w:val="352769B2"/>
    <w:rsid w:val="35467F39"/>
    <w:rsid w:val="354B444E"/>
    <w:rsid w:val="354E5931"/>
    <w:rsid w:val="356E0B85"/>
    <w:rsid w:val="35C64E84"/>
    <w:rsid w:val="35D95EFE"/>
    <w:rsid w:val="35ED0490"/>
    <w:rsid w:val="360D412F"/>
    <w:rsid w:val="3632641D"/>
    <w:rsid w:val="364D2448"/>
    <w:rsid w:val="367B7967"/>
    <w:rsid w:val="36E7716E"/>
    <w:rsid w:val="37DE3C9F"/>
    <w:rsid w:val="37EA0C97"/>
    <w:rsid w:val="38141050"/>
    <w:rsid w:val="381A5280"/>
    <w:rsid w:val="3829737E"/>
    <w:rsid w:val="382D2531"/>
    <w:rsid w:val="384016A7"/>
    <w:rsid w:val="387D7E92"/>
    <w:rsid w:val="38B642D4"/>
    <w:rsid w:val="3901123D"/>
    <w:rsid w:val="390153E5"/>
    <w:rsid w:val="397B0459"/>
    <w:rsid w:val="398C5B0A"/>
    <w:rsid w:val="39E7009F"/>
    <w:rsid w:val="39FB720A"/>
    <w:rsid w:val="3A087A14"/>
    <w:rsid w:val="3A3C6A5B"/>
    <w:rsid w:val="3A40479E"/>
    <w:rsid w:val="3A95280D"/>
    <w:rsid w:val="3ACD59E5"/>
    <w:rsid w:val="3B2075C0"/>
    <w:rsid w:val="3BA3206B"/>
    <w:rsid w:val="3BCE402B"/>
    <w:rsid w:val="3BEE647B"/>
    <w:rsid w:val="3BF17763"/>
    <w:rsid w:val="3C162A79"/>
    <w:rsid w:val="3C1A7270"/>
    <w:rsid w:val="3C213BF5"/>
    <w:rsid w:val="3C477FB1"/>
    <w:rsid w:val="3C4E2A76"/>
    <w:rsid w:val="3C8B7826"/>
    <w:rsid w:val="3C9A5CBB"/>
    <w:rsid w:val="3CF90C34"/>
    <w:rsid w:val="3D2E4C07"/>
    <w:rsid w:val="3D513EB5"/>
    <w:rsid w:val="3DBB0A2E"/>
    <w:rsid w:val="3DC47D28"/>
    <w:rsid w:val="3DC64D6D"/>
    <w:rsid w:val="3DD6559A"/>
    <w:rsid w:val="3E0D68B8"/>
    <w:rsid w:val="3E1D0952"/>
    <w:rsid w:val="3E2E36AF"/>
    <w:rsid w:val="3E300685"/>
    <w:rsid w:val="3E326604"/>
    <w:rsid w:val="3E4573F0"/>
    <w:rsid w:val="3E6E7FAC"/>
    <w:rsid w:val="3EA67CD0"/>
    <w:rsid w:val="3EA94EFD"/>
    <w:rsid w:val="3ED41958"/>
    <w:rsid w:val="3EDE4585"/>
    <w:rsid w:val="3F19586A"/>
    <w:rsid w:val="3F9159FA"/>
    <w:rsid w:val="3FC05C56"/>
    <w:rsid w:val="40046CA8"/>
    <w:rsid w:val="4010076E"/>
    <w:rsid w:val="40296F4A"/>
    <w:rsid w:val="403540AB"/>
    <w:rsid w:val="403D64A9"/>
    <w:rsid w:val="405E3BCF"/>
    <w:rsid w:val="40721429"/>
    <w:rsid w:val="41175B2C"/>
    <w:rsid w:val="414D090F"/>
    <w:rsid w:val="419B050B"/>
    <w:rsid w:val="41B76CB4"/>
    <w:rsid w:val="41F73FFF"/>
    <w:rsid w:val="424E557E"/>
    <w:rsid w:val="427435CE"/>
    <w:rsid w:val="42757B89"/>
    <w:rsid w:val="42A033BF"/>
    <w:rsid w:val="42B42DF9"/>
    <w:rsid w:val="42D9753D"/>
    <w:rsid w:val="42EA4E42"/>
    <w:rsid w:val="432B6695"/>
    <w:rsid w:val="435272F0"/>
    <w:rsid w:val="435979DC"/>
    <w:rsid w:val="43754D8C"/>
    <w:rsid w:val="437F119F"/>
    <w:rsid w:val="43AA411E"/>
    <w:rsid w:val="43B2156B"/>
    <w:rsid w:val="4413747D"/>
    <w:rsid w:val="444E57F2"/>
    <w:rsid w:val="44AF3E5C"/>
    <w:rsid w:val="45147450"/>
    <w:rsid w:val="453F0CD6"/>
    <w:rsid w:val="456D21BF"/>
    <w:rsid w:val="45A24D25"/>
    <w:rsid w:val="45AC7010"/>
    <w:rsid w:val="45AC718B"/>
    <w:rsid w:val="45C02133"/>
    <w:rsid w:val="45D37EC6"/>
    <w:rsid w:val="464078D3"/>
    <w:rsid w:val="46543FB6"/>
    <w:rsid w:val="46A368AE"/>
    <w:rsid w:val="46C626A7"/>
    <w:rsid w:val="46DD15C6"/>
    <w:rsid w:val="46EB7B00"/>
    <w:rsid w:val="47044DA5"/>
    <w:rsid w:val="472F2B44"/>
    <w:rsid w:val="473016F6"/>
    <w:rsid w:val="474F4E44"/>
    <w:rsid w:val="47A520E4"/>
    <w:rsid w:val="47FD3CCE"/>
    <w:rsid w:val="482E528F"/>
    <w:rsid w:val="4837717F"/>
    <w:rsid w:val="485711CD"/>
    <w:rsid w:val="48694BF1"/>
    <w:rsid w:val="486F752A"/>
    <w:rsid w:val="487703B1"/>
    <w:rsid w:val="489B2349"/>
    <w:rsid w:val="48B242FB"/>
    <w:rsid w:val="48CB0CFF"/>
    <w:rsid w:val="491004AC"/>
    <w:rsid w:val="49125027"/>
    <w:rsid w:val="492D6ED1"/>
    <w:rsid w:val="49301E81"/>
    <w:rsid w:val="4938074A"/>
    <w:rsid w:val="494565CC"/>
    <w:rsid w:val="494F42E9"/>
    <w:rsid w:val="495C5EEE"/>
    <w:rsid w:val="49796130"/>
    <w:rsid w:val="49952D80"/>
    <w:rsid w:val="49C550C7"/>
    <w:rsid w:val="49DA1036"/>
    <w:rsid w:val="4A061107"/>
    <w:rsid w:val="4A45195C"/>
    <w:rsid w:val="4A6B1E80"/>
    <w:rsid w:val="4A784A78"/>
    <w:rsid w:val="4AA243B5"/>
    <w:rsid w:val="4AAF15AA"/>
    <w:rsid w:val="4ABF170F"/>
    <w:rsid w:val="4AC74D35"/>
    <w:rsid w:val="4B325411"/>
    <w:rsid w:val="4B3C64FF"/>
    <w:rsid w:val="4BEA65BC"/>
    <w:rsid w:val="4C1F0361"/>
    <w:rsid w:val="4C303F46"/>
    <w:rsid w:val="4C31567B"/>
    <w:rsid w:val="4C8233D1"/>
    <w:rsid w:val="4C916512"/>
    <w:rsid w:val="4CB66B41"/>
    <w:rsid w:val="4CD07C03"/>
    <w:rsid w:val="4CED0B60"/>
    <w:rsid w:val="4CF95FDB"/>
    <w:rsid w:val="4D106251"/>
    <w:rsid w:val="4D2D51CD"/>
    <w:rsid w:val="4D4A5F5E"/>
    <w:rsid w:val="4D565C2E"/>
    <w:rsid w:val="4D9A5B1B"/>
    <w:rsid w:val="4DBE3E5E"/>
    <w:rsid w:val="4DCF7234"/>
    <w:rsid w:val="4E5008D0"/>
    <w:rsid w:val="4E704ACE"/>
    <w:rsid w:val="4E752882"/>
    <w:rsid w:val="4E7A212F"/>
    <w:rsid w:val="4E847A59"/>
    <w:rsid w:val="4F027E1C"/>
    <w:rsid w:val="4F1E4279"/>
    <w:rsid w:val="4F284A1F"/>
    <w:rsid w:val="4F583EE0"/>
    <w:rsid w:val="4F6C4EA5"/>
    <w:rsid w:val="4FC37BA8"/>
    <w:rsid w:val="4FFDA377"/>
    <w:rsid w:val="50000D7C"/>
    <w:rsid w:val="502E5634"/>
    <w:rsid w:val="504F45A9"/>
    <w:rsid w:val="50711030"/>
    <w:rsid w:val="50760BB0"/>
    <w:rsid w:val="5088591F"/>
    <w:rsid w:val="50B93970"/>
    <w:rsid w:val="51037E7B"/>
    <w:rsid w:val="516205C2"/>
    <w:rsid w:val="517E6B14"/>
    <w:rsid w:val="51B40BB6"/>
    <w:rsid w:val="51B86EB8"/>
    <w:rsid w:val="51F85506"/>
    <w:rsid w:val="520F3B0B"/>
    <w:rsid w:val="521F78DE"/>
    <w:rsid w:val="52302EF2"/>
    <w:rsid w:val="52366141"/>
    <w:rsid w:val="52654E30"/>
    <w:rsid w:val="528F6CDB"/>
    <w:rsid w:val="52957EF4"/>
    <w:rsid w:val="52A631B4"/>
    <w:rsid w:val="52B15FA1"/>
    <w:rsid w:val="52C5188C"/>
    <w:rsid w:val="52F61F59"/>
    <w:rsid w:val="54031DFA"/>
    <w:rsid w:val="54035A11"/>
    <w:rsid w:val="54040192"/>
    <w:rsid w:val="540E31D6"/>
    <w:rsid w:val="541741D6"/>
    <w:rsid w:val="54460748"/>
    <w:rsid w:val="54722B28"/>
    <w:rsid w:val="547814E5"/>
    <w:rsid w:val="549A28A4"/>
    <w:rsid w:val="54A668B4"/>
    <w:rsid w:val="54A8633F"/>
    <w:rsid w:val="54ED079A"/>
    <w:rsid w:val="550D751A"/>
    <w:rsid w:val="5528771B"/>
    <w:rsid w:val="552A3826"/>
    <w:rsid w:val="555770FA"/>
    <w:rsid w:val="55632085"/>
    <w:rsid w:val="55663A0C"/>
    <w:rsid w:val="55967510"/>
    <w:rsid w:val="55CF7191"/>
    <w:rsid w:val="55DB72FA"/>
    <w:rsid w:val="55F04E72"/>
    <w:rsid w:val="5611428B"/>
    <w:rsid w:val="56186177"/>
    <w:rsid w:val="56597161"/>
    <w:rsid w:val="56912749"/>
    <w:rsid w:val="56D121EE"/>
    <w:rsid w:val="56E61DD1"/>
    <w:rsid w:val="574855E8"/>
    <w:rsid w:val="576552F4"/>
    <w:rsid w:val="57A5314F"/>
    <w:rsid w:val="57B63E99"/>
    <w:rsid w:val="57D764AF"/>
    <w:rsid w:val="57E645FA"/>
    <w:rsid w:val="58164938"/>
    <w:rsid w:val="58521FC4"/>
    <w:rsid w:val="58583B22"/>
    <w:rsid w:val="58771241"/>
    <w:rsid w:val="58935F89"/>
    <w:rsid w:val="58B101BD"/>
    <w:rsid w:val="58DB3C34"/>
    <w:rsid w:val="58DD4B57"/>
    <w:rsid w:val="591F15CA"/>
    <w:rsid w:val="59320EE4"/>
    <w:rsid w:val="594352B9"/>
    <w:rsid w:val="599C0E6D"/>
    <w:rsid w:val="59C53F20"/>
    <w:rsid w:val="59D023B0"/>
    <w:rsid w:val="59D81EA5"/>
    <w:rsid w:val="5A0E4489"/>
    <w:rsid w:val="5A160B46"/>
    <w:rsid w:val="5A4968FF"/>
    <w:rsid w:val="5A4E5A2A"/>
    <w:rsid w:val="5A762EDF"/>
    <w:rsid w:val="5A8011D0"/>
    <w:rsid w:val="5A822A56"/>
    <w:rsid w:val="5AA0450D"/>
    <w:rsid w:val="5AA65CD3"/>
    <w:rsid w:val="5ACD48CC"/>
    <w:rsid w:val="5AFD13B3"/>
    <w:rsid w:val="5B0311A3"/>
    <w:rsid w:val="5B1533D9"/>
    <w:rsid w:val="5B1E5BCC"/>
    <w:rsid w:val="5B3764C4"/>
    <w:rsid w:val="5B5A241E"/>
    <w:rsid w:val="5B7C4AB2"/>
    <w:rsid w:val="5BA8319C"/>
    <w:rsid w:val="5BAD274A"/>
    <w:rsid w:val="5BD74C6E"/>
    <w:rsid w:val="5BE50BA6"/>
    <w:rsid w:val="5C190553"/>
    <w:rsid w:val="5C2E0695"/>
    <w:rsid w:val="5C981DBF"/>
    <w:rsid w:val="5CA02A22"/>
    <w:rsid w:val="5CBC6E4B"/>
    <w:rsid w:val="5CE15514"/>
    <w:rsid w:val="5CF64E89"/>
    <w:rsid w:val="5D105DFA"/>
    <w:rsid w:val="5D1E45B7"/>
    <w:rsid w:val="5D5061F6"/>
    <w:rsid w:val="5D767C22"/>
    <w:rsid w:val="5DC539D3"/>
    <w:rsid w:val="5DCB3ACF"/>
    <w:rsid w:val="5DE4494F"/>
    <w:rsid w:val="5DF70D68"/>
    <w:rsid w:val="5E1F43E2"/>
    <w:rsid w:val="5E263CA5"/>
    <w:rsid w:val="5ED03A93"/>
    <w:rsid w:val="5EF02F02"/>
    <w:rsid w:val="5F0D013B"/>
    <w:rsid w:val="5FA9324C"/>
    <w:rsid w:val="5FB96CF3"/>
    <w:rsid w:val="604C539B"/>
    <w:rsid w:val="60943284"/>
    <w:rsid w:val="60A429B1"/>
    <w:rsid w:val="60F8107F"/>
    <w:rsid w:val="60FF240D"/>
    <w:rsid w:val="6116474A"/>
    <w:rsid w:val="61A145BC"/>
    <w:rsid w:val="61AB5CF3"/>
    <w:rsid w:val="61B551C2"/>
    <w:rsid w:val="61D4487A"/>
    <w:rsid w:val="61E5788F"/>
    <w:rsid w:val="62204A3D"/>
    <w:rsid w:val="6234166D"/>
    <w:rsid w:val="6241266D"/>
    <w:rsid w:val="62424B4F"/>
    <w:rsid w:val="62984579"/>
    <w:rsid w:val="629B7F14"/>
    <w:rsid w:val="62C007E7"/>
    <w:rsid w:val="630B680E"/>
    <w:rsid w:val="63606675"/>
    <w:rsid w:val="636228EB"/>
    <w:rsid w:val="638210D3"/>
    <w:rsid w:val="63822E81"/>
    <w:rsid w:val="63CC467B"/>
    <w:rsid w:val="645F01E2"/>
    <w:rsid w:val="646A5DEF"/>
    <w:rsid w:val="64837B5B"/>
    <w:rsid w:val="649B5961"/>
    <w:rsid w:val="64C216F4"/>
    <w:rsid w:val="64C920EF"/>
    <w:rsid w:val="64D846F3"/>
    <w:rsid w:val="64DF4A2F"/>
    <w:rsid w:val="64E92302"/>
    <w:rsid w:val="64FF22EB"/>
    <w:rsid w:val="65644F35"/>
    <w:rsid w:val="656568E6"/>
    <w:rsid w:val="656B62C3"/>
    <w:rsid w:val="65E322FD"/>
    <w:rsid w:val="666D1130"/>
    <w:rsid w:val="66DB5070"/>
    <w:rsid w:val="66E53E53"/>
    <w:rsid w:val="674865FC"/>
    <w:rsid w:val="677B5F6C"/>
    <w:rsid w:val="67A01CFD"/>
    <w:rsid w:val="67F7525A"/>
    <w:rsid w:val="68150768"/>
    <w:rsid w:val="685748DD"/>
    <w:rsid w:val="68CA1553"/>
    <w:rsid w:val="68DB72BC"/>
    <w:rsid w:val="68EB7E6E"/>
    <w:rsid w:val="691B69B6"/>
    <w:rsid w:val="691F232A"/>
    <w:rsid w:val="693B7D5A"/>
    <w:rsid w:val="69551708"/>
    <w:rsid w:val="69F10D61"/>
    <w:rsid w:val="6A1178C7"/>
    <w:rsid w:val="6A86411F"/>
    <w:rsid w:val="6ADE6F38"/>
    <w:rsid w:val="6AE0311F"/>
    <w:rsid w:val="6AFD7857"/>
    <w:rsid w:val="6B3A6A4D"/>
    <w:rsid w:val="6B881251"/>
    <w:rsid w:val="6C026FBD"/>
    <w:rsid w:val="6C046B37"/>
    <w:rsid w:val="6C146412"/>
    <w:rsid w:val="6C1A2788"/>
    <w:rsid w:val="6C1A6167"/>
    <w:rsid w:val="6C3118E9"/>
    <w:rsid w:val="6C46674A"/>
    <w:rsid w:val="6C53360D"/>
    <w:rsid w:val="6C6104BC"/>
    <w:rsid w:val="6CA24CCE"/>
    <w:rsid w:val="6CCE55B8"/>
    <w:rsid w:val="6D110A00"/>
    <w:rsid w:val="6D54763D"/>
    <w:rsid w:val="6D61634E"/>
    <w:rsid w:val="6D6F2F8C"/>
    <w:rsid w:val="6DA73A96"/>
    <w:rsid w:val="6DF43783"/>
    <w:rsid w:val="6E0355E0"/>
    <w:rsid w:val="6EDF2BD2"/>
    <w:rsid w:val="6EEA0E9F"/>
    <w:rsid w:val="6EF74724"/>
    <w:rsid w:val="6F9B77A5"/>
    <w:rsid w:val="6FAE190D"/>
    <w:rsid w:val="700B75C7"/>
    <w:rsid w:val="703A5210"/>
    <w:rsid w:val="70453BB5"/>
    <w:rsid w:val="70862203"/>
    <w:rsid w:val="70DE688A"/>
    <w:rsid w:val="710234E6"/>
    <w:rsid w:val="710423F0"/>
    <w:rsid w:val="7148130E"/>
    <w:rsid w:val="71804EA4"/>
    <w:rsid w:val="718B55F7"/>
    <w:rsid w:val="71B11502"/>
    <w:rsid w:val="720C2BDC"/>
    <w:rsid w:val="72122136"/>
    <w:rsid w:val="72411EE6"/>
    <w:rsid w:val="729444F1"/>
    <w:rsid w:val="72A90315"/>
    <w:rsid w:val="72F5541E"/>
    <w:rsid w:val="72F64917"/>
    <w:rsid w:val="730257DC"/>
    <w:rsid w:val="73075151"/>
    <w:rsid w:val="73143AAC"/>
    <w:rsid w:val="734D6776"/>
    <w:rsid w:val="7377440F"/>
    <w:rsid w:val="73C44722"/>
    <w:rsid w:val="73C848E1"/>
    <w:rsid w:val="73DD54A5"/>
    <w:rsid w:val="74116287"/>
    <w:rsid w:val="74155FFE"/>
    <w:rsid w:val="7460720F"/>
    <w:rsid w:val="74754CC2"/>
    <w:rsid w:val="74B113BF"/>
    <w:rsid w:val="74C841A4"/>
    <w:rsid w:val="74EB1043"/>
    <w:rsid w:val="7515476D"/>
    <w:rsid w:val="75214D75"/>
    <w:rsid w:val="75460511"/>
    <w:rsid w:val="754D1541"/>
    <w:rsid w:val="75674200"/>
    <w:rsid w:val="75886832"/>
    <w:rsid w:val="75CB0E09"/>
    <w:rsid w:val="75CE1F56"/>
    <w:rsid w:val="75F307DE"/>
    <w:rsid w:val="768C2AEF"/>
    <w:rsid w:val="768C42EB"/>
    <w:rsid w:val="76A50F09"/>
    <w:rsid w:val="76C41A5E"/>
    <w:rsid w:val="77024CEA"/>
    <w:rsid w:val="77436960"/>
    <w:rsid w:val="77587BF9"/>
    <w:rsid w:val="777D6539"/>
    <w:rsid w:val="77A14A92"/>
    <w:rsid w:val="77B21B30"/>
    <w:rsid w:val="77FF51B6"/>
    <w:rsid w:val="78306CA6"/>
    <w:rsid w:val="78542BE7"/>
    <w:rsid w:val="78A17DE3"/>
    <w:rsid w:val="78BD69DE"/>
    <w:rsid w:val="78D67AA0"/>
    <w:rsid w:val="78E72B68"/>
    <w:rsid w:val="792702FB"/>
    <w:rsid w:val="793A23D2"/>
    <w:rsid w:val="79733540"/>
    <w:rsid w:val="79870D9A"/>
    <w:rsid w:val="79AC07A9"/>
    <w:rsid w:val="79C478F8"/>
    <w:rsid w:val="79FE72AE"/>
    <w:rsid w:val="7A3A29FC"/>
    <w:rsid w:val="7A4D63F4"/>
    <w:rsid w:val="7A5D2F51"/>
    <w:rsid w:val="7A5F3547"/>
    <w:rsid w:val="7A6608C9"/>
    <w:rsid w:val="7AA02113"/>
    <w:rsid w:val="7AA55685"/>
    <w:rsid w:val="7AD95625"/>
    <w:rsid w:val="7B164183"/>
    <w:rsid w:val="7B5A1BAF"/>
    <w:rsid w:val="7B766C4D"/>
    <w:rsid w:val="7BCD76C7"/>
    <w:rsid w:val="7BDF0498"/>
    <w:rsid w:val="7C0B180E"/>
    <w:rsid w:val="7C120DEF"/>
    <w:rsid w:val="7C1D1542"/>
    <w:rsid w:val="7C30396B"/>
    <w:rsid w:val="7C6D4277"/>
    <w:rsid w:val="7CB4284F"/>
    <w:rsid w:val="7D124E1E"/>
    <w:rsid w:val="7D40373A"/>
    <w:rsid w:val="7D414890"/>
    <w:rsid w:val="7D605B8A"/>
    <w:rsid w:val="7D746944"/>
    <w:rsid w:val="7DCC76C3"/>
    <w:rsid w:val="7DFD0B52"/>
    <w:rsid w:val="7E135D43"/>
    <w:rsid w:val="7E3239CA"/>
    <w:rsid w:val="7E553215"/>
    <w:rsid w:val="7E6D4936"/>
    <w:rsid w:val="7E7D27A3"/>
    <w:rsid w:val="7E863FE4"/>
    <w:rsid w:val="7EAA3560"/>
    <w:rsid w:val="7EBA2597"/>
    <w:rsid w:val="7ECB467D"/>
    <w:rsid w:val="7F086945"/>
    <w:rsid w:val="7F1E0D9A"/>
    <w:rsid w:val="7FAD2C5D"/>
    <w:rsid w:val="7FAF64FC"/>
    <w:rsid w:val="7FBB0DA4"/>
    <w:rsid w:val="7FBF0DAE"/>
    <w:rsid w:val="7FFFD5F9"/>
    <w:rsid w:val="BFFF7B3C"/>
    <w:rsid w:val="DB399FD4"/>
    <w:rsid w:val="EB7B213E"/>
    <w:rsid w:val="EB7BC369"/>
    <w:rsid w:val="EBFBAB69"/>
    <w:rsid w:val="FDF74104"/>
    <w:rsid w:val="FE7391C4"/>
    <w:rsid w:val="FED55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paragraph" w:styleId="7">
    <w:name w:val="heading 1"/>
    <w:basedOn w:val="1"/>
    <w:next w:val="1"/>
    <w:qFormat/>
    <w:uiPriority w:val="99"/>
    <w:pPr>
      <w:keepNext/>
      <w:overflowPunct w:val="0"/>
      <w:snapToGrid w:val="0"/>
      <w:spacing w:before="120" w:after="160" w:line="259" w:lineRule="auto"/>
      <w:ind w:left="432" w:hanging="432"/>
      <w:outlineLvl w:val="0"/>
    </w:pPr>
    <w:rPr>
      <w:rFonts w:eastAsia="黑体"/>
      <w:b/>
      <w:color w:val="000000"/>
      <w:kern w:val="44"/>
      <w:sz w:val="30"/>
      <w:szCs w:val="30"/>
    </w:rPr>
  </w:style>
  <w:style w:type="paragraph" w:styleId="8">
    <w:name w:val="heading 3"/>
    <w:basedOn w:val="1"/>
    <w:next w:val="1"/>
    <w:qFormat/>
    <w:uiPriority w:val="0"/>
    <w:pPr>
      <w:keepNext/>
      <w:keepLines/>
      <w:spacing w:before="260" w:after="260" w:line="416" w:lineRule="auto"/>
      <w:outlineLvl w:val="2"/>
    </w:pPr>
    <w:rPr>
      <w:b/>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0正文"/>
    <w:basedOn w:val="3"/>
    <w:next w:val="4"/>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styleId="3">
    <w:name w:val="Body Text Indent"/>
    <w:basedOn w:val="1"/>
    <w:next w:val="4"/>
    <w:qFormat/>
    <w:uiPriority w:val="0"/>
    <w:pPr>
      <w:adjustRightInd w:val="0"/>
      <w:snapToGrid w:val="0"/>
      <w:spacing w:line="300" w:lineRule="auto"/>
      <w:ind w:firstLine="680" w:firstLineChars="200"/>
    </w:pPr>
    <w:rPr>
      <w:rFonts w:ascii="仿宋_GB2312" w:hAnsi="宋体" w:eastAsia="仿宋_GB2312"/>
      <w:sz w:val="32"/>
    </w:rPr>
  </w:style>
  <w:style w:type="paragraph" w:styleId="4">
    <w:name w:val="header"/>
    <w:basedOn w:val="1"/>
    <w:next w:val="5"/>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样式5"/>
    <w:basedOn w:val="6"/>
    <w:next w:val="1"/>
    <w:qFormat/>
    <w:uiPriority w:val="0"/>
    <w:pPr>
      <w:spacing w:line="380" w:lineRule="exact"/>
      <w:ind w:firstLine="566" w:firstLineChars="202"/>
    </w:pPr>
    <w:rPr>
      <w:rFonts w:ascii="Times New Roman" w:hAnsi="Times New Roman" w:eastAsia="华文行楷" w:cs="Times New Roman"/>
      <w:sz w:val="28"/>
    </w:rPr>
  </w:style>
  <w:style w:type="paragraph" w:styleId="6">
    <w:name w:val="Normal Indent"/>
    <w:basedOn w:val="1"/>
    <w:next w:val="1"/>
    <w:qFormat/>
    <w:uiPriority w:val="0"/>
    <w:pPr>
      <w:ind w:firstLine="420" w:firstLineChars="200"/>
    </w:pPr>
    <w:rPr>
      <w:rFonts w:ascii="Arial" w:hAnsi="Arial" w:cs="Arial"/>
      <w:sz w:val="21"/>
    </w:rPr>
  </w:style>
  <w:style w:type="paragraph" w:styleId="9">
    <w:name w:val="List 3"/>
    <w:basedOn w:val="1"/>
    <w:next w:val="1"/>
    <w:qFormat/>
    <w:uiPriority w:val="0"/>
    <w:pPr>
      <w:ind w:left="100" w:leftChars="400" w:hanging="200" w:hangingChars="200"/>
    </w:pPr>
  </w:style>
  <w:style w:type="paragraph" w:styleId="10">
    <w:name w:val="index 5"/>
    <w:basedOn w:val="1"/>
    <w:next w:val="1"/>
    <w:qFormat/>
    <w:uiPriority w:val="0"/>
    <w:pPr>
      <w:ind w:left="1680"/>
    </w:pPr>
  </w:style>
  <w:style w:type="paragraph" w:styleId="11">
    <w:name w:val="annotation text"/>
    <w:basedOn w:val="1"/>
    <w:qFormat/>
    <w:uiPriority w:val="0"/>
    <w:pPr>
      <w:jc w:val="left"/>
    </w:pPr>
  </w:style>
  <w:style w:type="paragraph" w:styleId="12">
    <w:name w:val="Body Text"/>
    <w:basedOn w:val="1"/>
    <w:next w:val="10"/>
    <w:qFormat/>
    <w:uiPriority w:val="0"/>
    <w:pPr>
      <w:widowControl/>
      <w:snapToGrid w:val="0"/>
      <w:spacing w:before="60" w:after="160" w:line="259" w:lineRule="auto"/>
      <w:ind w:right="113"/>
    </w:pPr>
    <w:rPr>
      <w:sz w:val="18"/>
      <w:szCs w:val="20"/>
    </w:rPr>
  </w:style>
  <w:style w:type="paragraph" w:styleId="13">
    <w:name w:val="Plain Text"/>
    <w:basedOn w:val="1"/>
    <w:next w:val="14"/>
    <w:qFormat/>
    <w:uiPriority w:val="0"/>
    <w:rPr>
      <w:rFonts w:ascii="宋体" w:hAnsi="Courier New" w:cs="Courier New"/>
      <w:sz w:val="21"/>
      <w:szCs w:val="21"/>
    </w:rPr>
  </w:style>
  <w:style w:type="paragraph" w:styleId="14">
    <w:name w:val="toc 1"/>
    <w:basedOn w:val="1"/>
    <w:next w:val="1"/>
    <w:semiHidden/>
    <w:qFormat/>
    <w:uiPriority w:val="0"/>
    <w:pPr>
      <w:tabs>
        <w:tab w:val="right" w:leader="dot" w:pos="8296"/>
      </w:tabs>
      <w:spacing w:before="120" w:after="120"/>
      <w:jc w:val="left"/>
    </w:pPr>
    <w:rPr>
      <w:rFonts w:eastAsia="仿宋_GB2312"/>
      <w:caps/>
      <w:snapToGrid/>
      <w:color w:val="000000"/>
      <w:spacing w:val="0"/>
      <w:kern w:val="2"/>
      <w:sz w:val="24"/>
    </w:rPr>
  </w:style>
  <w:style w:type="paragraph" w:styleId="15">
    <w:name w:val="Body Text Indent 2"/>
    <w:basedOn w:val="1"/>
    <w:next w:val="1"/>
    <w:qFormat/>
    <w:uiPriority w:val="0"/>
    <w:pPr>
      <w:spacing w:line="500" w:lineRule="exact"/>
      <w:ind w:left="72" w:hanging="72" w:hangingChars="30"/>
      <w:jc w:val="left"/>
    </w:pPr>
    <w:rPr>
      <w:rFonts w:ascii="宋体" w:hAnsi="宋体"/>
      <w:sz w:val="24"/>
    </w:rPr>
  </w:style>
  <w:style w:type="paragraph" w:styleId="16">
    <w:name w:val="footer"/>
    <w:basedOn w:val="1"/>
    <w:next w:val="1"/>
    <w:qFormat/>
    <w:uiPriority w:val="99"/>
    <w:pPr>
      <w:tabs>
        <w:tab w:val="center" w:pos="4153"/>
        <w:tab w:val="right" w:pos="8306"/>
      </w:tabs>
      <w:snapToGrid w:val="0"/>
      <w:jc w:val="left"/>
    </w:pPr>
    <w:rPr>
      <w:sz w:val="18"/>
      <w:szCs w:val="18"/>
    </w:rPr>
  </w:style>
  <w:style w:type="paragraph" w:styleId="17">
    <w:name w:val="table of figures"/>
    <w:basedOn w:val="1"/>
    <w:next w:val="1"/>
    <w:unhideWhenUsed/>
    <w:qFormat/>
    <w:uiPriority w:val="99"/>
    <w:pPr>
      <w:ind w:left="200" w:leftChars="200" w:hanging="200" w:hangingChars="200"/>
    </w:pPr>
  </w:style>
  <w:style w:type="paragraph" w:styleId="18">
    <w:name w:val="toc 2"/>
    <w:basedOn w:val="1"/>
    <w:next w:val="1"/>
    <w:semiHidden/>
    <w:qFormat/>
    <w:uiPriority w:val="0"/>
    <w:pPr>
      <w:ind w:left="210"/>
      <w:jc w:val="left"/>
    </w:pPr>
    <w:rPr>
      <w:smallCaps/>
      <w:sz w:val="20"/>
      <w:szCs w:val="20"/>
    </w:rPr>
  </w:style>
  <w:style w:type="paragraph" w:styleId="19">
    <w:name w:val="Normal (Web)"/>
    <w:basedOn w:val="1"/>
    <w:qFormat/>
    <w:uiPriority w:val="0"/>
    <w:rPr>
      <w:sz w:val="24"/>
    </w:rPr>
  </w:style>
  <w:style w:type="paragraph" w:styleId="20">
    <w:name w:val="Body Text First Indent"/>
    <w:basedOn w:val="12"/>
    <w:next w:val="21"/>
    <w:qFormat/>
    <w:uiPriority w:val="0"/>
    <w:pPr>
      <w:overflowPunct w:val="0"/>
      <w:autoSpaceDE w:val="0"/>
      <w:autoSpaceDN w:val="0"/>
      <w:adjustRightInd w:val="0"/>
      <w:spacing w:line="360" w:lineRule="auto"/>
      <w:ind w:firstLine="539" w:firstLineChars="200"/>
      <w:textAlignment w:val="baseline"/>
    </w:pPr>
    <w:rPr>
      <w:sz w:val="28"/>
    </w:rPr>
  </w:style>
  <w:style w:type="paragraph" w:customStyle="1" w:styleId="21">
    <w:name w:val="样式 正文首行缩进 + 首行缩进:  2 字符1"/>
    <w:basedOn w:val="20"/>
    <w:next w:val="14"/>
    <w:qFormat/>
    <w:uiPriority w:val="0"/>
    <w:pPr>
      <w:spacing w:after="0" w:line="360" w:lineRule="auto"/>
      <w:ind w:firstLine="480" w:firstLineChars="200"/>
    </w:pPr>
    <w:rPr>
      <w:sz w:val="24"/>
    </w:rPr>
  </w:style>
  <w:style w:type="paragraph" w:styleId="22">
    <w:name w:val="Body Text First Indent 2"/>
    <w:basedOn w:val="3"/>
    <w:next w:val="20"/>
    <w:unhideWhenUsed/>
    <w:qFormat/>
    <w:uiPriority w:val="0"/>
    <w:pPr>
      <w:spacing w:line="240" w:lineRule="auto"/>
      <w:ind w:firstLine="561"/>
    </w:pPr>
    <w:rPr>
      <w:b/>
      <w:iCs/>
      <w:sz w:val="28"/>
      <w:szCs w:val="28"/>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FollowedHyperlink"/>
    <w:basedOn w:val="25"/>
    <w:qFormat/>
    <w:uiPriority w:val="0"/>
    <w:rPr>
      <w:color w:val="800080"/>
      <w:u w:val="none"/>
    </w:rPr>
  </w:style>
  <w:style w:type="character" w:styleId="28">
    <w:name w:val="Emphasis"/>
    <w:basedOn w:val="25"/>
    <w:qFormat/>
    <w:uiPriority w:val="0"/>
    <w:rPr>
      <w:i/>
    </w:rPr>
  </w:style>
  <w:style w:type="character" w:styleId="29">
    <w:name w:val="Hyperlink"/>
    <w:basedOn w:val="25"/>
    <w:qFormat/>
    <w:uiPriority w:val="0"/>
    <w:rPr>
      <w:color w:val="0000FF"/>
      <w:u w:val="none"/>
    </w:rPr>
  </w:style>
  <w:style w:type="paragraph" w:customStyle="1" w:styleId="30">
    <w:name w:val="Default"/>
    <w:basedOn w:val="31"/>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表头"/>
    <w:basedOn w:val="18"/>
    <w:next w:val="1"/>
    <w:qFormat/>
    <w:uiPriority w:val="0"/>
    <w:pPr>
      <w:spacing w:before="50" w:beforeLines="50" w:after="0" w:afterLines="0" w:line="360" w:lineRule="auto"/>
      <w:jc w:val="center"/>
    </w:pPr>
    <w:rPr>
      <w:rFonts w:ascii="Times New Roman" w:hAnsi="Times New Roman" w:eastAsia="宋体" w:cs="Times New Roman"/>
      <w:b/>
      <w:sz w:val="21"/>
      <w:szCs w:val="21"/>
    </w:rPr>
  </w:style>
  <w:style w:type="paragraph" w:customStyle="1" w:styleId="32">
    <w:name w:val="纯文本1"/>
    <w:basedOn w:val="1"/>
    <w:next w:val="13"/>
    <w:qFormat/>
    <w:uiPriority w:val="0"/>
    <w:rPr>
      <w:rFonts w:ascii="宋体" w:hAnsi="Courier New" w:cs="Courier New"/>
      <w:sz w:val="21"/>
      <w:szCs w:val="21"/>
    </w:rPr>
  </w:style>
  <w:style w:type="paragraph" w:customStyle="1" w:styleId="33">
    <w:name w:val="样式 正文11 + 首行缩进:  2 字符"/>
    <w:basedOn w:val="1"/>
    <w:qFormat/>
    <w:uiPriority w:val="0"/>
    <w:pPr>
      <w:spacing w:line="500" w:lineRule="exact"/>
      <w:ind w:firstLine="560" w:firstLineChars="200"/>
    </w:pPr>
    <w:rPr>
      <w:rFonts w:ascii="宋体" w:hAnsi="宋体" w:cs="宋体"/>
      <w:b/>
      <w:color w:val="FF0000"/>
      <w:sz w:val="28"/>
    </w:rPr>
  </w:style>
  <w:style w:type="paragraph" w:customStyle="1" w:styleId="34">
    <w:name w:val="正文（缩进）"/>
    <w:basedOn w:val="1"/>
    <w:qFormat/>
    <w:uiPriority w:val="99"/>
    <w:pPr>
      <w:spacing w:line="360" w:lineRule="auto"/>
      <w:ind w:firstLine="480" w:firstLineChars="200"/>
    </w:pPr>
    <w:rPr>
      <w:sz w:val="24"/>
    </w:rPr>
  </w:style>
  <w:style w:type="paragraph" w:customStyle="1" w:styleId="35">
    <w:name w:val="Normal (Web)1"/>
    <w:basedOn w:val="1"/>
    <w:next w:val="36"/>
    <w:qFormat/>
    <w:uiPriority w:val="0"/>
    <w:pPr>
      <w:widowControl/>
    </w:pPr>
    <w:rPr>
      <w:rFonts w:ascii="宋体" w:eastAsia="宋体" w:cs="Times New Roman"/>
      <w:sz w:val="24"/>
      <w:szCs w:val="21"/>
    </w:rPr>
  </w:style>
  <w:style w:type="paragraph" w:customStyle="1" w:styleId="36">
    <w:name w:val="Date1"/>
    <w:basedOn w:val="1"/>
    <w:next w:val="1"/>
    <w:qFormat/>
    <w:uiPriority w:val="0"/>
    <w:pPr>
      <w:adjustRightInd w:val="0"/>
      <w:spacing w:line="240" w:lineRule="auto"/>
    </w:pPr>
    <w:rPr>
      <w:sz w:val="21"/>
      <w:szCs w:val="20"/>
    </w:rPr>
  </w:style>
  <w:style w:type="paragraph" w:customStyle="1" w:styleId="37">
    <w:name w:val="_Style 4"/>
    <w:next w:val="1"/>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8">
    <w:name w:val="样式 标题 1一级标题 + 段前: 0.5 行 段后: 0.5 行"/>
    <w:basedOn w:val="7"/>
    <w:qFormat/>
    <w:uiPriority w:val="0"/>
    <w:pPr>
      <w:spacing w:line="320" w:lineRule="exact"/>
      <w:outlineLvl w:val="9"/>
    </w:pPr>
    <w:rPr>
      <w:rFonts w:eastAsia="宋体"/>
      <w:spacing w:val="-6"/>
      <w:sz w:val="21"/>
      <w:szCs w:val="21"/>
    </w:rPr>
  </w:style>
  <w:style w:type="paragraph" w:customStyle="1" w:styleId="39">
    <w:name w:val="报告正文"/>
    <w:basedOn w:val="1"/>
    <w:next w:val="1"/>
    <w:qFormat/>
    <w:uiPriority w:val="0"/>
    <w:pPr>
      <w:numPr>
        <w:ilvl w:val="0"/>
        <w:numId w:val="1"/>
      </w:numPr>
      <w:spacing w:line="360" w:lineRule="auto"/>
      <w:ind w:firstLine="720" w:firstLineChars="200"/>
    </w:p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1">
    <w:name w:val="fr4"/>
    <w:basedOn w:val="25"/>
    <w:qFormat/>
    <w:uiPriority w:val="0"/>
  </w:style>
  <w:style w:type="character" w:customStyle="1" w:styleId="42">
    <w:name w:val="last-child"/>
    <w:basedOn w:val="25"/>
    <w:qFormat/>
    <w:uiPriority w:val="0"/>
  </w:style>
  <w:style w:type="character" w:customStyle="1" w:styleId="43">
    <w:name w:val="before"/>
    <w:basedOn w:val="25"/>
    <w:qFormat/>
    <w:uiPriority w:val="0"/>
    <w:rPr>
      <w:rFonts w:hint="default" w:ascii="iconfont" w:hAnsi="iconfont" w:eastAsia="iconfont" w:cs="iconfont"/>
      <w:color w:val="CCCCCC"/>
    </w:rPr>
  </w:style>
  <w:style w:type="character" w:customStyle="1" w:styleId="44">
    <w:name w:val="before1"/>
    <w:basedOn w:val="25"/>
    <w:qFormat/>
    <w:uiPriority w:val="0"/>
    <w:rPr>
      <w:shd w:val="clear" w:color="auto" w:fill="39548B"/>
    </w:rPr>
  </w:style>
  <w:style w:type="character" w:customStyle="1" w:styleId="45">
    <w:name w:val="on"/>
    <w:basedOn w:val="25"/>
    <w:qFormat/>
    <w:uiPriority w:val="0"/>
  </w:style>
  <w:style w:type="paragraph" w:customStyle="1" w:styleId="46">
    <w:name w:val="p0"/>
    <w:basedOn w:val="1"/>
    <w:qFormat/>
    <w:uiPriority w:val="0"/>
    <w:pPr>
      <w:widowControl/>
    </w:pPr>
    <w:rPr>
      <w:szCs w:val="21"/>
    </w:rPr>
  </w:style>
  <w:style w:type="paragraph" w:customStyle="1" w:styleId="47">
    <w:name w:val="样式1"/>
    <w:basedOn w:val="48"/>
    <w:qFormat/>
    <w:uiPriority w:val="0"/>
    <w:pPr>
      <w:widowControl/>
      <w:spacing w:before="80" w:after="80" w:line="540" w:lineRule="exact"/>
      <w:ind w:left="-2"/>
    </w:pPr>
    <w:rPr>
      <w:rFonts w:ascii="Arial" w:hAnsi="Arial"/>
      <w:bCs/>
      <w:kern w:val="0"/>
      <w:szCs w:val="48"/>
    </w:rPr>
  </w:style>
  <w:style w:type="paragraph" w:customStyle="1" w:styleId="48">
    <w:name w:val="a-文本缩2"/>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49">
    <w:name w:val="【正文】"/>
    <w:basedOn w:val="1"/>
    <w:next w:val="1"/>
    <w:qFormat/>
    <w:uiPriority w:val="0"/>
    <w:pPr>
      <w:spacing w:line="360" w:lineRule="auto"/>
      <w:ind w:firstLine="200" w:firstLineChars="200"/>
    </w:pPr>
    <w:rPr>
      <w:spacing w:val="17"/>
      <w:sz w:val="24"/>
      <w:szCs w:val="20"/>
      <w:lang w:val="zh-CN"/>
    </w:rPr>
  </w:style>
  <w:style w:type="character" w:customStyle="1" w:styleId="50">
    <w:name w:val="fontstyle01"/>
    <w:basedOn w:val="25"/>
    <w:qFormat/>
    <w:uiPriority w:val="0"/>
    <w:rPr>
      <w:rFonts w:hint="eastAsia" w:ascii="宋体" w:hAnsi="宋体" w:eastAsia="宋体"/>
      <w:color w:val="000000"/>
      <w:sz w:val="24"/>
      <w:szCs w:val="24"/>
    </w:rPr>
  </w:style>
  <w:style w:type="paragraph" w:customStyle="1" w:styleId="51">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52">
    <w:name w:val="3博创正文"/>
    <w:basedOn w:val="1"/>
    <w:unhideWhenUsed/>
    <w:qFormat/>
    <w:uiPriority w:val="0"/>
    <w:pPr>
      <w:adjustRightInd w:val="0"/>
      <w:snapToGrid w:val="0"/>
      <w:ind w:firstLine="720" w:firstLineChars="200"/>
      <w:jc w:val="both"/>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2862a74e-89ee-4e9e-bef5-7057426a4c57</errorID>
      <errorWord xmlns="http://schemas.wps.cn/vas-ai-hub/contract-review">桓仁县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桓仁满族自治县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 3DE5052</paraID>
      <start xmlns="http://schemas.wps.cn/vas-ai-hub/contract-review">219</start>
      <end xmlns="http://schemas.wps.cn/vas-ai-hub/contract-review">222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905e6f32-bd37-4ca3-bdbf-f0bd95aa2b5e</errorID>
      <errorWord xmlns="http://schemas.wps.cn/vas-ai-hub/contract-review">桓仁县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桓仁满族自治县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744EBD29</paraID>
      <start xmlns="http://schemas.wps.cn/vas-ai-hub/contract-review">181</start>
      <end xmlns="http://schemas.wps.cn/vas-ai-hub/contract-review">184</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833f96-b92a-4cc7-9695-6c7767637dbb}">
  <ds:schemaRefs/>
</ds:datastoreItem>
</file>

<file path=docProps/app.xml><?xml version="1.0" encoding="utf-8"?>
<Properties xmlns="http://schemas.openxmlformats.org/officeDocument/2006/extended-properties" xmlns:vt="http://schemas.openxmlformats.org/officeDocument/2006/docPropsVTypes">
  <Template>Normal</Template>
  <Pages>6</Pages>
  <Words>2131</Words>
  <Characters>2291</Characters>
  <Lines>18</Lines>
  <Paragraphs>5</Paragraphs>
  <TotalTime>17</TotalTime>
  <ScaleCrop>false</ScaleCrop>
  <LinksUpToDate>false</LinksUpToDate>
  <CharactersWithSpaces>2291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2022-08-14T23:15:00Z</dcterms:created>
  <dc:creator>海霞</dc:creator>
  <cp:lastModifiedBy>李冬月</cp:lastModifiedBy>
  <cp:lastPrinted>2025-05-30T15:40:00Z</cp:lastPrinted>
  <dcterms:modified xsi:type="dcterms:W3CDTF">2026-08-10T16:57:15Z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3CC2E74204554B469ED89466873B8EDC_13</vt:lpwstr>
  </property>
  <property fmtid="{D5CDD505-2E9C-101B-9397-08002B2CF9AE}" pid="4" name="KSOTemplateDocerSaveRecord">
    <vt:lpwstr>eyJoZGlkIjoiZjNlNWI4NzdkOGEzNTVlYmNlYTM3YjFjYjJjOWFiOGYiLCJ1c2VySWQiOiI0ODAyOTk4NTYifQ==</vt:lpwstr>
  </property>
</Properties>
</file>